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CAC640">
      <w:pPr>
        <w:jc w:val="center"/>
        <w:rPr>
          <w:rFonts w:hint="default" w:ascii="Times New Roman" w:hAnsi="Times New Roman" w:cs="Times New Roman" w:eastAsiaTheme="minorEastAsia"/>
          <w:b/>
          <w:bCs/>
          <w:sz w:val="44"/>
          <w:szCs w:val="44"/>
        </w:rPr>
      </w:pPr>
      <w:bookmarkStart w:id="857" w:name="_GoBack"/>
      <w:bookmarkEnd w:id="857"/>
      <w:r>
        <w:rPr>
          <w:rFonts w:hint="default" w:ascii="Times New Roman" w:hAnsi="Times New Roman" w:cs="Times New Roman" w:eastAsiaTheme="minorEastAsia"/>
          <w:b/>
          <w:bCs/>
          <w:sz w:val="44"/>
          <w:szCs w:val="44"/>
        </w:rPr>
        <w:t>云南新平仙福矿冶有限公司废石加工</w:t>
      </w:r>
    </w:p>
    <w:p w14:paraId="76AE08E0">
      <w:pPr>
        <w:jc w:val="center"/>
        <w:rPr>
          <w:rFonts w:hint="default" w:ascii="Times New Roman" w:hAnsi="Times New Roman" w:cs="Times New Roman" w:eastAsiaTheme="minorEastAsia"/>
          <w:b/>
          <w:bCs/>
          <w:sz w:val="44"/>
          <w:szCs w:val="44"/>
        </w:rPr>
      </w:pPr>
      <w:r>
        <w:rPr>
          <w:rFonts w:hint="default" w:ascii="Times New Roman" w:hAnsi="Times New Roman" w:cs="Times New Roman" w:eastAsiaTheme="minorEastAsia"/>
          <w:b/>
          <w:bCs/>
          <w:sz w:val="44"/>
          <w:szCs w:val="44"/>
        </w:rPr>
        <w:t>资源综合利用项目</w:t>
      </w:r>
    </w:p>
    <w:p w14:paraId="4E9C14C8">
      <w:pPr>
        <w:jc w:val="center"/>
        <w:rPr>
          <w:rFonts w:hint="default" w:ascii="Times New Roman" w:hAnsi="Times New Roman" w:cs="Times New Roman" w:eastAsiaTheme="minorEastAsia"/>
          <w:b/>
          <w:bCs/>
          <w:sz w:val="44"/>
          <w:szCs w:val="44"/>
          <w:lang w:val="en-US" w:eastAsia="zh-CN"/>
        </w:rPr>
      </w:pPr>
      <w:r>
        <w:rPr>
          <w:rFonts w:hint="default" w:ascii="Times New Roman" w:hAnsi="Times New Roman" w:cs="Times New Roman" w:eastAsiaTheme="minorEastAsia"/>
          <w:b/>
          <w:bCs/>
          <w:sz w:val="44"/>
          <w:szCs w:val="44"/>
          <w:lang w:val="en-US" w:eastAsia="zh-CN"/>
        </w:rPr>
        <w:t>环境影响报告书</w:t>
      </w:r>
    </w:p>
    <w:p w14:paraId="18F752B9">
      <w:pPr>
        <w:tabs>
          <w:tab w:val="left" w:pos="7680"/>
        </w:tabs>
        <w:adjustRightInd w:val="0"/>
        <w:snapToGrid w:val="0"/>
        <w:spacing w:line="288" w:lineRule="auto"/>
        <w:ind w:firstLine="0" w:firstLineChars="0"/>
        <w:jc w:val="center"/>
        <w:rPr>
          <w:rFonts w:hint="default" w:ascii="Times New Roman" w:hAnsi="Times New Roman" w:eastAsia="宋体" w:cs="Times New Roman"/>
          <w:b w:val="0"/>
          <w:bCs/>
          <w:color w:val="auto"/>
          <w:sz w:val="36"/>
          <w:szCs w:val="36"/>
          <w:lang w:eastAsia="zh-CN"/>
        </w:rPr>
      </w:pPr>
      <w:r>
        <w:rPr>
          <w:rFonts w:hint="default" w:ascii="Times New Roman" w:hAnsi="Times New Roman" w:eastAsia="宋体" w:cs="Times New Roman"/>
          <w:b w:val="0"/>
          <w:bCs/>
          <w:color w:val="auto"/>
          <w:sz w:val="36"/>
          <w:szCs w:val="36"/>
          <w:lang w:eastAsia="zh-CN"/>
        </w:rPr>
        <w:t>（</w:t>
      </w:r>
      <w:r>
        <w:rPr>
          <w:rFonts w:hint="default" w:ascii="Times New Roman" w:hAnsi="Times New Roman" w:cs="Times New Roman"/>
          <w:b w:val="0"/>
          <w:bCs/>
          <w:color w:val="auto"/>
          <w:sz w:val="36"/>
          <w:szCs w:val="36"/>
          <w:lang w:val="en-US" w:eastAsia="zh-CN"/>
        </w:rPr>
        <w:t>报批</w:t>
      </w:r>
      <w:r>
        <w:rPr>
          <w:rFonts w:hint="default" w:ascii="Times New Roman" w:hAnsi="Times New Roman" w:eastAsia="宋体" w:cs="Times New Roman"/>
          <w:b w:val="0"/>
          <w:bCs/>
          <w:color w:val="auto"/>
          <w:sz w:val="36"/>
          <w:szCs w:val="36"/>
          <w:lang w:eastAsia="zh-CN"/>
        </w:rPr>
        <w:t>稿）</w:t>
      </w:r>
    </w:p>
    <w:p w14:paraId="2D3926AA">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6BEFF96A">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65A0375F">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060503F8">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0C29019E">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490281DF">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1A9369FB">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6BC27E69">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61641240">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003E78ED">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6D62A0F5">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30E4F4F8">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1A1221E7">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5DF19468">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524F6E03">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5A512C5B">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p>
    <w:p w14:paraId="65C4A47F">
      <w:pPr>
        <w:adjustRightInd w:val="0"/>
        <w:snapToGrid w:val="0"/>
        <w:spacing w:line="288" w:lineRule="auto"/>
        <w:ind w:firstLine="0" w:firstLineChars="0"/>
        <w:jc w:val="center"/>
        <w:rPr>
          <w:rFonts w:hint="default" w:ascii="Times New Roman" w:hAnsi="Times New Roman" w:eastAsia="宋体" w:cs="Times New Roman"/>
          <w:b/>
          <w:color w:val="auto"/>
          <w:sz w:val="36"/>
          <w:szCs w:val="36"/>
          <w:lang w:val="en-US"/>
        </w:rPr>
      </w:pPr>
      <w:r>
        <w:rPr>
          <w:rFonts w:hint="default" w:ascii="Times New Roman" w:hAnsi="Times New Roman" w:eastAsia="宋体" w:cs="Times New Roman"/>
          <w:b/>
          <w:color w:val="auto"/>
          <w:sz w:val="36"/>
          <w:szCs w:val="36"/>
        </w:rPr>
        <w:t>建设单位：云南新平仙福矿冶有限公司</w:t>
      </w:r>
    </w:p>
    <w:p w14:paraId="41398339">
      <w:pPr>
        <w:adjustRightInd w:val="0"/>
        <w:snapToGrid w:val="0"/>
        <w:spacing w:line="288" w:lineRule="auto"/>
        <w:ind w:firstLine="0" w:firstLineChars="0"/>
        <w:jc w:val="center"/>
        <w:rPr>
          <w:rFonts w:hint="default" w:ascii="Times New Roman" w:hAnsi="Times New Roman" w:eastAsia="宋体" w:cs="Times New Roman"/>
          <w:b/>
          <w:color w:val="auto"/>
          <w:sz w:val="36"/>
          <w:szCs w:val="36"/>
        </w:rPr>
      </w:pPr>
      <w:r>
        <w:rPr>
          <w:rFonts w:hint="default" w:ascii="Times New Roman" w:hAnsi="Times New Roman" w:eastAsia="宋体" w:cs="Times New Roman"/>
          <w:b/>
          <w:color w:val="auto"/>
          <w:sz w:val="36"/>
          <w:szCs w:val="36"/>
        </w:rPr>
        <w:t>编制单位：云南崇皓环境科技有限公司</w:t>
      </w:r>
    </w:p>
    <w:p w14:paraId="007B4C90">
      <w:pPr>
        <w:adjustRightInd w:val="0"/>
        <w:snapToGrid w:val="0"/>
        <w:spacing w:line="288" w:lineRule="auto"/>
        <w:ind w:firstLine="0" w:firstLineChars="0"/>
        <w:jc w:val="center"/>
        <w:rPr>
          <w:rFonts w:hint="default" w:ascii="Times New Roman" w:hAnsi="Times New Roman" w:eastAsia="宋体" w:cs="Times New Roman"/>
          <w:b/>
          <w:color w:val="auto"/>
          <w:sz w:val="36"/>
          <w:szCs w:val="36"/>
          <w:lang w:val="zh-CN"/>
        </w:rPr>
        <w:sectPr>
          <w:headerReference r:id="rId3" w:type="default"/>
          <w:pgSz w:w="11910" w:h="16840"/>
          <w:pgMar w:top="1540" w:right="1560" w:bottom="1240" w:left="1680" w:header="720" w:footer="720" w:gutter="0"/>
          <w:pgBorders>
            <w:top w:val="none" w:sz="0" w:space="0"/>
            <w:left w:val="none" w:sz="0" w:space="0"/>
            <w:bottom w:val="none" w:sz="0" w:space="0"/>
            <w:right w:val="none" w:sz="0" w:space="0"/>
          </w:pgBorders>
          <w:cols w:space="720" w:num="1"/>
        </w:sectPr>
      </w:pPr>
      <w:r>
        <w:rPr>
          <w:rFonts w:hint="default" w:ascii="Times New Roman" w:hAnsi="Times New Roman" w:eastAsia="宋体" w:cs="Times New Roman"/>
          <w:b/>
          <w:color w:val="auto"/>
          <w:sz w:val="36"/>
          <w:szCs w:val="36"/>
        </w:rPr>
        <w:t>二〇二</w:t>
      </w:r>
      <w:r>
        <w:rPr>
          <w:rFonts w:hint="default" w:ascii="Times New Roman" w:hAnsi="Times New Roman" w:eastAsia="宋体" w:cs="Times New Roman"/>
          <w:b/>
          <w:color w:val="auto"/>
          <w:sz w:val="36"/>
          <w:szCs w:val="36"/>
          <w:lang w:val="en-US" w:eastAsia="zh-CN"/>
        </w:rPr>
        <w:t>四</w:t>
      </w:r>
      <w:r>
        <w:rPr>
          <w:rFonts w:hint="default" w:ascii="Times New Roman" w:hAnsi="Times New Roman" w:eastAsia="宋体" w:cs="Times New Roman"/>
          <w:b/>
          <w:color w:val="auto"/>
          <w:sz w:val="36"/>
          <w:szCs w:val="36"/>
        </w:rPr>
        <w:t>年</w:t>
      </w:r>
      <w:r>
        <w:rPr>
          <w:rFonts w:hint="default" w:ascii="Times New Roman" w:hAnsi="Times New Roman" w:cs="Times New Roman"/>
          <w:b/>
          <w:color w:val="auto"/>
          <w:sz w:val="36"/>
          <w:szCs w:val="36"/>
          <w:lang w:val="en-US" w:eastAsia="zh-CN"/>
        </w:rPr>
        <w:t>十二</w:t>
      </w:r>
      <w:r>
        <w:rPr>
          <w:rFonts w:hint="default" w:ascii="Times New Roman" w:hAnsi="Times New Roman" w:eastAsia="宋体" w:cs="Times New Roman"/>
          <w:b/>
          <w:color w:val="auto"/>
          <w:sz w:val="36"/>
          <w:szCs w:val="36"/>
        </w:rPr>
        <w:t>月</w:t>
      </w:r>
    </w:p>
    <w:p w14:paraId="07A418DB">
      <w:pPr>
        <w:pStyle w:val="21"/>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TOC \o "1-2" \h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_Toc26184 </w:instrText>
      </w:r>
      <w:r>
        <w:rPr>
          <w:rFonts w:hint="default" w:ascii="Times New Roman" w:hAnsi="Times New Roman" w:cs="Times New Roman"/>
        </w:rPr>
        <w:fldChar w:fldCharType="separate"/>
      </w:r>
      <w:r>
        <w:rPr>
          <w:rFonts w:hint="default" w:ascii="Times New Roman" w:hAnsi="Times New Roman" w:cs="Times New Roman"/>
          <w:lang w:val="en-US" w:eastAsia="zh-CN"/>
        </w:rPr>
        <w:t>1</w:t>
      </w:r>
      <w:r>
        <w:rPr>
          <w:rFonts w:hint="default" w:ascii="Times New Roman" w:hAnsi="Times New Roman" w:cs="Times New Roman"/>
        </w:rPr>
        <w:t>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_Toc26184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14:paraId="5814CD05">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_Toc3329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lang w:val="en-US" w:eastAsia="zh-CN"/>
        </w:rPr>
        <w:t>.1</w:t>
      </w:r>
      <w:r>
        <w:rPr>
          <w:rFonts w:hint="default" w:ascii="Times New Roman" w:hAnsi="Times New Roman" w:cs="Times New Roman"/>
        </w:rPr>
        <w:t>任务由来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_Toc3329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14:paraId="3A1421D2">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_Toc9530 </w:instrText>
      </w:r>
      <w:r>
        <w:rPr>
          <w:rFonts w:hint="default" w:ascii="Times New Roman" w:hAnsi="Times New Roman" w:cs="Times New Roman"/>
        </w:rPr>
        <w:fldChar w:fldCharType="separate"/>
      </w:r>
      <w:r>
        <w:rPr>
          <w:rFonts w:hint="default" w:ascii="Times New Roman" w:hAnsi="Times New Roman" w:cs="Times New Roman"/>
          <w:lang w:val="en-US" w:eastAsia="zh-CN"/>
        </w:rPr>
        <w:t>1.</w:t>
      </w:r>
      <w:r>
        <w:rPr>
          <w:rFonts w:hint="default" w:ascii="Times New Roman" w:hAnsi="Times New Roman" w:cs="Times New Roman"/>
          <w:lang w:val="en-US"/>
        </w:rPr>
        <w:t>2</w:t>
      </w:r>
      <w:r>
        <w:rPr>
          <w:rFonts w:hint="default" w:ascii="Times New Roman" w:hAnsi="Times New Roman" w:cs="Times New Roman"/>
        </w:rPr>
        <w:t>环境影响评价工作过程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_Toc9530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fldChar w:fldCharType="end"/>
      </w:r>
    </w:p>
    <w:p w14:paraId="71987F75">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_Toc28305 </w:instrText>
      </w:r>
      <w:r>
        <w:rPr>
          <w:rFonts w:hint="default" w:ascii="Times New Roman" w:hAnsi="Times New Roman" w:cs="Times New Roman"/>
        </w:rPr>
        <w:fldChar w:fldCharType="separate"/>
      </w:r>
      <w:r>
        <w:rPr>
          <w:rFonts w:hint="default" w:ascii="Times New Roman" w:hAnsi="Times New Roman" w:cs="Times New Roman"/>
          <w:lang w:val="en-US" w:eastAsia="zh-CN"/>
        </w:rPr>
        <w:t>1.</w:t>
      </w:r>
      <w:r>
        <w:rPr>
          <w:rFonts w:hint="default" w:ascii="Times New Roman" w:hAnsi="Times New Roman" w:cs="Times New Roman"/>
          <w:lang w:val="en-US"/>
        </w:rPr>
        <w:t>3</w:t>
      </w:r>
      <w:r>
        <w:rPr>
          <w:rFonts w:hint="default" w:ascii="Times New Roman" w:hAnsi="Times New Roman" w:cs="Times New Roman"/>
        </w:rPr>
        <w:t>分析判定情况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_Toc28305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14:paraId="2C908DAC">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_Toc30449 </w:instrText>
      </w:r>
      <w:r>
        <w:rPr>
          <w:rFonts w:hint="default" w:ascii="Times New Roman" w:hAnsi="Times New Roman" w:cs="Times New Roman"/>
        </w:rPr>
        <w:fldChar w:fldCharType="separate"/>
      </w:r>
      <w:r>
        <w:rPr>
          <w:rFonts w:hint="default" w:ascii="Times New Roman" w:hAnsi="Times New Roman" w:cs="Times New Roman"/>
          <w:lang w:val="en-US" w:eastAsia="zh-CN"/>
        </w:rPr>
        <w:t>1.</w:t>
      </w:r>
      <w:r>
        <w:rPr>
          <w:rFonts w:hint="default" w:ascii="Times New Roman" w:hAnsi="Times New Roman" w:cs="Times New Roman"/>
        </w:rPr>
        <w:t>4关注的主要环境问题及环境影响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_Toc30449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rPr>
        <w:fldChar w:fldCharType="end"/>
      </w:r>
    </w:p>
    <w:p w14:paraId="3A8246DB">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_Toc8534 </w:instrText>
      </w:r>
      <w:r>
        <w:rPr>
          <w:rFonts w:hint="default" w:ascii="Times New Roman" w:hAnsi="Times New Roman" w:cs="Times New Roman"/>
        </w:rPr>
        <w:fldChar w:fldCharType="separate"/>
      </w:r>
      <w:r>
        <w:rPr>
          <w:rFonts w:hint="default" w:ascii="Times New Roman" w:hAnsi="Times New Roman" w:cs="Times New Roman"/>
          <w:lang w:val="en-US" w:eastAsia="zh-CN"/>
        </w:rPr>
        <w:t>1.</w:t>
      </w:r>
      <w:r>
        <w:rPr>
          <w:rFonts w:hint="default" w:ascii="Times New Roman" w:hAnsi="Times New Roman" w:cs="Times New Roman"/>
        </w:rPr>
        <w:t>5环境影响评价的主要结论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_Toc8534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14:paraId="4B6CFF67">
      <w:pPr>
        <w:pStyle w:val="21"/>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_Toc17806 </w:instrText>
      </w:r>
      <w:r>
        <w:rPr>
          <w:rFonts w:hint="default" w:ascii="Times New Roman" w:hAnsi="Times New Roman" w:cs="Times New Roman"/>
        </w:rPr>
        <w:fldChar w:fldCharType="separate"/>
      </w:r>
      <w:r>
        <w:rPr>
          <w:rFonts w:hint="default" w:ascii="Times New Roman" w:hAnsi="Times New Roman" w:cs="Times New Roman"/>
          <w:lang w:val="en-US" w:eastAsia="zh-CN"/>
        </w:rPr>
        <w:t>2</w:t>
      </w:r>
      <w:r>
        <w:rPr>
          <w:rFonts w:hint="default" w:ascii="Times New Roman" w:hAnsi="Times New Roman" w:cs="Times New Roman"/>
        </w:rPr>
        <w:t>总则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_Toc17806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14:paraId="3C2F69AB">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_Toc25822 </w:instrText>
      </w:r>
      <w:r>
        <w:rPr>
          <w:rFonts w:hint="default" w:ascii="Times New Roman" w:hAnsi="Times New Roman" w:cs="Times New Roman"/>
        </w:rPr>
        <w:fldChar w:fldCharType="separate"/>
      </w:r>
      <w:r>
        <w:rPr>
          <w:rFonts w:hint="default" w:ascii="Times New Roman" w:hAnsi="Times New Roman" w:cs="Times New Roman"/>
          <w:lang w:val="en-US" w:eastAsia="zh-CN"/>
        </w:rPr>
        <w:t>2</w:t>
      </w:r>
      <w:r>
        <w:rPr>
          <w:rFonts w:hint="default" w:ascii="Times New Roman" w:hAnsi="Times New Roman" w:cs="Times New Roman"/>
        </w:rPr>
        <w:t>.1编制依据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_Toc25822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14:paraId="4038D367">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_Toc16499 </w:instrText>
      </w:r>
      <w:r>
        <w:rPr>
          <w:rFonts w:hint="default" w:ascii="Times New Roman" w:hAnsi="Times New Roman" w:cs="Times New Roman"/>
        </w:rPr>
        <w:fldChar w:fldCharType="separate"/>
      </w:r>
      <w:r>
        <w:rPr>
          <w:rFonts w:hint="default" w:ascii="Times New Roman" w:hAnsi="Times New Roman" w:cs="Times New Roman"/>
          <w:lang w:val="en-US" w:eastAsia="zh-CN"/>
        </w:rPr>
        <w:t>2</w:t>
      </w:r>
      <w:r>
        <w:rPr>
          <w:rFonts w:hint="default" w:ascii="Times New Roman" w:hAnsi="Times New Roman" w:cs="Times New Roman"/>
        </w:rPr>
        <w:t>.2评价的目的和原则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_Toc16499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rPr>
        <w:fldChar w:fldCharType="end"/>
      </w:r>
    </w:p>
    <w:p w14:paraId="50799471">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_Toc10450 </w:instrText>
      </w:r>
      <w:r>
        <w:rPr>
          <w:rFonts w:hint="default" w:ascii="Times New Roman" w:hAnsi="Times New Roman" w:cs="Times New Roman"/>
        </w:rPr>
        <w:fldChar w:fldCharType="separate"/>
      </w:r>
      <w:r>
        <w:rPr>
          <w:rFonts w:hint="default" w:ascii="Times New Roman" w:hAnsi="Times New Roman" w:cs="Times New Roman"/>
          <w:lang w:val="en-US" w:eastAsia="zh-CN"/>
        </w:rPr>
        <w:t>2</w:t>
      </w:r>
      <w:r>
        <w:rPr>
          <w:rFonts w:hint="default" w:ascii="Times New Roman" w:hAnsi="Times New Roman" w:cs="Times New Roman"/>
        </w:rPr>
        <w:t>.3评价因子与评价重点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_Toc10450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rPr>
        <w:fldChar w:fldCharType="end"/>
      </w:r>
    </w:p>
    <w:p w14:paraId="57B7C371">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_Toc18253 </w:instrText>
      </w:r>
      <w:r>
        <w:rPr>
          <w:rFonts w:hint="default" w:ascii="Times New Roman" w:hAnsi="Times New Roman" w:cs="Times New Roman"/>
        </w:rPr>
        <w:fldChar w:fldCharType="separate"/>
      </w:r>
      <w:r>
        <w:rPr>
          <w:rFonts w:hint="default" w:ascii="Times New Roman" w:hAnsi="Times New Roman" w:cs="Times New Roman"/>
          <w:lang w:val="en-US" w:eastAsia="zh-CN"/>
        </w:rPr>
        <w:t>2</w:t>
      </w:r>
      <w:r>
        <w:rPr>
          <w:rFonts w:hint="default" w:ascii="Times New Roman" w:hAnsi="Times New Roman" w:cs="Times New Roman"/>
        </w:rPr>
        <w:t>.4评价标准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_Toc18253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rPr>
        <w:fldChar w:fldCharType="end"/>
      </w:r>
    </w:p>
    <w:p w14:paraId="0ED6D649">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_Toc19015 </w:instrText>
      </w:r>
      <w:r>
        <w:rPr>
          <w:rFonts w:hint="default" w:ascii="Times New Roman" w:hAnsi="Times New Roman" w:cs="Times New Roman"/>
        </w:rPr>
        <w:fldChar w:fldCharType="separate"/>
      </w:r>
      <w:r>
        <w:rPr>
          <w:rFonts w:hint="default" w:ascii="Times New Roman" w:hAnsi="Times New Roman" w:cs="Times New Roman"/>
          <w:lang w:val="en-US" w:eastAsia="zh-CN"/>
        </w:rPr>
        <w:t>2</w:t>
      </w:r>
      <w:r>
        <w:rPr>
          <w:rFonts w:hint="default" w:ascii="Times New Roman" w:hAnsi="Times New Roman" w:cs="Times New Roman"/>
        </w:rPr>
        <w:t>.5评价工作等级和评价范围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_Toc19015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rPr>
        <w:fldChar w:fldCharType="end"/>
      </w:r>
    </w:p>
    <w:p w14:paraId="594EA9D1">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_Toc13965 </w:instrText>
      </w:r>
      <w:r>
        <w:rPr>
          <w:rFonts w:hint="default" w:ascii="Times New Roman" w:hAnsi="Times New Roman" w:cs="Times New Roman"/>
        </w:rPr>
        <w:fldChar w:fldCharType="separate"/>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环境功能区划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_Toc13965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cs="Times New Roman"/>
        </w:rPr>
        <w:fldChar w:fldCharType="end"/>
      </w:r>
    </w:p>
    <w:p w14:paraId="6FB42D95">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_Toc8399 </w:instrText>
      </w:r>
      <w:r>
        <w:rPr>
          <w:rFonts w:hint="default" w:ascii="Times New Roman" w:hAnsi="Times New Roman" w:cs="Times New Roman"/>
        </w:rPr>
        <w:fldChar w:fldCharType="separate"/>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7</w:t>
      </w:r>
      <w:r>
        <w:rPr>
          <w:rFonts w:hint="default" w:ascii="Times New Roman" w:hAnsi="Times New Roman" w:cs="Times New Roman"/>
        </w:rPr>
        <w:t>主要环境保护目标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_Toc8399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cs="Times New Roman"/>
        </w:rPr>
        <w:fldChar w:fldCharType="end"/>
      </w:r>
    </w:p>
    <w:p w14:paraId="526E9947">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_Toc26811 </w:instrText>
      </w:r>
      <w:r>
        <w:rPr>
          <w:rFonts w:hint="default" w:ascii="Times New Roman" w:hAnsi="Times New Roman" w:cs="Times New Roman"/>
        </w:rPr>
        <w:fldChar w:fldCharType="separate"/>
      </w:r>
      <w:r>
        <w:rPr>
          <w:rFonts w:hint="default" w:ascii="Times New Roman" w:hAnsi="Times New Roman" w:cs="Times New Roman"/>
          <w:lang w:val="en-US" w:eastAsia="zh-CN"/>
        </w:rPr>
        <w:t>2.8</w:t>
      </w:r>
      <w:r>
        <w:rPr>
          <w:rFonts w:hint="default" w:ascii="Times New Roman" w:hAnsi="Times New Roman" w:cs="Times New Roman"/>
        </w:rPr>
        <w:t>环境影响评价工作程序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_Toc26811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rPr>
        <w:fldChar w:fldCharType="end"/>
      </w:r>
    </w:p>
    <w:p w14:paraId="19D55200">
      <w:pPr>
        <w:pStyle w:val="21"/>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_Toc270 </w:instrText>
      </w:r>
      <w:r>
        <w:rPr>
          <w:rFonts w:hint="default" w:ascii="Times New Roman" w:hAnsi="Times New Roman" w:cs="Times New Roman"/>
        </w:rPr>
        <w:fldChar w:fldCharType="separate"/>
      </w:r>
      <w:r>
        <w:rPr>
          <w:rFonts w:hint="default" w:ascii="Times New Roman" w:hAnsi="Times New Roman" w:cs="Times New Roman"/>
          <w:lang w:val="en-US" w:eastAsia="zh-CN"/>
        </w:rPr>
        <w:t>3</w:t>
      </w:r>
      <w:r>
        <w:rPr>
          <w:rFonts w:hint="default" w:ascii="Times New Roman" w:hAnsi="Times New Roman" w:cs="Times New Roman"/>
        </w:rPr>
        <w:t>建设项目工程分析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_Toc270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cs="Times New Roman"/>
        </w:rPr>
        <w:fldChar w:fldCharType="end"/>
      </w:r>
    </w:p>
    <w:p w14:paraId="7362BCC9">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_Toc6977 </w:instrText>
      </w:r>
      <w:r>
        <w:rPr>
          <w:rFonts w:hint="default" w:ascii="Times New Roman" w:hAnsi="Times New Roman" w:cs="Times New Roman"/>
        </w:rPr>
        <w:fldChar w:fldCharType="separate"/>
      </w:r>
      <w:r>
        <w:rPr>
          <w:rFonts w:hint="default" w:ascii="Times New Roman" w:hAnsi="Times New Roman" w:cs="Times New Roman"/>
          <w:lang w:val="en-US" w:eastAsia="zh-CN"/>
        </w:rPr>
        <w:t>3</w:t>
      </w:r>
      <w:r>
        <w:rPr>
          <w:rFonts w:hint="default" w:ascii="Times New Roman" w:hAnsi="Times New Roman" w:cs="Times New Roman"/>
        </w:rPr>
        <w:t>.1</w:t>
      </w:r>
      <w:r>
        <w:rPr>
          <w:rFonts w:hint="default" w:ascii="Times New Roman" w:hAnsi="Times New Roman" w:cs="Times New Roman"/>
          <w:lang w:val="en-US" w:eastAsia="zh-CN"/>
        </w:rPr>
        <w:t>相关工程概况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_Toc6977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cs="Times New Roman"/>
        </w:rPr>
        <w:fldChar w:fldCharType="end"/>
      </w:r>
    </w:p>
    <w:p w14:paraId="1DE2B0AE">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_Toc18640 </w:instrText>
      </w:r>
      <w:r>
        <w:rPr>
          <w:rFonts w:hint="default" w:ascii="Times New Roman" w:hAnsi="Times New Roman" w:cs="Times New Roman"/>
        </w:rPr>
        <w:fldChar w:fldCharType="separate"/>
      </w:r>
      <w:r>
        <w:rPr>
          <w:rFonts w:hint="default" w:ascii="Times New Roman" w:hAnsi="Times New Roman" w:cs="Times New Roman"/>
          <w:lang w:val="en-US" w:eastAsia="zh-CN"/>
        </w:rPr>
        <w:t>3</w:t>
      </w:r>
      <w:r>
        <w:rPr>
          <w:rFonts w:hint="default" w:ascii="Times New Roman" w:hAnsi="Times New Roman" w:cs="Times New Roman"/>
        </w:rPr>
        <w:t>.2建设项目概况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_Toc18640 \h </w:instrText>
      </w:r>
      <w:r>
        <w:rPr>
          <w:rFonts w:hint="default" w:ascii="Times New Roman" w:hAnsi="Times New Roman" w:cs="Times New Roman"/>
        </w:rPr>
        <w:fldChar w:fldCharType="separate"/>
      </w:r>
      <w:r>
        <w:rPr>
          <w:rFonts w:hint="default" w:ascii="Times New Roman" w:hAnsi="Times New Roman" w:cs="Times New Roman"/>
        </w:rPr>
        <w:t>57</w:t>
      </w:r>
      <w:r>
        <w:rPr>
          <w:rFonts w:hint="default" w:ascii="Times New Roman" w:hAnsi="Times New Roman" w:cs="Times New Roman"/>
        </w:rPr>
        <w:fldChar w:fldCharType="end"/>
      </w:r>
      <w:r>
        <w:rPr>
          <w:rFonts w:hint="default" w:ascii="Times New Roman" w:hAnsi="Times New Roman" w:cs="Times New Roman"/>
        </w:rPr>
        <w:fldChar w:fldCharType="end"/>
      </w:r>
    </w:p>
    <w:p w14:paraId="7451AA2F">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_Toc6813 </w:instrText>
      </w:r>
      <w:r>
        <w:rPr>
          <w:rFonts w:hint="default" w:ascii="Times New Roman" w:hAnsi="Times New Roman" w:cs="Times New Roman"/>
        </w:rPr>
        <w:fldChar w:fldCharType="separate"/>
      </w:r>
      <w:r>
        <w:rPr>
          <w:rFonts w:hint="default" w:ascii="Times New Roman" w:hAnsi="Times New Roman" w:cs="Times New Roman"/>
          <w:lang w:val="en-US" w:eastAsia="zh-CN"/>
        </w:rPr>
        <w:t>3</w:t>
      </w:r>
      <w:r>
        <w:rPr>
          <w:rFonts w:hint="default" w:ascii="Times New Roman" w:hAnsi="Times New Roman" w:cs="Times New Roman"/>
        </w:rPr>
        <w:t>.3项目环境影响因素分析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_Toc6813 \h </w:instrText>
      </w:r>
      <w:r>
        <w:rPr>
          <w:rFonts w:hint="default" w:ascii="Times New Roman" w:hAnsi="Times New Roman" w:cs="Times New Roman"/>
        </w:rPr>
        <w:fldChar w:fldCharType="separate"/>
      </w:r>
      <w:r>
        <w:rPr>
          <w:rFonts w:hint="default" w:ascii="Times New Roman" w:hAnsi="Times New Roman" w:cs="Times New Roman"/>
        </w:rPr>
        <w:t>65</w:t>
      </w:r>
      <w:r>
        <w:rPr>
          <w:rFonts w:hint="default" w:ascii="Times New Roman" w:hAnsi="Times New Roman" w:cs="Times New Roman"/>
        </w:rPr>
        <w:fldChar w:fldCharType="end"/>
      </w:r>
      <w:r>
        <w:rPr>
          <w:rFonts w:hint="default" w:ascii="Times New Roman" w:hAnsi="Times New Roman" w:cs="Times New Roman"/>
        </w:rPr>
        <w:fldChar w:fldCharType="end"/>
      </w:r>
    </w:p>
    <w:p w14:paraId="40246B46">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_Toc26870 </w:instrText>
      </w:r>
      <w:r>
        <w:rPr>
          <w:rFonts w:hint="default" w:ascii="Times New Roman" w:hAnsi="Times New Roman" w:cs="Times New Roman"/>
        </w:rPr>
        <w:fldChar w:fldCharType="separate"/>
      </w:r>
      <w:r>
        <w:rPr>
          <w:rFonts w:hint="default" w:ascii="Times New Roman" w:hAnsi="Times New Roman" w:cs="Times New Roman"/>
          <w:lang w:val="en-US" w:eastAsia="zh-CN"/>
        </w:rPr>
        <w:t>3</w:t>
      </w:r>
      <w:r>
        <w:rPr>
          <w:rFonts w:hint="default" w:ascii="Times New Roman" w:hAnsi="Times New Roman" w:cs="Times New Roman"/>
        </w:rPr>
        <w:t>.4施工期污染源源强核算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_Toc26870 \h </w:instrText>
      </w:r>
      <w:r>
        <w:rPr>
          <w:rFonts w:hint="default" w:ascii="Times New Roman" w:hAnsi="Times New Roman" w:cs="Times New Roman"/>
        </w:rPr>
        <w:fldChar w:fldCharType="separate"/>
      </w:r>
      <w:r>
        <w:rPr>
          <w:rFonts w:hint="default" w:ascii="Times New Roman" w:hAnsi="Times New Roman" w:cs="Times New Roman"/>
        </w:rPr>
        <w:t>73</w:t>
      </w:r>
      <w:r>
        <w:rPr>
          <w:rFonts w:hint="default" w:ascii="Times New Roman" w:hAnsi="Times New Roman" w:cs="Times New Roman"/>
        </w:rPr>
        <w:fldChar w:fldCharType="end"/>
      </w:r>
      <w:r>
        <w:rPr>
          <w:rFonts w:hint="default" w:ascii="Times New Roman" w:hAnsi="Times New Roman" w:cs="Times New Roman"/>
        </w:rPr>
        <w:fldChar w:fldCharType="end"/>
      </w:r>
    </w:p>
    <w:p w14:paraId="46101479">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_Toc31008 </w:instrText>
      </w:r>
      <w:r>
        <w:rPr>
          <w:rFonts w:hint="default" w:ascii="Times New Roman" w:hAnsi="Times New Roman" w:cs="Times New Roman"/>
        </w:rPr>
        <w:fldChar w:fldCharType="separate"/>
      </w:r>
      <w:r>
        <w:rPr>
          <w:rFonts w:hint="default" w:ascii="Times New Roman" w:hAnsi="Times New Roman" w:cs="Times New Roman"/>
          <w:lang w:val="en-US" w:eastAsia="zh-CN"/>
        </w:rPr>
        <w:t>3</w:t>
      </w:r>
      <w:r>
        <w:rPr>
          <w:rFonts w:hint="default" w:ascii="Times New Roman" w:hAnsi="Times New Roman" w:cs="Times New Roman"/>
        </w:rPr>
        <w:t>.5运营期污染源源强核算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_Toc31008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rPr>
        <w:fldChar w:fldCharType="end"/>
      </w:r>
    </w:p>
    <w:p w14:paraId="539AD417">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_Toc17335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lang w:val="en-US" w:eastAsia="zh-CN"/>
        </w:rPr>
        <w:t>6项目污染源总汇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_Toc17335 \h </w:instrText>
      </w:r>
      <w:r>
        <w:rPr>
          <w:rFonts w:hint="default" w:ascii="Times New Roman" w:hAnsi="Times New Roman" w:cs="Times New Roman"/>
        </w:rPr>
        <w:fldChar w:fldCharType="separate"/>
      </w:r>
      <w:r>
        <w:rPr>
          <w:rFonts w:hint="default" w:ascii="Times New Roman" w:hAnsi="Times New Roman" w:cs="Times New Roman"/>
        </w:rPr>
        <w:t>87</w:t>
      </w:r>
      <w:r>
        <w:rPr>
          <w:rFonts w:hint="default" w:ascii="Times New Roman" w:hAnsi="Times New Roman" w:cs="Times New Roman"/>
        </w:rPr>
        <w:fldChar w:fldCharType="end"/>
      </w:r>
      <w:r>
        <w:rPr>
          <w:rFonts w:hint="default" w:ascii="Times New Roman" w:hAnsi="Times New Roman" w:cs="Times New Roman"/>
        </w:rPr>
        <w:fldChar w:fldCharType="end"/>
      </w:r>
    </w:p>
    <w:p w14:paraId="50BBD0B4">
      <w:pPr>
        <w:pStyle w:val="21"/>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_Toc27807 </w:instrText>
      </w:r>
      <w:r>
        <w:rPr>
          <w:rFonts w:hint="default" w:ascii="Times New Roman" w:hAnsi="Times New Roman" w:cs="Times New Roman"/>
        </w:rPr>
        <w:fldChar w:fldCharType="separate"/>
      </w:r>
      <w:r>
        <w:rPr>
          <w:rFonts w:hint="default" w:ascii="Times New Roman" w:hAnsi="Times New Roman" w:cs="Times New Roman"/>
          <w:lang w:val="en-US" w:eastAsia="zh-CN"/>
        </w:rPr>
        <w:t>4</w:t>
      </w:r>
      <w:r>
        <w:rPr>
          <w:rFonts w:hint="default" w:ascii="Times New Roman" w:hAnsi="Times New Roman" w:cs="Times New Roman"/>
        </w:rPr>
        <w:t xml:space="preserve"> 环境现状调查与评价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_Toc27807 \h </w:instrText>
      </w:r>
      <w:r>
        <w:rPr>
          <w:rFonts w:hint="default" w:ascii="Times New Roman" w:hAnsi="Times New Roman" w:cs="Times New Roman"/>
        </w:rPr>
        <w:fldChar w:fldCharType="separate"/>
      </w:r>
      <w:r>
        <w:rPr>
          <w:rFonts w:hint="default" w:ascii="Times New Roman" w:hAnsi="Times New Roman" w:cs="Times New Roman"/>
        </w:rPr>
        <w:t>90</w:t>
      </w:r>
      <w:r>
        <w:rPr>
          <w:rFonts w:hint="default" w:ascii="Times New Roman" w:hAnsi="Times New Roman" w:cs="Times New Roman"/>
        </w:rPr>
        <w:fldChar w:fldCharType="end"/>
      </w:r>
      <w:r>
        <w:rPr>
          <w:rFonts w:hint="default" w:ascii="Times New Roman" w:hAnsi="Times New Roman" w:cs="Times New Roman"/>
        </w:rPr>
        <w:fldChar w:fldCharType="end"/>
      </w:r>
    </w:p>
    <w:p w14:paraId="0D114D26">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_Toc10765 </w:instrText>
      </w:r>
      <w:r>
        <w:rPr>
          <w:rFonts w:hint="default" w:ascii="Times New Roman" w:hAnsi="Times New Roman" w:cs="Times New Roman"/>
        </w:rPr>
        <w:fldChar w:fldCharType="separate"/>
      </w:r>
      <w:r>
        <w:rPr>
          <w:rFonts w:hint="default" w:ascii="Times New Roman" w:hAnsi="Times New Roman" w:cs="Times New Roman"/>
          <w:lang w:val="en-US" w:eastAsia="zh-CN"/>
        </w:rPr>
        <w:t>4</w:t>
      </w:r>
      <w:r>
        <w:rPr>
          <w:rFonts w:hint="default" w:ascii="Times New Roman" w:hAnsi="Times New Roman" w:cs="Times New Roman"/>
        </w:rPr>
        <w:t>.1自然环境现状调查与评价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_Toc10765 \h </w:instrText>
      </w:r>
      <w:r>
        <w:rPr>
          <w:rFonts w:hint="default" w:ascii="Times New Roman" w:hAnsi="Times New Roman" w:cs="Times New Roman"/>
        </w:rPr>
        <w:fldChar w:fldCharType="separate"/>
      </w:r>
      <w:r>
        <w:rPr>
          <w:rFonts w:hint="default" w:ascii="Times New Roman" w:hAnsi="Times New Roman" w:cs="Times New Roman"/>
        </w:rPr>
        <w:t>90</w:t>
      </w:r>
      <w:r>
        <w:rPr>
          <w:rFonts w:hint="default" w:ascii="Times New Roman" w:hAnsi="Times New Roman" w:cs="Times New Roman"/>
        </w:rPr>
        <w:fldChar w:fldCharType="end"/>
      </w:r>
      <w:r>
        <w:rPr>
          <w:rFonts w:hint="default" w:ascii="Times New Roman" w:hAnsi="Times New Roman" w:cs="Times New Roman"/>
        </w:rPr>
        <w:fldChar w:fldCharType="end"/>
      </w:r>
    </w:p>
    <w:p w14:paraId="37EB47C6">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_Toc4807 </w:instrText>
      </w:r>
      <w:r>
        <w:rPr>
          <w:rFonts w:hint="default" w:ascii="Times New Roman" w:hAnsi="Times New Roman" w:cs="Times New Roman"/>
        </w:rPr>
        <w:fldChar w:fldCharType="separate"/>
      </w:r>
      <w:r>
        <w:rPr>
          <w:rFonts w:hint="default" w:ascii="Times New Roman" w:hAnsi="Times New Roman" w:cs="Times New Roman"/>
          <w:lang w:val="en-US" w:eastAsia="zh-CN"/>
        </w:rPr>
        <w:t>4</w:t>
      </w:r>
      <w:r>
        <w:rPr>
          <w:rFonts w:hint="default" w:ascii="Times New Roman" w:hAnsi="Times New Roman" w:cs="Times New Roman"/>
        </w:rPr>
        <w:t>.2环境质量现状调查与评价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_Toc4807 \h </w:instrText>
      </w:r>
      <w:r>
        <w:rPr>
          <w:rFonts w:hint="default" w:ascii="Times New Roman" w:hAnsi="Times New Roman" w:cs="Times New Roman"/>
        </w:rPr>
        <w:fldChar w:fldCharType="separate"/>
      </w:r>
      <w:r>
        <w:rPr>
          <w:rFonts w:hint="default" w:ascii="Times New Roman" w:hAnsi="Times New Roman" w:cs="Times New Roman"/>
        </w:rPr>
        <w:t>96</w:t>
      </w:r>
      <w:r>
        <w:rPr>
          <w:rFonts w:hint="default" w:ascii="Times New Roman" w:hAnsi="Times New Roman" w:cs="Times New Roman"/>
        </w:rPr>
        <w:fldChar w:fldCharType="end"/>
      </w:r>
      <w:r>
        <w:rPr>
          <w:rFonts w:hint="default" w:ascii="Times New Roman" w:hAnsi="Times New Roman" w:cs="Times New Roman"/>
        </w:rPr>
        <w:fldChar w:fldCharType="end"/>
      </w:r>
    </w:p>
    <w:p w14:paraId="344402D7">
      <w:pPr>
        <w:pStyle w:val="21"/>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_Toc22841 </w:instrText>
      </w:r>
      <w:r>
        <w:rPr>
          <w:rFonts w:hint="default" w:ascii="Times New Roman" w:hAnsi="Times New Roman" w:cs="Times New Roman"/>
        </w:rPr>
        <w:fldChar w:fldCharType="separate"/>
      </w:r>
      <w:r>
        <w:rPr>
          <w:rFonts w:hint="default" w:ascii="Times New Roman" w:hAnsi="Times New Roman" w:cs="Times New Roman"/>
          <w:lang w:val="en-US" w:eastAsia="zh-CN"/>
        </w:rPr>
        <w:t>5</w:t>
      </w:r>
      <w:r>
        <w:rPr>
          <w:rFonts w:hint="default" w:ascii="Times New Roman" w:hAnsi="Times New Roman" w:cs="Times New Roman"/>
        </w:rPr>
        <w:t>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_Toc22841 \h </w:instrText>
      </w:r>
      <w:r>
        <w:rPr>
          <w:rFonts w:hint="default" w:ascii="Times New Roman" w:hAnsi="Times New Roman" w:cs="Times New Roman"/>
        </w:rPr>
        <w:fldChar w:fldCharType="separate"/>
      </w:r>
      <w:r>
        <w:rPr>
          <w:rFonts w:hint="default" w:ascii="Times New Roman" w:hAnsi="Times New Roman" w:cs="Times New Roman"/>
        </w:rPr>
        <w:t>119</w:t>
      </w:r>
      <w:r>
        <w:rPr>
          <w:rFonts w:hint="default" w:ascii="Times New Roman" w:hAnsi="Times New Roman" w:cs="Times New Roman"/>
        </w:rPr>
        <w:fldChar w:fldCharType="end"/>
      </w:r>
      <w:r>
        <w:rPr>
          <w:rFonts w:hint="default" w:ascii="Times New Roman" w:hAnsi="Times New Roman" w:cs="Times New Roman"/>
        </w:rPr>
        <w:fldChar w:fldCharType="end"/>
      </w:r>
    </w:p>
    <w:p w14:paraId="625EF71D">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_Toc6387 </w:instrText>
      </w:r>
      <w:r>
        <w:rPr>
          <w:rFonts w:hint="default" w:ascii="Times New Roman" w:hAnsi="Times New Roman" w:cs="Times New Roman"/>
        </w:rPr>
        <w:fldChar w:fldCharType="separate"/>
      </w:r>
      <w:r>
        <w:rPr>
          <w:rFonts w:hint="default" w:ascii="Times New Roman" w:hAnsi="Times New Roman" w:cs="Times New Roman"/>
          <w:lang w:val="en-US" w:eastAsia="zh-CN"/>
        </w:rPr>
        <w:t>5</w:t>
      </w:r>
      <w:r>
        <w:rPr>
          <w:rFonts w:hint="default" w:ascii="Times New Roman" w:hAnsi="Times New Roman" w:cs="Times New Roman"/>
        </w:rPr>
        <w:t>.1施工期环境影响预测与评价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_Toc6387 \h </w:instrText>
      </w:r>
      <w:r>
        <w:rPr>
          <w:rFonts w:hint="default" w:ascii="Times New Roman" w:hAnsi="Times New Roman" w:cs="Times New Roman"/>
        </w:rPr>
        <w:fldChar w:fldCharType="separate"/>
      </w:r>
      <w:r>
        <w:rPr>
          <w:rFonts w:hint="default" w:ascii="Times New Roman" w:hAnsi="Times New Roman" w:cs="Times New Roman"/>
        </w:rPr>
        <w:t>119</w:t>
      </w:r>
      <w:r>
        <w:rPr>
          <w:rFonts w:hint="default" w:ascii="Times New Roman" w:hAnsi="Times New Roman" w:cs="Times New Roman"/>
        </w:rPr>
        <w:fldChar w:fldCharType="end"/>
      </w:r>
      <w:r>
        <w:rPr>
          <w:rFonts w:hint="default" w:ascii="Times New Roman" w:hAnsi="Times New Roman" w:cs="Times New Roman"/>
        </w:rPr>
        <w:fldChar w:fldCharType="end"/>
      </w:r>
    </w:p>
    <w:p w14:paraId="21B8389B">
      <w:pPr>
        <w:pStyle w:val="21"/>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_Toc8649 </w:instrText>
      </w:r>
      <w:r>
        <w:rPr>
          <w:rFonts w:hint="default" w:ascii="Times New Roman" w:hAnsi="Times New Roman" w:cs="Times New Roman"/>
        </w:rPr>
        <w:fldChar w:fldCharType="separate"/>
      </w:r>
      <w:r>
        <w:rPr>
          <w:rFonts w:hint="default" w:ascii="Times New Roman" w:hAnsi="Times New Roman" w:cs="Times New Roman"/>
          <w:lang w:val="en-US" w:eastAsia="zh-CN"/>
        </w:rPr>
        <w:t>6运营期环境要素影响分析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_Toc8649 \h </w:instrText>
      </w:r>
      <w:r>
        <w:rPr>
          <w:rFonts w:hint="default" w:ascii="Times New Roman" w:hAnsi="Times New Roman" w:cs="Times New Roman"/>
        </w:rPr>
        <w:fldChar w:fldCharType="separate"/>
      </w:r>
      <w:r>
        <w:rPr>
          <w:rFonts w:hint="default" w:ascii="Times New Roman" w:hAnsi="Times New Roman" w:cs="Times New Roman"/>
        </w:rPr>
        <w:t>127</w:t>
      </w:r>
      <w:r>
        <w:rPr>
          <w:rFonts w:hint="default" w:ascii="Times New Roman" w:hAnsi="Times New Roman" w:cs="Times New Roman"/>
        </w:rPr>
        <w:fldChar w:fldCharType="end"/>
      </w:r>
      <w:r>
        <w:rPr>
          <w:rFonts w:hint="default" w:ascii="Times New Roman" w:hAnsi="Times New Roman" w:cs="Times New Roman"/>
        </w:rPr>
        <w:fldChar w:fldCharType="end"/>
      </w:r>
    </w:p>
    <w:p w14:paraId="462CF321">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_Toc27562 </w:instrText>
      </w:r>
      <w:r>
        <w:rPr>
          <w:rFonts w:hint="default" w:ascii="Times New Roman" w:hAnsi="Times New Roman" w:cs="Times New Roman"/>
        </w:rPr>
        <w:fldChar w:fldCharType="separate"/>
      </w:r>
      <w:r>
        <w:rPr>
          <w:rFonts w:hint="default" w:ascii="Times New Roman" w:hAnsi="Times New Roman" w:cs="Times New Roman"/>
          <w:lang w:val="en-US" w:eastAsia="zh-CN"/>
        </w:rPr>
        <w:t>6.1</w:t>
      </w:r>
      <w:r>
        <w:rPr>
          <w:rFonts w:hint="default" w:ascii="Times New Roman" w:hAnsi="Times New Roman" w:cs="Times New Roman"/>
        </w:rPr>
        <w:t>环境空气环境影响分析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_Toc27562 \h </w:instrText>
      </w:r>
      <w:r>
        <w:rPr>
          <w:rFonts w:hint="default" w:ascii="Times New Roman" w:hAnsi="Times New Roman" w:cs="Times New Roman"/>
        </w:rPr>
        <w:fldChar w:fldCharType="separate"/>
      </w:r>
      <w:r>
        <w:rPr>
          <w:rFonts w:hint="default" w:ascii="Times New Roman" w:hAnsi="Times New Roman" w:cs="Times New Roman"/>
        </w:rPr>
        <w:t>127</w:t>
      </w:r>
      <w:r>
        <w:rPr>
          <w:rFonts w:hint="default" w:ascii="Times New Roman" w:hAnsi="Times New Roman" w:cs="Times New Roman"/>
        </w:rPr>
        <w:fldChar w:fldCharType="end"/>
      </w:r>
      <w:r>
        <w:rPr>
          <w:rFonts w:hint="default" w:ascii="Times New Roman" w:hAnsi="Times New Roman" w:cs="Times New Roman"/>
        </w:rPr>
        <w:fldChar w:fldCharType="end"/>
      </w:r>
    </w:p>
    <w:p w14:paraId="39582421">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_Toc27534 </w:instrText>
      </w:r>
      <w:r>
        <w:rPr>
          <w:rFonts w:hint="default" w:ascii="Times New Roman" w:hAnsi="Times New Roman" w:cs="Times New Roman"/>
        </w:rPr>
        <w:fldChar w:fldCharType="separate"/>
      </w:r>
      <w:r>
        <w:rPr>
          <w:rFonts w:hint="default" w:ascii="Times New Roman" w:hAnsi="Times New Roman" w:cs="Times New Roman"/>
          <w:lang w:val="en-US" w:eastAsia="zh-CN"/>
        </w:rPr>
        <w:t>6</w:t>
      </w:r>
      <w:r>
        <w:rPr>
          <w:rFonts w:hint="default" w:ascii="Times New Roman" w:hAnsi="Times New Roman" w:cs="Times New Roman"/>
        </w:rPr>
        <w:t>.2地表水环境影响预测与评价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_Toc27534 \h </w:instrText>
      </w:r>
      <w:r>
        <w:rPr>
          <w:rFonts w:hint="default" w:ascii="Times New Roman" w:hAnsi="Times New Roman" w:cs="Times New Roman"/>
        </w:rPr>
        <w:fldChar w:fldCharType="separate"/>
      </w:r>
      <w:r>
        <w:rPr>
          <w:rFonts w:hint="default" w:ascii="Times New Roman" w:hAnsi="Times New Roman" w:cs="Times New Roman"/>
        </w:rPr>
        <w:t>138</w:t>
      </w:r>
      <w:r>
        <w:rPr>
          <w:rFonts w:hint="default" w:ascii="Times New Roman" w:hAnsi="Times New Roman" w:cs="Times New Roman"/>
        </w:rPr>
        <w:fldChar w:fldCharType="end"/>
      </w:r>
      <w:r>
        <w:rPr>
          <w:rFonts w:hint="default" w:ascii="Times New Roman" w:hAnsi="Times New Roman" w:cs="Times New Roman"/>
        </w:rPr>
        <w:fldChar w:fldCharType="end"/>
      </w:r>
    </w:p>
    <w:p w14:paraId="2015B1AC">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_Toc29499 </w:instrText>
      </w:r>
      <w:r>
        <w:rPr>
          <w:rFonts w:hint="default" w:ascii="Times New Roman" w:hAnsi="Times New Roman" w:cs="Times New Roman"/>
        </w:rPr>
        <w:fldChar w:fldCharType="separate"/>
      </w:r>
      <w:r>
        <w:rPr>
          <w:rFonts w:hint="default" w:ascii="Times New Roman" w:hAnsi="Times New Roman" w:cs="Times New Roman"/>
          <w:lang w:val="en-US" w:eastAsia="zh-CN"/>
        </w:rPr>
        <w:t>6</w:t>
      </w:r>
      <w:r>
        <w:rPr>
          <w:rFonts w:hint="default" w:ascii="Times New Roman" w:hAnsi="Times New Roman" w:cs="Times New Roman"/>
        </w:rPr>
        <w:t>.3地下水环境影响预测与评价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_Toc29499 \h </w:instrText>
      </w:r>
      <w:r>
        <w:rPr>
          <w:rFonts w:hint="default" w:ascii="Times New Roman" w:hAnsi="Times New Roman" w:cs="Times New Roman"/>
        </w:rPr>
        <w:fldChar w:fldCharType="separate"/>
      </w:r>
      <w:r>
        <w:rPr>
          <w:rFonts w:hint="default" w:ascii="Times New Roman" w:hAnsi="Times New Roman" w:cs="Times New Roman"/>
        </w:rPr>
        <w:t>140</w:t>
      </w:r>
      <w:r>
        <w:rPr>
          <w:rFonts w:hint="default" w:ascii="Times New Roman" w:hAnsi="Times New Roman" w:cs="Times New Roman"/>
        </w:rPr>
        <w:fldChar w:fldCharType="end"/>
      </w:r>
      <w:r>
        <w:rPr>
          <w:rFonts w:hint="default" w:ascii="Times New Roman" w:hAnsi="Times New Roman" w:cs="Times New Roman"/>
        </w:rPr>
        <w:fldChar w:fldCharType="end"/>
      </w:r>
    </w:p>
    <w:p w14:paraId="4DB20A02">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_Toc9814 </w:instrText>
      </w:r>
      <w:r>
        <w:rPr>
          <w:rFonts w:hint="default" w:ascii="Times New Roman" w:hAnsi="Times New Roman" w:cs="Times New Roman"/>
        </w:rPr>
        <w:fldChar w:fldCharType="separate"/>
      </w:r>
      <w:r>
        <w:rPr>
          <w:rFonts w:hint="default" w:ascii="Times New Roman" w:hAnsi="Times New Roman" w:cs="Times New Roman"/>
          <w:lang w:val="en-US" w:eastAsia="zh-CN"/>
        </w:rPr>
        <w:t>6</w:t>
      </w:r>
      <w:r>
        <w:rPr>
          <w:rFonts w:hint="default" w:ascii="Times New Roman" w:hAnsi="Times New Roman" w:cs="Times New Roman"/>
        </w:rPr>
        <w:t>.4土壤环境影响预测与评价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_Toc9814 \h </w:instrText>
      </w:r>
      <w:r>
        <w:rPr>
          <w:rFonts w:hint="default" w:ascii="Times New Roman" w:hAnsi="Times New Roman" w:cs="Times New Roman"/>
        </w:rPr>
        <w:fldChar w:fldCharType="separate"/>
      </w:r>
      <w:r>
        <w:rPr>
          <w:rFonts w:hint="default" w:ascii="Times New Roman" w:hAnsi="Times New Roman" w:cs="Times New Roman"/>
        </w:rPr>
        <w:t>155</w:t>
      </w:r>
      <w:r>
        <w:rPr>
          <w:rFonts w:hint="default" w:ascii="Times New Roman" w:hAnsi="Times New Roman" w:cs="Times New Roman"/>
        </w:rPr>
        <w:fldChar w:fldCharType="end"/>
      </w:r>
      <w:r>
        <w:rPr>
          <w:rFonts w:hint="default" w:ascii="Times New Roman" w:hAnsi="Times New Roman" w:cs="Times New Roman"/>
        </w:rPr>
        <w:fldChar w:fldCharType="end"/>
      </w:r>
    </w:p>
    <w:p w14:paraId="2A13582D">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_Toc19984 </w:instrText>
      </w:r>
      <w:r>
        <w:rPr>
          <w:rFonts w:hint="default" w:ascii="Times New Roman" w:hAnsi="Times New Roman" w:cs="Times New Roman"/>
        </w:rPr>
        <w:fldChar w:fldCharType="separate"/>
      </w:r>
      <w:r>
        <w:rPr>
          <w:rFonts w:hint="default" w:ascii="Times New Roman" w:hAnsi="Times New Roman" w:cs="Times New Roman"/>
          <w:lang w:val="en-US" w:eastAsia="zh-CN"/>
        </w:rPr>
        <w:t>6</w:t>
      </w:r>
      <w:r>
        <w:rPr>
          <w:rFonts w:hint="default" w:ascii="Times New Roman" w:hAnsi="Times New Roman" w:cs="Times New Roman"/>
        </w:rPr>
        <w:t>.5声环境影响预测与评价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_Toc19984 \h </w:instrText>
      </w:r>
      <w:r>
        <w:rPr>
          <w:rFonts w:hint="default" w:ascii="Times New Roman" w:hAnsi="Times New Roman" w:cs="Times New Roman"/>
        </w:rPr>
        <w:fldChar w:fldCharType="separate"/>
      </w:r>
      <w:r>
        <w:rPr>
          <w:rFonts w:hint="default" w:ascii="Times New Roman" w:hAnsi="Times New Roman" w:cs="Times New Roman"/>
        </w:rPr>
        <w:t>163</w:t>
      </w:r>
      <w:r>
        <w:rPr>
          <w:rFonts w:hint="default" w:ascii="Times New Roman" w:hAnsi="Times New Roman" w:cs="Times New Roman"/>
        </w:rPr>
        <w:fldChar w:fldCharType="end"/>
      </w:r>
      <w:r>
        <w:rPr>
          <w:rFonts w:hint="default" w:ascii="Times New Roman" w:hAnsi="Times New Roman" w:cs="Times New Roman"/>
        </w:rPr>
        <w:fldChar w:fldCharType="end"/>
      </w:r>
    </w:p>
    <w:p w14:paraId="5209EF92">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_Toc30061 </w:instrText>
      </w:r>
      <w:r>
        <w:rPr>
          <w:rFonts w:hint="default" w:ascii="Times New Roman" w:hAnsi="Times New Roman" w:cs="Times New Roman"/>
        </w:rPr>
        <w:fldChar w:fldCharType="separate"/>
      </w:r>
      <w:r>
        <w:rPr>
          <w:rFonts w:hint="default" w:ascii="Times New Roman" w:hAnsi="Times New Roman" w:cs="Times New Roman"/>
          <w:lang w:val="en-US" w:eastAsia="zh-CN"/>
        </w:rPr>
        <w:t>6</w:t>
      </w:r>
      <w:r>
        <w:rPr>
          <w:rFonts w:hint="default" w:ascii="Times New Roman" w:hAnsi="Times New Roman" w:cs="Times New Roman"/>
        </w:rPr>
        <w:t>.6固体废物环境影响评价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_Toc30061 \h </w:instrText>
      </w:r>
      <w:r>
        <w:rPr>
          <w:rFonts w:hint="default" w:ascii="Times New Roman" w:hAnsi="Times New Roman" w:cs="Times New Roman"/>
        </w:rPr>
        <w:fldChar w:fldCharType="separate"/>
      </w:r>
      <w:r>
        <w:rPr>
          <w:rFonts w:hint="default" w:ascii="Times New Roman" w:hAnsi="Times New Roman" w:cs="Times New Roman"/>
        </w:rPr>
        <w:t>166</w:t>
      </w:r>
      <w:r>
        <w:rPr>
          <w:rFonts w:hint="default" w:ascii="Times New Roman" w:hAnsi="Times New Roman" w:cs="Times New Roman"/>
        </w:rPr>
        <w:fldChar w:fldCharType="end"/>
      </w:r>
      <w:r>
        <w:rPr>
          <w:rFonts w:hint="default" w:ascii="Times New Roman" w:hAnsi="Times New Roman" w:cs="Times New Roman"/>
        </w:rPr>
        <w:fldChar w:fldCharType="end"/>
      </w:r>
    </w:p>
    <w:p w14:paraId="0A9531E7">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_Toc16041 </w:instrText>
      </w:r>
      <w:r>
        <w:rPr>
          <w:rFonts w:hint="default" w:ascii="Times New Roman" w:hAnsi="Times New Roman" w:cs="Times New Roman"/>
        </w:rPr>
        <w:fldChar w:fldCharType="separate"/>
      </w:r>
      <w:r>
        <w:rPr>
          <w:rFonts w:hint="default" w:ascii="Times New Roman" w:hAnsi="Times New Roman" w:cs="Times New Roman"/>
          <w:lang w:val="en-US" w:eastAsia="zh-CN"/>
        </w:rPr>
        <w:t>6</w:t>
      </w:r>
      <w:r>
        <w:rPr>
          <w:rFonts w:hint="default" w:ascii="Times New Roman" w:hAnsi="Times New Roman" w:cs="Times New Roman"/>
        </w:rPr>
        <w:t>.7生态</w:t>
      </w:r>
      <w:r>
        <w:rPr>
          <w:rFonts w:hint="default" w:ascii="Times New Roman" w:hAnsi="Times New Roman" w:cs="Times New Roman"/>
          <w:lang w:eastAsia="zh-CN"/>
        </w:rPr>
        <w:t>环境</w:t>
      </w:r>
      <w:r>
        <w:rPr>
          <w:rFonts w:hint="default" w:ascii="Times New Roman" w:hAnsi="Times New Roman" w:cs="Times New Roman"/>
        </w:rPr>
        <w:t>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_Toc16041 \h </w:instrText>
      </w:r>
      <w:r>
        <w:rPr>
          <w:rFonts w:hint="default" w:ascii="Times New Roman" w:hAnsi="Times New Roman" w:cs="Times New Roman"/>
        </w:rPr>
        <w:fldChar w:fldCharType="separate"/>
      </w:r>
      <w:r>
        <w:rPr>
          <w:rFonts w:hint="default" w:ascii="Times New Roman" w:hAnsi="Times New Roman" w:cs="Times New Roman"/>
        </w:rPr>
        <w:t>170</w:t>
      </w:r>
      <w:r>
        <w:rPr>
          <w:rFonts w:hint="default" w:ascii="Times New Roman" w:hAnsi="Times New Roman" w:cs="Times New Roman"/>
        </w:rPr>
        <w:fldChar w:fldCharType="end"/>
      </w:r>
      <w:r>
        <w:rPr>
          <w:rFonts w:hint="default" w:ascii="Times New Roman" w:hAnsi="Times New Roman" w:cs="Times New Roman"/>
        </w:rPr>
        <w:fldChar w:fldCharType="end"/>
      </w:r>
    </w:p>
    <w:p w14:paraId="59E2CC9D">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_Toc5167 </w:instrText>
      </w:r>
      <w:r>
        <w:rPr>
          <w:rFonts w:hint="default" w:ascii="Times New Roman" w:hAnsi="Times New Roman" w:cs="Times New Roman"/>
        </w:rPr>
        <w:fldChar w:fldCharType="separate"/>
      </w:r>
      <w:r>
        <w:rPr>
          <w:rFonts w:hint="default" w:ascii="Times New Roman" w:hAnsi="Times New Roman" w:cs="Times New Roman"/>
          <w:lang w:val="en-US" w:eastAsia="zh-CN"/>
        </w:rPr>
        <w:t>6</w:t>
      </w:r>
      <w:r>
        <w:rPr>
          <w:rFonts w:hint="default" w:ascii="Times New Roman" w:hAnsi="Times New Roman" w:cs="Times New Roman"/>
        </w:rPr>
        <w:t>.8环境风险评价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_Toc5167 \h </w:instrText>
      </w:r>
      <w:r>
        <w:rPr>
          <w:rFonts w:hint="default" w:ascii="Times New Roman" w:hAnsi="Times New Roman" w:cs="Times New Roman"/>
        </w:rPr>
        <w:fldChar w:fldCharType="separate"/>
      </w:r>
      <w:r>
        <w:rPr>
          <w:rFonts w:hint="default" w:ascii="Times New Roman" w:hAnsi="Times New Roman" w:cs="Times New Roman"/>
        </w:rPr>
        <w:t>171</w:t>
      </w:r>
      <w:r>
        <w:rPr>
          <w:rFonts w:hint="default" w:ascii="Times New Roman" w:hAnsi="Times New Roman" w:cs="Times New Roman"/>
        </w:rPr>
        <w:fldChar w:fldCharType="end"/>
      </w:r>
      <w:r>
        <w:rPr>
          <w:rFonts w:hint="default" w:ascii="Times New Roman" w:hAnsi="Times New Roman" w:cs="Times New Roman"/>
        </w:rPr>
        <w:fldChar w:fldCharType="end"/>
      </w:r>
    </w:p>
    <w:p w14:paraId="69AD23EB">
      <w:pPr>
        <w:pStyle w:val="21"/>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_Toc29279 </w:instrText>
      </w:r>
      <w:r>
        <w:rPr>
          <w:rFonts w:hint="default" w:ascii="Times New Roman" w:hAnsi="Times New Roman" w:cs="Times New Roman"/>
        </w:rPr>
        <w:fldChar w:fldCharType="separate"/>
      </w:r>
      <w:r>
        <w:rPr>
          <w:rFonts w:hint="default" w:ascii="Times New Roman" w:hAnsi="Times New Roman" w:cs="Times New Roman"/>
          <w:lang w:val="en-US" w:eastAsia="zh-CN"/>
        </w:rPr>
        <w:t>7</w:t>
      </w:r>
      <w:r>
        <w:rPr>
          <w:rFonts w:hint="default" w:ascii="Times New Roman" w:hAnsi="Times New Roman" w:cs="Times New Roman"/>
        </w:rPr>
        <w:t xml:space="preserve"> 环境保护措施及其可行性论证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_Toc29279 \h </w:instrText>
      </w:r>
      <w:r>
        <w:rPr>
          <w:rFonts w:hint="default" w:ascii="Times New Roman" w:hAnsi="Times New Roman" w:cs="Times New Roman"/>
        </w:rPr>
        <w:fldChar w:fldCharType="separate"/>
      </w:r>
      <w:r>
        <w:rPr>
          <w:rFonts w:hint="default" w:ascii="Times New Roman" w:hAnsi="Times New Roman" w:cs="Times New Roman"/>
        </w:rPr>
        <w:t>177</w:t>
      </w:r>
      <w:r>
        <w:rPr>
          <w:rFonts w:hint="default" w:ascii="Times New Roman" w:hAnsi="Times New Roman" w:cs="Times New Roman"/>
        </w:rPr>
        <w:fldChar w:fldCharType="end"/>
      </w:r>
      <w:r>
        <w:rPr>
          <w:rFonts w:hint="default" w:ascii="Times New Roman" w:hAnsi="Times New Roman" w:cs="Times New Roman"/>
        </w:rPr>
        <w:fldChar w:fldCharType="end"/>
      </w:r>
    </w:p>
    <w:p w14:paraId="29543194">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_Toc12132 </w:instrText>
      </w:r>
      <w:r>
        <w:rPr>
          <w:rFonts w:hint="default" w:ascii="Times New Roman" w:hAnsi="Times New Roman" w:cs="Times New Roman"/>
        </w:rPr>
        <w:fldChar w:fldCharType="separate"/>
      </w:r>
      <w:r>
        <w:rPr>
          <w:rFonts w:hint="default" w:ascii="Times New Roman" w:hAnsi="Times New Roman" w:cs="Times New Roman"/>
          <w:lang w:val="en-US" w:eastAsia="zh-CN"/>
        </w:rPr>
        <w:t>7</w:t>
      </w:r>
      <w:r>
        <w:rPr>
          <w:rFonts w:hint="default" w:ascii="Times New Roman" w:hAnsi="Times New Roman" w:cs="Times New Roman"/>
        </w:rPr>
        <w:t>.1施工期污染防治措施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_Toc12132 \h </w:instrText>
      </w:r>
      <w:r>
        <w:rPr>
          <w:rFonts w:hint="default" w:ascii="Times New Roman" w:hAnsi="Times New Roman" w:cs="Times New Roman"/>
        </w:rPr>
        <w:fldChar w:fldCharType="separate"/>
      </w:r>
      <w:r>
        <w:rPr>
          <w:rFonts w:hint="default" w:ascii="Times New Roman" w:hAnsi="Times New Roman" w:cs="Times New Roman"/>
        </w:rPr>
        <w:t>177</w:t>
      </w:r>
      <w:r>
        <w:rPr>
          <w:rFonts w:hint="default" w:ascii="Times New Roman" w:hAnsi="Times New Roman" w:cs="Times New Roman"/>
        </w:rPr>
        <w:fldChar w:fldCharType="end"/>
      </w:r>
      <w:r>
        <w:rPr>
          <w:rFonts w:hint="default" w:ascii="Times New Roman" w:hAnsi="Times New Roman" w:cs="Times New Roman"/>
        </w:rPr>
        <w:fldChar w:fldCharType="end"/>
      </w:r>
    </w:p>
    <w:p w14:paraId="112574C9">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_Toc23020 </w:instrText>
      </w:r>
      <w:r>
        <w:rPr>
          <w:rFonts w:hint="default" w:ascii="Times New Roman" w:hAnsi="Times New Roman" w:cs="Times New Roman"/>
        </w:rPr>
        <w:fldChar w:fldCharType="separate"/>
      </w:r>
      <w:r>
        <w:rPr>
          <w:rFonts w:hint="default" w:ascii="Times New Roman" w:hAnsi="Times New Roman" w:cs="Times New Roman"/>
          <w:lang w:val="en-US" w:eastAsia="zh-CN"/>
        </w:rPr>
        <w:t>7.2运营期污染防治措施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_Toc23020 \h </w:instrText>
      </w:r>
      <w:r>
        <w:rPr>
          <w:rFonts w:hint="default" w:ascii="Times New Roman" w:hAnsi="Times New Roman" w:cs="Times New Roman"/>
        </w:rPr>
        <w:fldChar w:fldCharType="separate"/>
      </w:r>
      <w:r>
        <w:rPr>
          <w:rFonts w:hint="default" w:ascii="Times New Roman" w:hAnsi="Times New Roman" w:cs="Times New Roman"/>
        </w:rPr>
        <w:t>180</w:t>
      </w:r>
      <w:r>
        <w:rPr>
          <w:rFonts w:hint="default" w:ascii="Times New Roman" w:hAnsi="Times New Roman" w:cs="Times New Roman"/>
        </w:rPr>
        <w:fldChar w:fldCharType="end"/>
      </w:r>
      <w:r>
        <w:rPr>
          <w:rFonts w:hint="default" w:ascii="Times New Roman" w:hAnsi="Times New Roman" w:cs="Times New Roman"/>
        </w:rPr>
        <w:fldChar w:fldCharType="end"/>
      </w:r>
    </w:p>
    <w:p w14:paraId="7A39C314">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_Toc11162 </w:instrText>
      </w:r>
      <w:r>
        <w:rPr>
          <w:rFonts w:hint="default" w:ascii="Times New Roman" w:hAnsi="Times New Roman" w:cs="Times New Roman"/>
        </w:rPr>
        <w:fldChar w:fldCharType="separate"/>
      </w:r>
      <w:r>
        <w:rPr>
          <w:rFonts w:hint="default" w:ascii="Times New Roman" w:hAnsi="Times New Roman" w:eastAsia="宋体" w:cs="Times New Roman"/>
          <w:szCs w:val="28"/>
          <w:lang w:val="en-US" w:eastAsia="zh-CN"/>
        </w:rPr>
        <w:t>7.3</w:t>
      </w:r>
      <w:r>
        <w:rPr>
          <w:rFonts w:hint="default" w:ascii="Times New Roman" w:hAnsi="Times New Roman" w:eastAsia="宋体" w:cs="Times New Roman"/>
          <w:szCs w:val="28"/>
        </w:rPr>
        <w:t>工程环保对策措施汇总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_Toc11162 \h </w:instrText>
      </w:r>
      <w:r>
        <w:rPr>
          <w:rFonts w:hint="default" w:ascii="Times New Roman" w:hAnsi="Times New Roman" w:cs="Times New Roman"/>
        </w:rPr>
        <w:fldChar w:fldCharType="separate"/>
      </w:r>
      <w:r>
        <w:rPr>
          <w:rFonts w:hint="default" w:ascii="Times New Roman" w:hAnsi="Times New Roman" w:cs="Times New Roman"/>
        </w:rPr>
        <w:t>187</w:t>
      </w:r>
      <w:r>
        <w:rPr>
          <w:rFonts w:hint="default" w:ascii="Times New Roman" w:hAnsi="Times New Roman" w:cs="Times New Roman"/>
        </w:rPr>
        <w:fldChar w:fldCharType="end"/>
      </w:r>
      <w:r>
        <w:rPr>
          <w:rFonts w:hint="default" w:ascii="Times New Roman" w:hAnsi="Times New Roman" w:cs="Times New Roman"/>
        </w:rPr>
        <w:fldChar w:fldCharType="end"/>
      </w:r>
    </w:p>
    <w:p w14:paraId="7BE261E4">
      <w:pPr>
        <w:pStyle w:val="21"/>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_Toc25203 </w:instrText>
      </w:r>
      <w:r>
        <w:rPr>
          <w:rFonts w:hint="default" w:ascii="Times New Roman" w:hAnsi="Times New Roman" w:cs="Times New Roman"/>
        </w:rPr>
        <w:fldChar w:fldCharType="separate"/>
      </w:r>
      <w:r>
        <w:rPr>
          <w:rFonts w:hint="default" w:ascii="Times New Roman" w:hAnsi="Times New Roman" w:cs="Times New Roman"/>
          <w:lang w:val="en-US" w:eastAsia="zh-CN"/>
        </w:rPr>
        <w:t>8环境管理与环境监测计划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_Toc25203 \h </w:instrText>
      </w:r>
      <w:r>
        <w:rPr>
          <w:rFonts w:hint="default" w:ascii="Times New Roman" w:hAnsi="Times New Roman" w:cs="Times New Roman"/>
        </w:rPr>
        <w:fldChar w:fldCharType="separate"/>
      </w:r>
      <w:r>
        <w:rPr>
          <w:rFonts w:hint="default" w:ascii="Times New Roman" w:hAnsi="Times New Roman" w:cs="Times New Roman"/>
        </w:rPr>
        <w:t>191</w:t>
      </w:r>
      <w:r>
        <w:rPr>
          <w:rFonts w:hint="default" w:ascii="Times New Roman" w:hAnsi="Times New Roman" w:cs="Times New Roman"/>
        </w:rPr>
        <w:fldChar w:fldCharType="end"/>
      </w:r>
      <w:r>
        <w:rPr>
          <w:rFonts w:hint="default" w:ascii="Times New Roman" w:hAnsi="Times New Roman" w:cs="Times New Roman"/>
        </w:rPr>
        <w:fldChar w:fldCharType="end"/>
      </w:r>
    </w:p>
    <w:p w14:paraId="5A9C23DF">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_Toc6958 </w:instrText>
      </w:r>
      <w:r>
        <w:rPr>
          <w:rFonts w:hint="default" w:ascii="Times New Roman" w:hAnsi="Times New Roman" w:cs="Times New Roman"/>
        </w:rPr>
        <w:fldChar w:fldCharType="separate"/>
      </w:r>
      <w:r>
        <w:rPr>
          <w:rFonts w:hint="default" w:ascii="Times New Roman" w:hAnsi="Times New Roman" w:cs="Times New Roman"/>
          <w:lang w:val="en-US" w:eastAsia="zh-CN"/>
        </w:rPr>
        <w:t>8.1环境管理机构和职责</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_Toc6958 \h </w:instrText>
      </w:r>
      <w:r>
        <w:rPr>
          <w:rFonts w:hint="default" w:ascii="Times New Roman" w:hAnsi="Times New Roman" w:cs="Times New Roman"/>
        </w:rPr>
        <w:fldChar w:fldCharType="separate"/>
      </w:r>
      <w:r>
        <w:rPr>
          <w:rFonts w:hint="default" w:ascii="Times New Roman" w:hAnsi="Times New Roman" w:cs="Times New Roman"/>
        </w:rPr>
        <w:t>191</w:t>
      </w:r>
      <w:r>
        <w:rPr>
          <w:rFonts w:hint="default" w:ascii="Times New Roman" w:hAnsi="Times New Roman" w:cs="Times New Roman"/>
        </w:rPr>
        <w:fldChar w:fldCharType="end"/>
      </w:r>
      <w:r>
        <w:rPr>
          <w:rFonts w:hint="default" w:ascii="Times New Roman" w:hAnsi="Times New Roman" w:cs="Times New Roman"/>
        </w:rPr>
        <w:fldChar w:fldCharType="end"/>
      </w:r>
    </w:p>
    <w:p w14:paraId="09F8303E">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_Toc30298 </w:instrText>
      </w:r>
      <w:r>
        <w:rPr>
          <w:rFonts w:hint="default" w:ascii="Times New Roman" w:hAnsi="Times New Roman" w:cs="Times New Roman"/>
        </w:rPr>
        <w:fldChar w:fldCharType="separate"/>
      </w:r>
      <w:r>
        <w:rPr>
          <w:rFonts w:hint="default" w:ascii="Times New Roman" w:hAnsi="Times New Roman" w:cs="Times New Roman"/>
          <w:lang w:val="en-US" w:eastAsia="zh-CN"/>
        </w:rPr>
        <w:t>8.2环境管理要求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_Toc30298 \h </w:instrText>
      </w:r>
      <w:r>
        <w:rPr>
          <w:rFonts w:hint="default" w:ascii="Times New Roman" w:hAnsi="Times New Roman" w:cs="Times New Roman"/>
        </w:rPr>
        <w:fldChar w:fldCharType="separate"/>
      </w:r>
      <w:r>
        <w:rPr>
          <w:rFonts w:hint="default" w:ascii="Times New Roman" w:hAnsi="Times New Roman" w:cs="Times New Roman"/>
        </w:rPr>
        <w:t>192</w:t>
      </w:r>
      <w:r>
        <w:rPr>
          <w:rFonts w:hint="default" w:ascii="Times New Roman" w:hAnsi="Times New Roman" w:cs="Times New Roman"/>
        </w:rPr>
        <w:fldChar w:fldCharType="end"/>
      </w:r>
      <w:r>
        <w:rPr>
          <w:rFonts w:hint="default" w:ascii="Times New Roman" w:hAnsi="Times New Roman" w:cs="Times New Roman"/>
        </w:rPr>
        <w:fldChar w:fldCharType="end"/>
      </w:r>
    </w:p>
    <w:p w14:paraId="620176D6">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_Toc15656 </w:instrText>
      </w:r>
      <w:r>
        <w:rPr>
          <w:rFonts w:hint="default" w:ascii="Times New Roman" w:hAnsi="Times New Roman" w:cs="Times New Roman"/>
        </w:rPr>
        <w:fldChar w:fldCharType="separate"/>
      </w:r>
      <w:r>
        <w:rPr>
          <w:rFonts w:hint="default" w:ascii="Times New Roman" w:hAnsi="Times New Roman" w:cs="Times New Roman"/>
          <w:lang w:val="en-US" w:eastAsia="zh-CN"/>
        </w:rPr>
        <w:t>8.3环境信息公开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_Toc15656 \h </w:instrText>
      </w:r>
      <w:r>
        <w:rPr>
          <w:rFonts w:hint="default" w:ascii="Times New Roman" w:hAnsi="Times New Roman" w:cs="Times New Roman"/>
        </w:rPr>
        <w:fldChar w:fldCharType="separate"/>
      </w:r>
      <w:r>
        <w:rPr>
          <w:rFonts w:hint="default" w:ascii="Times New Roman" w:hAnsi="Times New Roman" w:cs="Times New Roman"/>
        </w:rPr>
        <w:t>192</w:t>
      </w:r>
      <w:r>
        <w:rPr>
          <w:rFonts w:hint="default" w:ascii="Times New Roman" w:hAnsi="Times New Roman" w:cs="Times New Roman"/>
        </w:rPr>
        <w:fldChar w:fldCharType="end"/>
      </w:r>
      <w:r>
        <w:rPr>
          <w:rFonts w:hint="default" w:ascii="Times New Roman" w:hAnsi="Times New Roman" w:cs="Times New Roman"/>
        </w:rPr>
        <w:fldChar w:fldCharType="end"/>
      </w:r>
    </w:p>
    <w:p w14:paraId="6C63763B">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_Toc26234 </w:instrText>
      </w:r>
      <w:r>
        <w:rPr>
          <w:rFonts w:hint="default" w:ascii="Times New Roman" w:hAnsi="Times New Roman" w:cs="Times New Roman"/>
        </w:rPr>
        <w:fldChar w:fldCharType="separate"/>
      </w:r>
      <w:r>
        <w:rPr>
          <w:rFonts w:hint="default" w:ascii="Times New Roman" w:hAnsi="Times New Roman" w:cs="Times New Roman"/>
          <w:lang w:val="en-US" w:eastAsia="zh-CN"/>
        </w:rPr>
        <w:t>8.4施工期环境监理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_Toc26234 \h </w:instrText>
      </w:r>
      <w:r>
        <w:rPr>
          <w:rFonts w:hint="default" w:ascii="Times New Roman" w:hAnsi="Times New Roman" w:cs="Times New Roman"/>
        </w:rPr>
        <w:fldChar w:fldCharType="separate"/>
      </w:r>
      <w:r>
        <w:rPr>
          <w:rFonts w:hint="default" w:ascii="Times New Roman" w:hAnsi="Times New Roman" w:cs="Times New Roman"/>
        </w:rPr>
        <w:t>193</w:t>
      </w:r>
      <w:r>
        <w:rPr>
          <w:rFonts w:hint="default" w:ascii="Times New Roman" w:hAnsi="Times New Roman" w:cs="Times New Roman"/>
        </w:rPr>
        <w:fldChar w:fldCharType="end"/>
      </w:r>
      <w:r>
        <w:rPr>
          <w:rFonts w:hint="default" w:ascii="Times New Roman" w:hAnsi="Times New Roman" w:cs="Times New Roman"/>
        </w:rPr>
        <w:fldChar w:fldCharType="end"/>
      </w:r>
    </w:p>
    <w:p w14:paraId="12A12B50">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_Toc7493 </w:instrText>
      </w:r>
      <w:r>
        <w:rPr>
          <w:rFonts w:hint="default" w:ascii="Times New Roman" w:hAnsi="Times New Roman" w:cs="Times New Roman"/>
        </w:rPr>
        <w:fldChar w:fldCharType="separate"/>
      </w:r>
      <w:r>
        <w:rPr>
          <w:rFonts w:hint="default" w:ascii="Times New Roman" w:hAnsi="Times New Roman" w:cs="Times New Roman"/>
          <w:lang w:val="en-US" w:eastAsia="zh-CN"/>
        </w:rPr>
        <w:t>8.5环境监测计划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_Toc7493 \h </w:instrText>
      </w:r>
      <w:r>
        <w:rPr>
          <w:rFonts w:hint="default" w:ascii="Times New Roman" w:hAnsi="Times New Roman" w:cs="Times New Roman"/>
        </w:rPr>
        <w:fldChar w:fldCharType="separate"/>
      </w:r>
      <w:r>
        <w:rPr>
          <w:rFonts w:hint="default" w:ascii="Times New Roman" w:hAnsi="Times New Roman" w:cs="Times New Roman"/>
        </w:rPr>
        <w:t>195</w:t>
      </w:r>
      <w:r>
        <w:rPr>
          <w:rFonts w:hint="default" w:ascii="Times New Roman" w:hAnsi="Times New Roman" w:cs="Times New Roman"/>
        </w:rPr>
        <w:fldChar w:fldCharType="end"/>
      </w:r>
      <w:r>
        <w:rPr>
          <w:rFonts w:hint="default" w:ascii="Times New Roman" w:hAnsi="Times New Roman" w:cs="Times New Roman"/>
        </w:rPr>
        <w:fldChar w:fldCharType="end"/>
      </w:r>
    </w:p>
    <w:p w14:paraId="08547BAB">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_Toc7377 </w:instrText>
      </w:r>
      <w:r>
        <w:rPr>
          <w:rFonts w:hint="default" w:ascii="Times New Roman" w:hAnsi="Times New Roman" w:cs="Times New Roman"/>
        </w:rPr>
        <w:fldChar w:fldCharType="separate"/>
      </w:r>
      <w:r>
        <w:rPr>
          <w:rFonts w:hint="default" w:ascii="Times New Roman" w:hAnsi="Times New Roman" w:cs="Times New Roman"/>
          <w:lang w:val="en-US" w:eastAsia="zh-CN"/>
        </w:rPr>
        <w:t>8.6项目与排污许可证衔接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_Toc7377 \h </w:instrText>
      </w:r>
      <w:r>
        <w:rPr>
          <w:rFonts w:hint="default" w:ascii="Times New Roman" w:hAnsi="Times New Roman" w:cs="Times New Roman"/>
        </w:rPr>
        <w:fldChar w:fldCharType="separate"/>
      </w:r>
      <w:r>
        <w:rPr>
          <w:rFonts w:hint="default" w:ascii="Times New Roman" w:hAnsi="Times New Roman" w:cs="Times New Roman"/>
        </w:rPr>
        <w:t>196</w:t>
      </w:r>
      <w:r>
        <w:rPr>
          <w:rFonts w:hint="default" w:ascii="Times New Roman" w:hAnsi="Times New Roman" w:cs="Times New Roman"/>
        </w:rPr>
        <w:fldChar w:fldCharType="end"/>
      </w:r>
      <w:r>
        <w:rPr>
          <w:rFonts w:hint="default" w:ascii="Times New Roman" w:hAnsi="Times New Roman" w:cs="Times New Roman"/>
        </w:rPr>
        <w:fldChar w:fldCharType="end"/>
      </w:r>
    </w:p>
    <w:p w14:paraId="5468E591">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_Toc15831 </w:instrText>
      </w:r>
      <w:r>
        <w:rPr>
          <w:rFonts w:hint="default" w:ascii="Times New Roman" w:hAnsi="Times New Roman" w:cs="Times New Roman"/>
        </w:rPr>
        <w:fldChar w:fldCharType="separate"/>
      </w:r>
      <w:r>
        <w:rPr>
          <w:rFonts w:hint="default" w:ascii="Times New Roman" w:hAnsi="Times New Roman" w:cs="Times New Roman"/>
          <w:lang w:val="en-US" w:eastAsia="zh-CN"/>
        </w:rPr>
        <w:t>8.7项目环境保护竣工验收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_Toc15831 \h </w:instrText>
      </w:r>
      <w:r>
        <w:rPr>
          <w:rFonts w:hint="default" w:ascii="Times New Roman" w:hAnsi="Times New Roman" w:cs="Times New Roman"/>
        </w:rPr>
        <w:fldChar w:fldCharType="separate"/>
      </w:r>
      <w:r>
        <w:rPr>
          <w:rFonts w:hint="default" w:ascii="Times New Roman" w:hAnsi="Times New Roman" w:cs="Times New Roman"/>
        </w:rPr>
        <w:t>197</w:t>
      </w:r>
      <w:r>
        <w:rPr>
          <w:rFonts w:hint="default" w:ascii="Times New Roman" w:hAnsi="Times New Roman" w:cs="Times New Roman"/>
        </w:rPr>
        <w:fldChar w:fldCharType="end"/>
      </w:r>
      <w:r>
        <w:rPr>
          <w:rFonts w:hint="default" w:ascii="Times New Roman" w:hAnsi="Times New Roman" w:cs="Times New Roman"/>
        </w:rPr>
        <w:fldChar w:fldCharType="end"/>
      </w:r>
    </w:p>
    <w:p w14:paraId="6ACA55FF">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_Toc6515 </w:instrText>
      </w:r>
      <w:r>
        <w:rPr>
          <w:rFonts w:hint="default" w:ascii="Times New Roman" w:hAnsi="Times New Roman" w:cs="Times New Roman"/>
        </w:rPr>
        <w:fldChar w:fldCharType="separate"/>
      </w:r>
      <w:r>
        <w:rPr>
          <w:rFonts w:hint="default" w:ascii="Times New Roman" w:hAnsi="Times New Roman" w:cs="Times New Roman"/>
          <w:lang w:val="en-US" w:eastAsia="zh-CN"/>
        </w:rPr>
        <w:t>8.8排污口规范化及污染物排放清单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_Toc6515 \h </w:instrText>
      </w:r>
      <w:r>
        <w:rPr>
          <w:rFonts w:hint="default" w:ascii="Times New Roman" w:hAnsi="Times New Roman" w:cs="Times New Roman"/>
        </w:rPr>
        <w:fldChar w:fldCharType="separate"/>
      </w:r>
      <w:r>
        <w:rPr>
          <w:rFonts w:hint="default" w:ascii="Times New Roman" w:hAnsi="Times New Roman" w:cs="Times New Roman"/>
        </w:rPr>
        <w:t>199</w:t>
      </w:r>
      <w:r>
        <w:rPr>
          <w:rFonts w:hint="default" w:ascii="Times New Roman" w:hAnsi="Times New Roman" w:cs="Times New Roman"/>
        </w:rPr>
        <w:fldChar w:fldCharType="end"/>
      </w:r>
      <w:r>
        <w:rPr>
          <w:rFonts w:hint="default" w:ascii="Times New Roman" w:hAnsi="Times New Roman" w:cs="Times New Roman"/>
        </w:rPr>
        <w:fldChar w:fldCharType="end"/>
      </w:r>
    </w:p>
    <w:p w14:paraId="2E55EDC9">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_Toc12678 </w:instrText>
      </w:r>
      <w:r>
        <w:rPr>
          <w:rFonts w:hint="default" w:ascii="Times New Roman" w:hAnsi="Times New Roman" w:cs="Times New Roman"/>
        </w:rPr>
        <w:fldChar w:fldCharType="separate"/>
      </w:r>
      <w:r>
        <w:rPr>
          <w:rFonts w:hint="default" w:ascii="Times New Roman" w:hAnsi="Times New Roman" w:cs="Times New Roman"/>
          <w:lang w:val="en-US" w:eastAsia="zh-CN"/>
        </w:rPr>
        <w:t>8.9污染物排放总量控制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_Toc12678 \h </w:instrText>
      </w:r>
      <w:r>
        <w:rPr>
          <w:rFonts w:hint="default" w:ascii="Times New Roman" w:hAnsi="Times New Roman" w:cs="Times New Roman"/>
        </w:rPr>
        <w:fldChar w:fldCharType="separate"/>
      </w:r>
      <w:r>
        <w:rPr>
          <w:rFonts w:hint="default" w:ascii="Times New Roman" w:hAnsi="Times New Roman" w:cs="Times New Roman"/>
        </w:rPr>
        <w:t>201</w:t>
      </w:r>
      <w:r>
        <w:rPr>
          <w:rFonts w:hint="default" w:ascii="Times New Roman" w:hAnsi="Times New Roman" w:cs="Times New Roman"/>
        </w:rPr>
        <w:fldChar w:fldCharType="end"/>
      </w:r>
      <w:r>
        <w:rPr>
          <w:rFonts w:hint="default" w:ascii="Times New Roman" w:hAnsi="Times New Roman" w:cs="Times New Roman"/>
        </w:rPr>
        <w:fldChar w:fldCharType="end"/>
      </w:r>
    </w:p>
    <w:p w14:paraId="74A1EEE8">
      <w:pPr>
        <w:pStyle w:val="21"/>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_Toc29634 </w:instrText>
      </w:r>
      <w:r>
        <w:rPr>
          <w:rFonts w:hint="default" w:ascii="Times New Roman" w:hAnsi="Times New Roman" w:cs="Times New Roman"/>
        </w:rPr>
        <w:fldChar w:fldCharType="separate"/>
      </w:r>
      <w:r>
        <w:rPr>
          <w:rFonts w:hint="default" w:ascii="Times New Roman" w:hAnsi="Times New Roman" w:cs="Times New Roman"/>
          <w:lang w:val="en-US" w:eastAsia="zh-CN"/>
        </w:rPr>
        <w:t>9环境经济损益分析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_Toc29634 \h </w:instrText>
      </w:r>
      <w:r>
        <w:rPr>
          <w:rFonts w:hint="default" w:ascii="Times New Roman" w:hAnsi="Times New Roman" w:cs="Times New Roman"/>
        </w:rPr>
        <w:fldChar w:fldCharType="separate"/>
      </w:r>
      <w:r>
        <w:rPr>
          <w:rFonts w:hint="default" w:ascii="Times New Roman" w:hAnsi="Times New Roman" w:cs="Times New Roman"/>
        </w:rPr>
        <w:t>201</w:t>
      </w:r>
      <w:r>
        <w:rPr>
          <w:rFonts w:hint="default" w:ascii="Times New Roman" w:hAnsi="Times New Roman" w:cs="Times New Roman"/>
        </w:rPr>
        <w:fldChar w:fldCharType="end"/>
      </w:r>
      <w:r>
        <w:rPr>
          <w:rFonts w:hint="default" w:ascii="Times New Roman" w:hAnsi="Times New Roman" w:cs="Times New Roman"/>
        </w:rPr>
        <w:fldChar w:fldCharType="end"/>
      </w:r>
    </w:p>
    <w:p w14:paraId="7B4CAE9D">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_Toc11296 </w:instrText>
      </w:r>
      <w:r>
        <w:rPr>
          <w:rFonts w:hint="default" w:ascii="Times New Roman" w:hAnsi="Times New Roman" w:cs="Times New Roman"/>
        </w:rPr>
        <w:fldChar w:fldCharType="separate"/>
      </w:r>
      <w:r>
        <w:rPr>
          <w:rFonts w:hint="default" w:ascii="Times New Roman" w:hAnsi="Times New Roman" w:cs="Times New Roman"/>
          <w:lang w:val="en-US" w:eastAsia="zh-CN"/>
        </w:rPr>
        <w:t>9.1</w:t>
      </w:r>
      <w:r>
        <w:rPr>
          <w:rFonts w:hint="default" w:ascii="Times New Roman" w:hAnsi="Times New Roman" w:cs="Times New Roman"/>
        </w:rPr>
        <w:t>环保投资估算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_Toc11296 \h </w:instrText>
      </w:r>
      <w:r>
        <w:rPr>
          <w:rFonts w:hint="default" w:ascii="Times New Roman" w:hAnsi="Times New Roman" w:cs="Times New Roman"/>
        </w:rPr>
        <w:fldChar w:fldCharType="separate"/>
      </w:r>
      <w:r>
        <w:rPr>
          <w:rFonts w:hint="default" w:ascii="Times New Roman" w:hAnsi="Times New Roman" w:cs="Times New Roman"/>
        </w:rPr>
        <w:t>202</w:t>
      </w:r>
      <w:r>
        <w:rPr>
          <w:rFonts w:hint="default" w:ascii="Times New Roman" w:hAnsi="Times New Roman" w:cs="Times New Roman"/>
        </w:rPr>
        <w:fldChar w:fldCharType="end"/>
      </w:r>
      <w:r>
        <w:rPr>
          <w:rFonts w:hint="default" w:ascii="Times New Roman" w:hAnsi="Times New Roman" w:cs="Times New Roman"/>
        </w:rPr>
        <w:fldChar w:fldCharType="end"/>
      </w:r>
    </w:p>
    <w:p w14:paraId="167AB344">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_Toc27266 </w:instrText>
      </w:r>
      <w:r>
        <w:rPr>
          <w:rFonts w:hint="default" w:ascii="Times New Roman" w:hAnsi="Times New Roman" w:cs="Times New Roman"/>
        </w:rPr>
        <w:fldChar w:fldCharType="separate"/>
      </w:r>
      <w:r>
        <w:rPr>
          <w:rFonts w:hint="default" w:ascii="Times New Roman" w:hAnsi="Times New Roman" w:cs="Times New Roman"/>
          <w:lang w:val="en-US" w:eastAsia="zh-CN"/>
        </w:rPr>
        <w:t>9.2环境经济效益分析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_Toc27266 \h </w:instrText>
      </w:r>
      <w:r>
        <w:rPr>
          <w:rFonts w:hint="default" w:ascii="Times New Roman" w:hAnsi="Times New Roman" w:cs="Times New Roman"/>
        </w:rPr>
        <w:fldChar w:fldCharType="separate"/>
      </w:r>
      <w:r>
        <w:rPr>
          <w:rFonts w:hint="default" w:ascii="Times New Roman" w:hAnsi="Times New Roman" w:cs="Times New Roman"/>
        </w:rPr>
        <w:t>203</w:t>
      </w:r>
      <w:r>
        <w:rPr>
          <w:rFonts w:hint="default" w:ascii="Times New Roman" w:hAnsi="Times New Roman" w:cs="Times New Roman"/>
        </w:rPr>
        <w:fldChar w:fldCharType="end"/>
      </w:r>
      <w:r>
        <w:rPr>
          <w:rFonts w:hint="default" w:ascii="Times New Roman" w:hAnsi="Times New Roman" w:cs="Times New Roman"/>
        </w:rPr>
        <w:fldChar w:fldCharType="end"/>
      </w:r>
    </w:p>
    <w:p w14:paraId="1BEADB37">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_Toc8592 </w:instrText>
      </w:r>
      <w:r>
        <w:rPr>
          <w:rFonts w:hint="default" w:ascii="Times New Roman" w:hAnsi="Times New Roman" w:cs="Times New Roman"/>
        </w:rPr>
        <w:fldChar w:fldCharType="separate"/>
      </w:r>
      <w:r>
        <w:rPr>
          <w:rFonts w:hint="default" w:ascii="Times New Roman" w:hAnsi="Times New Roman" w:cs="Times New Roman"/>
          <w:lang w:val="en-US" w:eastAsia="zh-CN"/>
        </w:rPr>
        <w:t>9.3小结</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_Toc8592 \h </w:instrText>
      </w:r>
      <w:r>
        <w:rPr>
          <w:rFonts w:hint="default" w:ascii="Times New Roman" w:hAnsi="Times New Roman" w:cs="Times New Roman"/>
        </w:rPr>
        <w:fldChar w:fldCharType="separate"/>
      </w:r>
      <w:r>
        <w:rPr>
          <w:rFonts w:hint="default" w:ascii="Times New Roman" w:hAnsi="Times New Roman" w:cs="Times New Roman"/>
        </w:rPr>
        <w:t>205</w:t>
      </w:r>
      <w:r>
        <w:rPr>
          <w:rFonts w:hint="default" w:ascii="Times New Roman" w:hAnsi="Times New Roman" w:cs="Times New Roman"/>
        </w:rPr>
        <w:fldChar w:fldCharType="end"/>
      </w:r>
      <w:r>
        <w:rPr>
          <w:rFonts w:hint="default" w:ascii="Times New Roman" w:hAnsi="Times New Roman" w:cs="Times New Roman"/>
        </w:rPr>
        <w:fldChar w:fldCharType="end"/>
      </w:r>
    </w:p>
    <w:p w14:paraId="24C2EE84">
      <w:pPr>
        <w:pStyle w:val="21"/>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_Toc6061 </w:instrText>
      </w:r>
      <w:r>
        <w:rPr>
          <w:rFonts w:hint="default" w:ascii="Times New Roman" w:hAnsi="Times New Roman" w:cs="Times New Roman"/>
        </w:rPr>
        <w:fldChar w:fldCharType="separate"/>
      </w:r>
      <w:r>
        <w:rPr>
          <w:rFonts w:hint="default" w:ascii="Times New Roman" w:hAnsi="Times New Roman" w:cs="Times New Roman"/>
          <w:lang w:val="en-US" w:eastAsia="zh-CN"/>
        </w:rPr>
        <w:t>10</w:t>
      </w:r>
      <w:r>
        <w:rPr>
          <w:rFonts w:hint="default" w:ascii="Times New Roman" w:hAnsi="Times New Roman" w:cs="Times New Roman"/>
        </w:rPr>
        <w:t>环境影响评价结论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_Toc6061 \h </w:instrText>
      </w:r>
      <w:r>
        <w:rPr>
          <w:rFonts w:hint="default" w:ascii="Times New Roman" w:hAnsi="Times New Roman" w:cs="Times New Roman"/>
        </w:rPr>
        <w:fldChar w:fldCharType="separate"/>
      </w:r>
      <w:r>
        <w:rPr>
          <w:rFonts w:hint="default" w:ascii="Times New Roman" w:hAnsi="Times New Roman" w:cs="Times New Roman"/>
        </w:rPr>
        <w:t>206</w:t>
      </w:r>
      <w:r>
        <w:rPr>
          <w:rFonts w:hint="default" w:ascii="Times New Roman" w:hAnsi="Times New Roman" w:cs="Times New Roman"/>
        </w:rPr>
        <w:fldChar w:fldCharType="end"/>
      </w:r>
      <w:r>
        <w:rPr>
          <w:rFonts w:hint="default" w:ascii="Times New Roman" w:hAnsi="Times New Roman" w:cs="Times New Roman"/>
        </w:rPr>
        <w:fldChar w:fldCharType="end"/>
      </w:r>
    </w:p>
    <w:p w14:paraId="0A0D485E">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_Toc25149 </w:instrText>
      </w:r>
      <w:r>
        <w:rPr>
          <w:rFonts w:hint="default" w:ascii="Times New Roman" w:hAnsi="Times New Roman" w:cs="Times New Roman"/>
        </w:rPr>
        <w:fldChar w:fldCharType="separate"/>
      </w:r>
      <w:r>
        <w:rPr>
          <w:rFonts w:hint="default" w:ascii="Times New Roman" w:hAnsi="Times New Roman" w:cs="Times New Roman"/>
          <w:lang w:val="en-US" w:eastAsia="zh-CN"/>
        </w:rPr>
        <w:t>10.1工程概况结论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_Toc25149 \h </w:instrText>
      </w:r>
      <w:r>
        <w:rPr>
          <w:rFonts w:hint="default" w:ascii="Times New Roman" w:hAnsi="Times New Roman" w:cs="Times New Roman"/>
        </w:rPr>
        <w:fldChar w:fldCharType="separate"/>
      </w:r>
      <w:r>
        <w:rPr>
          <w:rFonts w:hint="default" w:ascii="Times New Roman" w:hAnsi="Times New Roman" w:cs="Times New Roman"/>
        </w:rPr>
        <w:t>206</w:t>
      </w:r>
      <w:r>
        <w:rPr>
          <w:rFonts w:hint="default" w:ascii="Times New Roman" w:hAnsi="Times New Roman" w:cs="Times New Roman"/>
        </w:rPr>
        <w:fldChar w:fldCharType="end"/>
      </w:r>
      <w:r>
        <w:rPr>
          <w:rFonts w:hint="default" w:ascii="Times New Roman" w:hAnsi="Times New Roman" w:cs="Times New Roman"/>
        </w:rPr>
        <w:fldChar w:fldCharType="end"/>
      </w:r>
    </w:p>
    <w:p w14:paraId="6F1221D2">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_Toc10440 </w:instrText>
      </w:r>
      <w:r>
        <w:rPr>
          <w:rFonts w:hint="default" w:ascii="Times New Roman" w:hAnsi="Times New Roman" w:cs="Times New Roman"/>
        </w:rPr>
        <w:fldChar w:fldCharType="separate"/>
      </w:r>
      <w:r>
        <w:rPr>
          <w:rFonts w:hint="default" w:ascii="Times New Roman" w:hAnsi="Times New Roman" w:cs="Times New Roman"/>
          <w:lang w:val="en-US" w:eastAsia="zh-CN"/>
        </w:rPr>
        <w:t>10.2产业政策、规划等符合性结论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_Toc10440 \h </w:instrText>
      </w:r>
      <w:r>
        <w:rPr>
          <w:rFonts w:hint="default" w:ascii="Times New Roman" w:hAnsi="Times New Roman" w:cs="Times New Roman"/>
        </w:rPr>
        <w:fldChar w:fldCharType="separate"/>
      </w:r>
      <w:r>
        <w:rPr>
          <w:rFonts w:hint="default" w:ascii="Times New Roman" w:hAnsi="Times New Roman" w:cs="Times New Roman"/>
        </w:rPr>
        <w:t>206</w:t>
      </w:r>
      <w:r>
        <w:rPr>
          <w:rFonts w:hint="default" w:ascii="Times New Roman" w:hAnsi="Times New Roman" w:cs="Times New Roman"/>
        </w:rPr>
        <w:fldChar w:fldCharType="end"/>
      </w:r>
      <w:r>
        <w:rPr>
          <w:rFonts w:hint="default" w:ascii="Times New Roman" w:hAnsi="Times New Roman" w:cs="Times New Roman"/>
        </w:rPr>
        <w:fldChar w:fldCharType="end"/>
      </w:r>
    </w:p>
    <w:p w14:paraId="5DA4EF00">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_Toc7073 </w:instrText>
      </w:r>
      <w:r>
        <w:rPr>
          <w:rFonts w:hint="default" w:ascii="Times New Roman" w:hAnsi="Times New Roman" w:cs="Times New Roman"/>
        </w:rPr>
        <w:fldChar w:fldCharType="separate"/>
      </w:r>
      <w:r>
        <w:rPr>
          <w:rFonts w:hint="default" w:ascii="Times New Roman" w:hAnsi="Times New Roman" w:cs="Times New Roman"/>
          <w:lang w:val="en-US" w:eastAsia="zh-CN"/>
        </w:rPr>
        <w:t>10</w:t>
      </w: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环境质量现状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_Toc7073 \h </w:instrText>
      </w:r>
      <w:r>
        <w:rPr>
          <w:rFonts w:hint="default" w:ascii="Times New Roman" w:hAnsi="Times New Roman" w:cs="Times New Roman"/>
        </w:rPr>
        <w:fldChar w:fldCharType="separate"/>
      </w:r>
      <w:r>
        <w:rPr>
          <w:rFonts w:hint="default" w:ascii="Times New Roman" w:hAnsi="Times New Roman" w:cs="Times New Roman"/>
        </w:rPr>
        <w:t>207</w:t>
      </w:r>
      <w:r>
        <w:rPr>
          <w:rFonts w:hint="default" w:ascii="Times New Roman" w:hAnsi="Times New Roman" w:cs="Times New Roman"/>
        </w:rPr>
        <w:fldChar w:fldCharType="end"/>
      </w:r>
      <w:r>
        <w:rPr>
          <w:rFonts w:hint="default" w:ascii="Times New Roman" w:hAnsi="Times New Roman" w:cs="Times New Roman"/>
        </w:rPr>
        <w:fldChar w:fldCharType="end"/>
      </w:r>
    </w:p>
    <w:p w14:paraId="39594C3D">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_Toc1048 </w:instrText>
      </w:r>
      <w:r>
        <w:rPr>
          <w:rFonts w:hint="default" w:ascii="Times New Roman" w:hAnsi="Times New Roman" w:cs="Times New Roman"/>
        </w:rPr>
        <w:fldChar w:fldCharType="separate"/>
      </w:r>
      <w:r>
        <w:rPr>
          <w:rFonts w:hint="default" w:ascii="Times New Roman" w:hAnsi="Times New Roman" w:cs="Times New Roman"/>
          <w:lang w:val="en-US" w:eastAsia="zh-CN"/>
        </w:rPr>
        <w:t>10.4环境影响预测与评价结论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_Toc1048 \h </w:instrText>
      </w:r>
      <w:r>
        <w:rPr>
          <w:rFonts w:hint="default" w:ascii="Times New Roman" w:hAnsi="Times New Roman" w:cs="Times New Roman"/>
        </w:rPr>
        <w:fldChar w:fldCharType="separate"/>
      </w:r>
      <w:r>
        <w:rPr>
          <w:rFonts w:hint="default" w:ascii="Times New Roman" w:hAnsi="Times New Roman" w:cs="Times New Roman"/>
        </w:rPr>
        <w:t>208</w:t>
      </w:r>
      <w:r>
        <w:rPr>
          <w:rFonts w:hint="default" w:ascii="Times New Roman" w:hAnsi="Times New Roman" w:cs="Times New Roman"/>
        </w:rPr>
        <w:fldChar w:fldCharType="end"/>
      </w:r>
      <w:r>
        <w:rPr>
          <w:rFonts w:hint="default" w:ascii="Times New Roman" w:hAnsi="Times New Roman" w:cs="Times New Roman"/>
        </w:rPr>
        <w:fldChar w:fldCharType="end"/>
      </w:r>
    </w:p>
    <w:p w14:paraId="239613F8">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_Toc2656 </w:instrText>
      </w:r>
      <w:r>
        <w:rPr>
          <w:rFonts w:hint="default" w:ascii="Times New Roman" w:hAnsi="Times New Roman" w:cs="Times New Roman"/>
        </w:rPr>
        <w:fldChar w:fldCharType="separate"/>
      </w:r>
      <w:r>
        <w:rPr>
          <w:rFonts w:hint="default" w:ascii="Times New Roman" w:hAnsi="Times New Roman" w:cs="Times New Roman"/>
          <w:lang w:val="en-US" w:eastAsia="zh-CN"/>
        </w:rPr>
        <w:t>10.5环境风险分析结论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_Toc2656 \h </w:instrText>
      </w:r>
      <w:r>
        <w:rPr>
          <w:rFonts w:hint="default" w:ascii="Times New Roman" w:hAnsi="Times New Roman" w:cs="Times New Roman"/>
        </w:rPr>
        <w:fldChar w:fldCharType="separate"/>
      </w:r>
      <w:r>
        <w:rPr>
          <w:rFonts w:hint="default" w:ascii="Times New Roman" w:hAnsi="Times New Roman" w:cs="Times New Roman"/>
        </w:rPr>
        <w:t>211</w:t>
      </w:r>
      <w:r>
        <w:rPr>
          <w:rFonts w:hint="default" w:ascii="Times New Roman" w:hAnsi="Times New Roman" w:cs="Times New Roman"/>
        </w:rPr>
        <w:fldChar w:fldCharType="end"/>
      </w:r>
      <w:r>
        <w:rPr>
          <w:rFonts w:hint="default" w:ascii="Times New Roman" w:hAnsi="Times New Roman" w:cs="Times New Roman"/>
        </w:rPr>
        <w:fldChar w:fldCharType="end"/>
      </w:r>
    </w:p>
    <w:p w14:paraId="345B3807">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_Toc28785 </w:instrText>
      </w:r>
      <w:r>
        <w:rPr>
          <w:rFonts w:hint="default" w:ascii="Times New Roman" w:hAnsi="Times New Roman" w:cs="Times New Roman"/>
        </w:rPr>
        <w:fldChar w:fldCharType="separate"/>
      </w:r>
      <w:r>
        <w:rPr>
          <w:rFonts w:hint="default" w:ascii="Times New Roman" w:hAnsi="Times New Roman" w:cs="Times New Roman"/>
          <w:lang w:val="en-US" w:eastAsia="zh-CN"/>
        </w:rPr>
        <w:t>10.6总量控制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_Toc28785 \h </w:instrText>
      </w:r>
      <w:r>
        <w:rPr>
          <w:rFonts w:hint="default" w:ascii="Times New Roman" w:hAnsi="Times New Roman" w:cs="Times New Roman"/>
        </w:rPr>
        <w:fldChar w:fldCharType="separate"/>
      </w:r>
      <w:r>
        <w:rPr>
          <w:rFonts w:hint="default" w:ascii="Times New Roman" w:hAnsi="Times New Roman" w:cs="Times New Roman"/>
        </w:rPr>
        <w:t>211</w:t>
      </w:r>
      <w:r>
        <w:rPr>
          <w:rFonts w:hint="default" w:ascii="Times New Roman" w:hAnsi="Times New Roman" w:cs="Times New Roman"/>
        </w:rPr>
        <w:fldChar w:fldCharType="end"/>
      </w:r>
      <w:r>
        <w:rPr>
          <w:rFonts w:hint="default" w:ascii="Times New Roman" w:hAnsi="Times New Roman" w:cs="Times New Roman"/>
        </w:rPr>
        <w:fldChar w:fldCharType="end"/>
      </w:r>
    </w:p>
    <w:p w14:paraId="0F053A6C">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_Toc27572 </w:instrText>
      </w:r>
      <w:r>
        <w:rPr>
          <w:rFonts w:hint="default" w:ascii="Times New Roman" w:hAnsi="Times New Roman" w:cs="Times New Roman"/>
        </w:rPr>
        <w:fldChar w:fldCharType="separate"/>
      </w:r>
      <w:r>
        <w:rPr>
          <w:rFonts w:hint="default" w:ascii="Times New Roman" w:hAnsi="Times New Roman" w:cs="Times New Roman"/>
          <w:lang w:val="en-US" w:eastAsia="zh-CN"/>
        </w:rPr>
        <w:t>10.7公众参与结论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_Toc27572 \h </w:instrText>
      </w:r>
      <w:r>
        <w:rPr>
          <w:rFonts w:hint="default" w:ascii="Times New Roman" w:hAnsi="Times New Roman" w:cs="Times New Roman"/>
        </w:rPr>
        <w:fldChar w:fldCharType="separate"/>
      </w:r>
      <w:r>
        <w:rPr>
          <w:rFonts w:hint="default" w:ascii="Times New Roman" w:hAnsi="Times New Roman" w:cs="Times New Roman"/>
        </w:rPr>
        <w:t>211</w:t>
      </w:r>
      <w:r>
        <w:rPr>
          <w:rFonts w:hint="default" w:ascii="Times New Roman" w:hAnsi="Times New Roman" w:cs="Times New Roman"/>
        </w:rPr>
        <w:fldChar w:fldCharType="end"/>
      </w:r>
      <w:r>
        <w:rPr>
          <w:rFonts w:hint="default" w:ascii="Times New Roman" w:hAnsi="Times New Roman" w:cs="Times New Roman"/>
        </w:rPr>
        <w:fldChar w:fldCharType="end"/>
      </w:r>
    </w:p>
    <w:p w14:paraId="69956410">
      <w:pPr>
        <w:pStyle w:val="24"/>
        <w:tabs>
          <w:tab w:val="right" w:leader="dot" w:pos="907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_Toc32193 </w:instrText>
      </w:r>
      <w:r>
        <w:rPr>
          <w:rFonts w:hint="default" w:ascii="Times New Roman" w:hAnsi="Times New Roman" w:cs="Times New Roman"/>
        </w:rPr>
        <w:fldChar w:fldCharType="separate"/>
      </w:r>
      <w:r>
        <w:rPr>
          <w:rFonts w:hint="default" w:ascii="Times New Roman" w:hAnsi="Times New Roman" w:cs="Times New Roman"/>
          <w:lang w:val="en-US" w:eastAsia="zh-CN"/>
        </w:rPr>
        <w:t>10.8评价总结论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_Toc32193 \h </w:instrText>
      </w:r>
      <w:r>
        <w:rPr>
          <w:rFonts w:hint="default" w:ascii="Times New Roman" w:hAnsi="Times New Roman" w:cs="Times New Roman"/>
        </w:rPr>
        <w:fldChar w:fldCharType="separate"/>
      </w:r>
      <w:r>
        <w:rPr>
          <w:rFonts w:hint="default" w:ascii="Times New Roman" w:hAnsi="Times New Roman" w:cs="Times New Roman"/>
        </w:rPr>
        <w:t>212</w:t>
      </w:r>
      <w:r>
        <w:rPr>
          <w:rFonts w:hint="default" w:ascii="Times New Roman" w:hAnsi="Times New Roman" w:cs="Times New Roman"/>
        </w:rPr>
        <w:fldChar w:fldCharType="end"/>
      </w:r>
      <w:r>
        <w:rPr>
          <w:rFonts w:hint="default" w:ascii="Times New Roman" w:hAnsi="Times New Roman" w:cs="Times New Roman"/>
        </w:rPr>
        <w:fldChar w:fldCharType="end"/>
      </w:r>
    </w:p>
    <w:p w14:paraId="6D1CD061">
      <w:pPr>
        <w:rPr>
          <w:rFonts w:hint="default" w:ascii="Times New Roman" w:hAnsi="Times New Roman" w:cs="Times New Roman"/>
        </w:rPr>
      </w:pPr>
      <w:r>
        <w:rPr>
          <w:rFonts w:hint="default" w:ascii="Times New Roman" w:hAnsi="Times New Roman" w:cs="Times New Roman"/>
        </w:rPr>
        <w:fldChar w:fldCharType="end"/>
      </w:r>
    </w:p>
    <w:p w14:paraId="115DD5EC">
      <w:pP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附表</w:t>
      </w:r>
    </w:p>
    <w:p w14:paraId="6882F652">
      <w:pPr>
        <w:rPr>
          <w:rFonts w:hint="default" w:ascii="Times New Roman" w:hAnsi="Times New Roman" w:cs="Times New Roman"/>
          <w:sz w:val="21"/>
          <w:szCs w:val="21"/>
          <w:lang w:val="en-US" w:eastAsia="zh-CN"/>
        </w:rPr>
      </w:pPr>
      <w:bookmarkStart w:id="0" w:name="_Toc28853"/>
      <w:bookmarkStart w:id="1" w:name="_Toc13976"/>
      <w:r>
        <w:rPr>
          <w:rFonts w:hint="default" w:ascii="Times New Roman" w:hAnsi="Times New Roman" w:cs="Times New Roman"/>
          <w:sz w:val="21"/>
          <w:szCs w:val="21"/>
          <w:lang w:val="en-US" w:eastAsia="zh-CN"/>
        </w:rPr>
        <w:t>附表1大气环境影响评价自查表</w:t>
      </w:r>
    </w:p>
    <w:p w14:paraId="416B0986">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附表2地表水环境影响评价自查表</w:t>
      </w:r>
    </w:p>
    <w:p w14:paraId="3039BB7F">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附表3土壤环境影响评价自查表</w:t>
      </w:r>
    </w:p>
    <w:p w14:paraId="2C7F9FD1">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附表4环境风险评价自查表</w:t>
      </w:r>
    </w:p>
    <w:p w14:paraId="0B73D460">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附表5声环境影响评价自查表</w:t>
      </w:r>
    </w:p>
    <w:p w14:paraId="7476CB56">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附表6生态环境影响评价自查表</w:t>
      </w:r>
    </w:p>
    <w:p w14:paraId="59DE8B31">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附表7建设项目环境影响报告书审批基础信息表</w:t>
      </w:r>
    </w:p>
    <w:p w14:paraId="135737A4">
      <w:p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附图</w:t>
      </w:r>
    </w:p>
    <w:p w14:paraId="7806716B">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附图1项目地理位置图</w:t>
      </w:r>
    </w:p>
    <w:p w14:paraId="1A2EE977">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附图2平面布置及分区防渗图</w:t>
      </w:r>
    </w:p>
    <w:p w14:paraId="14B50187">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附图3项目与矿山位置关系图</w:t>
      </w:r>
    </w:p>
    <w:p w14:paraId="179743DC">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附图4项目区水系图</w:t>
      </w:r>
    </w:p>
    <w:p w14:paraId="7A54B94D">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附图5项目区水文地质图</w:t>
      </w:r>
    </w:p>
    <w:p w14:paraId="35828CE4">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附图6环境影响评价范围图</w:t>
      </w:r>
    </w:p>
    <w:p w14:paraId="3E68DE94">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附图7保护目标分布图</w:t>
      </w:r>
    </w:p>
    <w:p w14:paraId="5851A86A">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附图8项目与云南省生态功能分区关系图</w:t>
      </w:r>
    </w:p>
    <w:p w14:paraId="6C626503">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附图9项目与云南省生物多样性关系图</w:t>
      </w:r>
    </w:p>
    <w:p w14:paraId="771F7FBA">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附图10项目与云南省主体功能分区关系图</w:t>
      </w:r>
    </w:p>
    <w:p w14:paraId="5AE217E2">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附图11大气、地下水监测布点图</w:t>
      </w:r>
    </w:p>
    <w:p w14:paraId="7E807310">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附图12声及土壤现状监测布点图</w:t>
      </w:r>
    </w:p>
    <w:p w14:paraId="38969304">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附图13土地利用现状图</w:t>
      </w:r>
    </w:p>
    <w:p w14:paraId="644D930D">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附图14植被类型图</w:t>
      </w:r>
    </w:p>
    <w:p w14:paraId="6D924AD7">
      <w:p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附件</w:t>
      </w:r>
    </w:p>
    <w:p w14:paraId="3B793101">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附件1委托书</w:t>
      </w:r>
    </w:p>
    <w:p w14:paraId="69D5324C">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附件2备案证</w:t>
      </w:r>
    </w:p>
    <w:p w14:paraId="590207B8">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附件3营业执照</w:t>
      </w:r>
    </w:p>
    <w:p w14:paraId="46889700">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附件4关于云南新平仙福矿冶有限公司废石加工资源综合利用项目是否占用新平县生态保护红线的查询结果</w:t>
      </w:r>
    </w:p>
    <w:p w14:paraId="2E248065">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附件5项目与新平县分区管控单元查询结果</w:t>
      </w:r>
    </w:p>
    <w:p w14:paraId="154983F4">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附件6放射性检测报告</w:t>
      </w:r>
    </w:p>
    <w:p w14:paraId="75F7CD4F">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附件7环境质量现状监测报告</w:t>
      </w:r>
    </w:p>
    <w:p w14:paraId="6E14E4F4">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附件8环境质量现状补充监测报告</w:t>
      </w:r>
    </w:p>
    <w:p w14:paraId="6669C055">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附件9处罚决定书-玉环罚【2024】9-05号及罚款缴纳凭证</w:t>
      </w:r>
    </w:p>
    <w:p w14:paraId="24180ABE">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附件10除尘灰处置协议</w:t>
      </w:r>
    </w:p>
    <w:p w14:paraId="5C9EF62A">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附件11集团公司危险废物处置合同</w:t>
      </w:r>
    </w:p>
    <w:p w14:paraId="065CE23E">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附件12除尘灰处置单位新平甬福环保有限责任公司环评批复</w:t>
      </w:r>
    </w:p>
    <w:p w14:paraId="1801DAD2">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附件13采矿许可证</w:t>
      </w:r>
    </w:p>
    <w:p w14:paraId="53050AFE">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附件14鲁奎山铁矿环评批复及竣工环境保护验收意见</w:t>
      </w:r>
    </w:p>
    <w:p w14:paraId="1AC6E9C9">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附件15环评合同</w:t>
      </w:r>
    </w:p>
    <w:p w14:paraId="467AB74A">
      <w:pPr>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lang w:val="en-US" w:eastAsia="zh-CN"/>
        </w:rPr>
        <w:t>附件16关于云南新平仙福矿冶有限公司废石加工资源综合利用项目环境影响评价执行标准确认的</w:t>
      </w:r>
      <w:r>
        <w:rPr>
          <w:rFonts w:hint="default" w:ascii="Times New Roman" w:hAnsi="Times New Roman" w:cs="Times New Roman"/>
          <w:color w:val="auto"/>
          <w:sz w:val="21"/>
          <w:szCs w:val="21"/>
          <w:lang w:val="en-US" w:eastAsia="zh-CN"/>
        </w:rPr>
        <w:t>复函</w:t>
      </w:r>
    </w:p>
    <w:p w14:paraId="5CA86C53">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附件17专家组评审意见</w:t>
      </w:r>
    </w:p>
    <w:p w14:paraId="3D697E60">
      <w:pPr>
        <w:pStyle w:val="38"/>
        <w:ind w:left="0" w:leftChars="0" w:firstLine="0" w:firstLineChars="0"/>
        <w:jc w:val="left"/>
        <w:rPr>
          <w:rFonts w:hint="default" w:ascii="Times New Roman" w:hAnsi="Times New Roman" w:cs="Times New Roman"/>
          <w:color w:val="auto"/>
          <w:sz w:val="21"/>
          <w:szCs w:val="21"/>
          <w:lang w:val="en-US" w:eastAsia="zh-CN"/>
        </w:rPr>
        <w:sectPr>
          <w:headerReference r:id="rId4" w:type="default"/>
          <w:footerReference r:id="rId5" w:type="default"/>
          <w:pgSz w:w="11906" w:h="16838"/>
          <w:pgMar w:top="1418" w:right="1418" w:bottom="1418" w:left="1418" w:header="851" w:footer="851" w:gutter="0"/>
          <w:pgBorders>
            <w:top w:val="none" w:sz="0" w:space="0"/>
            <w:left w:val="none" w:sz="0" w:space="0"/>
            <w:bottom w:val="none" w:sz="0" w:space="0"/>
            <w:right w:val="none" w:sz="0" w:space="0"/>
          </w:pgBorders>
          <w:pgNumType w:fmt="decimal" w:start="1"/>
          <w:cols w:space="425" w:num="1"/>
          <w:docGrid w:type="linesAndChars" w:linePitch="326" w:charSpace="0"/>
        </w:sectPr>
      </w:pPr>
      <w:r>
        <w:rPr>
          <w:rFonts w:hint="default" w:ascii="Times New Roman" w:hAnsi="Times New Roman" w:cs="Times New Roman"/>
          <w:color w:val="auto"/>
          <w:sz w:val="21"/>
          <w:szCs w:val="21"/>
          <w:lang w:val="en-US" w:eastAsia="zh-CN"/>
        </w:rPr>
        <w:t>附件18修改对照表</w:t>
      </w:r>
    </w:p>
    <w:p w14:paraId="0A4A69FD">
      <w:pPr>
        <w:pStyle w:val="4"/>
        <w:bidi w:val="0"/>
        <w:rPr>
          <w:rFonts w:hint="default" w:ascii="Times New Roman" w:hAnsi="Times New Roman" w:cs="Times New Roman"/>
        </w:rPr>
      </w:pPr>
      <w:bookmarkStart w:id="2" w:name="_Toc6026"/>
      <w:bookmarkStart w:id="3" w:name="_Toc26184"/>
      <w:bookmarkStart w:id="4" w:name="_Toc12945"/>
      <w:r>
        <w:rPr>
          <w:rFonts w:hint="default" w:ascii="Times New Roman" w:hAnsi="Times New Roman" w:cs="Times New Roman"/>
          <w:lang w:val="en-US" w:eastAsia="zh-CN"/>
        </w:rPr>
        <w:t>1</w:t>
      </w:r>
      <w:r>
        <w:rPr>
          <w:rFonts w:hint="default" w:ascii="Times New Roman" w:hAnsi="Times New Roman" w:cs="Times New Roman"/>
        </w:rPr>
        <w:t>概述</w:t>
      </w:r>
      <w:bookmarkEnd w:id="0"/>
      <w:bookmarkEnd w:id="1"/>
      <w:bookmarkEnd w:id="2"/>
      <w:bookmarkEnd w:id="3"/>
      <w:bookmarkEnd w:id="4"/>
    </w:p>
    <w:p w14:paraId="2132F345">
      <w:pPr>
        <w:pStyle w:val="5"/>
        <w:bidi w:val="0"/>
        <w:rPr>
          <w:rFonts w:hint="default" w:ascii="Times New Roman" w:hAnsi="Times New Roman" w:cs="Times New Roman"/>
        </w:rPr>
      </w:pPr>
      <w:bookmarkStart w:id="5" w:name="_Toc3784295"/>
      <w:bookmarkStart w:id="6" w:name="_Toc90625715"/>
      <w:bookmarkStart w:id="7" w:name="_Toc21890"/>
      <w:bookmarkStart w:id="8" w:name="_Toc166"/>
      <w:bookmarkStart w:id="9" w:name="_Toc5781"/>
      <w:bookmarkStart w:id="10" w:name="_Toc22933"/>
      <w:bookmarkStart w:id="11" w:name="_Toc26099"/>
      <w:bookmarkStart w:id="12" w:name="_Toc3329"/>
      <w:bookmarkStart w:id="13" w:name="_Toc22398"/>
      <w:bookmarkStart w:id="14" w:name="_Toc7840"/>
      <w:bookmarkStart w:id="15" w:name="_Toc486273341"/>
      <w:bookmarkStart w:id="16" w:name="_Toc56591600"/>
      <w:bookmarkStart w:id="17" w:name="_Toc446478681"/>
      <w:bookmarkStart w:id="18" w:name="_Toc11881"/>
      <w:bookmarkStart w:id="19" w:name="_Toc901"/>
      <w:bookmarkStart w:id="20" w:name="_Toc19883"/>
      <w:r>
        <w:rPr>
          <w:rFonts w:hint="default" w:ascii="Times New Roman" w:hAnsi="Times New Roman" w:cs="Times New Roman"/>
        </w:rPr>
        <w:t>1</w:t>
      </w:r>
      <w:r>
        <w:rPr>
          <w:rFonts w:hint="default" w:ascii="Times New Roman" w:hAnsi="Times New Roman" w:cs="Times New Roman"/>
          <w:lang w:val="en-US" w:eastAsia="zh-CN"/>
        </w:rPr>
        <w:t>.1</w:t>
      </w:r>
      <w:r>
        <w:rPr>
          <w:rFonts w:hint="default" w:ascii="Times New Roman" w:hAnsi="Times New Roman" w:cs="Times New Roman"/>
        </w:rPr>
        <w:t>任务由来</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4977E81">
      <w:pPr>
        <w:spacing w:line="360" w:lineRule="auto"/>
        <w:ind w:firstLine="480"/>
        <w:rPr>
          <w:rFonts w:hint="default" w:ascii="Times New Roman" w:hAnsi="Times New Roman" w:cs="Times New Roman" w:eastAsiaTheme="minorEastAsia"/>
          <w:sz w:val="24"/>
          <w:szCs w:val="24"/>
        </w:rPr>
      </w:pPr>
      <w:bookmarkStart w:id="21" w:name="_Toc446478682"/>
      <w:bookmarkStart w:id="22" w:name="_Toc422438232"/>
      <w:bookmarkStart w:id="23" w:name="_Toc3784296"/>
      <w:bookmarkStart w:id="24" w:name="_Toc486273342"/>
      <w:bookmarkStart w:id="25" w:name="_Toc56591601"/>
      <w:bookmarkStart w:id="26" w:name="_Toc446478683"/>
      <w:bookmarkStart w:id="27" w:name="_Toc422438235"/>
      <w:bookmarkStart w:id="28" w:name="_Toc17581"/>
      <w:bookmarkStart w:id="29" w:name="_Toc447198620"/>
      <w:bookmarkStart w:id="30" w:name="_Toc90625716"/>
      <w:r>
        <w:rPr>
          <w:rFonts w:hint="default" w:ascii="Times New Roman" w:hAnsi="Times New Roman" w:cs="Times New Roman" w:eastAsiaTheme="minorEastAsia"/>
          <w:sz w:val="24"/>
          <w:szCs w:val="24"/>
        </w:rPr>
        <w:t>云南省新平鲁奎山铁矿于1989年建成投产，采矿权人为云南新平仙福矿冶有限公司，主要进行铁矿石开采，产品有菱铁矿和褐铁矿矿石等</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根据采矿许可证，其开采规模为35万吨/年。矿区面积0.8962平方公里，开采深度：由2014米至1380米标高，共有23个拐点圈定。</w:t>
      </w:r>
    </w:p>
    <w:p w14:paraId="693560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kern w:val="0"/>
          <w:sz w:val="24"/>
          <w:szCs w:val="24"/>
          <w:lang w:val="en-US" w:eastAsia="zh-CN"/>
        </w:rPr>
      </w:pPr>
      <w:r>
        <w:rPr>
          <w:rFonts w:hint="default" w:ascii="Times New Roman" w:hAnsi="Times New Roman" w:cs="Times New Roman" w:eastAsiaTheme="minorEastAsia"/>
          <w:bCs/>
          <w:color w:val="auto"/>
          <w:sz w:val="24"/>
          <w:szCs w:val="24"/>
          <w:lang w:val="en-US" w:eastAsia="zh-CN"/>
        </w:rPr>
        <w:t>随着铁矿向深部开采，采出的矿石品位将会下降，直接销售原矿经济效益不佳。为提高矿山经济效益，回收利用低品位矿石</w:t>
      </w:r>
      <w:r>
        <w:rPr>
          <w:rFonts w:hint="default" w:ascii="Times New Roman" w:hAnsi="Times New Roman" w:cs="Times New Roman" w:eastAsiaTheme="minorEastAsia"/>
          <w:bCs/>
          <w:color w:val="auto"/>
          <w:sz w:val="24"/>
          <w:szCs w:val="24"/>
          <w:lang w:val="zh-CN" w:eastAsia="zh-CN"/>
        </w:rPr>
        <w:t>，杜绝资</w:t>
      </w:r>
      <w:r>
        <w:rPr>
          <w:rFonts w:hint="default" w:ascii="Times New Roman" w:hAnsi="Times New Roman" w:cs="Times New Roman" w:eastAsiaTheme="minorEastAsia"/>
          <w:color w:val="auto"/>
          <w:kern w:val="0"/>
          <w:sz w:val="24"/>
          <w:szCs w:val="24"/>
          <w:lang w:val="zh-CN"/>
        </w:rPr>
        <w:t>源浪费，云南新平仙福矿冶有限公司</w:t>
      </w:r>
      <w:r>
        <w:rPr>
          <w:rFonts w:hint="default" w:ascii="Times New Roman" w:hAnsi="Times New Roman" w:cs="Times New Roman" w:eastAsiaTheme="minorEastAsia"/>
          <w:color w:val="auto"/>
          <w:kern w:val="0"/>
          <w:sz w:val="24"/>
          <w:szCs w:val="24"/>
        </w:rPr>
        <w:t>决定</w:t>
      </w:r>
      <w:r>
        <w:rPr>
          <w:rFonts w:hint="default" w:ascii="Times New Roman" w:hAnsi="Times New Roman" w:cs="Times New Roman" w:eastAsiaTheme="minorEastAsia"/>
          <w:color w:val="auto"/>
          <w:kern w:val="0"/>
          <w:sz w:val="24"/>
          <w:szCs w:val="24"/>
          <w:lang w:val="en-US" w:eastAsia="zh-CN"/>
        </w:rPr>
        <w:t>利用鲁奎山铁矿6#料场内部分空地（项目占地位于鲁奎山铁矿矿界范围外）</w:t>
      </w:r>
      <w:r>
        <w:rPr>
          <w:rFonts w:hint="default" w:ascii="Times New Roman" w:hAnsi="Times New Roman" w:cs="Times New Roman" w:eastAsiaTheme="minorEastAsia"/>
          <w:color w:val="auto"/>
          <w:kern w:val="0"/>
          <w:sz w:val="24"/>
          <w:szCs w:val="24"/>
        </w:rPr>
        <w:t>，</w:t>
      </w:r>
      <w:r>
        <w:rPr>
          <w:rFonts w:hint="default" w:ascii="Times New Roman" w:hAnsi="Times New Roman" w:cs="Times New Roman" w:eastAsiaTheme="minorEastAsia"/>
          <w:color w:val="auto"/>
          <w:kern w:val="0"/>
          <w:sz w:val="24"/>
          <w:szCs w:val="24"/>
          <w:lang w:val="en-US" w:eastAsia="zh-CN"/>
        </w:rPr>
        <w:t>建设一条</w:t>
      </w:r>
      <w:r>
        <w:rPr>
          <w:rFonts w:hint="default" w:ascii="Times New Roman" w:hAnsi="Times New Roman" w:cs="Times New Roman" w:eastAsiaTheme="minorEastAsia"/>
          <w:bCs/>
          <w:color w:val="auto"/>
          <w:sz w:val="24"/>
          <w:szCs w:val="24"/>
          <w:lang w:val="en-US" w:eastAsia="zh-CN"/>
        </w:rPr>
        <w:t>破碎－筛分－磁选的选矿生产线</w:t>
      </w:r>
      <w:r>
        <w:rPr>
          <w:rFonts w:hint="default" w:ascii="Times New Roman" w:hAnsi="Times New Roman" w:cs="Times New Roman" w:eastAsiaTheme="minorEastAsia"/>
          <w:color w:val="auto"/>
          <w:kern w:val="0"/>
          <w:sz w:val="24"/>
          <w:szCs w:val="24"/>
          <w:lang w:val="zh-CN"/>
        </w:rPr>
        <w:t>，</w:t>
      </w:r>
      <w:r>
        <w:rPr>
          <w:rFonts w:hint="default" w:ascii="Times New Roman" w:hAnsi="Times New Roman" w:cs="Times New Roman" w:eastAsiaTheme="minorEastAsia"/>
          <w:color w:val="auto"/>
          <w:kern w:val="0"/>
          <w:sz w:val="24"/>
          <w:szCs w:val="24"/>
        </w:rPr>
        <w:t>将</w:t>
      </w:r>
      <w:r>
        <w:rPr>
          <w:rFonts w:hint="default" w:ascii="Times New Roman" w:hAnsi="Times New Roman" w:cs="Times New Roman" w:eastAsiaTheme="minorEastAsia"/>
          <w:color w:val="auto"/>
          <w:kern w:val="0"/>
          <w:sz w:val="24"/>
          <w:szCs w:val="24"/>
          <w:lang w:val="en-US" w:eastAsia="zh-CN"/>
        </w:rPr>
        <w:t>鲁奎山铁矿开采的贫矿经人工分拣后的矿石作为原料</w:t>
      </w:r>
      <w:r>
        <w:rPr>
          <w:rFonts w:hint="default" w:ascii="Times New Roman" w:hAnsi="Times New Roman" w:cs="Times New Roman" w:eastAsiaTheme="minorEastAsia"/>
          <w:color w:val="auto"/>
          <w:kern w:val="0"/>
          <w:sz w:val="24"/>
          <w:szCs w:val="24"/>
        </w:rPr>
        <w:t>，</w:t>
      </w:r>
      <w:r>
        <w:rPr>
          <w:rFonts w:hint="default" w:ascii="Times New Roman" w:hAnsi="Times New Roman" w:cs="Times New Roman" w:eastAsiaTheme="minorEastAsia"/>
          <w:color w:val="auto"/>
          <w:kern w:val="0"/>
          <w:sz w:val="24"/>
          <w:szCs w:val="24"/>
          <w:lang w:val="en-US" w:eastAsia="zh-CN"/>
        </w:rPr>
        <w:t>进行破碎筛分产出部分建筑砂石料，并采用磁选机</w:t>
      </w:r>
      <w:r>
        <w:rPr>
          <w:rFonts w:hint="default" w:ascii="Times New Roman" w:hAnsi="Times New Roman" w:cs="Times New Roman" w:eastAsiaTheme="minorEastAsia"/>
          <w:color w:val="auto"/>
          <w:kern w:val="0"/>
          <w:sz w:val="24"/>
          <w:szCs w:val="24"/>
        </w:rPr>
        <w:t>进行再次精选，</w:t>
      </w:r>
      <w:r>
        <w:rPr>
          <w:rFonts w:hint="default" w:ascii="Times New Roman" w:hAnsi="Times New Roman" w:cs="Times New Roman" w:eastAsiaTheme="minorEastAsia"/>
          <w:color w:val="auto"/>
          <w:kern w:val="0"/>
          <w:sz w:val="24"/>
          <w:szCs w:val="24"/>
          <w:lang w:val="en-US" w:eastAsia="zh-CN"/>
        </w:rPr>
        <w:t>回收部分铁矿石</w:t>
      </w:r>
      <w:r>
        <w:rPr>
          <w:rFonts w:hint="default" w:ascii="Times New Roman" w:hAnsi="Times New Roman" w:cs="Times New Roman" w:eastAsiaTheme="minorEastAsia"/>
          <w:color w:val="auto"/>
          <w:kern w:val="0"/>
          <w:sz w:val="24"/>
          <w:szCs w:val="24"/>
        </w:rPr>
        <w:t>。项目建成后，</w:t>
      </w:r>
      <w:r>
        <w:rPr>
          <w:rFonts w:hint="default" w:ascii="Times New Roman" w:hAnsi="Times New Roman" w:cs="Times New Roman" w:eastAsiaTheme="minorEastAsia"/>
          <w:color w:val="auto"/>
          <w:kern w:val="0"/>
          <w:sz w:val="24"/>
          <w:szCs w:val="24"/>
          <w:lang w:val="en-US" w:eastAsia="zh-CN"/>
        </w:rPr>
        <w:t>达到年处理10万吨贫矿的生产规模</w:t>
      </w:r>
      <w:r>
        <w:rPr>
          <w:rFonts w:hint="default" w:ascii="Times New Roman" w:hAnsi="Times New Roman" w:cs="Times New Roman" w:eastAsiaTheme="minorEastAsia"/>
          <w:color w:val="auto"/>
          <w:kern w:val="0"/>
          <w:sz w:val="24"/>
          <w:szCs w:val="24"/>
        </w:rPr>
        <w:t>。</w:t>
      </w:r>
      <w:r>
        <w:rPr>
          <w:rFonts w:hint="default" w:ascii="Times New Roman" w:hAnsi="Times New Roman" w:cs="Times New Roman" w:eastAsiaTheme="minorEastAsia"/>
          <w:color w:val="auto"/>
          <w:kern w:val="0"/>
          <w:sz w:val="24"/>
          <w:szCs w:val="24"/>
          <w:lang w:val="en-US" w:eastAsia="zh-CN"/>
        </w:rPr>
        <w:t>项目备案名称为“废石加工资源综合利用项目”，由于生产工艺有干式磁选，项目类别判定为选矿类项目。</w:t>
      </w:r>
    </w:p>
    <w:p w14:paraId="4A1DE7D8">
      <w:pPr>
        <w:adjustRightInd w:val="0"/>
        <w:snapToGrid w:val="0"/>
        <w:spacing w:line="360" w:lineRule="auto"/>
        <w:ind w:firstLine="480" w:firstLineChars="200"/>
        <w:jc w:val="left"/>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项目占地面积为</w:t>
      </w:r>
      <w:r>
        <w:rPr>
          <w:rFonts w:hint="default" w:ascii="Times New Roman" w:hAnsi="Times New Roman" w:cs="Times New Roman" w:eastAsiaTheme="minorEastAsia"/>
          <w:color w:val="auto"/>
          <w:sz w:val="24"/>
          <w:szCs w:val="24"/>
          <w:highlight w:val="none"/>
          <w:lang w:val="en-US" w:eastAsia="zh-CN"/>
        </w:rPr>
        <w:t>3000m</w:t>
      </w:r>
      <w:r>
        <w:rPr>
          <w:rFonts w:hint="default" w:ascii="Times New Roman" w:hAnsi="Times New Roman" w:cs="Times New Roman" w:eastAsiaTheme="minorEastAsia"/>
          <w:color w:val="auto"/>
          <w:sz w:val="24"/>
          <w:szCs w:val="24"/>
          <w:highlight w:val="none"/>
          <w:vertAlign w:val="superscript"/>
          <w:lang w:val="en-US" w:eastAsia="zh-CN"/>
        </w:rPr>
        <w:t>2</w:t>
      </w:r>
      <w:r>
        <w:rPr>
          <w:rFonts w:hint="default" w:ascii="Times New Roman" w:hAnsi="Times New Roman" w:cs="Times New Roman" w:eastAsiaTheme="minorEastAsia"/>
          <w:color w:val="auto"/>
          <w:kern w:val="2"/>
          <w:sz w:val="24"/>
          <w:szCs w:val="24"/>
          <w:highlight w:val="none"/>
          <w:lang w:val="en-US" w:eastAsia="zh-CN" w:bidi="ar-SA"/>
        </w:rPr>
        <w:t>，</w:t>
      </w:r>
      <w:r>
        <w:rPr>
          <w:rFonts w:hint="default" w:ascii="Times New Roman" w:hAnsi="Times New Roman" w:cs="Times New Roman" w:eastAsiaTheme="minorEastAsia"/>
          <w:kern w:val="0"/>
          <w:sz w:val="24"/>
          <w:szCs w:val="24"/>
          <w:lang w:val="en-US" w:eastAsia="zh-CN"/>
        </w:rPr>
        <w:t>于2024年04月23日取得了新平彝族傣族自治县发展和改革局出具的投资项目备案证，项目代码为：2404-530427-04-01-771767。</w:t>
      </w:r>
      <w:r>
        <w:rPr>
          <w:rFonts w:hint="default" w:ascii="Times New Roman" w:hAnsi="Times New Roman" w:cs="Times New Roman" w:eastAsiaTheme="minorEastAsia"/>
          <w:color w:val="auto"/>
          <w:kern w:val="2"/>
          <w:sz w:val="24"/>
          <w:szCs w:val="24"/>
          <w:highlight w:val="none"/>
          <w:lang w:val="en-US" w:eastAsia="zh-CN" w:bidi="ar-SA"/>
        </w:rPr>
        <w:t>根据《中华人民共和国环境影响评价法》和《建设项目环境保护管理条例》的有关规定，受</w:t>
      </w:r>
      <w:r>
        <w:rPr>
          <w:rFonts w:hint="default" w:ascii="Times New Roman" w:hAnsi="Times New Roman" w:cs="Times New Roman" w:eastAsiaTheme="minorEastAsia"/>
          <w:sz w:val="24"/>
          <w:szCs w:val="24"/>
        </w:rPr>
        <w:t>云南新平仙福矿冶有限公司</w:t>
      </w:r>
      <w:r>
        <w:rPr>
          <w:rFonts w:hint="default" w:ascii="Times New Roman" w:hAnsi="Times New Roman" w:cs="Times New Roman" w:eastAsiaTheme="minorEastAsia"/>
          <w:color w:val="auto"/>
          <w:kern w:val="2"/>
          <w:sz w:val="24"/>
          <w:szCs w:val="24"/>
          <w:highlight w:val="none"/>
          <w:lang w:val="en-US" w:eastAsia="zh-CN" w:bidi="ar-SA"/>
        </w:rPr>
        <w:t>的委托，云南崇皓环境科技有限公司承担《</w:t>
      </w:r>
      <w:r>
        <w:rPr>
          <w:rFonts w:hint="default" w:ascii="Times New Roman" w:hAnsi="Times New Roman" w:cs="Times New Roman" w:eastAsiaTheme="minorEastAsia"/>
          <w:sz w:val="24"/>
          <w:szCs w:val="24"/>
        </w:rPr>
        <w:t>云南新平仙福矿冶有限公司废石加工资源综合利用项目</w:t>
      </w:r>
      <w:r>
        <w:rPr>
          <w:rFonts w:hint="default" w:ascii="Times New Roman" w:hAnsi="Times New Roman" w:cs="Times New Roman" w:eastAsiaTheme="minorEastAsia"/>
          <w:color w:val="auto"/>
          <w:kern w:val="2"/>
          <w:sz w:val="24"/>
          <w:szCs w:val="24"/>
          <w:highlight w:val="none"/>
          <w:lang w:val="en-US" w:eastAsia="zh-CN" w:bidi="ar-SA"/>
        </w:rPr>
        <w:t>环境影响报告书》的编制工作。</w:t>
      </w:r>
    </w:p>
    <w:p w14:paraId="5AFABCDF">
      <w:pPr>
        <w:adjustRightInd w:val="0"/>
        <w:snapToGrid w:val="0"/>
        <w:spacing w:line="360" w:lineRule="auto"/>
        <w:ind w:firstLine="480" w:firstLineChars="200"/>
        <w:jc w:val="left"/>
        <w:rPr>
          <w:rFonts w:hint="default" w:ascii="Times New Roman" w:hAnsi="Times New Roman" w:cs="Times New Roman" w:eastAsiaTheme="minorEastAsia"/>
          <w:bCs/>
          <w:color w:val="auto"/>
          <w:sz w:val="24"/>
          <w:szCs w:val="24"/>
          <w:lang w:val="en-US"/>
        </w:rPr>
      </w:pPr>
      <w:r>
        <w:rPr>
          <w:rFonts w:hint="default" w:ascii="Times New Roman" w:hAnsi="Times New Roman" w:cs="Times New Roman" w:eastAsiaTheme="minorEastAsia"/>
          <w:bCs/>
          <w:color w:val="auto"/>
          <w:sz w:val="24"/>
          <w:szCs w:val="24"/>
        </w:rPr>
        <w:t>项目于</w:t>
      </w:r>
      <w:r>
        <w:rPr>
          <w:rFonts w:hint="default" w:ascii="Times New Roman" w:hAnsi="Times New Roman" w:cs="Times New Roman" w:eastAsiaTheme="minorEastAsia"/>
          <w:bCs/>
          <w:color w:val="auto"/>
          <w:sz w:val="24"/>
          <w:szCs w:val="24"/>
          <w:lang w:val="en-US" w:eastAsia="zh-CN"/>
        </w:rPr>
        <w:t>2021年2月开始建设，于2021年5月完成。</w:t>
      </w:r>
      <w:r>
        <w:rPr>
          <w:rFonts w:hint="default" w:ascii="Times New Roman" w:hAnsi="Times New Roman" w:cs="Times New Roman" w:eastAsiaTheme="minorEastAsia"/>
          <w:bCs/>
          <w:color w:val="auto"/>
          <w:sz w:val="24"/>
          <w:szCs w:val="24"/>
        </w:rPr>
        <w:t>属于未批先建项目。</w:t>
      </w:r>
      <w:r>
        <w:rPr>
          <w:rFonts w:hint="default" w:ascii="Times New Roman" w:hAnsi="Times New Roman" w:cs="Times New Roman" w:eastAsiaTheme="minorEastAsia"/>
          <w:bCs/>
          <w:color w:val="auto"/>
          <w:sz w:val="24"/>
          <w:szCs w:val="24"/>
          <w:lang w:val="en-US" w:eastAsia="zh-CN"/>
        </w:rPr>
        <w:t>2024年7月8日收到</w:t>
      </w:r>
      <w:r>
        <w:rPr>
          <w:rFonts w:hint="default" w:ascii="Times New Roman" w:hAnsi="Times New Roman" w:cs="Times New Roman" w:eastAsiaTheme="minorEastAsia"/>
          <w:bCs/>
          <w:color w:val="auto"/>
          <w:sz w:val="24"/>
          <w:szCs w:val="24"/>
        </w:rPr>
        <w:t>玉溪市生态环境局行政处罚决定书</w:t>
      </w:r>
      <w:r>
        <w:rPr>
          <w:rFonts w:hint="default" w:ascii="Times New Roman" w:hAnsi="Times New Roman" w:cs="Times New Roman" w:eastAsiaTheme="minorEastAsia"/>
          <w:bCs/>
          <w:color w:val="auto"/>
          <w:sz w:val="24"/>
          <w:szCs w:val="24"/>
          <w:lang w:eastAsia="zh-CN"/>
        </w:rPr>
        <w:t>（</w:t>
      </w:r>
      <w:r>
        <w:rPr>
          <w:rFonts w:hint="default" w:ascii="Times New Roman" w:hAnsi="Times New Roman" w:cs="Times New Roman" w:eastAsiaTheme="minorEastAsia"/>
          <w:bCs/>
          <w:color w:val="auto"/>
          <w:sz w:val="24"/>
          <w:szCs w:val="24"/>
        </w:rPr>
        <w:t>玉环罚</w:t>
      </w:r>
      <w:r>
        <w:rPr>
          <w:rFonts w:hint="default" w:ascii="Times New Roman" w:hAnsi="Times New Roman" w:eastAsia="微软雅黑" w:cs="Times New Roman"/>
          <w:bCs/>
          <w:color w:val="auto"/>
          <w:sz w:val="24"/>
          <w:szCs w:val="24"/>
        </w:rPr>
        <w:t>［</w:t>
      </w:r>
      <w:r>
        <w:rPr>
          <w:rFonts w:hint="default" w:ascii="Times New Roman" w:hAnsi="Times New Roman" w:cs="Times New Roman" w:eastAsiaTheme="minorEastAsia"/>
          <w:bCs/>
          <w:color w:val="auto"/>
          <w:sz w:val="24"/>
          <w:szCs w:val="24"/>
        </w:rPr>
        <w:t>2024]9-05号</w:t>
      </w:r>
      <w:r>
        <w:rPr>
          <w:rFonts w:hint="default" w:ascii="Times New Roman" w:hAnsi="Times New Roman" w:cs="Times New Roman" w:eastAsiaTheme="minorEastAsia"/>
          <w:bCs/>
          <w:color w:val="auto"/>
          <w:sz w:val="24"/>
          <w:szCs w:val="24"/>
          <w:lang w:eastAsia="zh-CN"/>
        </w:rPr>
        <w:t>），</w:t>
      </w:r>
      <w:r>
        <w:rPr>
          <w:rFonts w:hint="default" w:ascii="Times New Roman" w:hAnsi="Times New Roman" w:cs="Times New Roman" w:eastAsiaTheme="minorEastAsia"/>
          <w:bCs/>
          <w:color w:val="auto"/>
          <w:sz w:val="24"/>
          <w:szCs w:val="24"/>
          <w:lang w:val="en-US" w:eastAsia="zh-CN"/>
        </w:rPr>
        <w:t>见附件9。建设单位已完成罚款缴纳。</w:t>
      </w:r>
    </w:p>
    <w:p w14:paraId="47A314B1">
      <w:pPr>
        <w:adjustRightInd w:val="0"/>
        <w:snapToGrid w:val="0"/>
        <w:spacing w:line="360" w:lineRule="auto"/>
        <w:ind w:firstLine="480" w:firstLineChars="200"/>
        <w:jc w:val="left"/>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本次评价任务为“</w:t>
      </w:r>
      <w:r>
        <w:rPr>
          <w:rFonts w:hint="default" w:ascii="Times New Roman" w:hAnsi="Times New Roman" w:cs="Times New Roman" w:eastAsiaTheme="minorEastAsia"/>
          <w:color w:val="auto"/>
          <w:sz w:val="24"/>
          <w:szCs w:val="24"/>
        </w:rPr>
        <w:t>云南新平仙福矿冶有限公司废石加工资源综合利用项目</w:t>
      </w:r>
      <w:r>
        <w:rPr>
          <w:rFonts w:hint="default" w:ascii="Times New Roman" w:hAnsi="Times New Roman" w:cs="Times New Roman" w:eastAsiaTheme="minorEastAsia"/>
          <w:bCs/>
          <w:color w:val="auto"/>
          <w:sz w:val="24"/>
          <w:szCs w:val="24"/>
        </w:rPr>
        <w:t>”补办环评手续，对本项目实施后可能造成的环境影响进行分析、预测和评估，提出预防或者减轻不良环境影响的对策和措施，并分析已建项目存在的环境问题，提出相应的整改措施。</w:t>
      </w:r>
    </w:p>
    <w:bookmarkEnd w:id="21"/>
    <w:bookmarkEnd w:id="22"/>
    <w:p w14:paraId="7DCA23EB">
      <w:pPr>
        <w:pStyle w:val="5"/>
        <w:bidi w:val="0"/>
        <w:rPr>
          <w:rFonts w:hint="default" w:ascii="Times New Roman" w:hAnsi="Times New Roman" w:cs="Times New Roman"/>
        </w:rPr>
      </w:pPr>
      <w:bookmarkStart w:id="31" w:name="_Toc29967"/>
      <w:bookmarkStart w:id="32" w:name="_Toc15684"/>
      <w:bookmarkStart w:id="33" w:name="_Toc10578"/>
      <w:bookmarkStart w:id="34" w:name="_Toc9530"/>
      <w:bookmarkStart w:id="35" w:name="_Toc30142"/>
      <w:bookmarkStart w:id="36" w:name="_Toc9593"/>
      <w:bookmarkStart w:id="37" w:name="_Toc217"/>
      <w:bookmarkStart w:id="38" w:name="_Toc25827"/>
      <w:bookmarkStart w:id="39" w:name="_Toc30206"/>
      <w:bookmarkStart w:id="40" w:name="_Toc10773"/>
      <w:r>
        <w:rPr>
          <w:rFonts w:hint="default" w:ascii="Times New Roman" w:hAnsi="Times New Roman" w:cs="Times New Roman"/>
          <w:lang w:val="en-US" w:eastAsia="zh-CN"/>
        </w:rPr>
        <w:t>1.</w:t>
      </w:r>
      <w:r>
        <w:rPr>
          <w:rFonts w:hint="default" w:ascii="Times New Roman" w:hAnsi="Times New Roman" w:cs="Times New Roman"/>
          <w:lang w:val="en-US"/>
        </w:rPr>
        <w:t>2</w:t>
      </w:r>
      <w:r>
        <w:rPr>
          <w:rFonts w:hint="default" w:ascii="Times New Roman" w:hAnsi="Times New Roman" w:cs="Times New Roman"/>
        </w:rPr>
        <w:t>环境影响评价工作过程</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1FBDEF7C">
      <w:pPr>
        <w:autoSpaceDE w:val="0"/>
        <w:autoSpaceDN w:val="0"/>
        <w:spacing w:line="360" w:lineRule="auto"/>
        <w:ind w:firstLine="480" w:firstLineChars="200"/>
        <w:jc w:val="left"/>
        <w:rPr>
          <w:rFonts w:hint="default" w:ascii="Times New Roman" w:hAnsi="Times New Roman" w:cs="Times New Roman" w:eastAsiaTheme="minorEastAsia"/>
          <w:bCs/>
          <w:color w:val="auto"/>
          <w:sz w:val="24"/>
          <w:szCs w:val="24"/>
          <w:lang w:eastAsia="zh-CN"/>
        </w:rPr>
      </w:pPr>
      <w:r>
        <w:rPr>
          <w:rFonts w:hint="default" w:ascii="Times New Roman" w:hAnsi="Times New Roman" w:cs="Times New Roman" w:eastAsiaTheme="minorEastAsia"/>
          <w:color w:val="auto"/>
          <w:kern w:val="0"/>
          <w:sz w:val="24"/>
          <w:szCs w:val="24"/>
        </w:rPr>
        <w:t>202</w:t>
      </w:r>
      <w:r>
        <w:rPr>
          <w:rFonts w:hint="default" w:ascii="Times New Roman" w:hAnsi="Times New Roman" w:cs="Times New Roman" w:eastAsiaTheme="minorEastAsia"/>
          <w:color w:val="auto"/>
          <w:kern w:val="0"/>
          <w:sz w:val="24"/>
          <w:szCs w:val="24"/>
          <w:lang w:val="en-US" w:eastAsia="zh-CN"/>
        </w:rPr>
        <w:t>4</w:t>
      </w:r>
      <w:r>
        <w:rPr>
          <w:rFonts w:hint="default" w:ascii="Times New Roman" w:hAnsi="Times New Roman" w:cs="Times New Roman" w:eastAsiaTheme="minorEastAsia"/>
          <w:color w:val="auto"/>
          <w:kern w:val="0"/>
          <w:sz w:val="24"/>
          <w:szCs w:val="24"/>
        </w:rPr>
        <w:t>年</w:t>
      </w:r>
      <w:r>
        <w:rPr>
          <w:rFonts w:hint="default" w:ascii="Times New Roman" w:hAnsi="Times New Roman" w:cs="Times New Roman" w:eastAsiaTheme="minorEastAsia"/>
          <w:color w:val="auto"/>
          <w:kern w:val="0"/>
          <w:sz w:val="24"/>
          <w:szCs w:val="24"/>
          <w:lang w:val="en-US" w:eastAsia="zh-CN"/>
        </w:rPr>
        <w:t>5</w:t>
      </w:r>
      <w:r>
        <w:rPr>
          <w:rFonts w:hint="default" w:ascii="Times New Roman" w:hAnsi="Times New Roman" w:cs="Times New Roman" w:eastAsiaTheme="minorEastAsia"/>
          <w:color w:val="auto"/>
          <w:kern w:val="0"/>
          <w:sz w:val="24"/>
          <w:szCs w:val="24"/>
        </w:rPr>
        <w:t>月</w:t>
      </w:r>
      <w:r>
        <w:rPr>
          <w:rFonts w:hint="default" w:ascii="Times New Roman" w:hAnsi="Times New Roman" w:cs="Times New Roman" w:eastAsiaTheme="minorEastAsia"/>
          <w:color w:val="auto"/>
          <w:kern w:val="0"/>
          <w:sz w:val="24"/>
          <w:szCs w:val="24"/>
          <w:lang w:val="en-US" w:eastAsia="zh-CN"/>
        </w:rPr>
        <w:t>12</w:t>
      </w:r>
      <w:r>
        <w:rPr>
          <w:rFonts w:hint="default" w:ascii="Times New Roman" w:hAnsi="Times New Roman" w:cs="Times New Roman" w:eastAsiaTheme="minorEastAsia"/>
          <w:color w:val="auto"/>
          <w:kern w:val="0"/>
          <w:sz w:val="24"/>
          <w:szCs w:val="24"/>
        </w:rPr>
        <w:t>日</w:t>
      </w:r>
      <w:r>
        <w:rPr>
          <w:rFonts w:hint="default" w:ascii="Times New Roman" w:hAnsi="Times New Roman" w:cs="Times New Roman" w:eastAsiaTheme="minorEastAsia"/>
          <w:color w:val="auto"/>
          <w:kern w:val="0"/>
          <w:sz w:val="24"/>
          <w:szCs w:val="24"/>
          <w:lang w:val="en-US" w:eastAsia="zh-CN"/>
        </w:rPr>
        <w:t>受</w:t>
      </w:r>
      <w:r>
        <w:rPr>
          <w:rFonts w:hint="default" w:ascii="Times New Roman" w:hAnsi="Times New Roman" w:cs="Times New Roman" w:eastAsiaTheme="minorEastAsia"/>
          <w:color w:val="auto"/>
          <w:sz w:val="24"/>
          <w:szCs w:val="24"/>
        </w:rPr>
        <w:t>云南新平仙福矿冶有限公司</w:t>
      </w:r>
      <w:r>
        <w:rPr>
          <w:rFonts w:hint="default" w:ascii="Times New Roman" w:hAnsi="Times New Roman" w:cs="Times New Roman" w:eastAsiaTheme="minorEastAsia"/>
          <w:color w:val="auto"/>
          <w:kern w:val="0"/>
          <w:sz w:val="24"/>
          <w:szCs w:val="24"/>
        </w:rPr>
        <w:t>的</w:t>
      </w:r>
      <w:r>
        <w:rPr>
          <w:rFonts w:hint="default" w:ascii="Times New Roman" w:hAnsi="Times New Roman" w:cs="Times New Roman" w:eastAsiaTheme="minorEastAsia"/>
          <w:color w:val="auto"/>
          <w:kern w:val="0"/>
          <w:sz w:val="24"/>
          <w:szCs w:val="24"/>
          <w:lang w:val="en-US" w:eastAsia="zh-CN"/>
        </w:rPr>
        <w:t>委托，</w:t>
      </w:r>
      <w:r>
        <w:rPr>
          <w:rFonts w:hint="default" w:ascii="Times New Roman" w:hAnsi="Times New Roman" w:cs="Times New Roman" w:eastAsiaTheme="minorEastAsia"/>
          <w:color w:val="auto"/>
          <w:kern w:val="2"/>
          <w:sz w:val="24"/>
          <w:szCs w:val="24"/>
          <w:highlight w:val="none"/>
          <w:lang w:val="en-US" w:eastAsia="zh-CN" w:bidi="ar-SA"/>
        </w:rPr>
        <w:t>云南崇皓环境科技有限公司</w:t>
      </w:r>
      <w:r>
        <w:rPr>
          <w:rFonts w:hint="default" w:ascii="Times New Roman" w:hAnsi="Times New Roman" w:cs="Times New Roman" w:eastAsiaTheme="minorEastAsia"/>
          <w:color w:val="auto"/>
          <w:sz w:val="24"/>
          <w:szCs w:val="24"/>
        </w:rPr>
        <w:t>（下文称“我单位”）</w:t>
      </w:r>
      <w:r>
        <w:rPr>
          <w:rFonts w:hint="default" w:ascii="Times New Roman" w:hAnsi="Times New Roman" w:cs="Times New Roman" w:eastAsiaTheme="minorEastAsia"/>
          <w:color w:val="auto"/>
          <w:kern w:val="2"/>
          <w:sz w:val="24"/>
          <w:szCs w:val="24"/>
          <w:highlight w:val="none"/>
          <w:lang w:val="en-US" w:eastAsia="zh-CN" w:bidi="ar-SA"/>
        </w:rPr>
        <w:t>承担《</w:t>
      </w:r>
      <w:r>
        <w:rPr>
          <w:rFonts w:hint="default" w:ascii="Times New Roman" w:hAnsi="Times New Roman" w:cs="Times New Roman" w:eastAsiaTheme="minorEastAsia"/>
          <w:sz w:val="24"/>
          <w:szCs w:val="24"/>
        </w:rPr>
        <w:t>云南新平仙福矿冶有限公司废石加工资源综合利用项目</w:t>
      </w:r>
      <w:r>
        <w:rPr>
          <w:rFonts w:hint="default" w:ascii="Times New Roman" w:hAnsi="Times New Roman" w:cs="Times New Roman" w:eastAsiaTheme="minorEastAsia"/>
          <w:color w:val="auto"/>
          <w:kern w:val="2"/>
          <w:sz w:val="24"/>
          <w:szCs w:val="24"/>
          <w:highlight w:val="none"/>
          <w:lang w:val="en-US" w:eastAsia="zh-CN" w:bidi="ar-SA"/>
        </w:rPr>
        <w:t>环境影响报告书》的编制工作；</w:t>
      </w:r>
      <w:r>
        <w:rPr>
          <w:rFonts w:hint="default" w:ascii="Times New Roman" w:hAnsi="Times New Roman" w:eastAsia="宋体" w:cs="Times New Roman"/>
          <w:color w:val="auto"/>
          <w:sz w:val="24"/>
          <w:szCs w:val="24"/>
          <w:highlight w:val="none"/>
        </w:rPr>
        <w:t>接受委托后，我单位立即</w:t>
      </w:r>
      <w:r>
        <w:rPr>
          <w:rFonts w:hint="default" w:ascii="Times New Roman" w:hAnsi="Times New Roman" w:eastAsia="宋体" w:cs="Times New Roman"/>
          <w:color w:val="auto"/>
          <w:sz w:val="24"/>
          <w:szCs w:val="24"/>
          <w:highlight w:val="none"/>
          <w:lang w:val="en-US" w:eastAsia="zh-CN"/>
        </w:rPr>
        <w:t>成立工作小组</w:t>
      </w:r>
      <w:r>
        <w:rPr>
          <w:rFonts w:hint="default" w:ascii="Times New Roman" w:hAnsi="Times New Roman" w:eastAsia="宋体" w:cs="Times New Roman"/>
          <w:color w:val="auto"/>
          <w:sz w:val="24"/>
          <w:szCs w:val="24"/>
          <w:highlight w:val="none"/>
        </w:rPr>
        <w:t>对项目区域周边进行了现场踏勘</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bCs/>
          <w:color w:val="auto"/>
          <w:sz w:val="24"/>
          <w:szCs w:val="24"/>
        </w:rPr>
        <w:t>重点调查了项目区</w:t>
      </w:r>
      <w:r>
        <w:rPr>
          <w:rFonts w:hint="default" w:ascii="Times New Roman" w:hAnsi="Times New Roman" w:cs="Times New Roman" w:eastAsiaTheme="minorEastAsia"/>
          <w:bCs/>
          <w:color w:val="auto"/>
          <w:sz w:val="24"/>
          <w:szCs w:val="24"/>
          <w:lang w:val="en-US" w:eastAsia="zh-CN"/>
        </w:rPr>
        <w:t>及</w:t>
      </w:r>
      <w:r>
        <w:rPr>
          <w:rFonts w:hint="default" w:ascii="Times New Roman" w:hAnsi="Times New Roman" w:cs="Times New Roman" w:eastAsiaTheme="minorEastAsia"/>
          <w:bCs/>
          <w:color w:val="auto"/>
          <w:sz w:val="24"/>
          <w:szCs w:val="24"/>
        </w:rPr>
        <w:t>周边</w:t>
      </w:r>
      <w:r>
        <w:rPr>
          <w:rFonts w:hint="default" w:ascii="Times New Roman" w:hAnsi="Times New Roman" w:cs="Times New Roman" w:eastAsiaTheme="minorEastAsia"/>
          <w:bCs/>
          <w:color w:val="auto"/>
          <w:sz w:val="24"/>
          <w:szCs w:val="24"/>
          <w:lang w:val="en-US" w:eastAsia="zh-CN"/>
        </w:rPr>
        <w:t>情况、自然环境现状、</w:t>
      </w:r>
      <w:r>
        <w:rPr>
          <w:rFonts w:hint="default" w:ascii="Times New Roman" w:hAnsi="Times New Roman" w:cs="Times New Roman" w:eastAsiaTheme="minorEastAsia"/>
          <w:bCs/>
          <w:color w:val="auto"/>
          <w:sz w:val="24"/>
          <w:szCs w:val="24"/>
        </w:rPr>
        <w:t>环境敏感目</w:t>
      </w:r>
      <w:r>
        <w:rPr>
          <w:rFonts w:hint="default" w:ascii="Times New Roman" w:hAnsi="Times New Roman" w:cs="Times New Roman" w:eastAsiaTheme="minorEastAsia"/>
          <w:bCs/>
          <w:color w:val="auto"/>
          <w:sz w:val="24"/>
          <w:szCs w:val="24"/>
          <w:lang w:val="en-US" w:eastAsia="zh-CN"/>
        </w:rPr>
        <w:t>标等</w:t>
      </w:r>
      <w:r>
        <w:rPr>
          <w:rFonts w:hint="default" w:ascii="Times New Roman" w:hAnsi="Times New Roman" w:cs="Times New Roman" w:eastAsiaTheme="minorEastAsia"/>
          <w:bCs/>
          <w:color w:val="auto"/>
          <w:sz w:val="24"/>
          <w:szCs w:val="24"/>
        </w:rPr>
        <w:t>情况</w:t>
      </w:r>
      <w:r>
        <w:rPr>
          <w:rFonts w:hint="default" w:ascii="Times New Roman" w:hAnsi="Times New Roman" w:cs="Times New Roman" w:eastAsiaTheme="minorEastAsia"/>
          <w:bCs/>
          <w:color w:val="auto"/>
          <w:sz w:val="24"/>
          <w:szCs w:val="24"/>
          <w:lang w:eastAsia="zh-CN"/>
        </w:rPr>
        <w:t>。</w:t>
      </w:r>
      <w:r>
        <w:rPr>
          <w:rFonts w:hint="default" w:ascii="Times New Roman" w:hAnsi="Times New Roman" w:cs="Times New Roman" w:eastAsiaTheme="minorEastAsia"/>
          <w:bCs/>
          <w:color w:val="auto"/>
          <w:sz w:val="24"/>
          <w:szCs w:val="24"/>
        </w:rPr>
        <w:t>同时收集与项目相关的基础资料，并以摄像和拍照方式进行记录</w:t>
      </w:r>
      <w:r>
        <w:rPr>
          <w:rFonts w:hint="default" w:ascii="Times New Roman" w:hAnsi="Times New Roman" w:cs="Times New Roman" w:eastAsiaTheme="minorEastAsia"/>
          <w:bCs/>
          <w:color w:val="auto"/>
          <w:sz w:val="24"/>
          <w:szCs w:val="24"/>
          <w:lang w:eastAsia="zh-CN"/>
        </w:rPr>
        <w:t>。</w:t>
      </w:r>
    </w:p>
    <w:p w14:paraId="7CDECCF6">
      <w:pPr>
        <w:spacing w:line="360" w:lineRule="auto"/>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color w:val="auto"/>
          <w:kern w:val="0"/>
          <w:sz w:val="24"/>
          <w:szCs w:val="24"/>
          <w:lang w:val="en-US" w:eastAsia="zh-CN"/>
        </w:rPr>
        <w:t>在</w:t>
      </w:r>
      <w:r>
        <w:rPr>
          <w:rFonts w:hint="default" w:ascii="Times New Roman" w:hAnsi="Times New Roman" w:cs="Times New Roman" w:eastAsiaTheme="minorEastAsia"/>
          <w:color w:val="auto"/>
          <w:kern w:val="0"/>
          <w:sz w:val="24"/>
          <w:szCs w:val="24"/>
        </w:rPr>
        <w:t>签订环境影响评价合同后，</w:t>
      </w:r>
      <w:r>
        <w:rPr>
          <w:rFonts w:hint="default" w:ascii="Times New Roman" w:hAnsi="Times New Roman" w:cs="Times New Roman" w:eastAsiaTheme="minorEastAsia"/>
          <w:color w:val="auto"/>
          <w:sz w:val="24"/>
          <w:szCs w:val="24"/>
        </w:rPr>
        <w:t>根据</w:t>
      </w:r>
      <w:r>
        <w:rPr>
          <w:rFonts w:hint="default" w:ascii="Times New Roman" w:hAnsi="Times New Roman" w:cs="Times New Roman" w:eastAsiaTheme="minorEastAsia"/>
          <w:bCs/>
          <w:color w:val="auto"/>
          <w:sz w:val="24"/>
          <w:szCs w:val="24"/>
        </w:rPr>
        <w:t>《环境影响评价公众参与办法》（环保部令</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2018</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bCs/>
          <w:color w:val="auto"/>
          <w:sz w:val="24"/>
          <w:szCs w:val="24"/>
        </w:rPr>
        <w:t>第4号）的要求</w:t>
      </w:r>
      <w:r>
        <w:rPr>
          <w:rFonts w:hint="default" w:ascii="Times New Roman" w:hAnsi="Times New Roman" w:cs="Times New Roman" w:eastAsiaTheme="minorEastAsia"/>
          <w:bCs/>
          <w:color w:val="auto"/>
          <w:sz w:val="24"/>
          <w:szCs w:val="24"/>
          <w:lang w:eastAsia="zh-CN"/>
        </w:rPr>
        <w:t>，</w:t>
      </w:r>
      <w:r>
        <w:rPr>
          <w:rFonts w:hint="default" w:ascii="Times New Roman" w:hAnsi="Times New Roman" w:cs="Times New Roman" w:eastAsiaTheme="minorEastAsia"/>
          <w:color w:val="auto"/>
          <w:kern w:val="0"/>
          <w:sz w:val="24"/>
          <w:szCs w:val="24"/>
        </w:rPr>
        <w:t>建设单位</w:t>
      </w:r>
      <w:r>
        <w:rPr>
          <w:rFonts w:hint="default" w:ascii="Times New Roman" w:hAnsi="Times New Roman" w:cs="Times New Roman" w:eastAsiaTheme="minorEastAsia"/>
          <w:color w:val="auto"/>
          <w:kern w:val="0"/>
          <w:sz w:val="24"/>
          <w:szCs w:val="24"/>
          <w:lang w:val="en-US" w:eastAsia="zh-CN"/>
        </w:rPr>
        <w:t>于2024</w:t>
      </w:r>
      <w:r>
        <w:rPr>
          <w:rFonts w:hint="default" w:ascii="Times New Roman" w:hAnsi="Times New Roman" w:cs="Times New Roman" w:eastAsiaTheme="minorEastAsia"/>
          <w:color w:val="auto"/>
          <w:kern w:val="0"/>
          <w:sz w:val="24"/>
          <w:szCs w:val="24"/>
        </w:rPr>
        <w:t>年</w:t>
      </w:r>
      <w:r>
        <w:rPr>
          <w:rFonts w:hint="default" w:ascii="Times New Roman" w:hAnsi="Times New Roman" w:cs="Times New Roman" w:eastAsiaTheme="minorEastAsia"/>
          <w:color w:val="auto"/>
          <w:kern w:val="0"/>
          <w:sz w:val="24"/>
          <w:szCs w:val="24"/>
          <w:lang w:val="en-US" w:eastAsia="zh-CN"/>
        </w:rPr>
        <w:t>5</w:t>
      </w:r>
      <w:r>
        <w:rPr>
          <w:rFonts w:hint="default" w:ascii="Times New Roman" w:hAnsi="Times New Roman" w:cs="Times New Roman" w:eastAsiaTheme="minorEastAsia"/>
          <w:color w:val="auto"/>
          <w:kern w:val="0"/>
          <w:sz w:val="24"/>
          <w:szCs w:val="24"/>
        </w:rPr>
        <w:t>月</w:t>
      </w:r>
      <w:r>
        <w:rPr>
          <w:rFonts w:hint="default" w:ascii="Times New Roman" w:hAnsi="Times New Roman" w:cs="Times New Roman" w:eastAsiaTheme="minorEastAsia"/>
          <w:color w:val="auto"/>
          <w:kern w:val="0"/>
          <w:sz w:val="24"/>
          <w:szCs w:val="24"/>
          <w:lang w:val="en-US" w:eastAsia="zh-CN"/>
        </w:rPr>
        <w:t>13</w:t>
      </w:r>
      <w:r>
        <w:rPr>
          <w:rFonts w:hint="default" w:ascii="Times New Roman" w:hAnsi="Times New Roman" w:cs="Times New Roman" w:eastAsiaTheme="minorEastAsia"/>
          <w:color w:val="auto"/>
          <w:kern w:val="0"/>
          <w:sz w:val="24"/>
          <w:szCs w:val="24"/>
        </w:rPr>
        <w:t>日在云南玉溪仙福钢铁（集团</w:t>
      </w:r>
      <w:r>
        <w:rPr>
          <w:rFonts w:hint="default" w:ascii="Times New Roman" w:hAnsi="Times New Roman" w:cs="Times New Roman" w:eastAsiaTheme="minorEastAsia"/>
          <w:color w:val="auto"/>
          <w:kern w:val="0"/>
          <w:sz w:val="24"/>
          <w:szCs w:val="24"/>
          <w:lang w:eastAsia="zh-CN"/>
        </w:rPr>
        <w:t>）</w:t>
      </w:r>
      <w:r>
        <w:rPr>
          <w:rFonts w:hint="default" w:ascii="Times New Roman" w:hAnsi="Times New Roman" w:cs="Times New Roman" w:eastAsiaTheme="minorEastAsia"/>
          <w:color w:val="auto"/>
          <w:kern w:val="0"/>
          <w:sz w:val="24"/>
          <w:szCs w:val="24"/>
        </w:rPr>
        <w:t>有限公司</w:t>
      </w:r>
      <w:r>
        <w:rPr>
          <w:rFonts w:hint="default" w:ascii="Times New Roman" w:hAnsi="Times New Roman" w:cs="Times New Roman" w:eastAsiaTheme="minorEastAsia"/>
          <w:color w:val="auto"/>
          <w:kern w:val="0"/>
          <w:sz w:val="24"/>
          <w:szCs w:val="24"/>
          <w:lang w:val="en-US" w:eastAsia="zh-CN"/>
        </w:rPr>
        <w:t>网站</w:t>
      </w:r>
      <w:r>
        <w:rPr>
          <w:rFonts w:hint="default" w:ascii="Times New Roman" w:hAnsi="Times New Roman" w:cs="Times New Roman" w:eastAsiaTheme="minorEastAsia"/>
          <w:color w:val="auto"/>
          <w:kern w:val="0"/>
          <w:sz w:val="24"/>
          <w:szCs w:val="24"/>
        </w:rPr>
        <w:t>（http://www.xfgtgroup.com/list/xfgt/1/3/auto/20/0.html）对该项目进行公众参与信息第一次公示，主要公示内容为：建设项目名称、建设内容等基本情况；建设单位名称和联系方式；环境影响报告书编制单位；公众意见表的网络链接；提交公众意见表的方式和途径。在第一次网络公示期间，无反馈意见。</w:t>
      </w:r>
    </w:p>
    <w:p w14:paraId="31994B86">
      <w:pPr>
        <w:spacing w:line="360" w:lineRule="auto"/>
        <w:ind w:firstLine="480" w:firstLineChars="200"/>
        <w:rPr>
          <w:rFonts w:hint="default" w:ascii="Times New Roman" w:hAnsi="Times New Roman" w:cs="Times New Roman" w:eastAsiaTheme="minorEastAsia"/>
          <w:bCs/>
          <w:color w:val="FF0000"/>
          <w:sz w:val="24"/>
          <w:szCs w:val="24"/>
        </w:rPr>
      </w:pPr>
      <w:r>
        <w:rPr>
          <w:rFonts w:hint="default" w:ascii="Times New Roman" w:hAnsi="Times New Roman" w:cs="Times New Roman" w:eastAsiaTheme="minorEastAsia"/>
          <w:bCs/>
          <w:color w:val="auto"/>
          <w:sz w:val="24"/>
          <w:szCs w:val="24"/>
        </w:rPr>
        <w:t>现场踏勘后，我单位环评工作组在收集了建设单位提供相关资料的基础上，</w:t>
      </w:r>
      <w:r>
        <w:rPr>
          <w:rFonts w:hint="default" w:ascii="Times New Roman" w:hAnsi="Times New Roman" w:cs="Times New Roman" w:eastAsiaTheme="minorEastAsia"/>
          <w:bCs/>
          <w:color w:val="auto"/>
          <w:sz w:val="24"/>
          <w:szCs w:val="24"/>
          <w:lang w:val="en-US" w:eastAsia="zh-CN"/>
        </w:rPr>
        <w:t>结合当地环境质量状况，</w:t>
      </w:r>
      <w:r>
        <w:rPr>
          <w:rFonts w:hint="default" w:ascii="Times New Roman" w:hAnsi="Times New Roman" w:cs="Times New Roman" w:eastAsiaTheme="minorEastAsia"/>
          <w:color w:val="auto"/>
          <w:kern w:val="0"/>
          <w:sz w:val="24"/>
          <w:szCs w:val="24"/>
        </w:rPr>
        <w:t>进行了环境影响因子的筛选，根据因子筛选结果，制订出详细的监测方</w:t>
      </w:r>
      <w:r>
        <w:rPr>
          <w:rFonts w:hint="default" w:ascii="Times New Roman" w:hAnsi="Times New Roman" w:cs="Times New Roman" w:eastAsiaTheme="minorEastAsia"/>
          <w:color w:val="auto"/>
          <w:kern w:val="0"/>
          <w:sz w:val="24"/>
          <w:szCs w:val="24"/>
          <w:highlight w:val="none"/>
        </w:rPr>
        <w:t>案。</w:t>
      </w:r>
      <w:r>
        <w:rPr>
          <w:rFonts w:hint="default" w:ascii="Times New Roman" w:hAnsi="Times New Roman" w:cs="Times New Roman"/>
          <w:szCs w:val="21"/>
          <w:highlight w:val="none"/>
          <w:lang w:val="en-US" w:eastAsia="zh-CN"/>
        </w:rPr>
        <w:t>2</w:t>
      </w:r>
      <w:r>
        <w:rPr>
          <w:rFonts w:hint="default" w:ascii="Times New Roman" w:hAnsi="Times New Roman" w:cs="Times New Roman"/>
          <w:color w:val="auto"/>
          <w:szCs w:val="21"/>
          <w:highlight w:val="none"/>
          <w:lang w:val="en-US" w:eastAsia="zh-CN"/>
        </w:rPr>
        <w:t>024.06.20-2024.06.27</w:t>
      </w:r>
      <w:r>
        <w:rPr>
          <w:rFonts w:hint="default" w:ascii="Times New Roman" w:hAnsi="Times New Roman" w:cs="Times New Roman" w:eastAsiaTheme="minorEastAsia"/>
          <w:color w:val="auto"/>
          <w:kern w:val="0"/>
          <w:sz w:val="24"/>
          <w:szCs w:val="24"/>
          <w:highlight w:val="none"/>
        </w:rPr>
        <w:t>，建设单位委托云南浩辰环保科技有限公司、江西志科检测技术有限公司对项目区空气环境、土壤环境、声环境、地下</w:t>
      </w:r>
      <w:r>
        <w:rPr>
          <w:rFonts w:hint="default" w:ascii="Times New Roman" w:hAnsi="Times New Roman" w:cs="Times New Roman" w:eastAsiaTheme="minorEastAsia"/>
          <w:color w:val="auto"/>
          <w:kern w:val="0"/>
          <w:sz w:val="24"/>
          <w:szCs w:val="24"/>
          <w:highlight w:val="none"/>
          <w:lang w:val="en-US" w:eastAsia="zh-CN"/>
        </w:rPr>
        <w:t>水</w:t>
      </w:r>
      <w:r>
        <w:rPr>
          <w:rFonts w:hint="default" w:ascii="Times New Roman" w:hAnsi="Times New Roman" w:cs="Times New Roman" w:eastAsiaTheme="minorEastAsia"/>
          <w:color w:val="auto"/>
          <w:kern w:val="0"/>
          <w:sz w:val="24"/>
          <w:szCs w:val="24"/>
          <w:highlight w:val="none"/>
        </w:rPr>
        <w:t>环境进行了现状监测。</w:t>
      </w:r>
      <w:r>
        <w:rPr>
          <w:rFonts w:hint="default" w:ascii="Times New Roman" w:hAnsi="Times New Roman" w:cs="Times New Roman" w:eastAsiaTheme="minorEastAsia"/>
          <w:color w:val="auto"/>
          <w:kern w:val="0"/>
          <w:sz w:val="24"/>
          <w:szCs w:val="24"/>
          <w:highlight w:val="none"/>
          <w:lang w:val="en-US" w:eastAsia="zh-CN"/>
        </w:rPr>
        <w:t>根据评审会专家意见，</w:t>
      </w:r>
      <w:r>
        <w:rPr>
          <w:rFonts w:hint="default" w:ascii="Times New Roman" w:hAnsi="Times New Roman" w:cs="Times New Roman" w:eastAsiaTheme="minorEastAsia"/>
          <w:color w:val="auto"/>
          <w:kern w:val="0"/>
          <w:sz w:val="24"/>
          <w:szCs w:val="24"/>
          <w:highlight w:val="none"/>
        </w:rPr>
        <w:t>建设单位委托云南浩辰环保科技有限公司</w:t>
      </w:r>
      <w:r>
        <w:rPr>
          <w:rFonts w:hint="default" w:ascii="Times New Roman" w:hAnsi="Times New Roman" w:cs="Times New Roman" w:eastAsiaTheme="minorEastAsia"/>
          <w:color w:val="auto"/>
          <w:kern w:val="0"/>
          <w:sz w:val="24"/>
          <w:szCs w:val="24"/>
          <w:highlight w:val="none"/>
          <w:lang w:val="en-US" w:eastAsia="zh-CN"/>
        </w:rPr>
        <w:t>进行了地下水、土壤、矿山生活污水处理站出水水质以及矿山6号料场淋滤水水质补充监测。</w:t>
      </w:r>
      <w:r>
        <w:rPr>
          <w:rFonts w:hint="default" w:ascii="Times New Roman" w:hAnsi="Times New Roman" w:cs="Times New Roman"/>
          <w:color w:val="auto"/>
          <w:szCs w:val="24"/>
        </w:rPr>
        <w:t>补充监测采样日期为2024年10月18日。</w:t>
      </w:r>
    </w:p>
    <w:p w14:paraId="027FF559">
      <w:pPr>
        <w:pStyle w:val="17"/>
        <w:spacing w:line="360" w:lineRule="auto"/>
        <w:ind w:firstLine="480" w:firstLineChars="200"/>
        <w:rPr>
          <w:rFonts w:hint="default" w:ascii="Times New Roman" w:hAnsi="Times New Roman" w:cs="Times New Roman"/>
          <w:color w:val="auto"/>
          <w:sz w:val="24"/>
          <w:szCs w:val="22"/>
        </w:rPr>
      </w:pPr>
      <w:bookmarkStart w:id="41" w:name="_Toc17171"/>
      <w:bookmarkStart w:id="42" w:name="_Toc486273343"/>
      <w:bookmarkStart w:id="43" w:name="_Toc2700"/>
      <w:bookmarkStart w:id="44" w:name="_Toc5340"/>
      <w:bookmarkStart w:id="45" w:name="_Toc9132"/>
      <w:bookmarkStart w:id="46" w:name="_Toc5121"/>
      <w:bookmarkStart w:id="47" w:name="_Toc24432"/>
      <w:bookmarkStart w:id="48" w:name="_Toc56591602"/>
      <w:bookmarkStart w:id="49" w:name="_Toc90625717"/>
      <w:bookmarkStart w:id="50" w:name="_Toc3784297"/>
      <w:bookmarkStart w:id="51" w:name="_Toc27339"/>
      <w:bookmarkStart w:id="52" w:name="_Toc22093"/>
      <w:r>
        <w:rPr>
          <w:rFonts w:hint="default" w:ascii="Times New Roman" w:hAnsi="Times New Roman" w:cs="Times New Roman" w:eastAsiaTheme="minorEastAsia"/>
          <w:color w:val="auto"/>
          <w:sz w:val="24"/>
          <w:szCs w:val="24"/>
          <w:highlight w:val="none"/>
        </w:rPr>
        <w:t>202</w:t>
      </w:r>
      <w:r>
        <w:rPr>
          <w:rFonts w:hint="default" w:ascii="Times New Roman" w:hAnsi="Times New Roman" w:cs="Times New Roman" w:eastAsiaTheme="minorEastAsia"/>
          <w:color w:val="auto"/>
          <w:sz w:val="24"/>
          <w:szCs w:val="24"/>
          <w:highlight w:val="none"/>
          <w:lang w:val="en-US" w:eastAsia="zh-CN"/>
        </w:rPr>
        <w:t>4</w:t>
      </w:r>
      <w:r>
        <w:rPr>
          <w:rFonts w:hint="default" w:ascii="Times New Roman" w:hAnsi="Times New Roman" w:cs="Times New Roman" w:eastAsiaTheme="minorEastAsia"/>
          <w:color w:val="auto"/>
          <w:sz w:val="24"/>
          <w:szCs w:val="24"/>
          <w:highlight w:val="none"/>
        </w:rPr>
        <w:t>年</w:t>
      </w:r>
      <w:r>
        <w:rPr>
          <w:rFonts w:hint="default" w:ascii="Times New Roman" w:hAnsi="Times New Roman"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rPr>
        <w:t>月</w:t>
      </w:r>
      <w:r>
        <w:rPr>
          <w:rFonts w:hint="default" w:ascii="Times New Roman" w:hAnsi="Times New Roman" w:cs="Times New Roman" w:eastAsiaTheme="minorEastAsia"/>
          <w:color w:val="auto"/>
          <w:sz w:val="24"/>
          <w:szCs w:val="24"/>
          <w:highlight w:val="none"/>
          <w:lang w:val="en-US" w:eastAsia="zh-CN"/>
        </w:rPr>
        <w:t>30</w:t>
      </w:r>
      <w:r>
        <w:rPr>
          <w:rFonts w:hint="default" w:ascii="Times New Roman" w:hAnsi="Times New Roman" w:cs="Times New Roman" w:eastAsiaTheme="minorEastAsia"/>
          <w:color w:val="auto"/>
          <w:sz w:val="24"/>
          <w:szCs w:val="24"/>
          <w:highlight w:val="none"/>
        </w:rPr>
        <w:t>日，</w:t>
      </w:r>
      <w:r>
        <w:rPr>
          <w:rFonts w:hint="default" w:ascii="Times New Roman" w:hAnsi="Times New Roman" w:cs="Times New Roman" w:eastAsiaTheme="minorEastAsia"/>
          <w:color w:val="auto"/>
          <w:kern w:val="0"/>
          <w:sz w:val="24"/>
          <w:szCs w:val="24"/>
          <w:highlight w:val="none"/>
        </w:rPr>
        <w:t>《</w:t>
      </w:r>
      <w:r>
        <w:rPr>
          <w:rFonts w:hint="default" w:ascii="Times New Roman" w:hAnsi="Times New Roman" w:cs="Times New Roman" w:eastAsiaTheme="minorEastAsia"/>
          <w:color w:val="auto"/>
          <w:sz w:val="24"/>
          <w:szCs w:val="24"/>
        </w:rPr>
        <w:t>云南新平仙福矿冶有限公司废石加工资源综合利用项目</w:t>
      </w:r>
      <w:r>
        <w:rPr>
          <w:rFonts w:hint="default" w:ascii="Times New Roman" w:hAnsi="Times New Roman" w:cs="Times New Roman" w:eastAsiaTheme="minorEastAsia"/>
          <w:color w:val="auto"/>
          <w:kern w:val="2"/>
          <w:sz w:val="24"/>
          <w:szCs w:val="24"/>
          <w:highlight w:val="none"/>
          <w:lang w:val="en-US" w:eastAsia="zh-CN" w:bidi="ar-SA"/>
        </w:rPr>
        <w:t>环境影响报告书</w:t>
      </w:r>
      <w:r>
        <w:rPr>
          <w:rFonts w:hint="default" w:ascii="Times New Roman" w:hAnsi="Times New Roman" w:cs="Times New Roman" w:eastAsiaTheme="minorEastAsia"/>
          <w:color w:val="auto"/>
          <w:kern w:val="0"/>
          <w:sz w:val="24"/>
          <w:szCs w:val="24"/>
          <w:highlight w:val="none"/>
        </w:rPr>
        <w:t>》（征求意见稿）编制完毕，</w:t>
      </w:r>
      <w:r>
        <w:rPr>
          <w:rFonts w:hint="default" w:ascii="Times New Roman" w:hAnsi="Times New Roman" w:cs="Times New Roman" w:eastAsiaTheme="minorEastAsia"/>
          <w:bCs/>
          <w:color w:val="auto"/>
          <w:sz w:val="24"/>
          <w:szCs w:val="24"/>
          <w:highlight w:val="none"/>
        </w:rPr>
        <w:t>建设单位</w:t>
      </w:r>
      <w:r>
        <w:rPr>
          <w:rFonts w:hint="default" w:ascii="Times New Roman" w:hAnsi="Times New Roman" w:cs="Times New Roman"/>
          <w:color w:val="auto"/>
          <w:sz w:val="24"/>
          <w:szCs w:val="24"/>
          <w:highlight w:val="none"/>
        </w:rPr>
        <w:t>分别同步</w:t>
      </w:r>
      <w:r>
        <w:rPr>
          <w:rFonts w:hint="default" w:ascii="Times New Roman" w:hAnsi="Times New Roman" w:cs="Times New Roman"/>
          <w:color w:val="auto"/>
          <w:sz w:val="24"/>
          <w:szCs w:val="24"/>
          <w:highlight w:val="none"/>
          <w:lang w:eastAsia="zh-CN"/>
        </w:rPr>
        <w:t>在云南</w:t>
      </w:r>
      <w:r>
        <w:rPr>
          <w:rFonts w:hint="default" w:ascii="Times New Roman" w:hAnsi="Times New Roman" w:cs="Times New Roman" w:eastAsiaTheme="minorEastAsia"/>
          <w:color w:val="auto"/>
          <w:kern w:val="0"/>
          <w:sz w:val="24"/>
          <w:szCs w:val="24"/>
        </w:rPr>
        <w:t>玉溪仙福钢铁（集团</w:t>
      </w:r>
      <w:r>
        <w:rPr>
          <w:rFonts w:hint="default" w:ascii="Times New Roman" w:hAnsi="Times New Roman" w:cs="Times New Roman" w:eastAsiaTheme="minorEastAsia"/>
          <w:color w:val="auto"/>
          <w:kern w:val="0"/>
          <w:sz w:val="24"/>
          <w:szCs w:val="24"/>
          <w:lang w:eastAsia="zh-CN"/>
        </w:rPr>
        <w:t>）</w:t>
      </w:r>
      <w:r>
        <w:rPr>
          <w:rFonts w:hint="default" w:ascii="Times New Roman" w:hAnsi="Times New Roman" w:cs="Times New Roman" w:eastAsiaTheme="minorEastAsia"/>
          <w:color w:val="auto"/>
          <w:kern w:val="0"/>
          <w:sz w:val="24"/>
          <w:szCs w:val="24"/>
        </w:rPr>
        <w:t>有限公司</w:t>
      </w:r>
      <w:r>
        <w:rPr>
          <w:rFonts w:hint="default" w:ascii="Times New Roman" w:hAnsi="Times New Roman" w:cs="Times New Roman" w:eastAsiaTheme="minorEastAsia"/>
          <w:color w:val="auto"/>
          <w:kern w:val="0"/>
          <w:sz w:val="24"/>
          <w:szCs w:val="24"/>
          <w:lang w:val="en-US" w:eastAsia="zh-CN"/>
        </w:rPr>
        <w:t>网站</w:t>
      </w:r>
      <w:r>
        <w:rPr>
          <w:rFonts w:hint="default" w:ascii="Times New Roman" w:hAnsi="Times New Roman" w:cs="Times New Roman" w:eastAsiaTheme="minorEastAsia"/>
          <w:color w:val="auto"/>
          <w:kern w:val="0"/>
          <w:sz w:val="24"/>
          <w:szCs w:val="24"/>
        </w:rPr>
        <w:t>（http://www.xfgtgroup.com/list/xfgt/1/3/auto/20/0.html）</w:t>
      </w:r>
      <w:r>
        <w:rPr>
          <w:rFonts w:hint="default" w:ascii="Times New Roman" w:hAnsi="Times New Roman" w:cs="Times New Roman" w:eastAsiaTheme="minorEastAsia"/>
          <w:color w:val="auto"/>
          <w:kern w:val="0"/>
          <w:sz w:val="24"/>
          <w:szCs w:val="24"/>
          <w:lang w:eastAsia="zh-CN"/>
        </w:rPr>
        <w:t>、</w:t>
      </w:r>
      <w:r>
        <w:rPr>
          <w:rFonts w:hint="default" w:ascii="Times New Roman" w:hAnsi="Times New Roman" w:cs="Times New Roman" w:eastAsiaTheme="minorEastAsia"/>
          <w:color w:val="auto"/>
          <w:kern w:val="0"/>
          <w:sz w:val="24"/>
          <w:szCs w:val="24"/>
          <w:highlight w:val="none"/>
          <w:lang w:val="en-US" w:eastAsia="zh-CN"/>
        </w:rPr>
        <w:t>项目</w:t>
      </w:r>
      <w:r>
        <w:rPr>
          <w:rFonts w:hint="default" w:ascii="Times New Roman" w:hAnsi="Times New Roman" w:cs="Times New Roman"/>
          <w:color w:val="auto"/>
          <w:sz w:val="24"/>
          <w:szCs w:val="24"/>
          <w:highlight w:val="none"/>
        </w:rPr>
        <w:t>所在地居民委员会公开栏</w:t>
      </w:r>
      <w:r>
        <w:rPr>
          <w:rFonts w:hint="default" w:ascii="Times New Roman" w:hAnsi="Times New Roman" w:cs="Times New Roman" w:eastAsiaTheme="minorEastAsia"/>
          <w:color w:val="auto"/>
          <w:kern w:val="0"/>
          <w:sz w:val="24"/>
          <w:szCs w:val="24"/>
          <w:highlight w:val="none"/>
          <w:lang w:eastAsia="zh-CN"/>
        </w:rPr>
        <w:t>、</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val="en-US" w:eastAsia="zh-CN"/>
        </w:rPr>
        <w:t>民族时报</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bCs/>
          <w:color w:val="auto"/>
          <w:sz w:val="24"/>
          <w:szCs w:val="24"/>
          <w:highlight w:val="none"/>
        </w:rPr>
        <w:t>202</w:t>
      </w:r>
      <w:r>
        <w:rPr>
          <w:rFonts w:hint="default" w:ascii="Times New Roman" w:hAnsi="Times New Roman" w:cs="Times New Roman" w:eastAsiaTheme="minorEastAsia"/>
          <w:bCs/>
          <w:color w:val="auto"/>
          <w:sz w:val="24"/>
          <w:szCs w:val="24"/>
          <w:highlight w:val="none"/>
          <w:lang w:val="en-US" w:eastAsia="zh-CN"/>
        </w:rPr>
        <w:t>4</w:t>
      </w:r>
      <w:r>
        <w:rPr>
          <w:rFonts w:hint="default" w:ascii="Times New Roman" w:hAnsi="Times New Roman" w:cs="Times New Roman" w:eastAsiaTheme="minorEastAsia"/>
          <w:bCs/>
          <w:color w:val="auto"/>
          <w:sz w:val="24"/>
          <w:szCs w:val="24"/>
          <w:highlight w:val="none"/>
        </w:rPr>
        <w:t>年</w:t>
      </w:r>
      <w:r>
        <w:rPr>
          <w:rFonts w:hint="default" w:ascii="Times New Roman" w:hAnsi="Times New Roman" w:cs="Times New Roman" w:eastAsiaTheme="minorEastAsia"/>
          <w:bCs/>
          <w:color w:val="auto"/>
          <w:sz w:val="24"/>
          <w:szCs w:val="24"/>
          <w:highlight w:val="none"/>
          <w:lang w:val="en-US" w:eastAsia="zh-CN"/>
        </w:rPr>
        <w:t>8</w:t>
      </w:r>
      <w:r>
        <w:rPr>
          <w:rFonts w:hint="default" w:ascii="Times New Roman" w:hAnsi="Times New Roman" w:cs="Times New Roman" w:eastAsiaTheme="minorEastAsia"/>
          <w:bCs/>
          <w:color w:val="auto"/>
          <w:sz w:val="24"/>
          <w:szCs w:val="24"/>
          <w:highlight w:val="none"/>
        </w:rPr>
        <w:t>月</w:t>
      </w:r>
      <w:r>
        <w:rPr>
          <w:rFonts w:hint="default" w:ascii="Times New Roman" w:hAnsi="Times New Roman" w:cs="Times New Roman" w:eastAsiaTheme="minorEastAsia"/>
          <w:bCs/>
          <w:color w:val="auto"/>
          <w:sz w:val="24"/>
          <w:szCs w:val="24"/>
          <w:highlight w:val="none"/>
          <w:lang w:val="en-US" w:eastAsia="zh-CN"/>
        </w:rPr>
        <w:t>2</w:t>
      </w:r>
      <w:r>
        <w:rPr>
          <w:rFonts w:hint="default" w:ascii="Times New Roman" w:hAnsi="Times New Roman" w:cs="Times New Roman" w:eastAsiaTheme="minorEastAsia"/>
          <w:bCs/>
          <w:color w:val="auto"/>
          <w:sz w:val="24"/>
          <w:szCs w:val="24"/>
          <w:highlight w:val="none"/>
        </w:rPr>
        <w:t>日、202</w:t>
      </w:r>
      <w:r>
        <w:rPr>
          <w:rFonts w:hint="default" w:ascii="Times New Roman" w:hAnsi="Times New Roman" w:cs="Times New Roman" w:eastAsiaTheme="minorEastAsia"/>
          <w:bCs/>
          <w:color w:val="auto"/>
          <w:sz w:val="24"/>
          <w:szCs w:val="24"/>
          <w:highlight w:val="none"/>
          <w:lang w:val="en-US" w:eastAsia="zh-CN"/>
        </w:rPr>
        <w:t>4</w:t>
      </w:r>
      <w:r>
        <w:rPr>
          <w:rFonts w:hint="default" w:ascii="Times New Roman" w:hAnsi="Times New Roman" w:cs="Times New Roman" w:eastAsiaTheme="minorEastAsia"/>
          <w:bCs/>
          <w:color w:val="auto"/>
          <w:sz w:val="24"/>
          <w:szCs w:val="24"/>
          <w:highlight w:val="none"/>
        </w:rPr>
        <w:t>年</w:t>
      </w:r>
      <w:r>
        <w:rPr>
          <w:rFonts w:hint="default" w:ascii="Times New Roman" w:hAnsi="Times New Roman" w:cs="Times New Roman" w:eastAsiaTheme="minorEastAsia"/>
          <w:bCs/>
          <w:color w:val="auto"/>
          <w:sz w:val="24"/>
          <w:szCs w:val="24"/>
          <w:highlight w:val="none"/>
          <w:lang w:val="en-US" w:eastAsia="zh-CN"/>
        </w:rPr>
        <w:t>8</w:t>
      </w:r>
      <w:r>
        <w:rPr>
          <w:rFonts w:hint="default" w:ascii="Times New Roman" w:hAnsi="Times New Roman" w:cs="Times New Roman" w:eastAsiaTheme="minorEastAsia"/>
          <w:bCs/>
          <w:color w:val="auto"/>
          <w:sz w:val="24"/>
          <w:szCs w:val="24"/>
          <w:highlight w:val="none"/>
        </w:rPr>
        <w:t>月</w:t>
      </w:r>
      <w:r>
        <w:rPr>
          <w:rFonts w:hint="default" w:ascii="Times New Roman" w:hAnsi="Times New Roman" w:cs="Times New Roman" w:eastAsiaTheme="minorEastAsia"/>
          <w:bCs/>
          <w:color w:val="auto"/>
          <w:sz w:val="24"/>
          <w:szCs w:val="24"/>
          <w:highlight w:val="none"/>
          <w:lang w:val="en-US" w:eastAsia="zh-CN"/>
        </w:rPr>
        <w:t>6</w:t>
      </w:r>
      <w:r>
        <w:rPr>
          <w:rFonts w:hint="default" w:ascii="Times New Roman" w:hAnsi="Times New Roman" w:cs="Times New Roman" w:eastAsiaTheme="minorEastAsia"/>
          <w:bCs/>
          <w:color w:val="auto"/>
          <w:sz w:val="24"/>
          <w:szCs w:val="24"/>
          <w:highlight w:val="none"/>
        </w:rPr>
        <w:t>日</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color w:val="auto"/>
          <w:sz w:val="24"/>
          <w:szCs w:val="24"/>
          <w:highlight w:val="none"/>
        </w:rPr>
        <w:t>进行第二次信息公示</w:t>
      </w:r>
      <w:r>
        <w:rPr>
          <w:rFonts w:hint="default" w:ascii="Times New Roman" w:hAnsi="Times New Roman" w:cs="Times New Roman" w:eastAsiaTheme="minorEastAsia"/>
          <w:color w:val="auto"/>
          <w:kern w:val="0"/>
          <w:sz w:val="24"/>
          <w:szCs w:val="24"/>
          <w:highlight w:val="none"/>
        </w:rPr>
        <w:t>，</w:t>
      </w:r>
      <w:r>
        <w:rPr>
          <w:rFonts w:hint="default" w:ascii="Times New Roman" w:hAnsi="Times New Roman" w:cs="Times New Roman"/>
          <w:color w:val="auto"/>
          <w:sz w:val="24"/>
          <w:szCs w:val="24"/>
        </w:rPr>
        <w:t>公开环境影响报告书征求意见稿全文网络链接及查阅纸质报告书的方式和途径，广泛征求与该建设项目环境影响有关的意见。</w:t>
      </w:r>
      <w:r>
        <w:rPr>
          <w:rFonts w:hint="default" w:ascii="Times New Roman" w:hAnsi="Times New Roman" w:cs="Times New Roman" w:eastAsiaTheme="minorEastAsia"/>
          <w:color w:val="auto"/>
          <w:kern w:val="0"/>
          <w:sz w:val="24"/>
          <w:szCs w:val="24"/>
          <w:highlight w:val="none"/>
        </w:rPr>
        <w:t>第二次公示期间，</w:t>
      </w:r>
      <w:r>
        <w:rPr>
          <w:rFonts w:hint="default" w:ascii="Times New Roman" w:hAnsi="Times New Roman" w:cs="Times New Roman" w:eastAsiaTheme="minorEastAsia"/>
          <w:color w:val="auto"/>
          <w:sz w:val="24"/>
          <w:szCs w:val="24"/>
          <w:highlight w:val="none"/>
        </w:rPr>
        <w:t>无反馈意见。</w:t>
      </w:r>
    </w:p>
    <w:p w14:paraId="5B5747C9">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本项目在向生态环境部上报环境影响报告书前，</w:t>
      </w:r>
      <w:r>
        <w:rPr>
          <w:rFonts w:hint="default" w:ascii="Times New Roman" w:hAnsi="Times New Roman" w:eastAsia="宋体" w:cs="Times New Roman"/>
          <w:b w:val="0"/>
          <w:bCs w:val="0"/>
          <w:color w:val="auto"/>
          <w:kern w:val="2"/>
          <w:sz w:val="24"/>
          <w:szCs w:val="24"/>
          <w:lang w:val="en-US" w:eastAsia="zh-CN" w:bidi="ar-SA"/>
        </w:rPr>
        <w:t>建设单位于</w:t>
      </w:r>
      <w:r>
        <w:rPr>
          <w:rFonts w:hint="default" w:ascii="Times New Roman" w:hAnsi="Times New Roman" w:eastAsia="宋体" w:cs="Times New Roman"/>
          <w:bCs/>
          <w:color w:val="auto"/>
          <w:sz w:val="24"/>
          <w:szCs w:val="24"/>
          <w:lang w:val="en-US" w:eastAsia="zh-CN"/>
        </w:rPr>
        <w:t>2024年11月11日在</w:t>
      </w:r>
      <w:r>
        <w:rPr>
          <w:rFonts w:hint="default" w:ascii="Times New Roman" w:hAnsi="Times New Roman" w:eastAsia="宋体" w:cs="Times New Roman"/>
          <w:bCs/>
          <w:color w:val="auto"/>
          <w:sz w:val="24"/>
          <w:szCs w:val="24"/>
        </w:rPr>
        <w:t>“</w:t>
      </w:r>
      <w:r>
        <w:rPr>
          <w:rFonts w:hint="default" w:ascii="Times New Roman" w:hAnsi="Times New Roman" w:cs="Times New Roman" w:eastAsiaTheme="minorEastAsia"/>
          <w:color w:val="auto"/>
          <w:kern w:val="0"/>
          <w:sz w:val="24"/>
          <w:szCs w:val="24"/>
        </w:rPr>
        <w:t>云南玉溪仙福钢铁（集团</w:t>
      </w:r>
      <w:r>
        <w:rPr>
          <w:rFonts w:hint="default" w:ascii="Times New Roman" w:hAnsi="Times New Roman" w:cs="Times New Roman" w:eastAsiaTheme="minorEastAsia"/>
          <w:color w:val="auto"/>
          <w:kern w:val="0"/>
          <w:sz w:val="24"/>
          <w:szCs w:val="24"/>
          <w:lang w:eastAsia="zh-CN"/>
        </w:rPr>
        <w:t>）</w:t>
      </w:r>
      <w:r>
        <w:rPr>
          <w:rFonts w:hint="default" w:ascii="Times New Roman" w:hAnsi="Times New Roman" w:cs="Times New Roman" w:eastAsiaTheme="minorEastAsia"/>
          <w:color w:val="auto"/>
          <w:kern w:val="0"/>
          <w:sz w:val="24"/>
          <w:szCs w:val="24"/>
        </w:rPr>
        <w:t>有限公司</w:t>
      </w:r>
      <w:r>
        <w:rPr>
          <w:rFonts w:hint="default" w:ascii="Times New Roman" w:hAnsi="Times New Roman" w:cs="Times New Roman" w:eastAsiaTheme="minorEastAsia"/>
          <w:color w:val="auto"/>
          <w:kern w:val="0"/>
          <w:sz w:val="24"/>
          <w:szCs w:val="24"/>
          <w:lang w:val="en-US" w:eastAsia="zh-CN"/>
        </w:rPr>
        <w:t>网站</w:t>
      </w:r>
      <w:r>
        <w:rPr>
          <w:rFonts w:hint="default" w:ascii="Times New Roman" w:hAnsi="Times New Roman" w:eastAsia="宋体" w:cs="Times New Roman"/>
          <w:bCs/>
          <w:color w:val="auto"/>
          <w:sz w:val="24"/>
          <w:szCs w:val="24"/>
        </w:rPr>
        <w:t>”网站上</w:t>
      </w:r>
      <w:r>
        <w:rPr>
          <w:rFonts w:hint="default" w:ascii="Times New Roman" w:hAnsi="Times New Roman" w:eastAsia="宋体" w:cs="Times New Roman"/>
          <w:bCs/>
          <w:color w:val="auto"/>
          <w:sz w:val="24"/>
          <w:szCs w:val="24"/>
          <w:lang w:val="en-US" w:eastAsia="zh-CN"/>
        </w:rPr>
        <w:t>（网址：</w:t>
      </w:r>
      <w:r>
        <w:rPr>
          <w:rFonts w:hint="default" w:ascii="Times New Roman" w:hAnsi="Times New Roman" w:cs="Times New Roman" w:eastAsiaTheme="minorEastAsia"/>
          <w:color w:val="auto"/>
          <w:kern w:val="0"/>
          <w:sz w:val="24"/>
          <w:szCs w:val="24"/>
        </w:rPr>
        <w:t>http://www.xfgtgroup.com/list/xfgt/1/3/auto/20/0.html</w:t>
      </w:r>
      <w:r>
        <w:rPr>
          <w:rFonts w:hint="default" w:ascii="Times New Roman" w:hAnsi="Times New Roman" w:eastAsia="宋体" w:cs="Times New Roman"/>
          <w:bCs/>
          <w:color w:val="auto"/>
          <w:sz w:val="24"/>
          <w:szCs w:val="24"/>
          <w:lang w:val="en-US" w:eastAsia="zh-CN"/>
        </w:rPr>
        <w:t>），面向全社会公开了本项目拟报批的环境影响报告书全文和公众参与说明。</w:t>
      </w:r>
    </w:p>
    <w:p w14:paraId="43A97C18">
      <w:pPr>
        <w:bidi w:val="0"/>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cs="Times New Roman"/>
          <w:color w:val="auto"/>
          <w:sz w:val="24"/>
          <w:szCs w:val="22"/>
        </w:rPr>
        <w:t>在此基础上，</w:t>
      </w:r>
      <w:r>
        <w:rPr>
          <w:rFonts w:hint="default" w:ascii="Times New Roman" w:hAnsi="Times New Roman" w:eastAsia="宋体" w:cs="Times New Roman"/>
        </w:rPr>
        <w:t>我单位编制完成了《云南新平仙福矿冶有限公司废石加工资源综合利用项目</w:t>
      </w:r>
      <w:r>
        <w:rPr>
          <w:rFonts w:hint="default" w:ascii="Times New Roman" w:hAnsi="Times New Roman" w:eastAsia="宋体" w:cs="Times New Roman"/>
          <w:lang w:val="en-US" w:eastAsia="zh-CN"/>
        </w:rPr>
        <w:t>环境影响报告书</w:t>
      </w:r>
      <w:r>
        <w:rPr>
          <w:rFonts w:hint="default" w:ascii="Times New Roman" w:hAnsi="Times New Roman" w:eastAsia="宋体" w:cs="Times New Roman"/>
        </w:rPr>
        <w:t>》</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报批稿</w:t>
      </w:r>
      <w:r>
        <w:rPr>
          <w:rFonts w:hint="default" w:ascii="Times New Roman" w:hAnsi="Times New Roman" w:eastAsia="宋体" w:cs="Times New Roman"/>
          <w:lang w:eastAsia="zh-CN"/>
        </w:rPr>
        <w:t>）</w:t>
      </w:r>
      <w:r>
        <w:rPr>
          <w:rFonts w:hint="default" w:ascii="Times New Roman" w:hAnsi="Times New Roman" w:eastAsia="宋体" w:cs="Times New Roman"/>
        </w:rPr>
        <w:t>，供建设单位上报审批。</w:t>
      </w:r>
    </w:p>
    <w:p w14:paraId="33E28B3D">
      <w:pPr>
        <w:pStyle w:val="5"/>
        <w:bidi w:val="0"/>
        <w:rPr>
          <w:rFonts w:hint="default" w:ascii="Times New Roman" w:hAnsi="Times New Roman" w:cs="Times New Roman"/>
        </w:rPr>
      </w:pPr>
      <w:bookmarkStart w:id="53" w:name="_Toc28305"/>
      <w:bookmarkStart w:id="54" w:name="_Toc13083"/>
      <w:bookmarkStart w:id="55" w:name="_Toc16330"/>
      <w:r>
        <w:rPr>
          <w:rFonts w:hint="default" w:ascii="Times New Roman" w:hAnsi="Times New Roman" w:cs="Times New Roman"/>
          <w:lang w:val="en-US" w:eastAsia="zh-CN"/>
        </w:rPr>
        <w:t>1.</w:t>
      </w:r>
      <w:r>
        <w:rPr>
          <w:rFonts w:hint="default" w:ascii="Times New Roman" w:hAnsi="Times New Roman" w:cs="Times New Roman"/>
          <w:lang w:val="en-US"/>
        </w:rPr>
        <w:t>3</w:t>
      </w:r>
      <w:r>
        <w:rPr>
          <w:rFonts w:hint="default" w:ascii="Times New Roman" w:hAnsi="Times New Roman" w:cs="Times New Roman"/>
        </w:rPr>
        <w:t>分析判定情况</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2278148">
      <w:pPr>
        <w:pStyle w:val="6"/>
        <w:bidi w:val="0"/>
        <w:rPr>
          <w:rFonts w:hint="default" w:ascii="Times New Roman" w:hAnsi="Times New Roman" w:cs="Times New Roman"/>
        </w:rPr>
      </w:pPr>
      <w:bookmarkStart w:id="56" w:name="_Toc9978"/>
      <w:bookmarkStart w:id="57" w:name="_Toc28574"/>
      <w:bookmarkStart w:id="58" w:name="_Toc10044"/>
      <w:r>
        <w:rPr>
          <w:rFonts w:hint="default" w:ascii="Times New Roman" w:hAnsi="Times New Roman" w:cs="Times New Roman"/>
          <w:lang w:val="en-US" w:eastAsia="zh-CN"/>
        </w:rPr>
        <w:t>1.</w:t>
      </w:r>
      <w:r>
        <w:rPr>
          <w:rFonts w:hint="default" w:ascii="Times New Roman" w:hAnsi="Times New Roman" w:cs="Times New Roman"/>
        </w:rPr>
        <w:t>3.1《报告书》判定依据</w:t>
      </w:r>
      <w:bookmarkEnd w:id="56"/>
      <w:bookmarkEnd w:id="57"/>
      <w:bookmarkEnd w:id="58"/>
    </w:p>
    <w:p w14:paraId="0E92F2F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本项目为</w:t>
      </w:r>
      <w:r>
        <w:rPr>
          <w:rFonts w:hint="default" w:ascii="Times New Roman" w:hAnsi="Times New Roman" w:cs="Times New Roman" w:eastAsiaTheme="minorEastAsia"/>
          <w:color w:val="auto"/>
          <w:sz w:val="24"/>
          <w:szCs w:val="24"/>
          <w:lang w:val="en-US" w:eastAsia="zh-CN"/>
        </w:rPr>
        <w:t>铁矿选厂建设项目，</w:t>
      </w:r>
      <w:r>
        <w:rPr>
          <w:rFonts w:hint="default" w:ascii="Times New Roman" w:hAnsi="Times New Roman" w:cs="Times New Roman" w:eastAsiaTheme="minorEastAsia"/>
          <w:color w:val="auto"/>
          <w:sz w:val="24"/>
          <w:szCs w:val="24"/>
        </w:rPr>
        <w:t>根据《建设项目环境保护管理条例</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中华人民共和国环境影响评价法</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建设项目环境影响评价分类管理名录</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2021年版</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》中的相关规定，本项目属于《建设项目环境影响评价分类管理名录</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2021年版</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》中的“六、黑色金属矿采选业08 ”</w:t>
      </w:r>
      <w:r>
        <w:rPr>
          <w:rFonts w:hint="default" w:ascii="Times New Roman" w:hAnsi="Times New Roman" w:cs="Times New Roman" w:eastAsiaTheme="minorEastAsia"/>
          <w:color w:val="auto"/>
          <w:sz w:val="24"/>
          <w:szCs w:val="24"/>
          <w:lang w:val="en-US" w:eastAsia="zh-CN"/>
        </w:rPr>
        <w:t>中的“9.铁矿采选081－全部（含新建或扩建的独立尾矿库；不含单独的矿石破碎、集运；不含矿区修复治理工程）”</w:t>
      </w:r>
      <w:r>
        <w:rPr>
          <w:rFonts w:hint="default" w:ascii="Times New Roman" w:hAnsi="Times New Roman" w:cs="Times New Roman" w:eastAsiaTheme="minorEastAsia"/>
          <w:color w:val="auto"/>
          <w:sz w:val="24"/>
          <w:szCs w:val="24"/>
        </w:rPr>
        <w:t>，属于编制报告书的类别</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因此，本项目需编制报告书。</w:t>
      </w:r>
    </w:p>
    <w:p w14:paraId="23F8A58E">
      <w:pPr>
        <w:pStyle w:val="6"/>
        <w:bidi w:val="0"/>
        <w:rPr>
          <w:rFonts w:hint="default" w:ascii="Times New Roman" w:hAnsi="Times New Roman" w:cs="Times New Roman"/>
        </w:rPr>
      </w:pPr>
      <w:bookmarkStart w:id="59" w:name="_Toc14539"/>
      <w:bookmarkStart w:id="60" w:name="_Toc4818"/>
      <w:bookmarkStart w:id="61" w:name="_Toc8221"/>
      <w:r>
        <w:rPr>
          <w:rFonts w:hint="default" w:ascii="Times New Roman" w:hAnsi="Times New Roman" w:cs="Times New Roman"/>
          <w:lang w:val="en-US" w:eastAsia="zh-CN"/>
        </w:rPr>
        <w:t>1.</w:t>
      </w:r>
      <w:r>
        <w:rPr>
          <w:rFonts w:hint="default" w:ascii="Times New Roman" w:hAnsi="Times New Roman" w:cs="Times New Roman"/>
        </w:rPr>
        <w:t>3.2产业政策相符性判定</w:t>
      </w:r>
      <w:bookmarkEnd w:id="59"/>
      <w:bookmarkEnd w:id="60"/>
      <w:bookmarkEnd w:id="61"/>
    </w:p>
    <w:p w14:paraId="05FCBB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sz w:val="24"/>
          <w:szCs w:val="24"/>
        </w:rPr>
        <w:t>本项目为</w:t>
      </w:r>
      <w:r>
        <w:rPr>
          <w:rFonts w:hint="default" w:ascii="Times New Roman" w:hAnsi="Times New Roman" w:cs="Times New Roman" w:eastAsiaTheme="minorEastAsia"/>
          <w:color w:val="auto"/>
          <w:sz w:val="24"/>
          <w:szCs w:val="24"/>
          <w:lang w:val="en-US" w:eastAsia="zh-CN"/>
        </w:rPr>
        <w:t>铁矿选厂建设项目，</w:t>
      </w:r>
      <w:r>
        <w:rPr>
          <w:rFonts w:hint="default" w:ascii="Times New Roman" w:hAnsi="Times New Roman" w:cs="Times New Roman" w:eastAsiaTheme="minorEastAsia"/>
          <w:color w:val="auto"/>
          <w:sz w:val="24"/>
          <w:szCs w:val="24"/>
        </w:rPr>
        <w:t>主要产品为</w:t>
      </w:r>
      <w:r>
        <w:rPr>
          <w:rFonts w:hint="default" w:ascii="Times New Roman" w:hAnsi="Times New Roman" w:cs="Times New Roman" w:eastAsiaTheme="minorEastAsia"/>
          <w:color w:val="auto"/>
          <w:sz w:val="24"/>
          <w:szCs w:val="24"/>
          <w:lang w:val="en-US" w:eastAsia="zh-CN"/>
        </w:rPr>
        <w:t>铁矿石</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color w:val="auto"/>
          <w:lang w:bidi="zh-CN"/>
        </w:rPr>
        <w:t>根据《产业结构调整指导目录（2024年本）》，本项目属于第一类鼓励类中“八、黑色金属矿山开采、选矿及共伴生矿产综合开发利用”。同时，项目生产工艺及生产设备不属于《高耗能落后机电设备（产品）淘汰目录（第一批）》《高耗能落后机电设备（产品）淘汰目录（第二批）》《高耗能落后机电设备（产品）淘汰目录（第三批）》《高耗能落后机电设备（产品）淘汰目录（第四批）》中限制、淘汰的工艺技术，本项目所用的设备均不在国家禁止使用的落后、淘汰生产设备之列。</w:t>
      </w:r>
      <w:r>
        <w:rPr>
          <w:rFonts w:hint="default" w:ascii="Times New Roman" w:hAnsi="Times New Roman" w:eastAsia="宋体" w:cs="Times New Roman"/>
          <w:color w:val="auto"/>
          <w:lang w:bidi="zh-CN"/>
        </w:rPr>
        <w:t>本项目已取得新平彝族傣族自治县发展和改革局投资项目备案证，项目代码为：</w:t>
      </w:r>
      <w:r>
        <w:rPr>
          <w:rFonts w:hint="default" w:ascii="Times New Roman" w:hAnsi="Times New Roman" w:eastAsia="宋体" w:cs="Times New Roman"/>
          <w:b w:val="0"/>
          <w:bCs w:val="0"/>
          <w:color w:val="auto"/>
          <w:sz w:val="24"/>
          <w:szCs w:val="24"/>
        </w:rPr>
        <w:t>2404-530427-04-01-771767</w:t>
      </w:r>
      <w:r>
        <w:rPr>
          <w:rFonts w:hint="default" w:ascii="Times New Roman" w:hAnsi="Times New Roman" w:eastAsia="宋体" w:cs="Times New Roman"/>
          <w:color w:val="auto"/>
          <w:lang w:bidi="zh-CN"/>
        </w:rPr>
        <w:t>。项目符合国家产业政策。</w:t>
      </w:r>
    </w:p>
    <w:p w14:paraId="2E007173">
      <w:pPr>
        <w:pStyle w:val="6"/>
        <w:bidi w:val="0"/>
        <w:rPr>
          <w:rFonts w:hint="default" w:ascii="Times New Roman" w:hAnsi="Times New Roman" w:cs="Times New Roman"/>
        </w:rPr>
      </w:pPr>
      <w:bookmarkStart w:id="62" w:name="_Toc17523"/>
      <w:bookmarkStart w:id="63" w:name="_Toc28330"/>
      <w:bookmarkStart w:id="64" w:name="_Toc9933"/>
      <w:r>
        <w:rPr>
          <w:rFonts w:hint="default" w:ascii="Times New Roman" w:hAnsi="Times New Roman" w:cs="Times New Roman"/>
          <w:lang w:val="en-US" w:eastAsia="zh-CN"/>
        </w:rPr>
        <w:t>1.</w:t>
      </w:r>
      <w:r>
        <w:rPr>
          <w:rFonts w:hint="default" w:ascii="Times New Roman" w:hAnsi="Times New Roman" w:cs="Times New Roman"/>
        </w:rPr>
        <w:t>3.</w:t>
      </w:r>
      <w:r>
        <w:rPr>
          <w:rFonts w:hint="default" w:ascii="Times New Roman" w:hAnsi="Times New Roman" w:cs="Times New Roman"/>
          <w:lang w:val="en-US" w:eastAsia="zh-CN"/>
        </w:rPr>
        <w:t>3与</w:t>
      </w:r>
      <w:r>
        <w:rPr>
          <w:rFonts w:hint="default" w:ascii="Times New Roman" w:hAnsi="Times New Roman" w:cs="Times New Roman"/>
        </w:rPr>
        <w:t>《云南省</w:t>
      </w:r>
      <w:r>
        <w:rPr>
          <w:rFonts w:hint="default" w:ascii="Times New Roman" w:hAnsi="Times New Roman" w:cs="Times New Roman"/>
          <w:lang w:val="en-US" w:eastAsia="zh-CN"/>
        </w:rPr>
        <w:t>主体</w:t>
      </w:r>
      <w:r>
        <w:rPr>
          <w:rFonts w:hint="default" w:ascii="Times New Roman" w:hAnsi="Times New Roman" w:cs="Times New Roman"/>
        </w:rPr>
        <w:t>功能区划》符合性分析</w:t>
      </w:r>
      <w:bookmarkEnd w:id="62"/>
      <w:bookmarkEnd w:id="63"/>
    </w:p>
    <w:p w14:paraId="5C754E7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kern w:val="0"/>
          <w:sz w:val="24"/>
          <w:szCs w:val="24"/>
          <w:lang w:val="en-US" w:eastAsia="zh-CN" w:bidi="ar"/>
        </w:rPr>
      </w:pPr>
      <w:r>
        <w:rPr>
          <w:rFonts w:hint="default" w:ascii="Times New Roman" w:hAnsi="Times New Roman" w:cs="Times New Roman" w:eastAsiaTheme="minorEastAsia"/>
          <w:color w:val="auto"/>
          <w:kern w:val="0"/>
          <w:sz w:val="24"/>
          <w:szCs w:val="24"/>
          <w:lang w:val="en-US" w:eastAsia="zh-CN" w:bidi="ar"/>
        </w:rPr>
        <w:t>经对照查询《云南省主体功能区规划》，本项目</w:t>
      </w:r>
      <w:r>
        <w:rPr>
          <w:rFonts w:hint="default" w:ascii="Times New Roman" w:hAnsi="Times New Roman" w:cs="Times New Roman" w:eastAsiaTheme="minorEastAsia"/>
          <w:color w:val="auto"/>
          <w:sz w:val="24"/>
          <w:szCs w:val="24"/>
          <w:highlight w:val="none"/>
        </w:rPr>
        <w:t>属于《云南省主体功能区规划》中国家</w:t>
      </w:r>
      <w:r>
        <w:rPr>
          <w:rFonts w:hint="default" w:ascii="Times New Roman" w:hAnsi="Times New Roman" w:cs="Times New Roman" w:eastAsiaTheme="minorEastAsia"/>
          <w:color w:val="auto"/>
          <w:sz w:val="24"/>
          <w:szCs w:val="24"/>
          <w:highlight w:val="none"/>
          <w:lang w:val="en-US" w:eastAsia="zh-CN"/>
        </w:rPr>
        <w:t>农产品主产区</w:t>
      </w:r>
      <w:r>
        <w:rPr>
          <w:rFonts w:hint="default" w:ascii="Times New Roman" w:hAnsi="Times New Roman" w:cs="Times New Roman" w:eastAsiaTheme="minorEastAsia"/>
          <w:color w:val="auto"/>
          <w:sz w:val="24"/>
          <w:szCs w:val="24"/>
          <w:highlight w:val="none"/>
        </w:rPr>
        <w:t>范围内</w:t>
      </w:r>
      <w:r>
        <w:rPr>
          <w:rFonts w:hint="default" w:ascii="Times New Roman" w:hAnsi="Times New Roman" w:cs="Times New Roman" w:eastAsiaTheme="minorEastAsia"/>
          <w:color w:val="auto"/>
          <w:kern w:val="0"/>
          <w:sz w:val="24"/>
          <w:szCs w:val="24"/>
          <w:lang w:val="en-US" w:eastAsia="zh-CN" w:bidi="ar"/>
        </w:rPr>
        <w:t>。该区域功能定位：农产品主产区是保障粮食产品和主要农产品供给安全的基地，全省农业产业化的重要地区，现代农业的示范基地，农村居民安居乐业的美好家园，社会主义新农村建设的示范区。农产品主产区要以大力发展高原特色农业为重点，切实保护耕地，稳定粮食生产，发展现代农业，增强农业综合生产能力，增加农民收入，加快建设社会主义新农村，有效增强农产品供给保障能力，确保国家粮食安全和食品安全。</w:t>
      </w:r>
    </w:p>
    <w:p w14:paraId="32E3221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default" w:ascii="Times New Roman" w:hAnsi="Times New Roman" w:cs="Times New Roman" w:eastAsiaTheme="minorEastAsia"/>
          <w:color w:val="auto"/>
          <w:kern w:val="0"/>
          <w:sz w:val="24"/>
          <w:szCs w:val="24"/>
          <w:lang w:val="en-US" w:eastAsia="zh-CN" w:bidi="ar"/>
        </w:rPr>
        <w:t>本项目为低品位铁矿磁选项目，利用鲁奎山铁矿6号料场空地建设，不新增占地。根据《产业结构调整指导目录（2024年本）》，本项目属于第一类鼓励类中“八、黑色金属矿山开采、选矿及共伴生矿产综合开发利用”。本项目建设符合国家现行产业政策，与《云南省主体功能区规划》不冲突。本项目与云南省主体功能区划分位置关系图见附图10。</w:t>
      </w:r>
    </w:p>
    <w:p w14:paraId="657A01A1">
      <w:pPr>
        <w:pStyle w:val="6"/>
        <w:bidi w:val="0"/>
        <w:rPr>
          <w:rFonts w:hint="default" w:ascii="Times New Roman" w:hAnsi="Times New Roman" w:cs="Times New Roman"/>
        </w:rPr>
      </w:pPr>
      <w:bookmarkStart w:id="65" w:name="_Toc15335"/>
      <w:bookmarkStart w:id="66" w:name="_Toc26050"/>
      <w:r>
        <w:rPr>
          <w:rFonts w:hint="default" w:ascii="Times New Roman" w:hAnsi="Times New Roman" w:cs="Times New Roman"/>
          <w:lang w:val="en-US" w:eastAsia="zh-CN"/>
        </w:rPr>
        <w:t>1.</w:t>
      </w:r>
      <w:r>
        <w:rPr>
          <w:rFonts w:hint="default" w:ascii="Times New Roman" w:hAnsi="Times New Roman" w:cs="Times New Roman"/>
        </w:rPr>
        <w:t>3.</w:t>
      </w:r>
      <w:r>
        <w:rPr>
          <w:rFonts w:hint="default" w:ascii="Times New Roman" w:hAnsi="Times New Roman" w:cs="Times New Roman"/>
          <w:lang w:val="en-US" w:eastAsia="zh-CN"/>
        </w:rPr>
        <w:t>4与</w:t>
      </w:r>
      <w:r>
        <w:rPr>
          <w:rFonts w:hint="default" w:ascii="Times New Roman" w:hAnsi="Times New Roman" w:cs="Times New Roman"/>
        </w:rPr>
        <w:t>《云南省生态功能区划》符合性分析</w:t>
      </w:r>
      <w:bookmarkEnd w:id="64"/>
      <w:bookmarkEnd w:id="65"/>
      <w:bookmarkEnd w:id="66"/>
    </w:p>
    <w:p w14:paraId="5563BB67">
      <w:pPr>
        <w:autoSpaceDE w:val="0"/>
        <w:autoSpaceDN w:val="0"/>
        <w:spacing w:line="360" w:lineRule="auto"/>
        <w:ind w:firstLine="480" w:firstLineChars="200"/>
        <w:jc w:val="left"/>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根据《云南省生态功能区划》，项目区生态功能区为</w:t>
      </w:r>
      <w:r>
        <w:rPr>
          <w:rFonts w:hint="default" w:ascii="Times New Roman" w:hAnsi="Times New Roman" w:cs="Times New Roman" w:eastAsiaTheme="minorEastAsia"/>
          <w:color w:val="auto"/>
          <w:kern w:val="0"/>
          <w:sz w:val="24"/>
          <w:szCs w:val="24"/>
          <w:highlight w:val="none"/>
        </w:rPr>
        <w:fldChar w:fldCharType="begin"/>
      </w:r>
      <w:r>
        <w:rPr>
          <w:rFonts w:hint="default" w:ascii="Times New Roman" w:hAnsi="Times New Roman" w:cs="Times New Roman" w:eastAsiaTheme="minorEastAsia"/>
          <w:color w:val="auto"/>
          <w:kern w:val="0"/>
          <w:sz w:val="24"/>
          <w:szCs w:val="24"/>
          <w:highlight w:val="none"/>
        </w:rPr>
        <w:instrText xml:space="preserve"> = 2 \* ROMAN </w:instrText>
      </w:r>
      <w:r>
        <w:rPr>
          <w:rFonts w:hint="default" w:ascii="Times New Roman" w:hAnsi="Times New Roman" w:cs="Times New Roman" w:eastAsiaTheme="minorEastAsia"/>
          <w:color w:val="auto"/>
          <w:kern w:val="0"/>
          <w:sz w:val="24"/>
          <w:szCs w:val="24"/>
          <w:highlight w:val="none"/>
        </w:rPr>
        <w:fldChar w:fldCharType="separate"/>
      </w:r>
      <w:r>
        <w:rPr>
          <w:rFonts w:hint="default" w:ascii="Times New Roman" w:hAnsi="Times New Roman" w:cs="Times New Roman" w:eastAsiaTheme="minorEastAsia"/>
          <w:color w:val="auto"/>
          <w:kern w:val="0"/>
          <w:sz w:val="24"/>
          <w:szCs w:val="24"/>
          <w:highlight w:val="none"/>
        </w:rPr>
        <w:t>II</w:t>
      </w:r>
      <w:r>
        <w:rPr>
          <w:rFonts w:hint="default" w:ascii="Times New Roman" w:hAnsi="Times New Roman" w:cs="Times New Roman" w:eastAsiaTheme="minorEastAsia"/>
          <w:color w:val="auto"/>
          <w:kern w:val="0"/>
          <w:sz w:val="24"/>
          <w:szCs w:val="24"/>
          <w:highlight w:val="none"/>
        </w:rPr>
        <w:fldChar w:fldCharType="end"/>
      </w:r>
      <w:r>
        <w:rPr>
          <w:rFonts w:hint="default" w:ascii="Times New Roman" w:hAnsi="Times New Roman" w:cs="Times New Roman" w:eastAsiaTheme="minorEastAsia"/>
          <w:color w:val="auto"/>
          <w:kern w:val="0"/>
          <w:sz w:val="24"/>
          <w:szCs w:val="24"/>
          <w:highlight w:val="none"/>
        </w:rPr>
        <w:t>4-3新平撮科河中山山原林业与水源涵养生态功能区；所在区域为新平、峨山、石屏、元江四县交接地带，面积为3170.28平方公里；主要生态特征以中山河谷地貌为主。降雨量偏少，仅为800</w:t>
      </w:r>
      <w:r>
        <w:rPr>
          <w:rFonts w:hint="default" w:ascii="Times New Roman" w:hAnsi="Times New Roman" w:cs="Times New Roman" w:eastAsiaTheme="minorEastAsia"/>
          <w:color w:val="auto"/>
          <w:kern w:val="0"/>
          <w:sz w:val="24"/>
          <w:szCs w:val="24"/>
          <w:highlight w:val="none"/>
          <w:lang w:eastAsia="zh-CN"/>
        </w:rPr>
        <w:t>—</w:t>
      </w:r>
      <w:r>
        <w:rPr>
          <w:rFonts w:hint="default" w:ascii="Times New Roman" w:hAnsi="Times New Roman" w:cs="Times New Roman" w:eastAsiaTheme="minorEastAsia"/>
          <w:color w:val="auto"/>
          <w:kern w:val="0"/>
          <w:sz w:val="24"/>
          <w:szCs w:val="24"/>
          <w:highlight w:val="none"/>
        </w:rPr>
        <w:t>900毫米，主要植被类型为云南松林和思茅松林。土壤以紫色土为主；主要生态环境问题为矿山开采造成的水源林破坏，森林质量差、林</w:t>
      </w:r>
      <w:r>
        <w:rPr>
          <w:rFonts w:hint="default" w:ascii="Times New Roman" w:hAnsi="Times New Roman" w:cs="Times New Roman" w:eastAsiaTheme="minorEastAsia"/>
          <w:color w:val="auto"/>
          <w:kern w:val="0"/>
          <w:sz w:val="24"/>
          <w:szCs w:val="24"/>
          <w:highlight w:val="none"/>
          <w:lang w:eastAsia="zh-CN"/>
        </w:rPr>
        <w:t>种</w:t>
      </w:r>
      <w:r>
        <w:rPr>
          <w:rFonts w:hint="default" w:ascii="Times New Roman" w:hAnsi="Times New Roman" w:cs="Times New Roman" w:eastAsiaTheme="minorEastAsia"/>
          <w:color w:val="auto"/>
          <w:kern w:val="0"/>
          <w:sz w:val="24"/>
          <w:szCs w:val="24"/>
          <w:highlight w:val="none"/>
        </w:rPr>
        <w:t>单一；生态环境敏感性为土壤侵蚀中度和高度敏感；主要生态系统服务功能为元江上游地区的水源涵养、预防水土流失；保护措施与发展方向为封山育林、提高森林的数量和质量，调整土地利用方式、严格退耕还林、提高区域的水源涵养能力。</w:t>
      </w:r>
    </w:p>
    <w:p w14:paraId="41D719F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rPr>
      </w:pPr>
      <w:r>
        <w:rPr>
          <w:rFonts w:hint="default" w:ascii="Times New Roman" w:hAnsi="Times New Roman" w:cs="Times New Roman" w:eastAsiaTheme="minorEastAsia"/>
          <w:color w:val="auto"/>
          <w:sz w:val="24"/>
          <w:szCs w:val="24"/>
        </w:rPr>
        <w:t>本项目为</w:t>
      </w:r>
      <w:r>
        <w:rPr>
          <w:rFonts w:hint="default" w:ascii="Times New Roman" w:hAnsi="Times New Roman" w:cs="Times New Roman" w:eastAsiaTheme="minorEastAsia"/>
          <w:color w:val="auto"/>
          <w:sz w:val="24"/>
          <w:szCs w:val="24"/>
          <w:lang w:val="en-US" w:eastAsia="zh-CN"/>
        </w:rPr>
        <w:t>铁矿选厂建设项目，</w:t>
      </w:r>
      <w:r>
        <w:rPr>
          <w:rFonts w:hint="default" w:ascii="Times New Roman" w:hAnsi="Times New Roman" w:cs="Times New Roman" w:eastAsiaTheme="minorEastAsia"/>
          <w:color w:val="auto"/>
          <w:sz w:val="24"/>
          <w:szCs w:val="24"/>
        </w:rPr>
        <w:t>主要产品为</w:t>
      </w:r>
      <w:r>
        <w:rPr>
          <w:rFonts w:hint="default" w:ascii="Times New Roman" w:hAnsi="Times New Roman" w:cs="Times New Roman" w:eastAsiaTheme="minorEastAsia"/>
          <w:color w:val="auto"/>
          <w:sz w:val="24"/>
          <w:szCs w:val="24"/>
          <w:lang w:val="en-US" w:eastAsia="zh-CN"/>
        </w:rPr>
        <w:t>铁矿石</w:t>
      </w:r>
      <w:r>
        <w:rPr>
          <w:rFonts w:hint="default" w:ascii="Times New Roman" w:hAnsi="Times New Roman" w:cs="Times New Roman" w:eastAsiaTheme="minorEastAsia"/>
          <w:bCs/>
          <w:color w:val="auto"/>
          <w:kern w:val="0"/>
          <w:sz w:val="24"/>
          <w:szCs w:val="24"/>
          <w:lang w:eastAsia="zh-CN"/>
        </w:rPr>
        <w:t>，</w:t>
      </w:r>
      <w:r>
        <w:rPr>
          <w:rFonts w:hint="default" w:ascii="Times New Roman" w:hAnsi="Times New Roman" w:cs="Times New Roman" w:eastAsiaTheme="minorEastAsia"/>
          <w:color w:val="auto"/>
          <w:kern w:val="2"/>
          <w:sz w:val="24"/>
          <w:szCs w:val="24"/>
          <w:highlight w:val="none"/>
          <w:lang w:val="en-US" w:eastAsia="zh-CN" w:bidi="ar-SA"/>
        </w:rPr>
        <w:t>用地为鲁奎山铁矿采矿用地</w:t>
      </w:r>
      <w:r>
        <w:rPr>
          <w:rFonts w:hint="default" w:ascii="Times New Roman" w:hAnsi="Times New Roman" w:cs="Times New Roman" w:eastAsiaTheme="minorEastAsia"/>
          <w:bCs/>
          <w:color w:val="auto"/>
          <w:kern w:val="0"/>
          <w:sz w:val="24"/>
          <w:szCs w:val="24"/>
        </w:rPr>
        <w:t>；项目在落实</w:t>
      </w:r>
      <w:r>
        <w:rPr>
          <w:rFonts w:hint="default" w:ascii="Times New Roman" w:hAnsi="Times New Roman" w:cs="Times New Roman" w:eastAsiaTheme="minorEastAsia"/>
          <w:bCs/>
          <w:color w:val="auto"/>
          <w:kern w:val="0"/>
          <w:sz w:val="24"/>
          <w:szCs w:val="24"/>
          <w:lang w:val="en-US" w:eastAsia="zh-CN"/>
        </w:rPr>
        <w:t>本次评价提出的</w:t>
      </w:r>
      <w:r>
        <w:rPr>
          <w:rFonts w:hint="default" w:ascii="Times New Roman" w:hAnsi="Times New Roman" w:cs="Times New Roman" w:eastAsiaTheme="minorEastAsia"/>
          <w:bCs/>
          <w:color w:val="auto"/>
          <w:kern w:val="0"/>
          <w:sz w:val="24"/>
          <w:szCs w:val="24"/>
        </w:rPr>
        <w:t>措施后，其建设和运行不会对区域的水土资源和生态系统造成明显的不利影响，因此，项目与《云南省生态功能区划》不冲突。</w:t>
      </w:r>
      <w:r>
        <w:rPr>
          <w:rFonts w:hint="default" w:ascii="Times New Roman" w:hAnsi="Times New Roman" w:cs="Times New Roman" w:eastAsiaTheme="minorEastAsia"/>
          <w:bCs/>
          <w:color w:val="auto"/>
          <w:kern w:val="0"/>
          <w:sz w:val="24"/>
          <w:szCs w:val="24"/>
          <w:lang w:val="en-US" w:eastAsia="zh-CN"/>
        </w:rPr>
        <w:t>项目与</w:t>
      </w:r>
      <w:r>
        <w:rPr>
          <w:rFonts w:hint="default" w:ascii="Times New Roman" w:hAnsi="Times New Roman" w:cs="Times New Roman" w:eastAsiaTheme="minorEastAsia"/>
          <w:bCs/>
          <w:color w:val="auto"/>
          <w:kern w:val="0"/>
          <w:sz w:val="24"/>
          <w:szCs w:val="24"/>
        </w:rPr>
        <w:t>云南省生态功能区划</w:t>
      </w:r>
      <w:r>
        <w:rPr>
          <w:rFonts w:hint="default" w:ascii="Times New Roman" w:hAnsi="Times New Roman" w:cs="Times New Roman" w:eastAsiaTheme="minorEastAsia"/>
          <w:bCs/>
          <w:color w:val="auto"/>
          <w:kern w:val="0"/>
          <w:sz w:val="24"/>
          <w:szCs w:val="24"/>
          <w:lang w:val="en-US" w:eastAsia="zh-CN"/>
        </w:rPr>
        <w:t>位置关系详见附图8。</w:t>
      </w:r>
    </w:p>
    <w:p w14:paraId="0BE5194B">
      <w:pPr>
        <w:pStyle w:val="6"/>
        <w:bidi w:val="0"/>
        <w:rPr>
          <w:rFonts w:hint="default" w:ascii="Times New Roman" w:hAnsi="Times New Roman" w:cs="Times New Roman"/>
          <w:lang w:val="en-US" w:eastAsia="zh-CN"/>
        </w:rPr>
      </w:pPr>
      <w:bookmarkStart w:id="67" w:name="_Toc15409"/>
      <w:bookmarkStart w:id="68" w:name="_Toc1565"/>
      <w:bookmarkStart w:id="69" w:name="_Toc24110"/>
      <w:r>
        <w:rPr>
          <w:rFonts w:hint="default" w:ascii="Times New Roman" w:hAnsi="Times New Roman" w:cs="Times New Roman"/>
          <w:lang w:val="en-US" w:eastAsia="zh-CN"/>
        </w:rPr>
        <w:t>1.3.5与</w:t>
      </w:r>
      <w:r>
        <w:rPr>
          <w:rFonts w:hint="default" w:ascii="Times New Roman" w:hAnsi="Times New Roman" w:cs="Times New Roman"/>
        </w:rPr>
        <w:t>《云南省生物多样性保护战略与行动计划》（20</w:t>
      </w:r>
      <w:r>
        <w:rPr>
          <w:rFonts w:hint="default" w:ascii="Times New Roman" w:hAnsi="Times New Roman" w:cs="Times New Roman"/>
          <w:lang w:val="en-US" w:eastAsia="zh-CN"/>
        </w:rPr>
        <w:t>24—</w:t>
      </w:r>
      <w:r>
        <w:rPr>
          <w:rFonts w:hint="default" w:ascii="Times New Roman" w:hAnsi="Times New Roman" w:cs="Times New Roman"/>
        </w:rPr>
        <w:t>2030年）的符合性分析</w:t>
      </w:r>
      <w:bookmarkEnd w:id="67"/>
      <w:bookmarkEnd w:id="68"/>
      <w:bookmarkEnd w:id="69"/>
    </w:p>
    <w:p w14:paraId="57D3FD02">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2024年5月20日，云南省生态环境厅联合云南省发展和改革委员会、云南省工业和信息化厅等部门发布“关于印发《云南省生物多样性保护战略与行动计划（2024-2030）》的通知”，基于云南生物多样性保护的特色和优势，《行动计划》提出我省生物多样性保护三大战略定位：生物多样性保护的国际典范，为全球生物多样性保护作出云南贡献；生物多样性可持续利用的排头兵，打造全国生物生态资源可持续利用的云南样板；生物多样性治理体系建设的先行区，为全国生物多样性治理体系和治理能力现代化提供云南经验。</w:t>
      </w:r>
    </w:p>
    <w:p w14:paraId="1B534202">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b w:val="0"/>
          <w:color w:val="auto"/>
          <w:kern w:val="2"/>
          <w:sz w:val="24"/>
          <w:szCs w:val="24"/>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本项目位于</w:t>
      </w:r>
      <w:r>
        <w:rPr>
          <w:rFonts w:hint="default" w:ascii="Times New Roman" w:hAnsi="Times New Roman" w:cs="Times New Roman" w:eastAsiaTheme="minorEastAsia"/>
          <w:sz w:val="24"/>
          <w:szCs w:val="24"/>
        </w:rPr>
        <w:t>玉溪市新平彝族傣族自治县扬武镇</w:t>
      </w:r>
      <w:r>
        <w:rPr>
          <w:rFonts w:hint="default" w:ascii="Times New Roman" w:hAnsi="Times New Roman" w:cs="Times New Roman" w:eastAsiaTheme="minorEastAsia"/>
          <w:color w:val="auto"/>
          <w:kern w:val="2"/>
          <w:sz w:val="24"/>
          <w:szCs w:val="24"/>
          <w:highlight w:val="none"/>
          <w:lang w:val="en-US" w:eastAsia="zh-CN" w:bidi="ar-SA"/>
        </w:rPr>
        <w:t>，</w:t>
      </w:r>
      <w:r>
        <w:rPr>
          <w:rFonts w:hint="default" w:ascii="Times New Roman" w:hAnsi="Times New Roman" w:cs="Times New Roman" w:eastAsiaTheme="minorEastAsia"/>
          <w:b w:val="0"/>
          <w:color w:val="auto"/>
          <w:kern w:val="2"/>
          <w:sz w:val="24"/>
          <w:szCs w:val="24"/>
          <w:lang w:val="en-US" w:eastAsia="zh-CN" w:bidi="ar-SA"/>
        </w:rPr>
        <w:t>根据叠图分析，本项目不涉及《云南省生物多样性保护战略与行动计划》中的生物多样性保护优先区域，与《云南省生物多样性保护战略与行动计划</w:t>
      </w:r>
      <w:r>
        <w:rPr>
          <w:rFonts w:hint="default" w:ascii="Times New Roman" w:hAnsi="Times New Roman" w:cs="Times New Roman" w:eastAsiaTheme="minorEastAsia"/>
          <w:color w:val="auto"/>
          <w:sz w:val="24"/>
          <w:szCs w:val="24"/>
        </w:rPr>
        <w:t>（20</w:t>
      </w:r>
      <w:r>
        <w:rPr>
          <w:rFonts w:hint="default" w:ascii="Times New Roman" w:hAnsi="Times New Roman" w:cs="Times New Roman" w:eastAsiaTheme="minorEastAsia"/>
          <w:color w:val="auto"/>
          <w:sz w:val="24"/>
          <w:szCs w:val="24"/>
          <w:lang w:val="en-US" w:eastAsia="zh-CN"/>
        </w:rPr>
        <w:t>24—</w:t>
      </w:r>
      <w:r>
        <w:rPr>
          <w:rFonts w:hint="default" w:ascii="Times New Roman" w:hAnsi="Times New Roman" w:cs="Times New Roman" w:eastAsiaTheme="minorEastAsia"/>
          <w:color w:val="auto"/>
          <w:sz w:val="24"/>
          <w:szCs w:val="24"/>
        </w:rPr>
        <w:t>2030年</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b w:val="0"/>
          <w:color w:val="auto"/>
          <w:kern w:val="2"/>
          <w:sz w:val="24"/>
          <w:szCs w:val="24"/>
          <w:lang w:val="en-US" w:eastAsia="zh-CN" w:bidi="ar-SA"/>
        </w:rPr>
        <w:t>》不冲突。</w:t>
      </w:r>
      <w:r>
        <w:rPr>
          <w:rFonts w:hint="default" w:ascii="Times New Roman" w:hAnsi="Times New Roman" w:cs="Times New Roman" w:eastAsiaTheme="minorEastAsia"/>
          <w:bCs/>
          <w:color w:val="auto"/>
          <w:kern w:val="0"/>
          <w:sz w:val="24"/>
          <w:szCs w:val="24"/>
          <w:lang w:val="en-US" w:eastAsia="zh-CN"/>
        </w:rPr>
        <w:t>项目与云南生物多样性保护优先区域区划位置关系详见附图9。</w:t>
      </w:r>
    </w:p>
    <w:p w14:paraId="39114772">
      <w:pPr>
        <w:pStyle w:val="6"/>
        <w:bidi w:val="0"/>
        <w:rPr>
          <w:rFonts w:hint="default" w:ascii="Times New Roman" w:hAnsi="Times New Roman" w:cs="Times New Roman"/>
        </w:rPr>
      </w:pPr>
      <w:bookmarkStart w:id="70" w:name="_Toc165816713"/>
      <w:bookmarkStart w:id="71" w:name="_Toc8980"/>
      <w:r>
        <w:rPr>
          <w:rFonts w:hint="default" w:ascii="Times New Roman" w:hAnsi="Times New Roman" w:cs="Times New Roman"/>
          <w:lang w:val="en-US" w:eastAsia="zh-CN"/>
        </w:rPr>
        <w:t>1.3.6</w:t>
      </w:r>
      <w:r>
        <w:rPr>
          <w:rFonts w:hint="default" w:ascii="Times New Roman" w:hAnsi="Times New Roman" w:cs="Times New Roman"/>
        </w:rPr>
        <w:t>与《云南省生物多样性保护条例》相符性分析</w:t>
      </w:r>
    </w:p>
    <w:p w14:paraId="1090695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云南省生物多样性保护条例》第二十九条规定：新建、改建、扩建建设项目以及开发自然资源，应当依法开展环境影响评价。对可能造成重要生态系统破坏、损害重要物种及其栖息地和生境的，应当制定专项保护、恢复和补偿方案，纳入环境影响评价。</w:t>
      </w:r>
    </w:p>
    <w:p w14:paraId="21FE468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在生物多样性保护优先区域的建设项目以及自然资源开发，应当评价对生物多样性的影响，并作为环境影响评价的重要组成部分。</w:t>
      </w:r>
    </w:p>
    <w:p w14:paraId="552E734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default" w:ascii="Times New Roman" w:hAnsi="Times New Roman" w:cs="Times New Roman"/>
          <w:bCs/>
          <w:color w:val="auto"/>
          <w:sz w:val="24"/>
          <w:szCs w:val="24"/>
          <w:highlight w:val="none"/>
          <w:lang w:val="zh-CN"/>
        </w:rPr>
        <w:t>地处新平县扬武镇境内</w:t>
      </w:r>
      <w:r>
        <w:rPr>
          <w:rFonts w:hint="default" w:ascii="Times New Roman" w:hAnsi="Times New Roman" w:cs="Times New Roman"/>
          <w:color w:val="auto"/>
          <w:sz w:val="24"/>
          <w:szCs w:val="24"/>
        </w:rPr>
        <w:t>，不涉及生物多样性保护优先区域。</w:t>
      </w:r>
    </w:p>
    <w:p w14:paraId="085EA4BD">
      <w:pPr>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sz w:val="24"/>
          <w:szCs w:val="24"/>
          <w:lang w:val="en-US" w:eastAsia="zh-CN"/>
        </w:rPr>
        <w:t>项目与云南省生物多样性保护优先区域位置</w:t>
      </w:r>
      <w:r>
        <w:rPr>
          <w:rFonts w:hint="default" w:ascii="Times New Roman" w:hAnsi="Times New Roman" w:eastAsia="宋体" w:cs="Times New Roman"/>
          <w:color w:val="auto"/>
          <w:sz w:val="24"/>
          <w:szCs w:val="24"/>
          <w:highlight w:val="none"/>
          <w:lang w:val="en-US" w:eastAsia="zh-CN"/>
        </w:rPr>
        <w:t>关系图详见</w:t>
      </w:r>
      <w:r>
        <w:rPr>
          <w:rFonts w:hint="default" w:ascii="Times New Roman" w:hAnsi="Times New Roman" w:cs="Times New Roman" w:eastAsiaTheme="minorEastAsia"/>
          <w:bCs/>
          <w:color w:val="auto"/>
          <w:kern w:val="0"/>
          <w:sz w:val="24"/>
          <w:szCs w:val="24"/>
          <w:lang w:val="en-US" w:eastAsia="zh-CN"/>
        </w:rPr>
        <w:t>附图9</w:t>
      </w:r>
      <w:r>
        <w:rPr>
          <w:rFonts w:hint="default" w:ascii="Times New Roman" w:hAnsi="Times New Roman" w:eastAsia="宋体" w:cs="Times New Roman"/>
          <w:color w:val="auto"/>
          <w:sz w:val="24"/>
          <w:szCs w:val="24"/>
          <w:highlight w:val="none"/>
          <w:lang w:val="en-US" w:eastAsia="zh-CN"/>
        </w:rPr>
        <w:t>。</w:t>
      </w:r>
    </w:p>
    <w:p w14:paraId="5FE4F027">
      <w:pPr>
        <w:pStyle w:val="6"/>
        <w:bidi w:val="0"/>
        <w:rPr>
          <w:rFonts w:hint="default" w:ascii="Times New Roman" w:hAnsi="Times New Roman" w:cs="Times New Roman"/>
        </w:rPr>
      </w:pPr>
      <w:r>
        <w:rPr>
          <w:rFonts w:hint="default" w:ascii="Times New Roman" w:hAnsi="Times New Roman" w:cs="Times New Roman"/>
          <w:lang w:val="en-US" w:eastAsia="zh-CN"/>
        </w:rPr>
        <w:t>1.3.</w:t>
      </w:r>
      <w:bookmarkEnd w:id="70"/>
      <w:r>
        <w:rPr>
          <w:rFonts w:hint="default" w:ascii="Times New Roman" w:hAnsi="Times New Roman" w:cs="Times New Roman"/>
          <w:lang w:val="en-US" w:eastAsia="zh-CN"/>
        </w:rPr>
        <w:t>7</w:t>
      </w:r>
      <w:r>
        <w:rPr>
          <w:rFonts w:hint="default" w:ascii="Times New Roman" w:hAnsi="Times New Roman" w:cs="Times New Roman"/>
        </w:rPr>
        <w:t>与《云南省矿产资源总体规划（2021</w:t>
      </w:r>
      <w:r>
        <w:rPr>
          <w:rFonts w:hint="default" w:ascii="Times New Roman" w:hAnsi="Times New Roman" w:cs="Times New Roman"/>
          <w:lang w:eastAsia="zh-CN"/>
        </w:rPr>
        <w:t>—</w:t>
      </w:r>
      <w:r>
        <w:rPr>
          <w:rFonts w:hint="default" w:ascii="Times New Roman" w:hAnsi="Times New Roman" w:cs="Times New Roman"/>
        </w:rPr>
        <w:t>2025年）》符合性分析</w:t>
      </w:r>
      <w:bookmarkEnd w:id="71"/>
    </w:p>
    <w:p w14:paraId="7E380A7A">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本项目对照《云南省矿产资源总体规划（2021</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2025年）》中与本项目有关的规划内容符合性分析详见下表。</w:t>
      </w:r>
    </w:p>
    <w:p w14:paraId="4CEB0A79">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表1.</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-1项目与《云南省矿产资源总体规划（2021</w:t>
      </w:r>
      <w:r>
        <w:rPr>
          <w:rFonts w:hint="default" w:ascii="Times New Roman" w:hAnsi="Times New Roman" w:eastAsia="黑体" w:cs="Times New Roman"/>
          <w:b w:val="0"/>
          <w:bCs/>
          <w:sz w:val="21"/>
          <w:szCs w:val="21"/>
          <w:lang w:eastAsia="zh-CN"/>
        </w:rPr>
        <w:t>—</w:t>
      </w:r>
      <w:r>
        <w:rPr>
          <w:rFonts w:hint="default" w:ascii="Times New Roman" w:hAnsi="Times New Roman" w:eastAsia="黑体" w:cs="Times New Roman"/>
          <w:b w:val="0"/>
          <w:bCs/>
          <w:sz w:val="21"/>
          <w:szCs w:val="21"/>
        </w:rPr>
        <w:t>2025年）》符合性分析一览表</w:t>
      </w:r>
    </w:p>
    <w:tbl>
      <w:tblPr>
        <w:tblStyle w:val="3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06"/>
        <w:gridCol w:w="3554"/>
        <w:gridCol w:w="1426"/>
      </w:tblGrid>
      <w:tr w14:paraId="0AD92F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06" w:type="dxa"/>
            <w:tcBorders>
              <w:tl2br w:val="nil"/>
              <w:tr2bl w:val="nil"/>
            </w:tcBorders>
            <w:vAlign w:val="center"/>
          </w:tcPr>
          <w:p w14:paraId="3F62132E">
            <w:pPr>
              <w:autoSpaceDE w:val="0"/>
              <w:autoSpaceDN w:val="0"/>
              <w:adjustRightIn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规划内容</w:t>
            </w:r>
          </w:p>
        </w:tc>
        <w:tc>
          <w:tcPr>
            <w:tcW w:w="3471" w:type="dxa"/>
            <w:tcBorders>
              <w:tl2br w:val="nil"/>
              <w:tr2bl w:val="nil"/>
            </w:tcBorders>
            <w:vAlign w:val="center"/>
          </w:tcPr>
          <w:p w14:paraId="28476F3D">
            <w:pPr>
              <w:autoSpaceDE w:val="0"/>
              <w:autoSpaceDN w:val="0"/>
              <w:adjustRightIn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项目情况</w:t>
            </w:r>
          </w:p>
        </w:tc>
        <w:tc>
          <w:tcPr>
            <w:tcW w:w="1393" w:type="dxa"/>
            <w:tcBorders>
              <w:tl2br w:val="nil"/>
              <w:tr2bl w:val="nil"/>
            </w:tcBorders>
            <w:vAlign w:val="center"/>
          </w:tcPr>
          <w:p w14:paraId="52B76D54">
            <w:pPr>
              <w:autoSpaceDE w:val="0"/>
              <w:autoSpaceDN w:val="0"/>
              <w:adjustRightIn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符合情况</w:t>
            </w:r>
          </w:p>
        </w:tc>
      </w:tr>
      <w:tr w14:paraId="78BBD1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9070" w:type="dxa"/>
            <w:gridSpan w:val="3"/>
            <w:tcBorders>
              <w:tl2br w:val="nil"/>
              <w:tr2bl w:val="nil"/>
            </w:tcBorders>
            <w:vAlign w:val="center"/>
          </w:tcPr>
          <w:p w14:paraId="1A95B109">
            <w:pPr>
              <w:autoSpaceDE w:val="0"/>
              <w:autoSpaceDN w:val="0"/>
              <w:adjustRightIn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第六章　促进矿业绿色发展  第二节　推进矿产资源高效利用</w:t>
            </w:r>
          </w:p>
        </w:tc>
      </w:tr>
      <w:tr w14:paraId="1097CD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4206" w:type="dxa"/>
            <w:tcBorders>
              <w:tl2br w:val="nil"/>
              <w:tr2bl w:val="nil"/>
            </w:tcBorders>
            <w:vAlign w:val="center"/>
          </w:tcPr>
          <w:p w14:paraId="1D202377">
            <w:pPr>
              <w:autoSpaceDE w:val="0"/>
              <w:autoSpaceDN w:val="0"/>
              <w:adjustRightInd w:val="0"/>
              <w:spacing w:line="240" w:lineRule="auto"/>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采用高新技术提高资源综合利用水平，加强低品位矿和难选矿石选矿技术工艺的研发。推广异步混合浮选、电化学控制浮选等高效提取技术，应用先进技术实现节能环保和循环利用，发展精深加工，延伸产业链。采用先进适用技术提高开采回采率和选矿回收率，推广充填开采技术，减少废石排放，加大废水和共伴生元素的综合回收利用。</w:t>
            </w:r>
          </w:p>
          <w:p w14:paraId="7B188F13">
            <w:pPr>
              <w:autoSpaceDE w:val="0"/>
              <w:autoSpaceDN w:val="0"/>
              <w:adjustRightInd w:val="0"/>
              <w:spacing w:line="240" w:lineRule="auto"/>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推广微细粒赤铁矿及磁、赤（褐）铁矿共生矿全磁选流程分选技术、贫赤铁矿矿石强磁预选技术等先进选矿技术工艺，提高铁矿选矿回收率。对中低品位铁矿、低品位锰矿及难选呆滞资源，加大综合利用技术研究力度。</w:t>
            </w:r>
          </w:p>
        </w:tc>
        <w:tc>
          <w:tcPr>
            <w:tcW w:w="3471" w:type="dxa"/>
            <w:tcBorders>
              <w:tl2br w:val="nil"/>
              <w:tr2bl w:val="nil"/>
            </w:tcBorders>
            <w:vAlign w:val="center"/>
          </w:tcPr>
          <w:p w14:paraId="6D53AA78">
            <w:pPr>
              <w:autoSpaceDE w:val="0"/>
              <w:autoSpaceDN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本项目选矿工艺为干式磁选，</w:t>
            </w:r>
            <w:r>
              <w:rPr>
                <w:rFonts w:hint="default" w:ascii="Times New Roman" w:hAnsi="Times New Roman" w:cs="Times New Roman"/>
                <w:sz w:val="18"/>
                <w:szCs w:val="18"/>
                <w:lang w:val="en-US" w:eastAsia="zh-CN"/>
              </w:rPr>
              <w:t>产品为</w:t>
            </w:r>
            <w:r>
              <w:rPr>
                <w:rFonts w:hint="default" w:ascii="Times New Roman" w:hAnsi="Times New Roman" w:eastAsia="宋体" w:cs="Times New Roman"/>
                <w:sz w:val="18"/>
                <w:szCs w:val="18"/>
              </w:rPr>
              <w:t>菱铁矿和褐铁矿矿石等</w:t>
            </w:r>
            <w:r>
              <w:rPr>
                <w:rFonts w:hint="default" w:ascii="Times New Roman" w:hAnsi="Times New Roman" w:cs="Times New Roman"/>
                <w:sz w:val="18"/>
                <w:szCs w:val="18"/>
                <w:lang w:eastAsia="zh-CN"/>
              </w:rPr>
              <w:t>。</w:t>
            </w:r>
            <w:r>
              <w:rPr>
                <w:rFonts w:hint="default" w:ascii="Times New Roman" w:hAnsi="Times New Roman" w:eastAsia="宋体" w:cs="Times New Roman"/>
                <w:sz w:val="18"/>
                <w:szCs w:val="18"/>
              </w:rPr>
              <w:t>提高了铁矿综合回收率。项目无选矿废水，项目废气主要为颗粒物，经采取袋式除尘处理后可</w:t>
            </w:r>
            <w:r>
              <w:rPr>
                <w:rFonts w:hint="default" w:ascii="Times New Roman" w:hAnsi="Times New Roman" w:eastAsia="宋体" w:cs="Times New Roman"/>
                <w:color w:val="auto"/>
                <w:sz w:val="18"/>
                <w:szCs w:val="18"/>
              </w:rPr>
              <w:t>达标排放。本项目磁选后</w:t>
            </w:r>
            <w:r>
              <w:rPr>
                <w:rFonts w:hint="default" w:ascii="Times New Roman" w:hAnsi="Times New Roman" w:cs="Times New Roman"/>
                <w:color w:val="auto"/>
                <w:sz w:val="18"/>
                <w:szCs w:val="18"/>
                <w:lang w:val="en-US" w:eastAsia="zh-CN"/>
              </w:rPr>
              <w:t>尾矿作为砂石料产品</w:t>
            </w:r>
            <w:r>
              <w:rPr>
                <w:rFonts w:hint="default" w:ascii="Times New Roman" w:hAnsi="Times New Roman" w:eastAsia="宋体" w:cs="Times New Roman"/>
                <w:color w:val="auto"/>
                <w:sz w:val="18"/>
                <w:szCs w:val="18"/>
              </w:rPr>
              <w:t>用于道路维护、工业场地建设以及</w:t>
            </w:r>
            <w:r>
              <w:rPr>
                <w:rFonts w:hint="default" w:ascii="Times New Roman" w:hAnsi="Times New Roman" w:cs="Times New Roman"/>
                <w:color w:val="auto"/>
                <w:sz w:val="18"/>
                <w:szCs w:val="18"/>
                <w:lang w:eastAsia="zh-CN"/>
              </w:rPr>
              <w:t>外售建材公司</w:t>
            </w:r>
            <w:r>
              <w:rPr>
                <w:rFonts w:hint="default" w:ascii="Times New Roman" w:hAnsi="Times New Roman" w:eastAsia="宋体" w:cs="Times New Roman"/>
                <w:color w:val="auto"/>
                <w:sz w:val="18"/>
                <w:szCs w:val="18"/>
              </w:rPr>
              <w:t>。</w:t>
            </w:r>
          </w:p>
        </w:tc>
        <w:tc>
          <w:tcPr>
            <w:tcW w:w="1393" w:type="dxa"/>
            <w:tcBorders>
              <w:tl2br w:val="nil"/>
              <w:tr2bl w:val="nil"/>
            </w:tcBorders>
            <w:vAlign w:val="center"/>
          </w:tcPr>
          <w:p w14:paraId="7D8E1E09">
            <w:pPr>
              <w:autoSpaceDE w:val="0"/>
              <w:autoSpaceDN w:val="0"/>
              <w:adjustRightIn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符合</w:t>
            </w:r>
          </w:p>
        </w:tc>
      </w:tr>
    </w:tbl>
    <w:p w14:paraId="46105A76">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根据上表分析，本项目符合《云南省矿产资源总体规划（2021</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2025年）》中与本项目有关规划内容的要求。</w:t>
      </w:r>
    </w:p>
    <w:p w14:paraId="67FDEC8A">
      <w:pPr>
        <w:pStyle w:val="6"/>
        <w:bidi w:val="0"/>
        <w:rPr>
          <w:rFonts w:hint="default" w:ascii="Times New Roman" w:hAnsi="Times New Roman" w:cs="Times New Roman"/>
        </w:rPr>
      </w:pPr>
      <w:bookmarkStart w:id="72" w:name="_Toc16467"/>
      <w:r>
        <w:rPr>
          <w:rFonts w:hint="default" w:ascii="Times New Roman" w:hAnsi="Times New Roman" w:cs="Times New Roman"/>
          <w:lang w:val="en-US" w:eastAsia="zh-CN"/>
        </w:rPr>
        <w:t>1.3.8</w:t>
      </w:r>
      <w:r>
        <w:rPr>
          <w:rFonts w:hint="default" w:ascii="Times New Roman" w:hAnsi="Times New Roman" w:cs="Times New Roman"/>
        </w:rPr>
        <w:t>与《云南省矿产资源总体规划（2021-2025 年）环境影响报告书》的审查意见（环审〔2022〕130 号）符合性分析</w:t>
      </w:r>
      <w:bookmarkEnd w:id="72"/>
    </w:p>
    <w:p w14:paraId="3805A9E1">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本项目与《云南省矿产资源总体规划（2021-2025 年）环境影响报告书》的审查意见（环审〔2022〕130 号）符合性分析详见下表。</w:t>
      </w:r>
    </w:p>
    <w:p w14:paraId="6DE05249">
      <w:pPr>
        <w:adjustRightInd w:val="0"/>
        <w:snapToGrid w:val="0"/>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表1.</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-2  项目与《云南省矿产资源总体规划（2021-2025 年）环境影响报告书》审查意见符合性分析</w:t>
      </w:r>
    </w:p>
    <w:tbl>
      <w:tblPr>
        <w:tblStyle w:val="30"/>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47"/>
        <w:gridCol w:w="3314"/>
        <w:gridCol w:w="1019"/>
      </w:tblGrid>
      <w:tr w14:paraId="5928E0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5" w:type="pct"/>
            <w:tcBorders>
              <w:tl2br w:val="nil"/>
              <w:tr2bl w:val="nil"/>
            </w:tcBorders>
            <w:vAlign w:val="center"/>
          </w:tcPr>
          <w:p w14:paraId="0B1C6206">
            <w:pPr>
              <w:pStyle w:val="18"/>
              <w:widowControl/>
              <w:spacing w:after="0" w:line="240" w:lineRule="auto"/>
              <w:ind w:left="0" w:leftChars="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《云南省矿产资源总体规划（2021-2025 年）环境影响报告书》的审查意见（环审〔2022〕130 号）的相关内容</w:t>
            </w:r>
          </w:p>
        </w:tc>
        <w:tc>
          <w:tcPr>
            <w:tcW w:w="1785" w:type="pct"/>
            <w:tcBorders>
              <w:tl2br w:val="nil"/>
              <w:tr2bl w:val="nil"/>
            </w:tcBorders>
            <w:vAlign w:val="center"/>
          </w:tcPr>
          <w:p w14:paraId="1445B892">
            <w:pPr>
              <w:pStyle w:val="18"/>
              <w:widowControl/>
              <w:spacing w:after="0" w:line="240" w:lineRule="auto"/>
              <w:ind w:left="0" w:left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项目情况</w:t>
            </w:r>
          </w:p>
        </w:tc>
        <w:tc>
          <w:tcPr>
            <w:tcW w:w="549" w:type="pct"/>
            <w:tcBorders>
              <w:tl2br w:val="nil"/>
              <w:tr2bl w:val="nil"/>
            </w:tcBorders>
            <w:vAlign w:val="center"/>
          </w:tcPr>
          <w:p w14:paraId="7A04BDD4">
            <w:pPr>
              <w:pStyle w:val="18"/>
              <w:widowControl/>
              <w:spacing w:after="0" w:line="240" w:lineRule="auto"/>
              <w:ind w:left="0" w:leftChars="0" w:firstLine="0" w:firstLineChars="0"/>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符合性</w:t>
            </w:r>
          </w:p>
        </w:tc>
      </w:tr>
      <w:tr w14:paraId="53001D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5" w:type="pct"/>
            <w:tcBorders>
              <w:tl2br w:val="nil"/>
              <w:tr2bl w:val="nil"/>
            </w:tcBorders>
            <w:vAlign w:val="center"/>
          </w:tcPr>
          <w:p w14:paraId="18D719A5">
            <w:pPr>
              <w:pStyle w:val="18"/>
              <w:widowControl/>
              <w:spacing w:after="0" w:line="240" w:lineRule="auto"/>
              <w:ind w:left="0" w:leftChars="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坚持生态优先、绿色发展。坚持以习近平生态文明思想为指导，严格落实《中华人民共和国长江保护法》，按照“共抓大保护、不搞大开发”的要求，立足于生态系统稳定和生态环境质量改善，处理好生态环境保护与矿产资源开发的关系，合理控制矿产资源开发规模与强度，不得占用依法应当禁止开发的区域，优先避让生态环境敏感区域。</w:t>
            </w:r>
          </w:p>
        </w:tc>
        <w:tc>
          <w:tcPr>
            <w:tcW w:w="1785" w:type="pct"/>
            <w:tcBorders>
              <w:tl2br w:val="nil"/>
              <w:tr2bl w:val="nil"/>
            </w:tcBorders>
            <w:vAlign w:val="center"/>
          </w:tcPr>
          <w:p w14:paraId="1715572B">
            <w:pPr>
              <w:widowControl/>
              <w:spacing w:line="240" w:lineRule="auto"/>
              <w:ind w:firstLine="360" w:firstLineChars="200"/>
              <w:jc w:val="left"/>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sz w:val="18"/>
                <w:szCs w:val="18"/>
              </w:rPr>
              <w:t>项目位于玉溪市新平县扬武镇鲁奎山，利用</w:t>
            </w:r>
            <w:r>
              <w:rPr>
                <w:rFonts w:hint="default" w:ascii="Times New Roman" w:hAnsi="Times New Roman" w:cs="Times New Roman" w:eastAsiaTheme="minorEastAsia"/>
                <w:color w:val="auto"/>
                <w:sz w:val="18"/>
                <w:szCs w:val="18"/>
                <w:lang w:val="en-US" w:eastAsia="zh-CN"/>
              </w:rPr>
              <w:t>鲁奎山铁矿6号</w:t>
            </w:r>
            <w:r>
              <w:rPr>
                <w:rFonts w:hint="default" w:ascii="Times New Roman" w:hAnsi="Times New Roman" w:cs="Times New Roman" w:eastAsiaTheme="minorEastAsia"/>
                <w:color w:val="auto"/>
                <w:sz w:val="18"/>
                <w:szCs w:val="18"/>
              </w:rPr>
              <w:t>料场</w:t>
            </w:r>
            <w:r>
              <w:rPr>
                <w:rFonts w:hint="default" w:ascii="Times New Roman" w:hAnsi="Times New Roman" w:cs="Times New Roman" w:eastAsiaTheme="minorEastAsia"/>
                <w:color w:val="auto"/>
                <w:sz w:val="18"/>
                <w:szCs w:val="18"/>
                <w:lang w:val="en-US" w:eastAsia="zh-CN"/>
              </w:rPr>
              <w:t>空地</w:t>
            </w:r>
            <w:r>
              <w:rPr>
                <w:rFonts w:hint="default" w:ascii="Times New Roman" w:hAnsi="Times New Roman" w:cs="Times New Roman" w:eastAsiaTheme="minorEastAsia"/>
                <w:color w:val="auto"/>
                <w:kern w:val="0"/>
                <w:sz w:val="18"/>
                <w:szCs w:val="18"/>
              </w:rPr>
              <w:t>进行建设</w:t>
            </w:r>
            <w:r>
              <w:rPr>
                <w:rFonts w:hint="default" w:ascii="Times New Roman" w:hAnsi="Times New Roman" w:cs="Times New Roman" w:eastAsiaTheme="minorEastAsia"/>
                <w:color w:val="auto"/>
                <w:sz w:val="18"/>
                <w:szCs w:val="18"/>
              </w:rPr>
              <w:t>，不新增占地，建设前后项目用地属性未发生变化，不涉及生态保护红线，</w:t>
            </w:r>
            <w:r>
              <w:rPr>
                <w:rFonts w:hint="default" w:ascii="Times New Roman" w:hAnsi="Times New Roman" w:cs="Times New Roman" w:eastAsiaTheme="minorEastAsia"/>
                <w:color w:val="auto"/>
                <w:kern w:val="0"/>
                <w:sz w:val="18"/>
                <w:szCs w:val="18"/>
                <w:lang w:bidi="ar"/>
              </w:rPr>
              <w:t>不涉及禁止开发的区域，不涉及生态环境敏感区域。</w:t>
            </w:r>
          </w:p>
        </w:tc>
        <w:tc>
          <w:tcPr>
            <w:tcW w:w="549" w:type="pct"/>
            <w:tcBorders>
              <w:tl2br w:val="nil"/>
              <w:tr2bl w:val="nil"/>
            </w:tcBorders>
            <w:vAlign w:val="center"/>
          </w:tcPr>
          <w:p w14:paraId="2057B251">
            <w:pPr>
              <w:pStyle w:val="18"/>
              <w:widowControl/>
              <w:spacing w:after="0" w:line="240" w:lineRule="auto"/>
              <w:ind w:left="0" w:leftChars="0" w:firstLine="0" w:firstLineChars="0"/>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756F43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5" w:type="pct"/>
            <w:tcBorders>
              <w:tl2br w:val="nil"/>
              <w:tr2bl w:val="nil"/>
            </w:tcBorders>
            <w:vAlign w:val="center"/>
          </w:tcPr>
          <w:p w14:paraId="3F97CAB7">
            <w:pPr>
              <w:pStyle w:val="18"/>
              <w:widowControl/>
              <w:spacing w:after="0" w:line="240" w:lineRule="auto"/>
              <w:ind w:left="0" w:leftChars="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（2）严格保护生态空间，优化《规划》布局。将生态保护红线作为保障和维护区域生态安全的底线，应进一步优化矿业权设置和空间布局，依法依规对生态空间实施严格保护。</w:t>
            </w:r>
          </w:p>
        </w:tc>
        <w:tc>
          <w:tcPr>
            <w:tcW w:w="1785" w:type="pct"/>
            <w:tcBorders>
              <w:tl2br w:val="nil"/>
              <w:tr2bl w:val="nil"/>
            </w:tcBorders>
            <w:vAlign w:val="center"/>
          </w:tcPr>
          <w:p w14:paraId="1AB75028">
            <w:pPr>
              <w:pStyle w:val="18"/>
              <w:widowControl/>
              <w:spacing w:after="0" w:line="240" w:lineRule="auto"/>
              <w:ind w:left="0" w:leftChars="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本项目矿区范围与“</w:t>
            </w:r>
            <w:r>
              <w:rPr>
                <w:rFonts w:hint="default" w:ascii="Times New Roman" w:hAnsi="Times New Roman" w:cs="Times New Roman" w:eastAsiaTheme="minorEastAsia"/>
                <w:color w:val="auto"/>
                <w:sz w:val="18"/>
                <w:szCs w:val="18"/>
                <w:lang w:val="en-US" w:eastAsia="zh-CN"/>
              </w:rPr>
              <w:t>新平县分区管控</w:t>
            </w:r>
            <w:r>
              <w:rPr>
                <w:rFonts w:hint="default" w:ascii="Times New Roman" w:hAnsi="Times New Roman" w:cs="Times New Roman" w:eastAsiaTheme="minorEastAsia"/>
                <w:color w:val="auto"/>
                <w:sz w:val="18"/>
                <w:szCs w:val="18"/>
              </w:rPr>
              <w:t>”划定成果核对，不涉及生态保护红线，为</w:t>
            </w:r>
            <w:r>
              <w:rPr>
                <w:rFonts w:hint="default" w:ascii="Times New Roman" w:hAnsi="Times New Roman" w:cs="Times New Roman" w:eastAsiaTheme="minorEastAsia"/>
                <w:color w:val="auto"/>
                <w:kern w:val="0"/>
                <w:sz w:val="18"/>
                <w:szCs w:val="18"/>
                <w:lang w:bidi="ar"/>
              </w:rPr>
              <w:t>新平彝族傣族自治县</w:t>
            </w:r>
            <w:r>
              <w:rPr>
                <w:rFonts w:hint="default" w:ascii="Times New Roman" w:hAnsi="Times New Roman" w:cs="Times New Roman" w:eastAsiaTheme="minorEastAsia"/>
                <w:color w:val="auto"/>
                <w:kern w:val="0"/>
                <w:sz w:val="18"/>
                <w:szCs w:val="18"/>
                <w:lang w:val="en-US" w:eastAsia="zh-CN" w:bidi="ar"/>
              </w:rPr>
              <w:t>一般</w:t>
            </w:r>
            <w:r>
              <w:rPr>
                <w:rFonts w:hint="default" w:ascii="Times New Roman" w:hAnsi="Times New Roman" w:cs="Times New Roman" w:eastAsiaTheme="minorEastAsia"/>
                <w:color w:val="auto"/>
                <w:kern w:val="0"/>
                <w:sz w:val="18"/>
                <w:szCs w:val="18"/>
                <w:lang w:bidi="ar"/>
              </w:rPr>
              <w:t>管控单元。</w:t>
            </w:r>
          </w:p>
        </w:tc>
        <w:tc>
          <w:tcPr>
            <w:tcW w:w="549" w:type="pct"/>
            <w:tcBorders>
              <w:tl2br w:val="nil"/>
              <w:tr2bl w:val="nil"/>
            </w:tcBorders>
            <w:vAlign w:val="center"/>
          </w:tcPr>
          <w:p w14:paraId="46907C44">
            <w:pPr>
              <w:pStyle w:val="18"/>
              <w:widowControl/>
              <w:spacing w:after="0" w:line="240" w:lineRule="auto"/>
              <w:ind w:left="0" w:leftChars="0" w:firstLine="0" w:firstLineChars="0"/>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0EE628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5" w:type="pct"/>
            <w:tcBorders>
              <w:tl2br w:val="nil"/>
              <w:tr2bl w:val="nil"/>
            </w:tcBorders>
            <w:vAlign w:val="center"/>
          </w:tcPr>
          <w:p w14:paraId="23CF91B9">
            <w:pPr>
              <w:pStyle w:val="18"/>
              <w:widowControl/>
              <w:spacing w:after="0" w:line="240" w:lineRule="auto"/>
              <w:ind w:left="0" w:leftChars="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（3）禁止开采汞、蓝石棉、可耕地砖瓦用粘土及其他对生态环境可能产生严重破坏且难以恢复的矿产，限制开采高硫、高灰、高砷、高氟煤炭和湿地泥炭以及砂金砂铁等矿产。</w:t>
            </w:r>
          </w:p>
        </w:tc>
        <w:tc>
          <w:tcPr>
            <w:tcW w:w="1785" w:type="pct"/>
            <w:tcBorders>
              <w:tl2br w:val="nil"/>
              <w:tr2bl w:val="nil"/>
            </w:tcBorders>
            <w:vAlign w:val="center"/>
          </w:tcPr>
          <w:p w14:paraId="783EEDF2">
            <w:pPr>
              <w:pStyle w:val="18"/>
              <w:widowControl/>
              <w:spacing w:after="0" w:line="240" w:lineRule="auto"/>
              <w:ind w:left="0" w:leftChars="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本项目不涉及</w:t>
            </w:r>
          </w:p>
        </w:tc>
        <w:tc>
          <w:tcPr>
            <w:tcW w:w="549" w:type="pct"/>
            <w:tcBorders>
              <w:tl2br w:val="nil"/>
              <w:tr2bl w:val="nil"/>
            </w:tcBorders>
            <w:vAlign w:val="center"/>
          </w:tcPr>
          <w:p w14:paraId="7FABF773">
            <w:pPr>
              <w:pStyle w:val="18"/>
              <w:widowControl/>
              <w:spacing w:after="0" w:line="240" w:lineRule="auto"/>
              <w:ind w:left="0" w:left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p>
        </w:tc>
      </w:tr>
      <w:tr w14:paraId="3666C2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5" w:type="pct"/>
            <w:tcBorders>
              <w:tl2br w:val="nil"/>
              <w:tr2bl w:val="nil"/>
            </w:tcBorders>
            <w:vAlign w:val="center"/>
          </w:tcPr>
          <w:p w14:paraId="1C55A41A">
            <w:pPr>
              <w:widowControl/>
              <w:adjustRightInd w:val="0"/>
              <w:snapToGrid w:val="0"/>
              <w:ind w:firstLine="360" w:firstLineChars="200"/>
              <w:jc w:val="left"/>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rPr>
              <w:t>（4）加强生态环境保护监测和预警。结合生态保护、饮用水水源保护区及水环境功能区水质保护及改善要求、土壤污染防治目标等，推进重点矿区建立涵盖生态、地表水、地下水、土壤等环境要素的长期监测监控体系。</w:t>
            </w:r>
          </w:p>
        </w:tc>
        <w:tc>
          <w:tcPr>
            <w:tcW w:w="1785" w:type="pct"/>
            <w:tcBorders>
              <w:tl2br w:val="nil"/>
              <w:tr2bl w:val="nil"/>
            </w:tcBorders>
            <w:vAlign w:val="center"/>
          </w:tcPr>
          <w:p w14:paraId="4C61E78C">
            <w:pPr>
              <w:pStyle w:val="18"/>
              <w:widowControl/>
              <w:spacing w:after="0" w:line="240" w:lineRule="auto"/>
              <w:ind w:left="0" w:leftChars="0"/>
              <w:jc w:val="left"/>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rPr>
              <w:t>本次环评已提出了地下水、土壤等环境要素的跟踪监测措施。</w:t>
            </w:r>
          </w:p>
        </w:tc>
        <w:tc>
          <w:tcPr>
            <w:tcW w:w="549" w:type="pct"/>
            <w:tcBorders>
              <w:tl2br w:val="nil"/>
              <w:tr2bl w:val="nil"/>
            </w:tcBorders>
            <w:vAlign w:val="center"/>
          </w:tcPr>
          <w:p w14:paraId="36308BA3">
            <w:pPr>
              <w:pStyle w:val="18"/>
              <w:widowControl/>
              <w:spacing w:after="0" w:line="240" w:lineRule="auto"/>
              <w:ind w:left="0" w:leftChars="0"/>
              <w:jc w:val="center"/>
              <w:rPr>
                <w:rFonts w:hint="default" w:ascii="Times New Roman" w:hAnsi="Times New Roman" w:cs="Times New Roman" w:eastAsiaTheme="minorEastAsia"/>
                <w:color w:val="auto"/>
                <w:sz w:val="18"/>
                <w:szCs w:val="18"/>
              </w:rPr>
            </w:pPr>
          </w:p>
        </w:tc>
      </w:tr>
    </w:tbl>
    <w:p w14:paraId="50B43CAD">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根据上表分析，本项目符合《云南省矿产资源总体规划（2021-2025年）环境影响报告书》的审查意见（环审〔2022〕130 号）中与本项目有关规划内容的要求。</w:t>
      </w:r>
    </w:p>
    <w:p w14:paraId="770E4291">
      <w:pPr>
        <w:pStyle w:val="6"/>
        <w:bidi w:val="0"/>
        <w:rPr>
          <w:rFonts w:hint="default" w:ascii="Times New Roman" w:hAnsi="Times New Roman" w:cs="Times New Roman"/>
        </w:rPr>
      </w:pPr>
      <w:bookmarkStart w:id="73" w:name="_Toc375"/>
      <w:r>
        <w:rPr>
          <w:rFonts w:hint="default" w:ascii="Times New Roman" w:hAnsi="Times New Roman" w:cs="Times New Roman"/>
          <w:lang w:val="en-US" w:eastAsia="zh-CN"/>
        </w:rPr>
        <w:t>1.3.9</w:t>
      </w:r>
      <w:r>
        <w:rPr>
          <w:rFonts w:hint="default" w:ascii="Times New Roman" w:hAnsi="Times New Roman" w:cs="Times New Roman"/>
        </w:rPr>
        <w:t>与</w:t>
      </w:r>
      <w:bookmarkStart w:id="74" w:name="_Hlk162516140"/>
      <w:r>
        <w:rPr>
          <w:rFonts w:hint="default" w:ascii="Times New Roman" w:hAnsi="Times New Roman" w:cs="Times New Roman"/>
        </w:rPr>
        <w:t>《云南省固体废物污染环境防治条例》</w:t>
      </w:r>
      <w:bookmarkEnd w:id="74"/>
      <w:r>
        <w:rPr>
          <w:rFonts w:hint="default" w:ascii="Times New Roman" w:hAnsi="Times New Roman" w:cs="Times New Roman"/>
        </w:rPr>
        <w:t>符合性分析</w:t>
      </w:r>
      <w:bookmarkEnd w:id="73"/>
    </w:p>
    <w:p w14:paraId="2408AB75">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本项目磁选后</w:t>
      </w:r>
      <w:r>
        <w:rPr>
          <w:rFonts w:hint="default" w:ascii="Times New Roman" w:hAnsi="Times New Roman" w:cs="Times New Roman" w:eastAsiaTheme="minorEastAsia"/>
          <w:color w:val="auto"/>
          <w:sz w:val="24"/>
          <w:szCs w:val="24"/>
          <w:lang w:val="en-US" w:eastAsia="zh-CN"/>
        </w:rPr>
        <w:t>尾矿</w:t>
      </w:r>
      <w:r>
        <w:rPr>
          <w:rFonts w:hint="default" w:ascii="Times New Roman" w:hAnsi="Times New Roman" w:cs="Times New Roman" w:eastAsiaTheme="minorEastAsia"/>
          <w:color w:val="auto"/>
          <w:sz w:val="24"/>
          <w:szCs w:val="24"/>
        </w:rPr>
        <w:t>作为</w:t>
      </w:r>
      <w:r>
        <w:rPr>
          <w:rFonts w:hint="default" w:ascii="Times New Roman" w:hAnsi="Times New Roman" w:cs="Times New Roman" w:eastAsiaTheme="minorEastAsia"/>
          <w:color w:val="auto"/>
          <w:sz w:val="24"/>
          <w:szCs w:val="24"/>
          <w:lang w:val="en-US" w:eastAsia="zh-CN"/>
        </w:rPr>
        <w:t>砂石料</w:t>
      </w:r>
      <w:r>
        <w:rPr>
          <w:rFonts w:hint="default" w:ascii="Times New Roman" w:hAnsi="Times New Roman" w:cs="Times New Roman" w:eastAsiaTheme="minorEastAsia"/>
          <w:color w:val="auto"/>
          <w:sz w:val="24"/>
          <w:szCs w:val="24"/>
        </w:rPr>
        <w:t>产品用于道路维护、工业场地建设以及</w:t>
      </w:r>
      <w:r>
        <w:rPr>
          <w:rFonts w:hint="default" w:ascii="Times New Roman" w:hAnsi="Times New Roman" w:cs="Times New Roman" w:eastAsiaTheme="minorEastAsia"/>
          <w:color w:val="auto"/>
          <w:sz w:val="24"/>
          <w:szCs w:val="24"/>
          <w:lang w:eastAsia="zh-CN"/>
        </w:rPr>
        <w:t>外售建材公司</w:t>
      </w:r>
      <w:r>
        <w:rPr>
          <w:rFonts w:hint="default" w:ascii="Times New Roman" w:hAnsi="Times New Roman" w:cs="Times New Roman" w:eastAsiaTheme="minorEastAsia"/>
          <w:color w:val="auto"/>
          <w:sz w:val="24"/>
          <w:szCs w:val="24"/>
        </w:rPr>
        <w:t>。其处理与《云南省固体废物污染环境防治条例》中工业固体废物处理的符合性分析详见下表。</w:t>
      </w:r>
    </w:p>
    <w:p w14:paraId="33D1BD64">
      <w:pPr>
        <w:adjustRightInd w:val="0"/>
        <w:snapToGrid w:val="0"/>
        <w:spacing w:line="360" w:lineRule="auto"/>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表1.</w:t>
      </w:r>
      <w:r>
        <w:rPr>
          <w:rFonts w:hint="default" w:ascii="Times New Roman" w:hAnsi="Times New Roman" w:eastAsia="黑体" w:cs="Times New Roman"/>
          <w:b w:val="0"/>
          <w:bCs/>
          <w:color w:val="auto"/>
          <w:sz w:val="21"/>
          <w:szCs w:val="21"/>
          <w:lang w:val="en-US" w:eastAsia="zh-CN"/>
        </w:rPr>
        <w:t>3</w:t>
      </w:r>
      <w:r>
        <w:rPr>
          <w:rFonts w:hint="default" w:ascii="Times New Roman" w:hAnsi="Times New Roman" w:eastAsia="黑体" w:cs="Times New Roman"/>
          <w:b w:val="0"/>
          <w:bCs/>
          <w:color w:val="auto"/>
          <w:sz w:val="21"/>
          <w:szCs w:val="21"/>
        </w:rPr>
        <w:t>-3  项目与《云南省固体废物污染环境防治条例》符合性分析</w:t>
      </w:r>
    </w:p>
    <w:tbl>
      <w:tblPr>
        <w:tblStyle w:val="30"/>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32"/>
        <w:gridCol w:w="3430"/>
        <w:gridCol w:w="1020"/>
      </w:tblGrid>
      <w:tr w14:paraId="6ECFA4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2" w:type="pct"/>
            <w:tcBorders>
              <w:tl2br w:val="nil"/>
              <w:tr2bl w:val="nil"/>
            </w:tcBorders>
            <w:vAlign w:val="center"/>
          </w:tcPr>
          <w:p w14:paraId="0DBDE793">
            <w:pPr>
              <w:pStyle w:val="18"/>
              <w:widowControl/>
              <w:spacing w:after="0" w:line="240" w:lineRule="auto"/>
              <w:ind w:left="0" w:left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《云南省固体废物污染环境防治条例》的相关内容</w:t>
            </w:r>
          </w:p>
        </w:tc>
        <w:tc>
          <w:tcPr>
            <w:tcW w:w="1847" w:type="pct"/>
            <w:tcBorders>
              <w:tl2br w:val="nil"/>
              <w:tr2bl w:val="nil"/>
            </w:tcBorders>
            <w:vAlign w:val="center"/>
          </w:tcPr>
          <w:p w14:paraId="50ECCB98">
            <w:pPr>
              <w:pStyle w:val="18"/>
              <w:widowControl/>
              <w:spacing w:after="0" w:line="240" w:lineRule="auto"/>
              <w:ind w:left="0" w:left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项目情况</w:t>
            </w:r>
          </w:p>
        </w:tc>
        <w:tc>
          <w:tcPr>
            <w:tcW w:w="549" w:type="pct"/>
            <w:tcBorders>
              <w:tl2br w:val="nil"/>
              <w:tr2bl w:val="nil"/>
            </w:tcBorders>
            <w:vAlign w:val="center"/>
          </w:tcPr>
          <w:p w14:paraId="0F13D4A5">
            <w:pPr>
              <w:pStyle w:val="18"/>
              <w:widowControl/>
              <w:spacing w:after="0" w:line="240" w:lineRule="auto"/>
              <w:ind w:left="0" w:leftChars="0" w:firstLine="0" w:firstLineChars="0"/>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符合性</w:t>
            </w:r>
          </w:p>
        </w:tc>
      </w:tr>
      <w:tr w14:paraId="1ABDF2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2" w:type="pct"/>
            <w:tcBorders>
              <w:tl2br w:val="nil"/>
              <w:tr2bl w:val="nil"/>
            </w:tcBorders>
            <w:vAlign w:val="center"/>
          </w:tcPr>
          <w:p w14:paraId="02855770">
            <w:pPr>
              <w:pStyle w:val="18"/>
              <w:widowControl/>
              <w:spacing w:after="0" w:line="240" w:lineRule="auto"/>
              <w:ind w:left="0" w:leftChars="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产生工业固体废物的单位应当建立健全工业固体废物产生、收集、贮存、运输、利用、处置全过程的污染环境防治责任制度，按照国家有关规定建立工业固体废物管理台账，如实记录产生工业固体废物的种类、时间、数量、流向、贮存、利用、处置等信息，并采取防治工业固体废物污染环境的措施。工业固体废物管理台账应当保存5年以上。鼓励产生工业固体废物的单位在固体废物产生场所、贮存场所及计量设备等关键点位设置视频监控，提高台账记录信息的准确性。禁止向生活垃圾收集设施中投放工业固体废物。</w:t>
            </w:r>
          </w:p>
        </w:tc>
        <w:tc>
          <w:tcPr>
            <w:tcW w:w="1847" w:type="pct"/>
            <w:tcBorders>
              <w:tl2br w:val="nil"/>
              <w:tr2bl w:val="nil"/>
            </w:tcBorders>
            <w:vAlign w:val="center"/>
          </w:tcPr>
          <w:p w14:paraId="45EB2122">
            <w:pPr>
              <w:widowControl/>
              <w:spacing w:line="240" w:lineRule="auto"/>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环评要求企业应建立健全工业固体废物产生、收集、贮存、运输、利用、处置全过程的污染环境防治责任制度，建立工业固体废物管理台账并按要求保存。厂区内设置视频监控，砂石料采用堆棚堆放，外运用于建筑材料，资源化利用，不会并入生活垃圾处理。</w:t>
            </w:r>
          </w:p>
        </w:tc>
        <w:tc>
          <w:tcPr>
            <w:tcW w:w="549" w:type="pct"/>
            <w:tcBorders>
              <w:tl2br w:val="nil"/>
              <w:tr2bl w:val="nil"/>
            </w:tcBorders>
            <w:vAlign w:val="center"/>
          </w:tcPr>
          <w:p w14:paraId="3A5083F1">
            <w:pPr>
              <w:pStyle w:val="18"/>
              <w:widowControl/>
              <w:spacing w:after="0" w:line="240" w:lineRule="auto"/>
              <w:ind w:left="0" w:left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1EBC0A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2" w:type="pct"/>
            <w:tcBorders>
              <w:tl2br w:val="nil"/>
              <w:tr2bl w:val="nil"/>
            </w:tcBorders>
            <w:vAlign w:val="center"/>
          </w:tcPr>
          <w:p w14:paraId="4D406204">
            <w:pPr>
              <w:pStyle w:val="18"/>
              <w:widowControl/>
              <w:spacing w:after="0" w:line="240" w:lineRule="auto"/>
              <w:ind w:left="0" w:leftChars="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产生工业固体废物的单位违反本条第一款规定的，除依照有关法律法规的规定予以处罚外，还应当与造成环境污染和生态破坏的受托方承担连带责任。</w:t>
            </w:r>
          </w:p>
        </w:tc>
        <w:tc>
          <w:tcPr>
            <w:tcW w:w="1847" w:type="pct"/>
            <w:tcBorders>
              <w:tl2br w:val="nil"/>
              <w:tr2bl w:val="nil"/>
            </w:tcBorders>
            <w:vAlign w:val="center"/>
          </w:tcPr>
          <w:p w14:paraId="46F229EA">
            <w:pPr>
              <w:pStyle w:val="18"/>
              <w:widowControl/>
              <w:spacing w:after="0" w:line="240" w:lineRule="auto"/>
              <w:ind w:left="0" w:leftChars="0"/>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砂石料用于道路维护、工业场地建设以及外售建材公司。除尘灰外售新平甬福环保有限公司用于矿渣微粉生产线使用，已签订处置协议。运输过程中，运输车辆严禁超载，运输车辆覆盖篷布运输，及时清扫运输过程洒落的物料。</w:t>
            </w:r>
          </w:p>
        </w:tc>
        <w:tc>
          <w:tcPr>
            <w:tcW w:w="549" w:type="pct"/>
            <w:tcBorders>
              <w:tl2br w:val="nil"/>
              <w:tr2bl w:val="nil"/>
            </w:tcBorders>
            <w:vAlign w:val="center"/>
          </w:tcPr>
          <w:p w14:paraId="48D29E10">
            <w:pPr>
              <w:pStyle w:val="18"/>
              <w:widowControl/>
              <w:spacing w:after="0" w:line="240" w:lineRule="auto"/>
              <w:ind w:left="0" w:left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08B700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2" w:type="pct"/>
            <w:tcBorders>
              <w:tl2br w:val="nil"/>
              <w:tr2bl w:val="nil"/>
            </w:tcBorders>
            <w:vAlign w:val="center"/>
          </w:tcPr>
          <w:p w14:paraId="0561125B">
            <w:pPr>
              <w:pStyle w:val="18"/>
              <w:widowControl/>
              <w:spacing w:after="0" w:line="240" w:lineRule="auto"/>
              <w:ind w:left="0" w:leftChars="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产生工业固体废物的单位应当依法实施清洁生产审核，合理选择和利用原材料、能源和其他资源，采用先进的生产工艺和设备，减少工业固体废物的产生量，降低工业固体废物的危害性。产生工业固体废物的单位应当根据经济、技术条件对工业固体废物加以利用；对暂时不利用或者不能利用的，应当按照国家规定建设贮存设施、场所，安全分类存放，或者采取无害化处置措施。贮存工业固体废物应当采取符合国家环境保护标准的防护措施。建设工业固体废物贮存、处置的设施、场所，应当符合国家环境保护标准。</w:t>
            </w:r>
          </w:p>
        </w:tc>
        <w:tc>
          <w:tcPr>
            <w:tcW w:w="1847" w:type="pct"/>
            <w:tcBorders>
              <w:tl2br w:val="nil"/>
              <w:tr2bl w:val="nil"/>
            </w:tcBorders>
            <w:vAlign w:val="center"/>
          </w:tcPr>
          <w:p w14:paraId="60001568">
            <w:pPr>
              <w:pStyle w:val="18"/>
              <w:widowControl/>
              <w:spacing w:after="0" w:line="240" w:lineRule="auto"/>
              <w:ind w:left="0" w:leftChars="0"/>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本项目原矿经破碎、筛分、磁选等处理后得到铁矿石和砂石料，砂石料采用砂石料堆棚堆放，外运用于建筑材料。除尘灰外售新平甬福环保有限公司用于矿渣微粉生产线使用，资源化利用，不会并入生活垃圾处理。</w:t>
            </w:r>
          </w:p>
        </w:tc>
        <w:tc>
          <w:tcPr>
            <w:tcW w:w="549" w:type="pct"/>
            <w:tcBorders>
              <w:tl2br w:val="nil"/>
              <w:tr2bl w:val="nil"/>
            </w:tcBorders>
            <w:vAlign w:val="center"/>
          </w:tcPr>
          <w:p w14:paraId="04CB856A">
            <w:pPr>
              <w:pStyle w:val="18"/>
              <w:widowControl/>
              <w:spacing w:after="0" w:line="240" w:lineRule="auto"/>
              <w:ind w:left="0" w:left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016A69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2" w:type="pct"/>
            <w:tcBorders>
              <w:tl2br w:val="nil"/>
              <w:tr2bl w:val="nil"/>
            </w:tcBorders>
            <w:vAlign w:val="center"/>
          </w:tcPr>
          <w:p w14:paraId="1045B7E7">
            <w:pPr>
              <w:pStyle w:val="18"/>
              <w:widowControl/>
              <w:spacing w:after="0" w:line="240" w:lineRule="auto"/>
              <w:ind w:left="0" w:leftChars="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产生工业固体废物的单位应当依法取得排污许可证，向所在地生态环境主管部门提供工业固体废物的种类、数量、流向、贮存、利用、处置等有关资料，以及减少工业固体废物产生、促进综合利用的具体措施，并执行排污许可管理制度的相关规定。</w:t>
            </w:r>
          </w:p>
        </w:tc>
        <w:tc>
          <w:tcPr>
            <w:tcW w:w="1847" w:type="pct"/>
            <w:tcBorders>
              <w:tl2br w:val="nil"/>
              <w:tr2bl w:val="nil"/>
            </w:tcBorders>
            <w:vAlign w:val="center"/>
          </w:tcPr>
          <w:p w14:paraId="62C6EBF1">
            <w:pPr>
              <w:pStyle w:val="18"/>
              <w:widowControl/>
              <w:spacing w:after="0" w:line="240" w:lineRule="auto"/>
              <w:ind w:left="0" w:leftChars="0"/>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本项目将在建成后依法办理排污许可证。</w:t>
            </w:r>
          </w:p>
        </w:tc>
        <w:tc>
          <w:tcPr>
            <w:tcW w:w="549" w:type="pct"/>
            <w:tcBorders>
              <w:tl2br w:val="nil"/>
              <w:tr2bl w:val="nil"/>
            </w:tcBorders>
            <w:vAlign w:val="center"/>
          </w:tcPr>
          <w:p w14:paraId="5F20766F">
            <w:pPr>
              <w:pStyle w:val="18"/>
              <w:widowControl/>
              <w:spacing w:after="0" w:line="240" w:lineRule="auto"/>
              <w:ind w:left="0" w:left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7DED0A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2" w:type="pct"/>
            <w:tcBorders>
              <w:tl2br w:val="nil"/>
              <w:tr2bl w:val="nil"/>
            </w:tcBorders>
            <w:vAlign w:val="center"/>
          </w:tcPr>
          <w:p w14:paraId="35FF2ECE">
            <w:pPr>
              <w:pStyle w:val="18"/>
              <w:widowControl/>
              <w:spacing w:after="0" w:line="240" w:lineRule="auto"/>
              <w:ind w:left="0" w:leftChars="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第二十八条 矿山企业应当采取科学的开采方法和选矿工艺，减少尾矿、煤矸石、废石等矿业固体废物的产生量和贮存量。鼓励采取先进工艺对尾矿、煤矸石、废石等矿业固体废物进行综合利用。尾矿、煤矸石、废石等矿业固体废物贮存设施停止使用后，矿山企业应当按照国家有关环境保护等规定进行封场，防止造成环境污染和生态破坏。</w:t>
            </w:r>
          </w:p>
        </w:tc>
        <w:tc>
          <w:tcPr>
            <w:tcW w:w="1847" w:type="pct"/>
            <w:vMerge w:val="restart"/>
            <w:tcBorders>
              <w:tl2br w:val="nil"/>
              <w:tr2bl w:val="nil"/>
            </w:tcBorders>
            <w:vAlign w:val="center"/>
          </w:tcPr>
          <w:p w14:paraId="5B36E184">
            <w:pPr>
              <w:pStyle w:val="18"/>
              <w:widowControl/>
              <w:spacing w:after="0" w:line="240" w:lineRule="auto"/>
              <w:ind w:left="0" w:leftChars="0"/>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本项目原矿经破碎、筛分、磁选等处理后得到铁矿石和砂石料，砂石料用于道路维护、工业场地建设以及外售建材公司。无废石排放。</w:t>
            </w:r>
          </w:p>
        </w:tc>
        <w:tc>
          <w:tcPr>
            <w:tcW w:w="549" w:type="pct"/>
            <w:tcBorders>
              <w:tl2br w:val="nil"/>
              <w:tr2bl w:val="nil"/>
            </w:tcBorders>
            <w:vAlign w:val="center"/>
          </w:tcPr>
          <w:p w14:paraId="0A8DCF16">
            <w:pPr>
              <w:pStyle w:val="18"/>
              <w:widowControl/>
              <w:spacing w:after="0" w:line="240" w:lineRule="auto"/>
              <w:ind w:left="0" w:left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407D5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2" w:type="pct"/>
            <w:tcBorders>
              <w:tl2br w:val="nil"/>
              <w:tr2bl w:val="nil"/>
            </w:tcBorders>
            <w:vAlign w:val="center"/>
          </w:tcPr>
          <w:p w14:paraId="2B2685D6">
            <w:pPr>
              <w:pStyle w:val="18"/>
              <w:widowControl/>
              <w:spacing w:after="0" w:line="240" w:lineRule="auto"/>
              <w:ind w:left="0" w:leftChars="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第二十九条 产生大宗工业固体废物的单位应当采取有效措施，减少大宗工业固体废物的产生量，加强大宗工业固体废物综合利用和无害化处置，制定相关计划逐步消纳大宗工业固体废物历史堆存量。</w:t>
            </w:r>
          </w:p>
        </w:tc>
        <w:tc>
          <w:tcPr>
            <w:tcW w:w="1847" w:type="pct"/>
            <w:vMerge w:val="continue"/>
            <w:tcBorders>
              <w:tl2br w:val="nil"/>
              <w:tr2bl w:val="nil"/>
            </w:tcBorders>
            <w:vAlign w:val="center"/>
          </w:tcPr>
          <w:p w14:paraId="2457CB97">
            <w:pPr>
              <w:pStyle w:val="18"/>
              <w:widowControl/>
              <w:spacing w:after="0" w:line="240" w:lineRule="auto"/>
              <w:ind w:left="0" w:leftChars="0"/>
              <w:jc w:val="center"/>
              <w:rPr>
                <w:rFonts w:hint="default" w:ascii="Times New Roman" w:hAnsi="Times New Roman" w:cs="Times New Roman" w:eastAsiaTheme="minorEastAsia"/>
                <w:color w:val="auto"/>
                <w:sz w:val="18"/>
                <w:szCs w:val="18"/>
              </w:rPr>
            </w:pPr>
          </w:p>
        </w:tc>
        <w:tc>
          <w:tcPr>
            <w:tcW w:w="549" w:type="pct"/>
            <w:tcBorders>
              <w:tl2br w:val="nil"/>
              <w:tr2bl w:val="nil"/>
            </w:tcBorders>
            <w:vAlign w:val="center"/>
          </w:tcPr>
          <w:p w14:paraId="27015492">
            <w:pPr>
              <w:pStyle w:val="18"/>
              <w:widowControl/>
              <w:spacing w:after="0" w:line="240" w:lineRule="auto"/>
              <w:ind w:left="0" w:left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bl>
    <w:p w14:paraId="30316B4B">
      <w:pPr>
        <w:spacing w:line="360" w:lineRule="auto"/>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根据上表分析，本项目符合《云南省固体废物污染环境防治条例》中工业固体废物处理相关要求。</w:t>
      </w:r>
    </w:p>
    <w:p w14:paraId="134EBD5D">
      <w:pPr>
        <w:pStyle w:val="6"/>
        <w:bidi w:val="0"/>
        <w:rPr>
          <w:rFonts w:hint="default" w:ascii="Times New Roman" w:hAnsi="Times New Roman" w:cs="Times New Roman"/>
          <w:lang w:val="en-US" w:eastAsia="zh-CN"/>
        </w:rPr>
      </w:pPr>
      <w:bookmarkStart w:id="75" w:name="_Toc7508"/>
      <w:r>
        <w:rPr>
          <w:rFonts w:hint="default" w:ascii="Times New Roman" w:hAnsi="Times New Roman" w:cs="Times New Roman"/>
          <w:lang w:val="en-US" w:eastAsia="zh-CN"/>
        </w:rPr>
        <w:t>1.3.10与《地下水管理条例》的符合性分析</w:t>
      </w:r>
    </w:p>
    <w:p w14:paraId="1A73B6F0">
      <w:pPr>
        <w:spacing w:line="360" w:lineRule="auto"/>
        <w:jc w:val="center"/>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表1.3-4  本项目与《地下水管理条例》符合性分析</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4825"/>
        <w:gridCol w:w="2848"/>
        <w:gridCol w:w="911"/>
      </w:tblGrid>
      <w:tr w14:paraId="252334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noWrap w:val="0"/>
            <w:tcMar>
              <w:top w:w="57" w:type="dxa"/>
              <w:left w:w="108" w:type="dxa"/>
              <w:bottom w:w="57" w:type="dxa"/>
              <w:right w:w="108" w:type="dxa"/>
            </w:tcMar>
            <w:vAlign w:val="center"/>
          </w:tcPr>
          <w:p w14:paraId="668686E1">
            <w:pPr>
              <w:widowControl/>
              <w:jc w:val="center"/>
              <w:textAlignment w:val="top"/>
              <w:rPr>
                <w:rFonts w:hint="default" w:ascii="Times New Roman" w:hAnsi="Times New Roman" w:cs="Times New Roman"/>
                <w:b/>
                <w:bCs/>
                <w:color w:val="auto"/>
                <w:kern w:val="0"/>
                <w:sz w:val="18"/>
                <w:szCs w:val="18"/>
                <w:highlight w:val="none"/>
                <w:lang w:bidi="ar"/>
              </w:rPr>
            </w:pPr>
            <w:r>
              <w:rPr>
                <w:rFonts w:hint="default" w:ascii="Times New Roman" w:hAnsi="Times New Roman" w:cs="Times New Roman"/>
                <w:b/>
                <w:bCs/>
                <w:color w:val="auto"/>
                <w:kern w:val="0"/>
                <w:sz w:val="18"/>
                <w:szCs w:val="18"/>
                <w:highlight w:val="none"/>
                <w:lang w:bidi="ar"/>
              </w:rPr>
              <w:t>序号</w:t>
            </w:r>
          </w:p>
        </w:tc>
        <w:tc>
          <w:tcPr>
            <w:tcW w:w="2597" w:type="pct"/>
            <w:noWrap w:val="0"/>
            <w:tcMar>
              <w:top w:w="57" w:type="dxa"/>
              <w:left w:w="108" w:type="dxa"/>
              <w:bottom w:w="57" w:type="dxa"/>
              <w:right w:w="108" w:type="dxa"/>
            </w:tcMar>
            <w:vAlign w:val="center"/>
          </w:tcPr>
          <w:p w14:paraId="1405FCF9">
            <w:pPr>
              <w:widowControl/>
              <w:jc w:val="center"/>
              <w:textAlignment w:val="top"/>
              <w:rPr>
                <w:rFonts w:hint="default" w:ascii="Times New Roman" w:hAnsi="Times New Roman" w:cs="Times New Roman"/>
                <w:b/>
                <w:bCs/>
                <w:color w:val="auto"/>
                <w:kern w:val="0"/>
                <w:sz w:val="18"/>
                <w:szCs w:val="18"/>
                <w:highlight w:val="none"/>
                <w:lang w:bidi="ar"/>
              </w:rPr>
            </w:pPr>
            <w:r>
              <w:rPr>
                <w:rFonts w:hint="default" w:ascii="Times New Roman" w:hAnsi="Times New Roman" w:cs="Times New Roman"/>
                <w:b/>
                <w:bCs/>
                <w:color w:val="auto"/>
                <w:kern w:val="0"/>
                <w:sz w:val="18"/>
                <w:szCs w:val="18"/>
                <w:highlight w:val="none"/>
                <w:lang w:bidi="ar"/>
              </w:rPr>
              <w:t>条例内容</w:t>
            </w:r>
          </w:p>
        </w:tc>
        <w:tc>
          <w:tcPr>
            <w:tcW w:w="1533" w:type="pct"/>
            <w:noWrap w:val="0"/>
            <w:tcMar>
              <w:top w:w="57" w:type="dxa"/>
              <w:left w:w="108" w:type="dxa"/>
              <w:bottom w:w="57" w:type="dxa"/>
              <w:right w:w="108" w:type="dxa"/>
            </w:tcMar>
            <w:vAlign w:val="center"/>
          </w:tcPr>
          <w:p w14:paraId="27D31928">
            <w:pPr>
              <w:widowControl/>
              <w:jc w:val="center"/>
              <w:textAlignment w:val="top"/>
              <w:rPr>
                <w:rFonts w:hint="default" w:ascii="Times New Roman" w:hAnsi="Times New Roman" w:cs="Times New Roman"/>
                <w:b/>
                <w:bCs/>
                <w:color w:val="auto"/>
                <w:kern w:val="0"/>
                <w:sz w:val="18"/>
                <w:szCs w:val="18"/>
                <w:highlight w:val="none"/>
                <w:lang w:bidi="ar"/>
              </w:rPr>
            </w:pPr>
            <w:r>
              <w:rPr>
                <w:rFonts w:hint="default" w:ascii="Times New Roman" w:hAnsi="Times New Roman" w:cs="Times New Roman"/>
                <w:b/>
                <w:bCs/>
                <w:color w:val="auto"/>
                <w:kern w:val="0"/>
                <w:sz w:val="18"/>
                <w:szCs w:val="18"/>
                <w:highlight w:val="none"/>
                <w:lang w:bidi="ar"/>
              </w:rPr>
              <w:t>本项目内容</w:t>
            </w:r>
          </w:p>
        </w:tc>
        <w:tc>
          <w:tcPr>
            <w:tcW w:w="490" w:type="pct"/>
            <w:noWrap w:val="0"/>
            <w:tcMar>
              <w:top w:w="57" w:type="dxa"/>
              <w:left w:w="108" w:type="dxa"/>
              <w:bottom w:w="57" w:type="dxa"/>
              <w:right w:w="108" w:type="dxa"/>
            </w:tcMar>
            <w:vAlign w:val="center"/>
          </w:tcPr>
          <w:p w14:paraId="765BF6FA">
            <w:pPr>
              <w:widowControl/>
              <w:jc w:val="center"/>
              <w:textAlignment w:val="top"/>
              <w:rPr>
                <w:rFonts w:hint="default" w:ascii="Times New Roman" w:hAnsi="Times New Roman" w:cs="Times New Roman"/>
                <w:b/>
                <w:bCs/>
                <w:color w:val="auto"/>
                <w:kern w:val="0"/>
                <w:sz w:val="18"/>
                <w:szCs w:val="18"/>
                <w:highlight w:val="none"/>
                <w:lang w:bidi="ar"/>
              </w:rPr>
            </w:pPr>
            <w:r>
              <w:rPr>
                <w:rFonts w:hint="default" w:ascii="Times New Roman" w:hAnsi="Times New Roman" w:cs="Times New Roman"/>
                <w:b/>
                <w:bCs/>
                <w:color w:val="auto"/>
                <w:kern w:val="0"/>
                <w:sz w:val="18"/>
                <w:szCs w:val="18"/>
                <w:highlight w:val="none"/>
                <w:lang w:bidi="ar"/>
              </w:rPr>
              <w:t>符合性</w:t>
            </w:r>
          </w:p>
        </w:tc>
      </w:tr>
      <w:tr w14:paraId="308978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noWrap w:val="0"/>
            <w:tcMar>
              <w:top w:w="57" w:type="dxa"/>
              <w:left w:w="108" w:type="dxa"/>
              <w:bottom w:w="57" w:type="dxa"/>
              <w:right w:w="108" w:type="dxa"/>
            </w:tcMar>
            <w:vAlign w:val="center"/>
          </w:tcPr>
          <w:p w14:paraId="267FCDCF">
            <w:pPr>
              <w:widowControl/>
              <w:jc w:val="center"/>
              <w:textAlignment w:val="top"/>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1</w:t>
            </w:r>
          </w:p>
        </w:tc>
        <w:tc>
          <w:tcPr>
            <w:tcW w:w="2597" w:type="pct"/>
            <w:noWrap w:val="0"/>
            <w:tcMar>
              <w:top w:w="57" w:type="dxa"/>
              <w:left w:w="108" w:type="dxa"/>
              <w:bottom w:w="57" w:type="dxa"/>
              <w:right w:w="108" w:type="dxa"/>
            </w:tcMar>
            <w:vAlign w:val="center"/>
          </w:tcPr>
          <w:p w14:paraId="3DA05DEF">
            <w:pPr>
              <w:widowControl/>
              <w:textAlignment w:val="top"/>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第四十条 禁止下列污染或者可能污染地下水的行为：</w:t>
            </w:r>
          </w:p>
          <w:p w14:paraId="34662A97">
            <w:pPr>
              <w:widowControl/>
              <w:textAlignment w:val="top"/>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（一）利用渗井、渗坑、裂隙、溶洞以及私设暗管等逃避监管的方式排放水污染物；</w:t>
            </w:r>
          </w:p>
          <w:p w14:paraId="41750B05">
            <w:pPr>
              <w:widowControl/>
              <w:textAlignment w:val="top"/>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（二）利用岩层孔隙、裂隙、溶洞、废弃矿坑等贮存石化原料及产品、农药、危险废物、城镇污水处理设施产生的污泥和处理后的污泥或者其他有毒有害物质；</w:t>
            </w:r>
          </w:p>
          <w:p w14:paraId="67A01ADC">
            <w:pPr>
              <w:widowControl/>
              <w:textAlignment w:val="top"/>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（三）利用无防渗漏措施的沟渠、坑塘等输送或者贮存含有毒污染物的废水、含病原体的污水和其他废弃物；</w:t>
            </w:r>
          </w:p>
          <w:p w14:paraId="21640294">
            <w:pPr>
              <w:widowControl/>
              <w:textAlignment w:val="top"/>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（四）法律、法规禁止的其他污染或者可能污染地下水的行为。</w:t>
            </w:r>
          </w:p>
        </w:tc>
        <w:tc>
          <w:tcPr>
            <w:tcW w:w="1533" w:type="pct"/>
            <w:noWrap w:val="0"/>
            <w:tcMar>
              <w:top w:w="57" w:type="dxa"/>
              <w:left w:w="108" w:type="dxa"/>
              <w:bottom w:w="57" w:type="dxa"/>
              <w:right w:w="108" w:type="dxa"/>
            </w:tcMar>
            <w:vAlign w:val="center"/>
          </w:tcPr>
          <w:p w14:paraId="4E32B237">
            <w:pPr>
              <w:widowControl/>
              <w:textAlignment w:val="top"/>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项目不产生生产废水；生活污水依托矿山污水处理站处理达标后回用于洒水降尘、绿化等，不外排。固体废弃物均得到合理妥善处置。不存在该条规定的禁止行为。</w:t>
            </w:r>
          </w:p>
        </w:tc>
        <w:tc>
          <w:tcPr>
            <w:tcW w:w="490" w:type="pct"/>
            <w:noWrap w:val="0"/>
            <w:tcMar>
              <w:top w:w="57" w:type="dxa"/>
              <w:left w:w="108" w:type="dxa"/>
              <w:bottom w:w="57" w:type="dxa"/>
              <w:right w:w="108" w:type="dxa"/>
            </w:tcMar>
            <w:vAlign w:val="center"/>
          </w:tcPr>
          <w:p w14:paraId="381C213F">
            <w:pPr>
              <w:widowControl/>
              <w:jc w:val="center"/>
              <w:textAlignment w:val="top"/>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符合</w:t>
            </w:r>
          </w:p>
        </w:tc>
      </w:tr>
      <w:tr w14:paraId="2FEEA6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noWrap w:val="0"/>
            <w:tcMar>
              <w:top w:w="57" w:type="dxa"/>
              <w:left w:w="108" w:type="dxa"/>
              <w:bottom w:w="57" w:type="dxa"/>
              <w:right w:w="108" w:type="dxa"/>
            </w:tcMar>
            <w:vAlign w:val="center"/>
          </w:tcPr>
          <w:p w14:paraId="24DAD2D4">
            <w:pPr>
              <w:widowControl/>
              <w:jc w:val="center"/>
              <w:textAlignment w:val="top"/>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2</w:t>
            </w:r>
          </w:p>
        </w:tc>
        <w:tc>
          <w:tcPr>
            <w:tcW w:w="2597" w:type="pct"/>
            <w:noWrap w:val="0"/>
            <w:tcMar>
              <w:top w:w="57" w:type="dxa"/>
              <w:left w:w="108" w:type="dxa"/>
              <w:bottom w:w="57" w:type="dxa"/>
              <w:right w:w="108" w:type="dxa"/>
            </w:tcMar>
            <w:vAlign w:val="center"/>
          </w:tcPr>
          <w:p w14:paraId="75B1DD52">
            <w:pPr>
              <w:contextualSpacing/>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第四十一条 企业事业单位和其他生产经营者应当采取下列措施，防止地下水污染：</w:t>
            </w:r>
          </w:p>
          <w:p w14:paraId="4B92F85F">
            <w:pPr>
              <w:contextualSpacing/>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（一）兴建地下工程设施或者进行地下勘探、采矿等活动，依法编制的环境影响评价文件中，应当包括地下水污染防治的内容，并采取防护性措施；</w:t>
            </w:r>
          </w:p>
          <w:p w14:paraId="169ADE69">
            <w:pPr>
              <w:pStyle w:val="46"/>
              <w:ind w:left="0" w:leftChars="0" w:firstLine="0" w:firstLineChars="0"/>
              <w:contextualSpacing/>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（二）化学品生产企业以及工业集聚区、矿山开采区、尾矿库、危险废物处置场、垃圾填埋场等的运营、管理单位，应当采取防渗漏等措施，并建设地下水水质监测井进行监测；</w:t>
            </w:r>
          </w:p>
          <w:p w14:paraId="76E71083">
            <w:pPr>
              <w:pStyle w:val="46"/>
              <w:ind w:left="0" w:leftChars="0" w:firstLine="0" w:firstLineChars="0"/>
              <w:contextualSpacing/>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（三）加油站等的地下油罐应当使用双层罐或者采取建造防渗池等其他有效措施，并进行防渗漏监测；</w:t>
            </w:r>
          </w:p>
          <w:p w14:paraId="3A0AA5C9">
            <w:pPr>
              <w:pStyle w:val="46"/>
              <w:ind w:left="0" w:leftChars="0" w:firstLine="0" w:firstLineChars="0"/>
              <w:contextualSpacing/>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（四）存放可溶性剧毒废渣的场所，应当采取防水、防渗漏、防流失的措施；</w:t>
            </w:r>
          </w:p>
          <w:p w14:paraId="6487AF69">
            <w:pPr>
              <w:pStyle w:val="46"/>
              <w:ind w:left="0" w:leftChars="0" w:firstLine="0" w:firstLineChars="0"/>
              <w:contextualSpacing/>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（五）法律、法规规定应当采取的其他防止地下水污染的措施。</w:t>
            </w:r>
          </w:p>
        </w:tc>
        <w:tc>
          <w:tcPr>
            <w:tcW w:w="1533" w:type="pct"/>
            <w:noWrap w:val="0"/>
            <w:tcMar>
              <w:top w:w="57" w:type="dxa"/>
              <w:left w:w="108" w:type="dxa"/>
              <w:bottom w:w="57" w:type="dxa"/>
              <w:right w:w="108" w:type="dxa"/>
            </w:tcMar>
            <w:vAlign w:val="center"/>
          </w:tcPr>
          <w:p w14:paraId="1A017816">
            <w:pPr>
              <w:widowControl/>
              <w:textAlignment w:val="top"/>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本项目环境影响评价包含地下水影响评价及地下水污染防治措施，并采取防护性措施，项目采取严格的地下水分区防渗措施，可有效避免运营过程中污染地下水。</w:t>
            </w:r>
          </w:p>
        </w:tc>
        <w:tc>
          <w:tcPr>
            <w:tcW w:w="490" w:type="pct"/>
            <w:noWrap w:val="0"/>
            <w:tcMar>
              <w:top w:w="57" w:type="dxa"/>
              <w:left w:w="108" w:type="dxa"/>
              <w:bottom w:w="57" w:type="dxa"/>
              <w:right w:w="108" w:type="dxa"/>
            </w:tcMar>
            <w:vAlign w:val="center"/>
          </w:tcPr>
          <w:p w14:paraId="4CC4DB94">
            <w:pPr>
              <w:widowControl/>
              <w:jc w:val="center"/>
              <w:textAlignment w:val="top"/>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符合</w:t>
            </w:r>
          </w:p>
        </w:tc>
      </w:tr>
      <w:tr w14:paraId="0CD1C7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noWrap w:val="0"/>
            <w:tcMar>
              <w:top w:w="57" w:type="dxa"/>
              <w:left w:w="108" w:type="dxa"/>
              <w:bottom w:w="57" w:type="dxa"/>
              <w:right w:w="108" w:type="dxa"/>
            </w:tcMar>
            <w:vAlign w:val="center"/>
          </w:tcPr>
          <w:p w14:paraId="0E3D39E9">
            <w:pPr>
              <w:widowControl/>
              <w:jc w:val="center"/>
              <w:textAlignment w:val="top"/>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3</w:t>
            </w:r>
          </w:p>
        </w:tc>
        <w:tc>
          <w:tcPr>
            <w:tcW w:w="2597" w:type="pct"/>
            <w:noWrap w:val="0"/>
            <w:tcMar>
              <w:top w:w="57" w:type="dxa"/>
              <w:left w:w="108" w:type="dxa"/>
              <w:bottom w:w="57" w:type="dxa"/>
              <w:right w:w="108" w:type="dxa"/>
            </w:tcMar>
            <w:vAlign w:val="center"/>
          </w:tcPr>
          <w:p w14:paraId="1CC1D0C9">
            <w:pPr>
              <w:contextualSpacing/>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第四十二条 在泉域保护范围以及岩溶强发育、存在较多落水洞和岩溶漏斗的区域内，不得新建、改建、扩建可能造成地下水污染的建设项目。</w:t>
            </w:r>
          </w:p>
        </w:tc>
        <w:tc>
          <w:tcPr>
            <w:tcW w:w="1533" w:type="pct"/>
            <w:noWrap w:val="0"/>
            <w:tcMar>
              <w:top w:w="57" w:type="dxa"/>
              <w:left w:w="108" w:type="dxa"/>
              <w:bottom w:w="57" w:type="dxa"/>
              <w:right w:w="108" w:type="dxa"/>
            </w:tcMar>
            <w:vAlign w:val="center"/>
          </w:tcPr>
          <w:p w14:paraId="5C853C6D">
            <w:pP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本项目不在泉域保护范围内，不涉及岩溶强发育区域，项目所在区域不存在较多落水洞和岩溶漏斗的区域。</w:t>
            </w:r>
          </w:p>
        </w:tc>
        <w:tc>
          <w:tcPr>
            <w:tcW w:w="490" w:type="pct"/>
            <w:noWrap w:val="0"/>
            <w:tcMar>
              <w:top w:w="57" w:type="dxa"/>
              <w:left w:w="108" w:type="dxa"/>
              <w:bottom w:w="57" w:type="dxa"/>
              <w:right w:w="108" w:type="dxa"/>
            </w:tcMar>
            <w:vAlign w:val="center"/>
          </w:tcPr>
          <w:p w14:paraId="3B6D5942">
            <w:pPr>
              <w:widowControl/>
              <w:jc w:val="center"/>
              <w:textAlignment w:val="top"/>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符合</w:t>
            </w:r>
          </w:p>
        </w:tc>
      </w:tr>
    </w:tbl>
    <w:p w14:paraId="590691E8">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根据上表分析，本项目符合《地下水管理条例》的相关要求。</w:t>
      </w:r>
    </w:p>
    <w:p w14:paraId="43B55C59">
      <w:pPr>
        <w:pStyle w:val="6"/>
        <w:bidi w:val="0"/>
        <w:rPr>
          <w:rFonts w:hint="default" w:ascii="Times New Roman" w:hAnsi="Times New Roman" w:cs="Times New Roman"/>
        </w:rPr>
      </w:pPr>
      <w:r>
        <w:rPr>
          <w:rFonts w:hint="default" w:ascii="Times New Roman" w:hAnsi="Times New Roman" w:cs="Times New Roman"/>
          <w:lang w:val="en-US" w:eastAsia="zh-CN"/>
        </w:rPr>
        <w:t>1.3.11</w:t>
      </w:r>
      <w:r>
        <w:rPr>
          <w:rFonts w:hint="default" w:ascii="Times New Roman" w:hAnsi="Times New Roman" w:cs="Times New Roman"/>
        </w:rPr>
        <w:t>与《</w:t>
      </w:r>
      <w:bookmarkStart w:id="76" w:name="_Hlk162516150"/>
      <w:r>
        <w:rPr>
          <w:rFonts w:hint="default" w:ascii="Times New Roman" w:hAnsi="Times New Roman" w:cs="Times New Roman"/>
        </w:rPr>
        <w:t>云南省地下水污染防治实施方案》</w:t>
      </w:r>
      <w:bookmarkEnd w:id="76"/>
      <w:r>
        <w:rPr>
          <w:rFonts w:hint="default" w:ascii="Times New Roman" w:hAnsi="Times New Roman" w:cs="Times New Roman"/>
        </w:rPr>
        <w:t>的符合性分析</w:t>
      </w:r>
      <w:bookmarkEnd w:id="75"/>
    </w:p>
    <w:p w14:paraId="1CBF1C3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云南省地下水污染防治实施方案》提出落实“谁污染谁修复、谁损害谁赔偿”的企业责任。重点行业企业切实担负起主体责任，按照相关要求落实地下水污染防治设施建设﹑维护运行、日常监测、信息上报等工作任务。企业在日常生产经营过程中，要定期排查地下水污染安全隐患，发现有安全隐患的，应及时采取措施消除隐患。造成地下水污染的，应承担调查评估、治理修复的</w:t>
      </w:r>
      <w:r>
        <w:rPr>
          <w:rFonts w:hint="default" w:ascii="Times New Roman" w:hAnsi="Times New Roman" w:cs="Times New Roman"/>
          <w:color w:val="auto"/>
          <w:sz w:val="24"/>
          <w:szCs w:val="24"/>
          <w:lang w:eastAsia="zh-CN"/>
        </w:rPr>
        <w:t>法律责任</w:t>
      </w:r>
      <w:r>
        <w:rPr>
          <w:rFonts w:hint="default" w:ascii="Times New Roman" w:hAnsi="Times New Roman" w:eastAsia="宋体" w:cs="Times New Roman"/>
          <w:color w:val="auto"/>
          <w:sz w:val="24"/>
          <w:szCs w:val="24"/>
        </w:rPr>
        <w:t>。三是加强</w:t>
      </w:r>
      <w:r>
        <w:rPr>
          <w:rFonts w:hint="default" w:ascii="Times New Roman" w:hAnsi="Times New Roman" w:cs="Times New Roman"/>
          <w:color w:val="auto"/>
          <w:sz w:val="24"/>
          <w:szCs w:val="24"/>
          <w:lang w:eastAsia="zh-CN"/>
        </w:rPr>
        <w:t>督查</w:t>
      </w:r>
      <w:r>
        <w:rPr>
          <w:rFonts w:hint="default" w:ascii="Times New Roman" w:hAnsi="Times New Roman" w:eastAsia="宋体" w:cs="Times New Roman"/>
          <w:color w:val="auto"/>
          <w:sz w:val="24"/>
          <w:szCs w:val="24"/>
        </w:rPr>
        <w:t>问责，落实各项任务。将地下水污染防治目标完成及责任落实情况纳入省生态环境保护督察范畴，强化问责</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督促加快工作进度，确保如期完成地下水污染防治各项任务。</w:t>
      </w:r>
    </w:p>
    <w:p w14:paraId="42981CDA">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本项目属于黑色金属选矿业，本次环评提出了防腐蚀、防渗漏、防遗撒等土壤污染防治措施，项目建成后将按照国家相关规范进行跟踪监测，</w:t>
      </w:r>
      <w:r>
        <w:rPr>
          <w:rFonts w:hint="default" w:ascii="Times New Roman" w:hAnsi="Times New Roman" w:cs="Times New Roman" w:eastAsiaTheme="minorEastAsia"/>
          <w:color w:val="auto"/>
          <w:sz w:val="24"/>
          <w:szCs w:val="24"/>
        </w:rPr>
        <w:t>根据上表分析，本项目符合《云南省地下水污染防治实施方案》中相关要求。</w:t>
      </w:r>
    </w:p>
    <w:p w14:paraId="4D3EC9FC">
      <w:pPr>
        <w:pStyle w:val="6"/>
        <w:bidi w:val="0"/>
        <w:rPr>
          <w:rFonts w:hint="default" w:ascii="Times New Roman" w:hAnsi="Times New Roman" w:cs="Times New Roman"/>
        </w:rPr>
      </w:pPr>
      <w:bookmarkStart w:id="77" w:name="_Toc28175"/>
      <w:r>
        <w:rPr>
          <w:rFonts w:hint="default" w:ascii="Times New Roman" w:hAnsi="Times New Roman" w:cs="Times New Roman"/>
          <w:lang w:val="en-US" w:eastAsia="zh-CN"/>
        </w:rPr>
        <w:t>1.3.12</w:t>
      </w:r>
      <w:r>
        <w:rPr>
          <w:rFonts w:hint="default" w:ascii="Times New Roman" w:hAnsi="Times New Roman" w:cs="Times New Roman"/>
        </w:rPr>
        <w:t>与</w:t>
      </w:r>
      <w:bookmarkStart w:id="78" w:name="_Hlk162516160"/>
      <w:r>
        <w:rPr>
          <w:rFonts w:hint="default" w:ascii="Times New Roman" w:hAnsi="Times New Roman" w:cs="Times New Roman"/>
        </w:rPr>
        <w:t>《云南省土壤、地下水污染防治“十四五”规划》</w:t>
      </w:r>
      <w:bookmarkEnd w:id="78"/>
      <w:r>
        <w:rPr>
          <w:rFonts w:hint="default" w:ascii="Times New Roman" w:hAnsi="Times New Roman" w:cs="Times New Roman"/>
        </w:rPr>
        <w:t>的符合性分析</w:t>
      </w:r>
      <w:bookmarkEnd w:id="77"/>
    </w:p>
    <w:p w14:paraId="5F206F7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本项目与《云南省土壤、地下水污染防治“十四五”规划》的符合性分析详见下表。</w:t>
      </w:r>
    </w:p>
    <w:p w14:paraId="6DCA398B">
      <w:pPr>
        <w:autoSpaceDE w:val="0"/>
        <w:autoSpaceDN w:val="0"/>
        <w:spacing w:line="360" w:lineRule="auto"/>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表1.</w:t>
      </w:r>
      <w:r>
        <w:rPr>
          <w:rFonts w:hint="default" w:ascii="Times New Roman" w:hAnsi="Times New Roman" w:eastAsia="黑体" w:cs="Times New Roman"/>
          <w:b w:val="0"/>
          <w:bCs/>
          <w:color w:val="auto"/>
          <w:sz w:val="21"/>
          <w:szCs w:val="21"/>
          <w:lang w:val="en-US" w:eastAsia="zh-CN"/>
        </w:rPr>
        <w:t>3</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5</w:t>
      </w:r>
      <w:r>
        <w:rPr>
          <w:rFonts w:hint="default" w:ascii="Times New Roman" w:hAnsi="Times New Roman" w:eastAsia="黑体" w:cs="Times New Roman"/>
          <w:b w:val="0"/>
          <w:bCs/>
          <w:color w:val="auto"/>
          <w:sz w:val="21"/>
          <w:szCs w:val="21"/>
        </w:rPr>
        <w:t xml:space="preserve">  与《云南省土壤、地下水污染防治“十四五”规划》的符合性分析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5225"/>
        <w:gridCol w:w="2542"/>
        <w:gridCol w:w="828"/>
      </w:tblGrid>
      <w:tr w14:paraId="0DBDE8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Borders>
              <w:tl2br w:val="nil"/>
              <w:tr2bl w:val="nil"/>
            </w:tcBorders>
            <w:vAlign w:val="center"/>
          </w:tcPr>
          <w:p w14:paraId="65FC7DEB">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序号</w:t>
            </w:r>
          </w:p>
        </w:tc>
        <w:tc>
          <w:tcPr>
            <w:tcW w:w="2814" w:type="pct"/>
            <w:tcBorders>
              <w:tl2br w:val="nil"/>
              <w:tr2bl w:val="nil"/>
            </w:tcBorders>
            <w:vAlign w:val="center"/>
          </w:tcPr>
          <w:p w14:paraId="07D5051C">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云南省土壤、地下水污染防治“十四五”规划</w:t>
            </w:r>
          </w:p>
        </w:tc>
        <w:tc>
          <w:tcPr>
            <w:tcW w:w="1369" w:type="pct"/>
            <w:tcBorders>
              <w:tl2br w:val="nil"/>
              <w:tr2bl w:val="nil"/>
            </w:tcBorders>
            <w:vAlign w:val="center"/>
          </w:tcPr>
          <w:p w14:paraId="78530A84">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本项目</w:t>
            </w:r>
          </w:p>
        </w:tc>
        <w:tc>
          <w:tcPr>
            <w:tcW w:w="446" w:type="pct"/>
            <w:tcBorders>
              <w:tl2br w:val="nil"/>
              <w:tr2bl w:val="nil"/>
            </w:tcBorders>
            <w:vAlign w:val="center"/>
          </w:tcPr>
          <w:p w14:paraId="0B4B57EE">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符合性</w:t>
            </w:r>
          </w:p>
        </w:tc>
      </w:tr>
      <w:tr w14:paraId="590D56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Borders>
              <w:tl2br w:val="nil"/>
              <w:tr2bl w:val="nil"/>
            </w:tcBorders>
            <w:vAlign w:val="center"/>
          </w:tcPr>
          <w:p w14:paraId="45E85CD0">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1</w:t>
            </w:r>
          </w:p>
        </w:tc>
        <w:tc>
          <w:tcPr>
            <w:tcW w:w="2814" w:type="pct"/>
            <w:tcBorders>
              <w:tl2br w:val="nil"/>
              <w:tr2bl w:val="nil"/>
            </w:tcBorders>
            <w:vAlign w:val="center"/>
          </w:tcPr>
          <w:p w14:paraId="3B8C61A5">
            <w:pPr>
              <w:spacing w:line="240" w:lineRule="auto"/>
              <w:ind w:firstLine="360" w:firstLineChars="200"/>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严格建设项目土壤环境影响评价制度。对涉及有毒有害物质可能造成土壤污染的新（改、扩）建项目，依法进行环境影响评价，提出并落实防腐蚀、防渗漏、防遗撒等土壤污染防治具体措施。建设项目配套建设的土壤污染防治设施，应当与主体工程同时设计、同时施工、同时投入使用。</w:t>
            </w:r>
          </w:p>
        </w:tc>
        <w:tc>
          <w:tcPr>
            <w:tcW w:w="1369" w:type="pct"/>
            <w:tcBorders>
              <w:tl2br w:val="nil"/>
              <w:tr2bl w:val="nil"/>
            </w:tcBorders>
            <w:vAlign w:val="center"/>
          </w:tcPr>
          <w:p w14:paraId="5E1AF3D2">
            <w:pPr>
              <w:spacing w:line="240" w:lineRule="auto"/>
              <w:ind w:firstLine="360" w:firstLineChars="200"/>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项目正依法进行环境影响评价，并提出了防腐蚀、防渗漏、防遗撒等土壤污染防治措施，项目将严格执行“三同时”制度</w:t>
            </w:r>
          </w:p>
        </w:tc>
        <w:tc>
          <w:tcPr>
            <w:tcW w:w="446" w:type="pct"/>
            <w:tcBorders>
              <w:tl2br w:val="nil"/>
              <w:tr2bl w:val="nil"/>
            </w:tcBorders>
            <w:vAlign w:val="center"/>
          </w:tcPr>
          <w:p w14:paraId="2C2CD4AA">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符合</w:t>
            </w:r>
          </w:p>
        </w:tc>
      </w:tr>
      <w:tr w14:paraId="54EEC4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Borders>
              <w:tl2br w:val="nil"/>
              <w:tr2bl w:val="nil"/>
            </w:tcBorders>
            <w:vAlign w:val="center"/>
          </w:tcPr>
          <w:p w14:paraId="2E510FFC">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2</w:t>
            </w:r>
          </w:p>
        </w:tc>
        <w:tc>
          <w:tcPr>
            <w:tcW w:w="2814" w:type="pct"/>
            <w:tcBorders>
              <w:tl2br w:val="nil"/>
              <w:tr2bl w:val="nil"/>
            </w:tcBorders>
            <w:vAlign w:val="center"/>
          </w:tcPr>
          <w:p w14:paraId="3D754076">
            <w:pPr>
              <w:spacing w:line="240" w:lineRule="auto"/>
              <w:ind w:firstLine="360" w:firstLineChars="200"/>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强化土壤污染重点监管单位的环境监管。以有色金属矿和黑色金属矿采选、有色金属和黑色金属冶炼、石油加工、化学原料和化学制品制造、焦化、医药制造、制革、电镀、铅蓄电池制造、印染、危险废物利用及处置等行业中纳入排污许可重点管理的企业事业单位为重点，动态更新土壤污染重点监管单位名录，完善云南省土壤污染重点监管单位综合监管信息化平台，监督土壤污染重点监管单位全面落实土壤污染防治义务。到2025年底前，至少完成一轮土壤和地下水污染隐患排查整改、土壤污染重点监管单位周边土壤环境监测。加强企业拆除活动污染防治现场检查，督促土壤污染重点监管单位落实拆除活动污染防治措施。</w:t>
            </w:r>
          </w:p>
        </w:tc>
        <w:tc>
          <w:tcPr>
            <w:tcW w:w="1369" w:type="pct"/>
            <w:tcBorders>
              <w:tl2br w:val="nil"/>
              <w:tr2bl w:val="nil"/>
            </w:tcBorders>
            <w:vAlign w:val="center"/>
          </w:tcPr>
          <w:p w14:paraId="1DBE005E">
            <w:pPr>
              <w:spacing w:line="240" w:lineRule="auto"/>
              <w:ind w:firstLine="360" w:firstLineChars="200"/>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项目属于黑色金属选矿业，本次环评提出了防腐蚀、防渗漏、防遗撒等土壤污染防治措施，项目建成后将按照国家相关规范进行跟踪监测</w:t>
            </w:r>
          </w:p>
        </w:tc>
        <w:tc>
          <w:tcPr>
            <w:tcW w:w="446" w:type="pct"/>
            <w:tcBorders>
              <w:tl2br w:val="nil"/>
              <w:tr2bl w:val="nil"/>
            </w:tcBorders>
            <w:vAlign w:val="center"/>
          </w:tcPr>
          <w:p w14:paraId="3EF73730">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符合</w:t>
            </w:r>
          </w:p>
        </w:tc>
      </w:tr>
      <w:tr w14:paraId="37DD2B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Borders>
              <w:tl2br w:val="nil"/>
              <w:tr2bl w:val="nil"/>
            </w:tcBorders>
            <w:vAlign w:val="center"/>
          </w:tcPr>
          <w:p w14:paraId="58CA52EB">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3</w:t>
            </w:r>
          </w:p>
        </w:tc>
        <w:tc>
          <w:tcPr>
            <w:tcW w:w="2814" w:type="pct"/>
            <w:tcBorders>
              <w:tl2br w:val="nil"/>
              <w:tr2bl w:val="nil"/>
            </w:tcBorders>
            <w:vAlign w:val="center"/>
          </w:tcPr>
          <w:p w14:paraId="7181B516">
            <w:pPr>
              <w:spacing w:line="240" w:lineRule="auto"/>
              <w:ind w:firstLine="360" w:firstLineChars="200"/>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落实地下水防渗和监测措施。督促“一企一库”“两场两区”采取防渗漏措施，按要求建设地下水环境监测井，开展地下水环境自行监测。指导地下水污染防治重点排污单位优先开展地下水污染渗漏排查，针对存在问题的设施，采取污染防渗改造措施。省级生态环境部门组织开展地下水污染防治重点排污单位周边地下水环境监测。</w:t>
            </w:r>
          </w:p>
        </w:tc>
        <w:tc>
          <w:tcPr>
            <w:tcW w:w="1369" w:type="pct"/>
            <w:tcBorders>
              <w:tl2br w:val="nil"/>
              <w:tr2bl w:val="nil"/>
            </w:tcBorders>
            <w:vAlign w:val="center"/>
          </w:tcPr>
          <w:p w14:paraId="5D36EF1B">
            <w:pPr>
              <w:spacing w:line="240" w:lineRule="auto"/>
              <w:ind w:firstLine="360" w:firstLineChars="200"/>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kern w:val="2"/>
                <w:sz w:val="18"/>
                <w:szCs w:val="18"/>
                <w:lang w:val="en-US" w:eastAsia="zh-CN" w:bidi="ar-SA"/>
              </w:rPr>
              <w:t>项目采取本环评提出的地下水防渗及监测措施，并设置地下水监测点，项目建成后将按照国家相关规范进行跟踪监测</w:t>
            </w:r>
          </w:p>
        </w:tc>
        <w:tc>
          <w:tcPr>
            <w:tcW w:w="446" w:type="pct"/>
            <w:tcBorders>
              <w:tl2br w:val="nil"/>
              <w:tr2bl w:val="nil"/>
            </w:tcBorders>
            <w:vAlign w:val="center"/>
          </w:tcPr>
          <w:p w14:paraId="74E18E56">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符合</w:t>
            </w:r>
          </w:p>
        </w:tc>
      </w:tr>
    </w:tbl>
    <w:p w14:paraId="2894C412">
      <w:pPr>
        <w:spacing w:line="360" w:lineRule="auto"/>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根据上表分析，本项目符合《云南省土壤、地下水污染防治“十四五”规划》中相关要求。</w:t>
      </w:r>
    </w:p>
    <w:p w14:paraId="3CA1DB26">
      <w:pPr>
        <w:pStyle w:val="6"/>
        <w:bidi w:val="0"/>
        <w:rPr>
          <w:rFonts w:hint="default" w:ascii="Times New Roman" w:hAnsi="Times New Roman" w:cs="Times New Roman"/>
        </w:rPr>
      </w:pPr>
      <w:bookmarkStart w:id="79" w:name="_Toc2143"/>
      <w:r>
        <w:rPr>
          <w:rFonts w:hint="default" w:ascii="Times New Roman" w:hAnsi="Times New Roman" w:cs="Times New Roman"/>
          <w:lang w:val="en-US" w:eastAsia="zh-CN"/>
        </w:rPr>
        <w:t>1.3.13</w:t>
      </w:r>
      <w:r>
        <w:rPr>
          <w:rFonts w:hint="default" w:ascii="Times New Roman" w:hAnsi="Times New Roman" w:cs="Times New Roman"/>
        </w:rPr>
        <w:t>与</w:t>
      </w:r>
      <w:bookmarkStart w:id="80" w:name="_Hlk162516182"/>
      <w:r>
        <w:rPr>
          <w:rFonts w:hint="default" w:ascii="Times New Roman" w:hAnsi="Times New Roman" w:cs="Times New Roman"/>
        </w:rPr>
        <w:t>《云南省工业固体废物和重金属污染防治“十四五”规划》</w:t>
      </w:r>
      <w:bookmarkEnd w:id="80"/>
      <w:r>
        <w:rPr>
          <w:rFonts w:hint="default" w:ascii="Times New Roman" w:hAnsi="Times New Roman" w:cs="Times New Roman"/>
        </w:rPr>
        <w:t>符合性分析</w:t>
      </w:r>
      <w:bookmarkEnd w:id="79"/>
    </w:p>
    <w:p w14:paraId="588709A5">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本项目与《云南省工业固体废物和重金属污染防治“十四五”规划》的符合性分析详见下表。</w:t>
      </w:r>
    </w:p>
    <w:p w14:paraId="61C43B4A">
      <w:pPr>
        <w:autoSpaceDE w:val="0"/>
        <w:autoSpaceDN w:val="0"/>
        <w:spacing w:line="360" w:lineRule="auto"/>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表1.</w:t>
      </w:r>
      <w:r>
        <w:rPr>
          <w:rFonts w:hint="default" w:ascii="Times New Roman" w:hAnsi="Times New Roman" w:eastAsia="黑体" w:cs="Times New Roman"/>
          <w:b w:val="0"/>
          <w:bCs/>
          <w:color w:val="auto"/>
          <w:sz w:val="21"/>
          <w:szCs w:val="21"/>
          <w:lang w:val="en-US" w:eastAsia="zh-CN"/>
        </w:rPr>
        <w:t>3</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6</w:t>
      </w:r>
      <w:r>
        <w:rPr>
          <w:rFonts w:hint="default" w:ascii="Times New Roman" w:hAnsi="Times New Roman" w:eastAsia="黑体" w:cs="Times New Roman"/>
          <w:b w:val="0"/>
          <w:bCs/>
          <w:color w:val="auto"/>
          <w:sz w:val="21"/>
          <w:szCs w:val="21"/>
        </w:rPr>
        <w:t xml:space="preserve">  与《云南省工业固体废物和重金属污染防治“十四五”规划》的符合性分析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5230"/>
        <w:gridCol w:w="2543"/>
        <w:gridCol w:w="826"/>
      </w:tblGrid>
      <w:tr w14:paraId="0C6252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tcBorders>
              <w:tl2br w:val="nil"/>
              <w:tr2bl w:val="nil"/>
            </w:tcBorders>
            <w:vAlign w:val="center"/>
          </w:tcPr>
          <w:p w14:paraId="0D475E18">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序号</w:t>
            </w:r>
          </w:p>
        </w:tc>
        <w:tc>
          <w:tcPr>
            <w:tcW w:w="2816" w:type="pct"/>
            <w:tcBorders>
              <w:tl2br w:val="nil"/>
              <w:tr2bl w:val="nil"/>
            </w:tcBorders>
            <w:vAlign w:val="center"/>
          </w:tcPr>
          <w:p w14:paraId="4419AC44">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《云南省工业固体废物和重金属污染防治“十四五”规划》</w:t>
            </w:r>
          </w:p>
        </w:tc>
        <w:tc>
          <w:tcPr>
            <w:tcW w:w="1369" w:type="pct"/>
            <w:tcBorders>
              <w:tl2br w:val="nil"/>
              <w:tr2bl w:val="nil"/>
            </w:tcBorders>
            <w:vAlign w:val="center"/>
          </w:tcPr>
          <w:p w14:paraId="1204EE06">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本项目</w:t>
            </w:r>
          </w:p>
        </w:tc>
        <w:tc>
          <w:tcPr>
            <w:tcW w:w="445" w:type="pct"/>
            <w:tcBorders>
              <w:tl2br w:val="nil"/>
              <w:tr2bl w:val="nil"/>
            </w:tcBorders>
            <w:vAlign w:val="center"/>
          </w:tcPr>
          <w:p w14:paraId="7D685648">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符合性</w:t>
            </w:r>
          </w:p>
        </w:tc>
      </w:tr>
      <w:tr w14:paraId="4FD972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tcBorders>
              <w:tl2br w:val="nil"/>
              <w:tr2bl w:val="nil"/>
            </w:tcBorders>
            <w:vAlign w:val="center"/>
          </w:tcPr>
          <w:p w14:paraId="2CC685F8">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1</w:t>
            </w:r>
          </w:p>
        </w:tc>
        <w:tc>
          <w:tcPr>
            <w:tcW w:w="2816" w:type="pct"/>
            <w:tcBorders>
              <w:tl2br w:val="nil"/>
              <w:tr2bl w:val="nil"/>
            </w:tcBorders>
            <w:vAlign w:val="center"/>
          </w:tcPr>
          <w:p w14:paraId="2222DA92">
            <w:pPr>
              <w:spacing w:line="240" w:lineRule="auto"/>
              <w:jc w:val="left"/>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lang w:eastAsia="zh-CN"/>
              </w:rPr>
              <w:t>（</w:t>
            </w:r>
            <w:r>
              <w:rPr>
                <w:rFonts w:hint="default" w:ascii="Times New Roman" w:hAnsi="Times New Roman" w:cs="Times New Roman" w:eastAsiaTheme="minorEastAsia"/>
                <w:bCs/>
                <w:color w:val="auto"/>
                <w:sz w:val="18"/>
                <w:szCs w:val="18"/>
              </w:rPr>
              <w:t>一）强化工业固体废物源头管控</w:t>
            </w:r>
          </w:p>
          <w:p w14:paraId="764C0D48">
            <w:pPr>
              <w:spacing w:line="240" w:lineRule="auto"/>
              <w:jc w:val="left"/>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1.严格准入管理：严格控制新建、扩建工业固体废物及危险废物产生量大、区域内难以有效综合利用、无害化处置能力不足、无配套利用处置设施的建设项目。新建项目严格执行《建设项目危险废物环境影响评价指南》《危险废物处置工程技术导则》等技术规范，开展危险废物环境影响评价。将固体废物污染环境防治内容纳入环境影响评价文件，落实固体废物污染环境和破坏生态防治措施，将固体废物环境污染防治设施建设资金纳入投资概算。</w:t>
            </w:r>
          </w:p>
          <w:p w14:paraId="23660A50">
            <w:pPr>
              <w:spacing w:line="240" w:lineRule="auto"/>
              <w:jc w:val="left"/>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2.推进清洁生产：督促企业合理选择清洁的原料、能源和工艺、设备，减少有毒、有害原料的使用</w:t>
            </w:r>
            <w:r>
              <w:rPr>
                <w:rFonts w:hint="default" w:ascii="Times New Roman" w:hAnsi="Times New Roman" w:cs="Times New Roman" w:eastAsiaTheme="minorEastAsia"/>
                <w:bCs/>
                <w:color w:val="auto"/>
                <w:sz w:val="18"/>
                <w:szCs w:val="18"/>
                <w:lang w:eastAsia="zh-CN"/>
              </w:rPr>
              <w:t>，</w:t>
            </w:r>
            <w:r>
              <w:rPr>
                <w:rFonts w:hint="default" w:ascii="Times New Roman" w:hAnsi="Times New Roman" w:cs="Times New Roman" w:eastAsiaTheme="minorEastAsia"/>
                <w:bCs/>
                <w:color w:val="auto"/>
                <w:sz w:val="18"/>
                <w:szCs w:val="18"/>
              </w:rPr>
              <w:t>提高资源利用效率。以有色金属矿采选业、有色金属冶炼和压延加工业、黑色金属冶炼和压延加工业、化学原料和化学制品制造业、环境治理业等工业固体废物产生量大的行业为重点，实施强制性清洁生产审核，督促企业实施清洁生产技术改造，从源头减少工业固体废物及危险废物产生。鼓励引导工业企业开展自愿清洁生产审核工作。</w:t>
            </w:r>
          </w:p>
        </w:tc>
        <w:tc>
          <w:tcPr>
            <w:tcW w:w="1369" w:type="pct"/>
            <w:tcBorders>
              <w:tl2br w:val="nil"/>
              <w:tr2bl w:val="nil"/>
            </w:tcBorders>
            <w:vAlign w:val="center"/>
          </w:tcPr>
          <w:p w14:paraId="2985D8CE">
            <w:pPr>
              <w:spacing w:line="240" w:lineRule="auto"/>
              <w:jc w:val="left"/>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1、项目</w:t>
            </w:r>
            <w:r>
              <w:rPr>
                <w:rFonts w:hint="default" w:ascii="Times New Roman" w:hAnsi="Times New Roman" w:cs="Times New Roman" w:eastAsiaTheme="minorEastAsia"/>
                <w:bCs/>
                <w:color w:val="auto"/>
                <w:sz w:val="18"/>
                <w:szCs w:val="18"/>
                <w:lang w:val="en-US" w:eastAsia="zh-CN"/>
              </w:rPr>
              <w:t>正</w:t>
            </w:r>
            <w:r>
              <w:rPr>
                <w:rFonts w:hint="default" w:ascii="Times New Roman" w:hAnsi="Times New Roman" w:cs="Times New Roman" w:eastAsiaTheme="minorEastAsia"/>
                <w:bCs/>
                <w:color w:val="auto"/>
                <w:sz w:val="18"/>
                <w:szCs w:val="18"/>
              </w:rPr>
              <w:t>依法进行环境影响评价，并提出了固体废物污染环境和破坏生态防治措施；</w:t>
            </w:r>
          </w:p>
          <w:p w14:paraId="5E4C53EF">
            <w:pPr>
              <w:spacing w:line="240" w:lineRule="auto"/>
              <w:jc w:val="left"/>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2、项目为黑色金属选矿业，原矿经破碎、筛分</w:t>
            </w:r>
            <w:r>
              <w:rPr>
                <w:rFonts w:hint="default" w:ascii="Times New Roman" w:hAnsi="Times New Roman" w:cs="Times New Roman" w:eastAsiaTheme="minorEastAsia"/>
                <w:bCs/>
                <w:color w:val="auto"/>
                <w:sz w:val="18"/>
                <w:szCs w:val="18"/>
                <w:lang w:eastAsia="zh-CN"/>
              </w:rPr>
              <w:t>、</w:t>
            </w:r>
            <w:r>
              <w:rPr>
                <w:rFonts w:hint="default" w:ascii="Times New Roman" w:hAnsi="Times New Roman" w:cs="Times New Roman" w:eastAsiaTheme="minorEastAsia"/>
                <w:bCs/>
                <w:color w:val="auto"/>
                <w:sz w:val="18"/>
                <w:szCs w:val="18"/>
                <w:lang w:val="en-US" w:eastAsia="zh-CN"/>
              </w:rPr>
              <w:t>磁</w:t>
            </w:r>
            <w:r>
              <w:rPr>
                <w:rFonts w:hint="default" w:ascii="Times New Roman" w:hAnsi="Times New Roman" w:cs="Times New Roman" w:eastAsiaTheme="minorEastAsia"/>
                <w:bCs/>
                <w:color w:val="auto"/>
                <w:sz w:val="18"/>
                <w:szCs w:val="18"/>
              </w:rPr>
              <w:t>选处理后得到磁性产品</w:t>
            </w:r>
            <w:r>
              <w:rPr>
                <w:rFonts w:hint="default" w:ascii="Times New Roman" w:hAnsi="Times New Roman" w:cs="Times New Roman" w:eastAsiaTheme="minorEastAsia"/>
                <w:bCs/>
                <w:color w:val="auto"/>
                <w:sz w:val="18"/>
                <w:szCs w:val="18"/>
                <w:lang w:val="en-US" w:eastAsia="zh-CN"/>
              </w:rPr>
              <w:t>铁矿石</w:t>
            </w:r>
            <w:r>
              <w:rPr>
                <w:rFonts w:hint="default" w:ascii="Times New Roman" w:hAnsi="Times New Roman" w:cs="Times New Roman" w:eastAsiaTheme="minorEastAsia"/>
                <w:bCs/>
                <w:color w:val="auto"/>
                <w:sz w:val="18"/>
                <w:szCs w:val="18"/>
              </w:rPr>
              <w:t>和</w:t>
            </w:r>
            <w:r>
              <w:rPr>
                <w:rFonts w:hint="default" w:ascii="Times New Roman" w:hAnsi="Times New Roman" w:cs="Times New Roman" w:eastAsiaTheme="minorEastAsia"/>
                <w:bCs/>
                <w:color w:val="auto"/>
                <w:sz w:val="18"/>
                <w:szCs w:val="18"/>
                <w:lang w:val="en-US" w:eastAsia="zh-CN"/>
              </w:rPr>
              <w:t>非</w:t>
            </w:r>
            <w:r>
              <w:rPr>
                <w:rFonts w:hint="default" w:ascii="Times New Roman" w:hAnsi="Times New Roman" w:cs="Times New Roman" w:eastAsiaTheme="minorEastAsia"/>
                <w:bCs/>
                <w:color w:val="auto"/>
                <w:sz w:val="18"/>
                <w:szCs w:val="18"/>
              </w:rPr>
              <w:t>磁性产品</w:t>
            </w:r>
            <w:r>
              <w:rPr>
                <w:rFonts w:hint="default" w:ascii="Times New Roman" w:hAnsi="Times New Roman" w:cs="Times New Roman" w:eastAsiaTheme="minorEastAsia"/>
                <w:bCs/>
                <w:color w:val="auto"/>
                <w:sz w:val="18"/>
                <w:szCs w:val="18"/>
                <w:lang w:val="en-US" w:eastAsia="zh-CN"/>
              </w:rPr>
              <w:t>砂石料</w:t>
            </w:r>
            <w:r>
              <w:rPr>
                <w:rFonts w:hint="default" w:ascii="Times New Roman" w:hAnsi="Times New Roman" w:cs="Times New Roman" w:eastAsiaTheme="minorEastAsia"/>
                <w:bCs/>
                <w:color w:val="auto"/>
                <w:sz w:val="18"/>
                <w:szCs w:val="18"/>
              </w:rPr>
              <w:t>，</w:t>
            </w:r>
            <w:r>
              <w:rPr>
                <w:rFonts w:hint="default" w:ascii="Times New Roman" w:hAnsi="Times New Roman" w:cs="Times New Roman" w:eastAsiaTheme="minorEastAsia"/>
                <w:bCs/>
                <w:color w:val="auto"/>
                <w:sz w:val="18"/>
                <w:szCs w:val="18"/>
                <w:lang w:val="en-US" w:eastAsia="zh-CN"/>
              </w:rPr>
              <w:t>砂石料</w:t>
            </w:r>
            <w:r>
              <w:rPr>
                <w:rFonts w:hint="default" w:ascii="Times New Roman" w:hAnsi="Times New Roman" w:cs="Times New Roman" w:eastAsiaTheme="minorEastAsia"/>
                <w:bCs/>
                <w:color w:val="auto"/>
                <w:sz w:val="18"/>
                <w:szCs w:val="18"/>
              </w:rPr>
              <w:t>用于道路维护、工业场地建设以及</w:t>
            </w:r>
            <w:r>
              <w:rPr>
                <w:rFonts w:hint="default" w:ascii="Times New Roman" w:hAnsi="Times New Roman" w:cs="Times New Roman" w:eastAsiaTheme="minorEastAsia"/>
                <w:bCs/>
                <w:color w:val="auto"/>
                <w:sz w:val="18"/>
                <w:szCs w:val="18"/>
                <w:lang w:val="en-US" w:eastAsia="zh-CN"/>
              </w:rPr>
              <w:t>外售建材公司</w:t>
            </w:r>
            <w:r>
              <w:rPr>
                <w:rFonts w:hint="default" w:ascii="Times New Roman" w:hAnsi="Times New Roman" w:cs="Times New Roman" w:eastAsiaTheme="minorEastAsia"/>
                <w:bCs/>
                <w:color w:val="auto"/>
                <w:sz w:val="18"/>
                <w:szCs w:val="18"/>
                <w:lang w:eastAsia="zh-CN"/>
              </w:rPr>
              <w:t>，</w:t>
            </w:r>
            <w:r>
              <w:rPr>
                <w:rFonts w:hint="default" w:ascii="Times New Roman" w:hAnsi="Times New Roman" w:cs="Times New Roman" w:eastAsiaTheme="minorEastAsia"/>
                <w:bCs/>
                <w:color w:val="auto"/>
                <w:sz w:val="18"/>
                <w:szCs w:val="18"/>
                <w:lang w:val="en-US" w:eastAsia="zh-CN"/>
              </w:rPr>
              <w:t>除尘灰外售</w:t>
            </w:r>
            <w:r>
              <w:rPr>
                <w:rFonts w:hint="default" w:ascii="Times New Roman" w:hAnsi="Times New Roman" w:cs="Times New Roman" w:eastAsiaTheme="minorEastAsia"/>
                <w:color w:val="auto"/>
                <w:sz w:val="18"/>
                <w:szCs w:val="18"/>
                <w:lang w:val="en-US" w:eastAsia="zh-CN"/>
              </w:rPr>
              <w:t>新平甬福环保有限公司用于矿渣微粉生产线使用。</w:t>
            </w:r>
          </w:p>
        </w:tc>
        <w:tc>
          <w:tcPr>
            <w:tcW w:w="445" w:type="pct"/>
            <w:tcBorders>
              <w:tl2br w:val="nil"/>
              <w:tr2bl w:val="nil"/>
            </w:tcBorders>
            <w:vAlign w:val="center"/>
          </w:tcPr>
          <w:p w14:paraId="4425B6C6">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符合</w:t>
            </w:r>
          </w:p>
        </w:tc>
      </w:tr>
      <w:tr w14:paraId="7EF61B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tcBorders>
              <w:tl2br w:val="nil"/>
              <w:tr2bl w:val="nil"/>
            </w:tcBorders>
            <w:vAlign w:val="center"/>
          </w:tcPr>
          <w:p w14:paraId="175186C8">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2</w:t>
            </w:r>
          </w:p>
        </w:tc>
        <w:tc>
          <w:tcPr>
            <w:tcW w:w="2816" w:type="pct"/>
            <w:tcBorders>
              <w:tl2br w:val="nil"/>
              <w:tr2bl w:val="nil"/>
            </w:tcBorders>
            <w:vAlign w:val="center"/>
          </w:tcPr>
          <w:p w14:paraId="345ECFE3">
            <w:pPr>
              <w:spacing w:line="240" w:lineRule="auto"/>
              <w:jc w:val="left"/>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lang w:eastAsia="zh-CN"/>
              </w:rPr>
              <w:t>（</w:t>
            </w:r>
            <w:r>
              <w:rPr>
                <w:rFonts w:hint="default" w:ascii="Times New Roman" w:hAnsi="Times New Roman" w:cs="Times New Roman" w:eastAsiaTheme="minorEastAsia"/>
                <w:bCs/>
                <w:color w:val="auto"/>
                <w:sz w:val="18"/>
                <w:szCs w:val="18"/>
              </w:rPr>
              <w:t>二）推进工业固体废物污染防治</w:t>
            </w:r>
          </w:p>
          <w:p w14:paraId="6D02D6D5">
            <w:pPr>
              <w:spacing w:line="240" w:lineRule="auto"/>
              <w:jc w:val="left"/>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1.加强环境管理：将工业固体废物纳入排污许可证管理</w:t>
            </w:r>
            <w:r>
              <w:rPr>
                <w:rFonts w:hint="default" w:ascii="Times New Roman" w:hAnsi="Times New Roman" w:cs="Times New Roman" w:eastAsiaTheme="minorEastAsia"/>
                <w:bCs/>
                <w:color w:val="auto"/>
                <w:sz w:val="18"/>
                <w:szCs w:val="18"/>
                <w:lang w:eastAsia="zh-CN"/>
              </w:rPr>
              <w:t>，</w:t>
            </w:r>
            <w:r>
              <w:rPr>
                <w:rFonts w:hint="default" w:ascii="Times New Roman" w:hAnsi="Times New Roman" w:cs="Times New Roman" w:eastAsiaTheme="minorEastAsia"/>
                <w:bCs/>
                <w:color w:val="auto"/>
                <w:sz w:val="18"/>
                <w:szCs w:val="18"/>
              </w:rPr>
              <w:t>落实管理台账和申报制度，实现可追溯、可查询。规范固体废物跨省转移备案和审批工作，加强转移入省固体废物利用处置监管。全面推进政府和企业固体废物污染防治信息公开</w:t>
            </w:r>
            <w:r>
              <w:rPr>
                <w:rFonts w:hint="default" w:ascii="Times New Roman" w:hAnsi="Times New Roman" w:cs="Times New Roman" w:eastAsiaTheme="minorEastAsia"/>
                <w:bCs/>
                <w:color w:val="auto"/>
                <w:sz w:val="18"/>
                <w:szCs w:val="18"/>
                <w:lang w:eastAsia="zh-CN"/>
              </w:rPr>
              <w:t>，</w:t>
            </w:r>
            <w:r>
              <w:rPr>
                <w:rFonts w:hint="default" w:ascii="Times New Roman" w:hAnsi="Times New Roman" w:cs="Times New Roman" w:eastAsiaTheme="minorEastAsia"/>
                <w:bCs/>
                <w:color w:val="auto"/>
                <w:sz w:val="18"/>
                <w:szCs w:val="18"/>
              </w:rPr>
              <w:t>提高公众环境保护意识和参与程度。建立健全尾矿库分级分类环境管理制度，完善尾矿库分级分类环境管理清单，督促尾矿库运营、管理单位落实污染防治要求和环境风险防控措施。</w:t>
            </w:r>
          </w:p>
          <w:p w14:paraId="16F1FCE2">
            <w:pPr>
              <w:spacing w:line="240" w:lineRule="auto"/>
              <w:jc w:val="left"/>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2．强化利用处置：严格落实尾矿、粉煤灰、冶炼渣、工业副产石膏等工业固体废物综合利用技术和产品标准</w:t>
            </w:r>
            <w:r>
              <w:rPr>
                <w:rFonts w:hint="default" w:ascii="Times New Roman" w:hAnsi="Times New Roman" w:cs="Times New Roman" w:eastAsiaTheme="minorEastAsia"/>
                <w:bCs/>
                <w:color w:val="auto"/>
                <w:sz w:val="18"/>
                <w:szCs w:val="18"/>
                <w:lang w:eastAsia="zh-CN"/>
              </w:rPr>
              <w:t>，</w:t>
            </w:r>
            <w:r>
              <w:rPr>
                <w:rFonts w:hint="default" w:ascii="Times New Roman" w:hAnsi="Times New Roman" w:cs="Times New Roman" w:eastAsiaTheme="minorEastAsia"/>
                <w:bCs/>
                <w:color w:val="auto"/>
                <w:sz w:val="18"/>
                <w:szCs w:val="18"/>
              </w:rPr>
              <w:t>规范工业固体废物综合利用行业发展。提高工业固体废物综合利用率，推动企业开展固体废物再生利用产物环境风险影响评价。</w:t>
            </w:r>
          </w:p>
        </w:tc>
        <w:tc>
          <w:tcPr>
            <w:tcW w:w="1369" w:type="pct"/>
            <w:tcBorders>
              <w:tl2br w:val="nil"/>
              <w:tr2bl w:val="nil"/>
            </w:tcBorders>
            <w:vAlign w:val="center"/>
          </w:tcPr>
          <w:p w14:paraId="5E9BFFB1">
            <w:pPr>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Cs/>
                <w:color w:val="auto"/>
                <w:sz w:val="18"/>
                <w:szCs w:val="18"/>
              </w:rPr>
              <w:t>1、</w:t>
            </w:r>
            <w:r>
              <w:rPr>
                <w:rFonts w:hint="default" w:ascii="Times New Roman" w:hAnsi="Times New Roman" w:cs="Times New Roman" w:eastAsiaTheme="minorEastAsia"/>
                <w:color w:val="auto"/>
                <w:sz w:val="18"/>
                <w:szCs w:val="18"/>
              </w:rPr>
              <w:t>本项目将在建成后依法办理排污许可证。建立健全非磁性产品</w:t>
            </w:r>
            <w:r>
              <w:rPr>
                <w:rFonts w:hint="default" w:ascii="Times New Roman" w:hAnsi="Times New Roman" w:cs="Times New Roman" w:eastAsiaTheme="minorEastAsia"/>
                <w:color w:val="auto"/>
                <w:sz w:val="18"/>
                <w:szCs w:val="18"/>
                <w:lang w:val="en-US" w:eastAsia="zh-CN"/>
              </w:rPr>
              <w:t>砂石料</w:t>
            </w:r>
            <w:r>
              <w:rPr>
                <w:rFonts w:hint="default" w:ascii="Times New Roman" w:hAnsi="Times New Roman" w:cs="Times New Roman" w:eastAsiaTheme="minorEastAsia"/>
                <w:color w:val="auto"/>
                <w:sz w:val="18"/>
                <w:szCs w:val="18"/>
              </w:rPr>
              <w:t>产生、收集、贮存、运输、利用、处置全过程的污染环境防治责任制度，建立工业固体废物管理台账并按要求保存。</w:t>
            </w:r>
          </w:p>
          <w:p w14:paraId="3AB60DB8">
            <w:pPr>
              <w:spacing w:line="240" w:lineRule="auto"/>
              <w:jc w:val="left"/>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color w:val="auto"/>
                <w:sz w:val="18"/>
                <w:szCs w:val="18"/>
              </w:rPr>
              <w:t>2、</w:t>
            </w:r>
            <w:r>
              <w:rPr>
                <w:rFonts w:hint="default" w:ascii="Times New Roman" w:hAnsi="Times New Roman" w:cs="Times New Roman" w:eastAsiaTheme="minorEastAsia"/>
                <w:bCs/>
                <w:color w:val="auto"/>
                <w:sz w:val="18"/>
                <w:szCs w:val="18"/>
                <w:lang w:val="en-US" w:eastAsia="zh-CN"/>
              </w:rPr>
              <w:t>项目砂石料</w:t>
            </w:r>
            <w:r>
              <w:rPr>
                <w:rFonts w:hint="default" w:ascii="Times New Roman" w:hAnsi="Times New Roman" w:cs="Times New Roman" w:eastAsiaTheme="minorEastAsia"/>
                <w:bCs/>
                <w:color w:val="auto"/>
                <w:sz w:val="18"/>
                <w:szCs w:val="18"/>
              </w:rPr>
              <w:t>用于道路维护、工业场地建设以及</w:t>
            </w:r>
            <w:r>
              <w:rPr>
                <w:rFonts w:hint="default" w:ascii="Times New Roman" w:hAnsi="Times New Roman" w:cs="Times New Roman" w:eastAsiaTheme="minorEastAsia"/>
                <w:bCs/>
                <w:color w:val="auto"/>
                <w:sz w:val="18"/>
                <w:szCs w:val="18"/>
                <w:lang w:val="en-US" w:eastAsia="zh-CN"/>
              </w:rPr>
              <w:t>外售建材公司</w:t>
            </w:r>
            <w:r>
              <w:rPr>
                <w:rFonts w:hint="default" w:ascii="Times New Roman" w:hAnsi="Times New Roman" w:cs="Times New Roman" w:eastAsiaTheme="minorEastAsia"/>
                <w:bCs/>
                <w:color w:val="auto"/>
                <w:sz w:val="18"/>
                <w:szCs w:val="18"/>
              </w:rPr>
              <w:t>，</w:t>
            </w:r>
            <w:r>
              <w:rPr>
                <w:rFonts w:hint="default" w:ascii="Times New Roman" w:hAnsi="Times New Roman" w:cs="Times New Roman" w:eastAsiaTheme="minorEastAsia"/>
                <w:bCs/>
                <w:color w:val="auto"/>
                <w:sz w:val="18"/>
                <w:szCs w:val="18"/>
                <w:lang w:val="en-US" w:eastAsia="zh-CN"/>
              </w:rPr>
              <w:t>除尘灰外售</w:t>
            </w:r>
            <w:r>
              <w:rPr>
                <w:rFonts w:hint="default" w:ascii="Times New Roman" w:hAnsi="Times New Roman" w:cs="Times New Roman" w:eastAsiaTheme="minorEastAsia"/>
                <w:color w:val="auto"/>
                <w:sz w:val="18"/>
                <w:szCs w:val="18"/>
                <w:lang w:val="en-US" w:eastAsia="zh-CN"/>
              </w:rPr>
              <w:t>新平甬福环保有限公司用于矿渣微粉生产线使用</w:t>
            </w:r>
            <w:r>
              <w:rPr>
                <w:rFonts w:hint="default" w:ascii="Times New Roman" w:hAnsi="Times New Roman" w:cs="Times New Roman" w:eastAsiaTheme="minorEastAsia"/>
                <w:bCs/>
                <w:color w:val="auto"/>
                <w:sz w:val="18"/>
                <w:szCs w:val="18"/>
              </w:rPr>
              <w:t>。</w:t>
            </w:r>
          </w:p>
        </w:tc>
        <w:tc>
          <w:tcPr>
            <w:tcW w:w="445" w:type="pct"/>
            <w:tcBorders>
              <w:tl2br w:val="nil"/>
              <w:tr2bl w:val="nil"/>
            </w:tcBorders>
            <w:vAlign w:val="center"/>
          </w:tcPr>
          <w:p w14:paraId="4919974C">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符合</w:t>
            </w:r>
          </w:p>
        </w:tc>
      </w:tr>
      <w:tr w14:paraId="282F6D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tcBorders>
              <w:tl2br w:val="nil"/>
              <w:tr2bl w:val="nil"/>
            </w:tcBorders>
            <w:vAlign w:val="center"/>
          </w:tcPr>
          <w:p w14:paraId="68A014A1">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3</w:t>
            </w:r>
          </w:p>
        </w:tc>
        <w:tc>
          <w:tcPr>
            <w:tcW w:w="2816" w:type="pct"/>
            <w:tcBorders>
              <w:tl2br w:val="nil"/>
              <w:tr2bl w:val="nil"/>
            </w:tcBorders>
            <w:vAlign w:val="center"/>
          </w:tcPr>
          <w:p w14:paraId="24F08CD8">
            <w:pPr>
              <w:spacing w:line="240" w:lineRule="auto"/>
              <w:jc w:val="left"/>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lang w:eastAsia="zh-CN"/>
              </w:rPr>
              <w:t>（</w:t>
            </w:r>
            <w:r>
              <w:rPr>
                <w:rFonts w:hint="default" w:ascii="Times New Roman" w:hAnsi="Times New Roman" w:cs="Times New Roman" w:eastAsiaTheme="minorEastAsia"/>
                <w:bCs/>
                <w:color w:val="auto"/>
                <w:sz w:val="18"/>
                <w:szCs w:val="18"/>
              </w:rPr>
              <w:t>三</w:t>
            </w:r>
            <w:r>
              <w:rPr>
                <w:rFonts w:hint="default" w:ascii="Times New Roman" w:hAnsi="Times New Roman" w:cs="Times New Roman" w:eastAsiaTheme="minorEastAsia"/>
                <w:bCs/>
                <w:color w:val="auto"/>
                <w:sz w:val="18"/>
                <w:szCs w:val="18"/>
                <w:lang w:eastAsia="zh-CN"/>
              </w:rPr>
              <w:t>）</w:t>
            </w:r>
            <w:r>
              <w:rPr>
                <w:rFonts w:hint="default" w:ascii="Times New Roman" w:hAnsi="Times New Roman" w:cs="Times New Roman" w:eastAsiaTheme="minorEastAsia"/>
                <w:bCs/>
                <w:color w:val="auto"/>
                <w:sz w:val="18"/>
                <w:szCs w:val="18"/>
              </w:rPr>
              <w:t>提升危险废物监管和利用处置能力</w:t>
            </w:r>
          </w:p>
          <w:p w14:paraId="7BF963F1">
            <w:pPr>
              <w:spacing w:line="240" w:lineRule="auto"/>
              <w:jc w:val="left"/>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1.加强危险废物鉴别管理：严格危险废物名录制度。按照《国家危险废物名录》，及时做好危险废物类别代码新旧更替衔接工作</w:t>
            </w:r>
            <w:r>
              <w:rPr>
                <w:rFonts w:hint="default" w:ascii="Times New Roman" w:hAnsi="Times New Roman" w:cs="Times New Roman" w:eastAsiaTheme="minorEastAsia"/>
                <w:bCs/>
                <w:color w:val="auto"/>
                <w:sz w:val="18"/>
                <w:szCs w:val="18"/>
                <w:lang w:eastAsia="zh-CN"/>
              </w:rPr>
              <w:t>，</w:t>
            </w:r>
            <w:r>
              <w:rPr>
                <w:rFonts w:hint="default" w:ascii="Times New Roman" w:hAnsi="Times New Roman" w:cs="Times New Roman" w:eastAsiaTheme="minorEastAsia"/>
                <w:bCs/>
                <w:color w:val="auto"/>
                <w:sz w:val="18"/>
                <w:szCs w:val="18"/>
              </w:rPr>
              <w:t>强化豁免管理危险废物监管，严格落实危险废物排除管理清单。</w:t>
            </w:r>
          </w:p>
          <w:p w14:paraId="609408D5">
            <w:pPr>
              <w:spacing w:line="240" w:lineRule="auto"/>
              <w:jc w:val="left"/>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2.规范危险废物收集、贮存和转移：推动收集转运贮存专业化。严格跨省转移贮存和处置。坚持危险废物就近处置原则，严格跨省转移贮存和处置，从严审核涉镉、汞、锭等重金属危险废物跨省转入，逐步减少非资源化、再利用危险废物跨省转入。</w:t>
            </w:r>
          </w:p>
        </w:tc>
        <w:tc>
          <w:tcPr>
            <w:tcW w:w="1369" w:type="pct"/>
            <w:tcBorders>
              <w:tl2br w:val="nil"/>
              <w:tr2bl w:val="nil"/>
            </w:tcBorders>
            <w:vAlign w:val="center"/>
          </w:tcPr>
          <w:p w14:paraId="2B87CDD9">
            <w:pPr>
              <w:spacing w:line="240" w:lineRule="auto"/>
              <w:jc w:val="left"/>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本项目产生危险固废主要为废矿物油。</w:t>
            </w:r>
            <w:r>
              <w:rPr>
                <w:rFonts w:hint="default" w:ascii="Times New Roman" w:hAnsi="Times New Roman" w:cs="Times New Roman" w:eastAsiaTheme="minorEastAsia"/>
                <w:bCs/>
                <w:color w:val="auto"/>
                <w:sz w:val="18"/>
                <w:szCs w:val="18"/>
                <w:lang w:val="en-US" w:eastAsia="zh-CN"/>
              </w:rPr>
              <w:t>依托矿山</w:t>
            </w:r>
            <w:r>
              <w:rPr>
                <w:rFonts w:hint="default" w:ascii="Times New Roman" w:hAnsi="Times New Roman" w:cs="Times New Roman" w:eastAsiaTheme="minorEastAsia"/>
                <w:bCs/>
                <w:color w:val="auto"/>
                <w:sz w:val="18"/>
                <w:szCs w:val="18"/>
              </w:rPr>
              <w:t>设置符合规范的危废暂存间，</w:t>
            </w:r>
            <w:r>
              <w:rPr>
                <w:rFonts w:hint="default" w:ascii="Times New Roman" w:hAnsi="Times New Roman" w:cs="Times New Roman" w:eastAsiaTheme="minorEastAsia"/>
                <w:bCs/>
                <w:color w:val="auto"/>
                <w:sz w:val="18"/>
                <w:szCs w:val="18"/>
                <w:lang w:val="en-US" w:eastAsia="zh-CN"/>
              </w:rPr>
              <w:t>由集团公司统一委托</w:t>
            </w:r>
            <w:r>
              <w:rPr>
                <w:rFonts w:hint="default" w:ascii="Times New Roman" w:hAnsi="Times New Roman" w:cs="Times New Roman" w:eastAsiaTheme="minorEastAsia"/>
                <w:bCs/>
                <w:color w:val="auto"/>
                <w:sz w:val="18"/>
                <w:szCs w:val="18"/>
              </w:rPr>
              <w:t>资质单位清运处置。</w:t>
            </w:r>
          </w:p>
        </w:tc>
        <w:tc>
          <w:tcPr>
            <w:tcW w:w="445" w:type="pct"/>
            <w:tcBorders>
              <w:tl2br w:val="nil"/>
              <w:tr2bl w:val="nil"/>
            </w:tcBorders>
            <w:vAlign w:val="center"/>
          </w:tcPr>
          <w:p w14:paraId="0761DB82">
            <w:pPr>
              <w:spacing w:line="240"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bCs/>
                <w:color w:val="auto"/>
                <w:sz w:val="18"/>
                <w:szCs w:val="18"/>
              </w:rPr>
              <w:t>符合</w:t>
            </w:r>
          </w:p>
        </w:tc>
      </w:tr>
    </w:tbl>
    <w:p w14:paraId="3AD66ED7">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根据上表，本项目符合《云南省工业固体废物和重金属污染防治“十四五”规划》中相关要求。</w:t>
      </w:r>
    </w:p>
    <w:p w14:paraId="2E4957A7">
      <w:pPr>
        <w:pStyle w:val="6"/>
        <w:bidi w:val="0"/>
        <w:rPr>
          <w:rFonts w:hint="default" w:ascii="Times New Roman" w:hAnsi="Times New Roman" w:cs="Times New Roman"/>
          <w:lang w:val="en-US" w:eastAsia="zh-CN"/>
        </w:rPr>
      </w:pPr>
      <w:bookmarkStart w:id="81" w:name="_Toc26523"/>
      <w:r>
        <w:rPr>
          <w:rFonts w:hint="default" w:ascii="Times New Roman" w:hAnsi="Times New Roman" w:cs="Times New Roman"/>
          <w:lang w:val="en-US" w:eastAsia="zh-CN"/>
        </w:rPr>
        <w:t>1.3.14与《云南省长江经济带发展负面清单指南实施细则（试行）》符合性分析</w:t>
      </w:r>
    </w:p>
    <w:p w14:paraId="46ECD4A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根据2019年11月1日云南省发展和改革委员会文件：云发改基础〔</w:t>
      </w:r>
      <w:r>
        <w:rPr>
          <w:rFonts w:hint="default" w:ascii="Times New Roman" w:hAnsi="Times New Roman" w:cs="Times New Roman"/>
          <w:color w:val="auto"/>
          <w:sz w:val="24"/>
          <w:szCs w:val="24"/>
          <w:lang w:val="en-US" w:eastAsia="zh-CN"/>
        </w:rPr>
        <w:t>2019</w:t>
      </w:r>
      <w:r>
        <w:rPr>
          <w:rFonts w:hint="default" w:ascii="Times New Roman" w:hAnsi="Times New Roman" w:cs="Times New Roman"/>
          <w:color w:val="auto"/>
          <w:sz w:val="24"/>
          <w:szCs w:val="24"/>
        </w:rPr>
        <w:t>〕924号“云南省推动长江经济带发展领导小组办公室关于印发《云南省长江经济带发展负面清单指南实施细则（试行）》的通知”。</w:t>
      </w:r>
    </w:p>
    <w:p w14:paraId="35BDC3F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本项目与负面清单对照如下：</w:t>
      </w:r>
    </w:p>
    <w:p w14:paraId="7E3F7908">
      <w:pPr>
        <w:spacing w:line="360" w:lineRule="auto"/>
        <w:jc w:val="center"/>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表1.3-7  项目与《云南省长江经济带发展负面清单指南实施细则》对照表</w:t>
      </w:r>
    </w:p>
    <w:tbl>
      <w:tblPr>
        <w:tblStyle w:val="29"/>
        <w:tblW w:w="852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8"/>
        <w:gridCol w:w="4293"/>
        <w:gridCol w:w="3021"/>
        <w:gridCol w:w="826"/>
      </w:tblGrid>
      <w:tr w14:paraId="36AE52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1" w:type="dxa"/>
            <w:gridSpan w:val="2"/>
            <w:noWrap w:val="0"/>
            <w:vAlign w:val="center"/>
          </w:tcPr>
          <w:p w14:paraId="3ED70774">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color w:val="auto"/>
                <w:sz w:val="18"/>
                <w:szCs w:val="18"/>
              </w:rPr>
            </w:pPr>
            <w:r>
              <w:rPr>
                <w:rFonts w:hint="default" w:ascii="Times New Roman" w:hAnsi="Times New Roman" w:cs="Times New Roman"/>
                <w:color w:val="auto"/>
                <w:sz w:val="18"/>
                <w:szCs w:val="18"/>
              </w:rPr>
              <w:t>负面清单指南实施细则</w:t>
            </w:r>
          </w:p>
        </w:tc>
        <w:tc>
          <w:tcPr>
            <w:tcW w:w="3021" w:type="dxa"/>
            <w:noWrap w:val="0"/>
            <w:vAlign w:val="center"/>
          </w:tcPr>
          <w:p w14:paraId="1F57F356">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本项目情况</w:t>
            </w:r>
          </w:p>
        </w:tc>
        <w:tc>
          <w:tcPr>
            <w:tcW w:w="826" w:type="dxa"/>
            <w:noWrap w:val="0"/>
            <w:vAlign w:val="center"/>
          </w:tcPr>
          <w:p w14:paraId="2A462A77">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符合性</w:t>
            </w:r>
          </w:p>
        </w:tc>
      </w:tr>
      <w:tr w14:paraId="754E6C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restart"/>
            <w:noWrap w:val="0"/>
            <w:vAlign w:val="center"/>
          </w:tcPr>
          <w:p w14:paraId="4A8A65F2">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各类功能区</w:t>
            </w:r>
          </w:p>
        </w:tc>
        <w:tc>
          <w:tcPr>
            <w:tcW w:w="4293" w:type="dxa"/>
            <w:noWrap w:val="0"/>
            <w:vAlign w:val="center"/>
          </w:tcPr>
          <w:p w14:paraId="279D7CBC">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kern w:val="0"/>
                <w:sz w:val="18"/>
                <w:szCs w:val="18"/>
              </w:rPr>
            </w:pPr>
            <w:r>
              <w:rPr>
                <w:rFonts w:hint="default" w:ascii="Times New Roman" w:hAnsi="Times New Roman" w:eastAsia="宋体" w:cs="Times New Roman"/>
                <w:color w:val="auto"/>
                <w:sz w:val="18"/>
                <w:szCs w:val="18"/>
              </w:rPr>
              <w:t>1）禁止一切不符合主体功能定位的投资建设项目，严禁任意改变用途，因国家重大战略资源勘查需要，在不影响主体功能定位的前提下，经依法批准后予以安排勘查项目</w:t>
            </w:r>
          </w:p>
        </w:tc>
        <w:tc>
          <w:tcPr>
            <w:tcW w:w="3021" w:type="dxa"/>
            <w:noWrap w:val="0"/>
            <w:vAlign w:val="center"/>
          </w:tcPr>
          <w:p w14:paraId="0E52A5A4">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项目建设符合云南省</w:t>
            </w:r>
            <w:r>
              <w:rPr>
                <w:rFonts w:hint="default" w:ascii="Times New Roman" w:hAnsi="Times New Roman" w:cs="Times New Roman"/>
                <w:color w:val="auto"/>
                <w:kern w:val="0"/>
                <w:sz w:val="18"/>
                <w:szCs w:val="18"/>
              </w:rPr>
              <w:t>主体功能定位</w:t>
            </w:r>
            <w:r>
              <w:rPr>
                <w:rFonts w:hint="default" w:ascii="Times New Roman" w:hAnsi="Times New Roman" w:cs="Times New Roman"/>
                <w:color w:val="auto"/>
                <w:kern w:val="0"/>
                <w:sz w:val="18"/>
                <w:szCs w:val="18"/>
                <w:lang w:eastAsia="zh-CN"/>
              </w:rPr>
              <w:t>。</w:t>
            </w:r>
          </w:p>
        </w:tc>
        <w:tc>
          <w:tcPr>
            <w:tcW w:w="826" w:type="dxa"/>
            <w:noWrap w:val="0"/>
            <w:vAlign w:val="center"/>
          </w:tcPr>
          <w:p w14:paraId="27C7CC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6BAEA5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continue"/>
            <w:noWrap w:val="0"/>
            <w:vAlign w:val="center"/>
          </w:tcPr>
          <w:p w14:paraId="543E3397">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p>
        </w:tc>
        <w:tc>
          <w:tcPr>
            <w:tcW w:w="4293" w:type="dxa"/>
            <w:noWrap w:val="0"/>
            <w:vAlign w:val="center"/>
          </w:tcPr>
          <w:p w14:paraId="229CBE27">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2）禁止在《全国重要江河湖泊水功能区划》划定的河段保护区、保留区内投资建设不利于水资源及自然生态保护的项目。</w:t>
            </w:r>
          </w:p>
        </w:tc>
        <w:tc>
          <w:tcPr>
            <w:tcW w:w="3021" w:type="dxa"/>
            <w:noWrap w:val="0"/>
            <w:vAlign w:val="center"/>
          </w:tcPr>
          <w:p w14:paraId="694051F3">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lang w:val="en-US" w:eastAsia="zh-CN" w:bidi="ar-SA"/>
              </w:rPr>
              <w:t>项目位于新平县城120°方向、直距29千米，地处新平县扬武镇境内</w:t>
            </w:r>
            <w:r>
              <w:rPr>
                <w:rFonts w:hint="default" w:ascii="Times New Roman" w:hAnsi="Times New Roman" w:cs="Times New Roman"/>
                <w:color w:val="auto"/>
                <w:sz w:val="18"/>
                <w:szCs w:val="18"/>
                <w:lang w:val="en-US" w:eastAsia="zh-CN"/>
              </w:rPr>
              <w:t>，不在</w:t>
            </w:r>
            <w:r>
              <w:rPr>
                <w:rFonts w:hint="default" w:ascii="Times New Roman" w:hAnsi="Times New Roman" w:cs="Times New Roman"/>
                <w:color w:val="auto"/>
                <w:kern w:val="0"/>
                <w:sz w:val="18"/>
                <w:szCs w:val="18"/>
              </w:rPr>
              <w:t>《全国重要江河湖泊水功能区划》划定的河段保护区、保留区</w:t>
            </w:r>
            <w:r>
              <w:rPr>
                <w:rFonts w:hint="default" w:ascii="Times New Roman" w:hAnsi="Times New Roman" w:cs="Times New Roman"/>
                <w:color w:val="auto"/>
                <w:kern w:val="0"/>
                <w:sz w:val="18"/>
                <w:szCs w:val="18"/>
                <w:lang w:val="en-US" w:eastAsia="zh-CN"/>
              </w:rPr>
              <w:t>范围内。</w:t>
            </w:r>
          </w:p>
        </w:tc>
        <w:tc>
          <w:tcPr>
            <w:tcW w:w="826" w:type="dxa"/>
            <w:noWrap w:val="0"/>
            <w:vAlign w:val="center"/>
          </w:tcPr>
          <w:p w14:paraId="1383D55F">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200E8A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continue"/>
            <w:noWrap w:val="0"/>
            <w:vAlign w:val="center"/>
          </w:tcPr>
          <w:p w14:paraId="64D5BF71">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p>
        </w:tc>
        <w:tc>
          <w:tcPr>
            <w:tcW w:w="4293" w:type="dxa"/>
            <w:noWrap w:val="0"/>
            <w:vAlign w:val="center"/>
          </w:tcPr>
          <w:p w14:paraId="4BD39CAF">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tc>
        <w:tc>
          <w:tcPr>
            <w:tcW w:w="3021" w:type="dxa"/>
            <w:noWrap w:val="0"/>
            <w:vAlign w:val="center"/>
          </w:tcPr>
          <w:p w14:paraId="72B4C26A">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vertAlign w:val="baseline"/>
                <w:lang w:val="en-US" w:eastAsia="zh-CN"/>
              </w:rPr>
              <w:t>根据新平县自然资源局出具的三区三线查询情况说明，项目不涉及占用生态红线。</w:t>
            </w:r>
          </w:p>
        </w:tc>
        <w:tc>
          <w:tcPr>
            <w:tcW w:w="826" w:type="dxa"/>
            <w:noWrap w:val="0"/>
            <w:vAlign w:val="center"/>
          </w:tcPr>
          <w:p w14:paraId="02050E96">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0801BA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continue"/>
            <w:noWrap w:val="0"/>
            <w:vAlign w:val="center"/>
          </w:tcPr>
          <w:p w14:paraId="1FA17D63">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p>
        </w:tc>
        <w:tc>
          <w:tcPr>
            <w:tcW w:w="4293" w:type="dxa"/>
            <w:noWrap w:val="0"/>
            <w:vAlign w:val="center"/>
          </w:tcPr>
          <w:p w14:paraId="26FA9D43">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数量不减、质量不降、布局稳定</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的要求进行补划和法定程序修改相应的土地利用总体规划</w:t>
            </w:r>
          </w:p>
        </w:tc>
        <w:tc>
          <w:tcPr>
            <w:tcW w:w="3021" w:type="dxa"/>
            <w:vMerge w:val="restart"/>
            <w:noWrap w:val="0"/>
            <w:vAlign w:val="center"/>
          </w:tcPr>
          <w:p w14:paraId="56F03733">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sz w:val="18"/>
                <w:szCs w:val="18"/>
                <w:lang w:val="en-US"/>
              </w:rPr>
            </w:pPr>
            <w:r>
              <w:rPr>
                <w:rFonts w:hint="default" w:ascii="Times New Roman" w:hAnsi="Times New Roman" w:cs="Times New Roman"/>
                <w:color w:val="auto"/>
                <w:sz w:val="18"/>
                <w:szCs w:val="18"/>
                <w:highlight w:val="none"/>
                <w:vertAlign w:val="baseline"/>
                <w:lang w:val="en-US" w:eastAsia="zh-CN"/>
              </w:rPr>
              <w:t>根据新平县自然资源局出具的三区三线查询情况说明，</w:t>
            </w:r>
            <w:r>
              <w:rPr>
                <w:rFonts w:hint="default" w:ascii="Times New Roman" w:hAnsi="Times New Roman" w:eastAsia="宋体" w:cs="Times New Roman"/>
                <w:color w:val="auto"/>
                <w:sz w:val="18"/>
                <w:szCs w:val="18"/>
                <w:highlight w:val="none"/>
                <w:vertAlign w:val="baseline"/>
                <w:lang w:val="en-US" w:eastAsia="zh-CN"/>
              </w:rPr>
              <w:t>项目不在生态红线范围内</w:t>
            </w:r>
            <w:r>
              <w:rPr>
                <w:rFonts w:hint="default" w:ascii="Times New Roman" w:hAnsi="Times New Roman" w:cs="Times New Roman"/>
                <w:color w:val="auto"/>
                <w:sz w:val="18"/>
                <w:szCs w:val="18"/>
                <w:highlight w:val="none"/>
                <w:vertAlign w:val="baseline"/>
                <w:lang w:val="en-US" w:eastAsia="zh-CN"/>
              </w:rPr>
              <w:t>，</w:t>
            </w:r>
            <w:r>
              <w:rPr>
                <w:rFonts w:hint="default" w:ascii="Times New Roman" w:hAnsi="Times New Roman" w:cs="Times New Roman"/>
                <w:color w:val="auto"/>
                <w:sz w:val="18"/>
                <w:szCs w:val="18"/>
                <w:lang w:val="en-US" w:eastAsia="zh-CN"/>
              </w:rPr>
              <w:t>项目占地范围不涉及永久基本农田。</w:t>
            </w:r>
          </w:p>
        </w:tc>
        <w:tc>
          <w:tcPr>
            <w:tcW w:w="826" w:type="dxa"/>
            <w:noWrap w:val="0"/>
            <w:vAlign w:val="center"/>
          </w:tcPr>
          <w:p w14:paraId="7D8A91B3">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1E3E1A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continue"/>
            <w:noWrap w:val="0"/>
            <w:vAlign w:val="center"/>
          </w:tcPr>
          <w:p w14:paraId="51D72C87">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p>
        </w:tc>
        <w:tc>
          <w:tcPr>
            <w:tcW w:w="4293" w:type="dxa"/>
            <w:noWrap w:val="0"/>
            <w:vAlign w:val="center"/>
          </w:tcPr>
          <w:p w14:paraId="7DBDD0F6">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5）禁止擅自占用和调整已经划定的永久基本农田特别是城市周边永久基本农田</w:t>
            </w:r>
          </w:p>
        </w:tc>
        <w:tc>
          <w:tcPr>
            <w:tcW w:w="3021" w:type="dxa"/>
            <w:vMerge w:val="continue"/>
            <w:noWrap w:val="0"/>
            <w:vAlign w:val="center"/>
          </w:tcPr>
          <w:p w14:paraId="541B2E20">
            <w:pPr>
              <w:keepNext w:val="0"/>
              <w:keepLines w:val="0"/>
              <w:pageBreakBefore w:val="0"/>
              <w:widowControl w:val="0"/>
              <w:kinsoku/>
              <w:wordWrap/>
              <w:overflowPunct/>
              <w:topLinePunct w:val="0"/>
              <w:bidi w:val="0"/>
              <w:adjustRightInd/>
              <w:snapToGrid/>
              <w:jc w:val="left"/>
              <w:textAlignment w:val="auto"/>
              <w:rPr>
                <w:rFonts w:hint="default" w:ascii="Times New Roman" w:hAnsi="Times New Roman" w:cs="Times New Roman"/>
                <w:color w:val="auto"/>
                <w:sz w:val="18"/>
                <w:szCs w:val="18"/>
              </w:rPr>
            </w:pPr>
          </w:p>
        </w:tc>
        <w:tc>
          <w:tcPr>
            <w:tcW w:w="826" w:type="dxa"/>
            <w:noWrap w:val="0"/>
            <w:vAlign w:val="center"/>
          </w:tcPr>
          <w:p w14:paraId="09BCB579">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29FBE2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continue"/>
            <w:noWrap w:val="0"/>
            <w:vAlign w:val="center"/>
          </w:tcPr>
          <w:p w14:paraId="1693B532">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p>
        </w:tc>
        <w:tc>
          <w:tcPr>
            <w:tcW w:w="4293" w:type="dxa"/>
            <w:noWrap w:val="0"/>
            <w:vAlign w:val="center"/>
          </w:tcPr>
          <w:p w14:paraId="11CC5768">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6）禁止在金沙江、长江一级支流建设除党中央、国务院、国家投资主管部门、省级有关部门批复同意以外的过江基础设施项目</w:t>
            </w:r>
          </w:p>
        </w:tc>
        <w:tc>
          <w:tcPr>
            <w:tcW w:w="3021" w:type="dxa"/>
            <w:noWrap w:val="0"/>
            <w:vAlign w:val="center"/>
          </w:tcPr>
          <w:p w14:paraId="28C23DD6">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项目不在一级支流的流域内</w:t>
            </w:r>
            <w:r>
              <w:rPr>
                <w:rFonts w:hint="default" w:ascii="Times New Roman" w:hAnsi="Times New Roman" w:cs="Times New Roman"/>
                <w:color w:val="auto"/>
                <w:sz w:val="18"/>
                <w:szCs w:val="18"/>
                <w:lang w:eastAsia="zh-CN"/>
              </w:rPr>
              <w:t>。</w:t>
            </w:r>
          </w:p>
        </w:tc>
        <w:tc>
          <w:tcPr>
            <w:tcW w:w="826" w:type="dxa"/>
            <w:noWrap w:val="0"/>
            <w:vAlign w:val="center"/>
          </w:tcPr>
          <w:p w14:paraId="3511B438">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4D6B5B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restart"/>
            <w:noWrap w:val="0"/>
            <w:vAlign w:val="center"/>
          </w:tcPr>
          <w:p w14:paraId="13310D72">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各类保护区</w:t>
            </w:r>
          </w:p>
        </w:tc>
        <w:tc>
          <w:tcPr>
            <w:tcW w:w="4293" w:type="dxa"/>
            <w:noWrap w:val="0"/>
            <w:vAlign w:val="center"/>
          </w:tcPr>
          <w:p w14:paraId="5C9DFC47">
            <w:pPr>
              <w:keepNext w:val="0"/>
              <w:keepLines w:val="0"/>
              <w:pageBreakBefore w:val="0"/>
              <w:widowControl w:val="0"/>
              <w:kinsoku/>
              <w:wordWrap/>
              <w:overflowPunct/>
              <w:topLinePunct w:val="0"/>
              <w:autoSpaceDE w:val="0"/>
              <w:autoSpaceDN w:val="0"/>
              <w:bidi w:val="0"/>
              <w:adjustRightInd/>
              <w:snapToGrid/>
              <w:ind w:firstLine="360" w:firstLineChars="200"/>
              <w:jc w:val="left"/>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1）</w:t>
            </w:r>
            <w:r>
              <w:rPr>
                <w:rFonts w:hint="default" w:ascii="Times New Roman" w:hAnsi="Times New Roman" w:cs="Times New Roman"/>
                <w:color w:val="auto"/>
                <w:sz w:val="18"/>
                <w:szCs w:val="18"/>
              </w:rPr>
              <w:t>禁止在自然保护区的实验区内建设污染环境、破坏资源或者景观的生产设施和污染物排放超过国家和地方规定的污染物排放标准的其他项目。禁止在自然保护区内进行砍伐、放牧、狩猎、捕捞、采药、开垦、烧荒、开矿、采石、挖沙等活动，法律、行政法规另有规定的除外</w:t>
            </w:r>
            <w:r>
              <w:rPr>
                <w:rFonts w:hint="default" w:ascii="Times New Roman" w:hAnsi="Times New Roman" w:cs="Times New Roman"/>
                <w:color w:val="auto"/>
                <w:kern w:val="0"/>
                <w:sz w:val="18"/>
                <w:szCs w:val="18"/>
                <w:lang w:eastAsia="zh-CN"/>
              </w:rPr>
              <w:t>。</w:t>
            </w:r>
          </w:p>
        </w:tc>
        <w:tc>
          <w:tcPr>
            <w:tcW w:w="3021" w:type="dxa"/>
            <w:noWrap w:val="0"/>
            <w:vAlign w:val="center"/>
          </w:tcPr>
          <w:p w14:paraId="45EB1D0C">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项目占地及评价范围内不涉及自然保护区</w:t>
            </w:r>
            <w:r>
              <w:rPr>
                <w:rFonts w:hint="default" w:ascii="Times New Roman" w:hAnsi="Times New Roman" w:cs="Times New Roman"/>
                <w:color w:val="auto"/>
                <w:kern w:val="0"/>
                <w:sz w:val="18"/>
                <w:szCs w:val="18"/>
                <w:lang w:eastAsia="zh-CN"/>
              </w:rPr>
              <w:t>。</w:t>
            </w:r>
          </w:p>
        </w:tc>
        <w:tc>
          <w:tcPr>
            <w:tcW w:w="826" w:type="dxa"/>
            <w:noWrap w:val="0"/>
            <w:vAlign w:val="center"/>
          </w:tcPr>
          <w:p w14:paraId="6C9F604E">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符合</w:t>
            </w:r>
          </w:p>
        </w:tc>
      </w:tr>
      <w:tr w14:paraId="4B95D0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continue"/>
            <w:noWrap w:val="0"/>
            <w:vAlign w:val="center"/>
          </w:tcPr>
          <w:p w14:paraId="5FC6702C">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kern w:val="0"/>
                <w:sz w:val="18"/>
                <w:szCs w:val="18"/>
              </w:rPr>
            </w:pPr>
          </w:p>
        </w:tc>
        <w:tc>
          <w:tcPr>
            <w:tcW w:w="4293" w:type="dxa"/>
            <w:noWrap w:val="0"/>
            <w:vAlign w:val="center"/>
          </w:tcPr>
          <w:p w14:paraId="5CA5C5EE">
            <w:pPr>
              <w:keepNext w:val="0"/>
              <w:keepLines w:val="0"/>
              <w:pageBreakBefore w:val="0"/>
              <w:widowControl w:val="0"/>
              <w:kinsoku/>
              <w:wordWrap/>
              <w:overflowPunct/>
              <w:topLinePunct w:val="0"/>
              <w:autoSpaceDE w:val="0"/>
              <w:autoSpaceDN w:val="0"/>
              <w:bidi w:val="0"/>
              <w:adjustRightInd/>
              <w:snapToGrid/>
              <w:ind w:firstLine="360" w:firstLineChars="200"/>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2）禁止风景名胜区规划未经批准前或者违反经批准的风景名胜区规划进行各类建设活动。</w:t>
            </w:r>
          </w:p>
          <w:p w14:paraId="470BE0B1">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cs="Times New Roman"/>
                <w:color w:val="auto"/>
                <w:kern w:val="0"/>
                <w:sz w:val="18"/>
                <w:szCs w:val="18"/>
              </w:rPr>
            </w:pPr>
            <w:r>
              <w:rPr>
                <w:rFonts w:hint="default" w:ascii="Times New Roman" w:hAnsi="Times New Roman" w:eastAsia="宋体" w:cs="Times New Roman"/>
                <w:color w:val="auto"/>
                <w:kern w:val="0"/>
                <w:sz w:val="18"/>
                <w:szCs w:val="18"/>
              </w:rPr>
              <w:t>禁止在风景名胜区内进行开山、采石、开矿、开荒、修坟立碑等破坏景观、植被和地形地貌的活动</w:t>
            </w:r>
          </w:p>
        </w:tc>
        <w:tc>
          <w:tcPr>
            <w:tcW w:w="3021" w:type="dxa"/>
            <w:noWrap w:val="0"/>
            <w:vAlign w:val="center"/>
          </w:tcPr>
          <w:p w14:paraId="34011180">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项目占地及评价范围内不涉及风景名胜区</w:t>
            </w:r>
            <w:r>
              <w:rPr>
                <w:rFonts w:hint="default" w:ascii="Times New Roman" w:hAnsi="Times New Roman" w:cs="Times New Roman"/>
                <w:color w:val="auto"/>
                <w:kern w:val="0"/>
                <w:sz w:val="18"/>
                <w:szCs w:val="18"/>
                <w:lang w:eastAsia="zh-CN"/>
              </w:rPr>
              <w:t>。</w:t>
            </w:r>
          </w:p>
        </w:tc>
        <w:tc>
          <w:tcPr>
            <w:tcW w:w="826" w:type="dxa"/>
            <w:noWrap w:val="0"/>
            <w:vAlign w:val="center"/>
          </w:tcPr>
          <w:p w14:paraId="766C7DB5">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符合</w:t>
            </w:r>
          </w:p>
        </w:tc>
      </w:tr>
      <w:tr w14:paraId="5E7F96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continue"/>
            <w:noWrap w:val="0"/>
            <w:vAlign w:val="center"/>
          </w:tcPr>
          <w:p w14:paraId="684DE6D5">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kern w:val="0"/>
                <w:sz w:val="18"/>
                <w:szCs w:val="18"/>
              </w:rPr>
            </w:pPr>
          </w:p>
        </w:tc>
        <w:tc>
          <w:tcPr>
            <w:tcW w:w="4293" w:type="dxa"/>
            <w:noWrap w:val="0"/>
            <w:vAlign w:val="center"/>
          </w:tcPr>
          <w:p w14:paraId="7A82583B">
            <w:pPr>
              <w:keepNext w:val="0"/>
              <w:keepLines w:val="0"/>
              <w:pageBreakBefore w:val="0"/>
              <w:widowControl w:val="0"/>
              <w:kinsoku/>
              <w:wordWrap/>
              <w:overflowPunct/>
              <w:topLinePunct w:val="0"/>
              <w:autoSpaceDE w:val="0"/>
              <w:autoSpaceDN w:val="0"/>
              <w:bidi w:val="0"/>
              <w:adjustRightInd/>
              <w:snapToGrid/>
              <w:ind w:firstLine="360" w:firstLineChars="200"/>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3）禁止在饮用水水源一级保护区的岸线和河段范围内新建、改建</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rPr>
              <w:t>扩建与供水设施和保护水源无关的项目。</w:t>
            </w:r>
          </w:p>
        </w:tc>
        <w:tc>
          <w:tcPr>
            <w:tcW w:w="3021" w:type="dxa"/>
            <w:noWrap w:val="0"/>
            <w:vAlign w:val="center"/>
          </w:tcPr>
          <w:p w14:paraId="602145B1">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rPr>
              <w:t>项目</w:t>
            </w:r>
            <w:r>
              <w:rPr>
                <w:rFonts w:hint="default" w:ascii="Times New Roman" w:hAnsi="Times New Roman" w:eastAsia="宋体" w:cs="Times New Roman"/>
                <w:color w:val="auto"/>
                <w:kern w:val="0"/>
                <w:sz w:val="18"/>
                <w:szCs w:val="18"/>
                <w:lang w:val="en-US" w:eastAsia="zh-CN"/>
              </w:rPr>
              <w:t>区项目</w:t>
            </w:r>
            <w:r>
              <w:rPr>
                <w:rFonts w:hint="default" w:ascii="Times New Roman" w:hAnsi="Times New Roman" w:eastAsia="宋体" w:cs="Times New Roman"/>
                <w:color w:val="auto"/>
                <w:kern w:val="0"/>
                <w:sz w:val="18"/>
                <w:szCs w:val="18"/>
              </w:rPr>
              <w:t>所在区域不涉及饮用水水源</w:t>
            </w:r>
            <w:r>
              <w:rPr>
                <w:rFonts w:hint="default" w:ascii="Times New Roman" w:hAnsi="Times New Roman" w:eastAsia="宋体" w:cs="Times New Roman"/>
                <w:color w:val="auto"/>
                <w:kern w:val="0"/>
                <w:sz w:val="18"/>
                <w:szCs w:val="18"/>
                <w:lang w:eastAsia="zh-CN"/>
              </w:rPr>
              <w:t>。</w:t>
            </w:r>
          </w:p>
        </w:tc>
        <w:tc>
          <w:tcPr>
            <w:tcW w:w="826" w:type="dxa"/>
            <w:noWrap w:val="0"/>
            <w:vAlign w:val="center"/>
          </w:tcPr>
          <w:p w14:paraId="18830517">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00A314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continue"/>
            <w:noWrap w:val="0"/>
            <w:vAlign w:val="center"/>
          </w:tcPr>
          <w:p w14:paraId="0EC73A00">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kern w:val="0"/>
                <w:sz w:val="18"/>
                <w:szCs w:val="18"/>
              </w:rPr>
            </w:pPr>
          </w:p>
        </w:tc>
        <w:tc>
          <w:tcPr>
            <w:tcW w:w="4293" w:type="dxa"/>
            <w:noWrap w:val="0"/>
            <w:vAlign w:val="center"/>
          </w:tcPr>
          <w:p w14:paraId="0984EB84">
            <w:pPr>
              <w:keepNext w:val="0"/>
              <w:keepLines w:val="0"/>
              <w:pageBreakBefore w:val="0"/>
              <w:widowControl w:val="0"/>
              <w:kinsoku/>
              <w:wordWrap/>
              <w:overflowPunct/>
              <w:topLinePunct w:val="0"/>
              <w:autoSpaceDE w:val="0"/>
              <w:autoSpaceDN w:val="0"/>
              <w:bidi w:val="0"/>
              <w:adjustRightInd/>
              <w:snapToGrid/>
              <w:ind w:firstLine="360" w:firstLineChars="200"/>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4）禁止在水产种质资源保护区的岸线和河段范围内新建排污口。禁止开</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rPr>
              <w:t>围</w:t>
            </w:r>
            <w:r>
              <w:rPr>
                <w:rFonts w:hint="default" w:ascii="Times New Roman" w:hAnsi="Times New Roman" w:cs="Times New Roman"/>
                <w:color w:val="auto"/>
                <w:kern w:val="0"/>
                <w:sz w:val="18"/>
                <w:szCs w:val="18"/>
                <w:lang w:eastAsia="zh-CN"/>
              </w:rPr>
              <w:t>）垦</w:t>
            </w:r>
            <w:r>
              <w:rPr>
                <w:rFonts w:hint="default" w:ascii="Times New Roman" w:hAnsi="Times New Roman" w:cs="Times New Roman"/>
                <w:color w:val="auto"/>
                <w:kern w:val="0"/>
                <w:sz w:val="18"/>
                <w:szCs w:val="18"/>
              </w:rPr>
              <w:t>填埋或者排干湿地</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rPr>
              <w:t>禁止截断湿地水源、</w:t>
            </w:r>
            <w:r>
              <w:rPr>
                <w:rFonts w:hint="default" w:ascii="Times New Roman" w:hAnsi="Times New Roman" w:cs="Times New Roman"/>
                <w:color w:val="auto"/>
                <w:kern w:val="0"/>
                <w:sz w:val="18"/>
                <w:szCs w:val="18"/>
                <w:lang w:eastAsia="zh-CN"/>
              </w:rPr>
              <w:t>挖沙</w:t>
            </w:r>
            <w:r>
              <w:rPr>
                <w:rFonts w:hint="default" w:ascii="Times New Roman" w:hAnsi="Times New Roman" w:cs="Times New Roman"/>
                <w:color w:val="auto"/>
                <w:kern w:val="0"/>
                <w:sz w:val="18"/>
                <w:szCs w:val="18"/>
              </w:rPr>
              <w:t>采矿、引入外来物种</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rPr>
              <w:t>禁止擅自放牧、捕捞、取土、取水、排污、放生</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rPr>
              <w:t>禁止其他破坏湿地及其生态功能的活动。</w:t>
            </w:r>
          </w:p>
        </w:tc>
        <w:tc>
          <w:tcPr>
            <w:tcW w:w="3021" w:type="dxa"/>
            <w:noWrap w:val="0"/>
            <w:vAlign w:val="center"/>
          </w:tcPr>
          <w:p w14:paraId="5DDD3829">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项目区周边无河流和水产种质资源保护区，也无湿地、不进行破坏湿地及其生态功能的活动。</w:t>
            </w:r>
          </w:p>
        </w:tc>
        <w:tc>
          <w:tcPr>
            <w:tcW w:w="826" w:type="dxa"/>
            <w:noWrap w:val="0"/>
            <w:vAlign w:val="center"/>
          </w:tcPr>
          <w:p w14:paraId="66172730">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4D8B3B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restart"/>
            <w:noWrap w:val="0"/>
            <w:vAlign w:val="center"/>
          </w:tcPr>
          <w:p w14:paraId="1879674B">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kern w:val="0"/>
                <w:sz w:val="18"/>
                <w:szCs w:val="18"/>
              </w:rPr>
              <w:t>工业布局</w:t>
            </w:r>
          </w:p>
        </w:tc>
        <w:tc>
          <w:tcPr>
            <w:tcW w:w="4293" w:type="dxa"/>
            <w:noWrap w:val="0"/>
            <w:vAlign w:val="center"/>
          </w:tcPr>
          <w:p w14:paraId="69CAB405">
            <w:pPr>
              <w:keepNext w:val="0"/>
              <w:keepLines w:val="0"/>
              <w:pageBreakBefore w:val="0"/>
              <w:widowControl w:val="0"/>
              <w:kinsoku/>
              <w:wordWrap/>
              <w:overflowPunct/>
              <w:topLinePunct w:val="0"/>
              <w:autoSpaceDE w:val="0"/>
              <w:autoSpaceDN w:val="0"/>
              <w:bidi w:val="0"/>
              <w:adjustRightInd/>
              <w:snapToGrid/>
              <w:ind w:firstLine="360" w:firstLineChars="200"/>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1）禁止在金沙江、长江一级支流岸线边界1公里范围内新建、扩建化工园区和化工项目。化工园区设立及园区产业发展规划由省级业务主管部门牵头组织专家论证后审定。</w:t>
            </w:r>
          </w:p>
        </w:tc>
        <w:tc>
          <w:tcPr>
            <w:tcW w:w="3021" w:type="dxa"/>
            <w:noWrap w:val="0"/>
            <w:vAlign w:val="center"/>
          </w:tcPr>
          <w:p w14:paraId="0536EBC9">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lang w:val="en-US" w:eastAsia="zh-CN"/>
              </w:rPr>
              <w:t>项目不在</w:t>
            </w:r>
            <w:r>
              <w:rPr>
                <w:rFonts w:hint="default" w:ascii="Times New Roman" w:hAnsi="Times New Roman" w:cs="Times New Roman"/>
                <w:color w:val="auto"/>
                <w:kern w:val="0"/>
                <w:sz w:val="18"/>
                <w:szCs w:val="18"/>
              </w:rPr>
              <w:t>金沙江、长江一级支流岸线边界1公里范围内</w:t>
            </w:r>
            <w:r>
              <w:rPr>
                <w:rFonts w:hint="default" w:ascii="Times New Roman" w:hAnsi="Times New Roman" w:cs="Times New Roman"/>
                <w:color w:val="auto"/>
                <w:kern w:val="0"/>
                <w:sz w:val="18"/>
                <w:szCs w:val="18"/>
                <w:lang w:eastAsia="zh-CN"/>
              </w:rPr>
              <w:t>。</w:t>
            </w:r>
          </w:p>
        </w:tc>
        <w:tc>
          <w:tcPr>
            <w:tcW w:w="826" w:type="dxa"/>
            <w:noWrap w:val="0"/>
            <w:vAlign w:val="center"/>
          </w:tcPr>
          <w:p w14:paraId="5F1A1853">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符合</w:t>
            </w:r>
            <w:r>
              <w:rPr>
                <w:rFonts w:hint="default" w:ascii="Times New Roman" w:hAnsi="Times New Roman" w:cs="Times New Roman"/>
                <w:color w:val="auto"/>
                <w:sz w:val="18"/>
                <w:szCs w:val="18"/>
              </w:rPr>
              <w:t>。</w:t>
            </w:r>
          </w:p>
        </w:tc>
      </w:tr>
      <w:tr w14:paraId="4455E6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continue"/>
            <w:noWrap w:val="0"/>
            <w:vAlign w:val="center"/>
          </w:tcPr>
          <w:p w14:paraId="5E258417">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kern w:val="0"/>
                <w:sz w:val="18"/>
                <w:szCs w:val="18"/>
              </w:rPr>
            </w:pPr>
          </w:p>
        </w:tc>
        <w:tc>
          <w:tcPr>
            <w:tcW w:w="4293" w:type="dxa"/>
            <w:noWrap w:val="0"/>
            <w:vAlign w:val="center"/>
          </w:tcPr>
          <w:p w14:paraId="6D791C80">
            <w:pPr>
              <w:keepNext w:val="0"/>
              <w:keepLines w:val="0"/>
              <w:pageBreakBefore w:val="0"/>
              <w:widowControl w:val="0"/>
              <w:kinsoku/>
              <w:wordWrap/>
              <w:overflowPunct/>
              <w:topLinePunct w:val="0"/>
              <w:autoSpaceDE w:val="0"/>
              <w:autoSpaceDN w:val="0"/>
              <w:bidi w:val="0"/>
              <w:adjustRightInd/>
              <w:snapToGrid/>
              <w:ind w:firstLine="360" w:firstLineChars="200"/>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2）禁止新建不符合非煤矿山转型升级有关准入标准的非煤矿山。禁止在金沙江岸线3公里、长江一级支流岸线1公里范围内新建、改建、扩建尾矿库。</w:t>
            </w:r>
          </w:p>
        </w:tc>
        <w:tc>
          <w:tcPr>
            <w:tcW w:w="3021" w:type="dxa"/>
            <w:noWrap w:val="0"/>
            <w:vAlign w:val="center"/>
          </w:tcPr>
          <w:p w14:paraId="61606B42">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本项目为选矿项目。项目不在</w:t>
            </w:r>
            <w:r>
              <w:rPr>
                <w:rFonts w:hint="default" w:ascii="Times New Roman" w:hAnsi="Times New Roman" w:cs="Times New Roman"/>
                <w:color w:val="auto"/>
                <w:kern w:val="0"/>
                <w:sz w:val="18"/>
                <w:szCs w:val="18"/>
              </w:rPr>
              <w:t>金沙江岸线3公里、长江一级支流岸线1公里范围</w:t>
            </w:r>
            <w:r>
              <w:rPr>
                <w:rFonts w:hint="default" w:ascii="Times New Roman" w:hAnsi="Times New Roman" w:cs="Times New Roman"/>
                <w:color w:val="auto"/>
                <w:kern w:val="0"/>
                <w:sz w:val="18"/>
                <w:szCs w:val="18"/>
                <w:lang w:eastAsia="zh-CN"/>
              </w:rPr>
              <w:t>。</w:t>
            </w:r>
          </w:p>
        </w:tc>
        <w:tc>
          <w:tcPr>
            <w:tcW w:w="826" w:type="dxa"/>
            <w:noWrap w:val="0"/>
            <w:vAlign w:val="center"/>
          </w:tcPr>
          <w:p w14:paraId="368BF9B4">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2856AA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continue"/>
            <w:noWrap w:val="0"/>
            <w:vAlign w:val="center"/>
          </w:tcPr>
          <w:p w14:paraId="7D34E14B">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kern w:val="0"/>
                <w:sz w:val="18"/>
                <w:szCs w:val="18"/>
              </w:rPr>
            </w:pPr>
          </w:p>
        </w:tc>
        <w:tc>
          <w:tcPr>
            <w:tcW w:w="4293" w:type="dxa"/>
            <w:noWrap w:val="0"/>
            <w:vAlign w:val="center"/>
          </w:tcPr>
          <w:p w14:paraId="708FFB92">
            <w:pPr>
              <w:keepNext w:val="0"/>
              <w:keepLines w:val="0"/>
              <w:pageBreakBefore w:val="0"/>
              <w:widowControl w:val="0"/>
              <w:kinsoku/>
              <w:wordWrap/>
              <w:overflowPunct/>
              <w:topLinePunct w:val="0"/>
              <w:autoSpaceDE w:val="0"/>
              <w:autoSpaceDN w:val="0"/>
              <w:bidi w:val="0"/>
              <w:adjustRightInd/>
              <w:snapToGrid/>
              <w:ind w:firstLine="360" w:firstLineChars="200"/>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3）禁止在合规园区外新建、扩建钢铁、石化、化工、焦化、建材、有色等高污染项目。</w:t>
            </w:r>
          </w:p>
        </w:tc>
        <w:tc>
          <w:tcPr>
            <w:tcW w:w="3021" w:type="dxa"/>
            <w:noWrap w:val="0"/>
            <w:vAlign w:val="center"/>
          </w:tcPr>
          <w:p w14:paraId="18CCD8DA">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本项目不属于</w:t>
            </w:r>
            <w:r>
              <w:rPr>
                <w:rFonts w:hint="default" w:ascii="Times New Roman" w:hAnsi="Times New Roman" w:cs="Times New Roman"/>
                <w:color w:val="auto"/>
                <w:kern w:val="0"/>
                <w:sz w:val="18"/>
                <w:szCs w:val="18"/>
              </w:rPr>
              <w:t>钢铁、石化、化工、焦化、建材、有色等高污染项目</w:t>
            </w:r>
            <w:r>
              <w:rPr>
                <w:rFonts w:hint="default" w:ascii="Times New Roman" w:hAnsi="Times New Roman" w:cs="Times New Roman"/>
                <w:color w:val="auto"/>
                <w:kern w:val="0"/>
                <w:sz w:val="18"/>
                <w:szCs w:val="18"/>
                <w:lang w:eastAsia="zh-CN"/>
              </w:rPr>
              <w:t>。</w:t>
            </w:r>
          </w:p>
        </w:tc>
        <w:tc>
          <w:tcPr>
            <w:tcW w:w="826" w:type="dxa"/>
            <w:noWrap w:val="0"/>
            <w:vAlign w:val="center"/>
          </w:tcPr>
          <w:p w14:paraId="109E58FF">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3BDB93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continue"/>
            <w:noWrap w:val="0"/>
            <w:vAlign w:val="center"/>
          </w:tcPr>
          <w:p w14:paraId="106C7B15">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kern w:val="0"/>
                <w:sz w:val="18"/>
                <w:szCs w:val="18"/>
              </w:rPr>
            </w:pPr>
          </w:p>
        </w:tc>
        <w:tc>
          <w:tcPr>
            <w:tcW w:w="4293" w:type="dxa"/>
            <w:noWrap w:val="0"/>
            <w:vAlign w:val="center"/>
          </w:tcPr>
          <w:p w14:paraId="3576F51E">
            <w:pPr>
              <w:keepNext w:val="0"/>
              <w:keepLines w:val="0"/>
              <w:pageBreakBefore w:val="0"/>
              <w:widowControl w:val="0"/>
              <w:kinsoku/>
              <w:wordWrap/>
              <w:overflowPunct/>
              <w:topLinePunct w:val="0"/>
              <w:autoSpaceDE w:val="0"/>
              <w:autoSpaceDN w:val="0"/>
              <w:bidi w:val="0"/>
              <w:adjustRightInd/>
              <w:snapToGrid/>
              <w:ind w:firstLine="360" w:firstLineChars="200"/>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4）禁止新建、扩建不符合国家石化、现代煤化工等产业布局规划的项目。</w:t>
            </w:r>
          </w:p>
        </w:tc>
        <w:tc>
          <w:tcPr>
            <w:tcW w:w="3021" w:type="dxa"/>
            <w:noWrap w:val="0"/>
            <w:vAlign w:val="center"/>
          </w:tcPr>
          <w:p w14:paraId="7D4C7240">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sz w:val="18"/>
                <w:szCs w:val="18"/>
                <w:lang w:val="en-US" w:eastAsia="zh-CN"/>
              </w:rPr>
              <w:t>本项目不属于</w:t>
            </w:r>
            <w:r>
              <w:rPr>
                <w:rFonts w:hint="default" w:ascii="Times New Roman" w:hAnsi="Times New Roman" w:cs="Times New Roman"/>
                <w:color w:val="auto"/>
                <w:kern w:val="0"/>
                <w:sz w:val="18"/>
                <w:szCs w:val="18"/>
              </w:rPr>
              <w:t>石化、现代煤化工</w:t>
            </w:r>
            <w:r>
              <w:rPr>
                <w:rFonts w:hint="default" w:ascii="Times New Roman" w:hAnsi="Times New Roman" w:cs="Times New Roman"/>
                <w:color w:val="auto"/>
                <w:kern w:val="0"/>
                <w:sz w:val="18"/>
                <w:szCs w:val="18"/>
                <w:lang w:val="en-US" w:eastAsia="zh-CN"/>
              </w:rPr>
              <w:t>项目。</w:t>
            </w:r>
          </w:p>
        </w:tc>
        <w:tc>
          <w:tcPr>
            <w:tcW w:w="826" w:type="dxa"/>
            <w:noWrap w:val="0"/>
            <w:vAlign w:val="center"/>
          </w:tcPr>
          <w:p w14:paraId="215571EB">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1C981B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continue"/>
            <w:noWrap w:val="0"/>
            <w:vAlign w:val="center"/>
          </w:tcPr>
          <w:p w14:paraId="6020F6D1">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kern w:val="0"/>
                <w:sz w:val="18"/>
                <w:szCs w:val="18"/>
              </w:rPr>
            </w:pPr>
          </w:p>
        </w:tc>
        <w:tc>
          <w:tcPr>
            <w:tcW w:w="4293" w:type="dxa"/>
            <w:noWrap w:val="0"/>
            <w:vAlign w:val="center"/>
          </w:tcPr>
          <w:p w14:paraId="01313964">
            <w:pPr>
              <w:keepNext w:val="0"/>
              <w:keepLines w:val="0"/>
              <w:pageBreakBefore w:val="0"/>
              <w:widowControl w:val="0"/>
              <w:kinsoku/>
              <w:wordWrap/>
              <w:overflowPunct/>
              <w:topLinePunct w:val="0"/>
              <w:autoSpaceDE w:val="0"/>
              <w:autoSpaceDN w:val="0"/>
              <w:bidi w:val="0"/>
              <w:adjustRightInd/>
              <w:snapToGrid/>
              <w:ind w:firstLine="360" w:firstLineChars="200"/>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5）禁止新建、扩建法律法规和相关政策明令禁止的落后产能项目。</w:t>
            </w:r>
          </w:p>
        </w:tc>
        <w:tc>
          <w:tcPr>
            <w:tcW w:w="3021" w:type="dxa"/>
            <w:noWrap w:val="0"/>
            <w:vAlign w:val="center"/>
          </w:tcPr>
          <w:p w14:paraId="5FA995F9">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本项目不属于</w:t>
            </w:r>
            <w:r>
              <w:rPr>
                <w:rFonts w:hint="default" w:ascii="Times New Roman" w:hAnsi="Times New Roman" w:cs="Times New Roman"/>
                <w:color w:val="auto"/>
                <w:kern w:val="0"/>
                <w:sz w:val="18"/>
                <w:szCs w:val="18"/>
              </w:rPr>
              <w:t>法律法规和相关政策明令禁止的落后产能项目</w:t>
            </w:r>
            <w:r>
              <w:rPr>
                <w:rFonts w:hint="default" w:ascii="Times New Roman" w:hAnsi="Times New Roman" w:cs="Times New Roman"/>
                <w:color w:val="auto"/>
                <w:kern w:val="0"/>
                <w:sz w:val="18"/>
                <w:szCs w:val="18"/>
                <w:lang w:eastAsia="zh-CN"/>
              </w:rPr>
              <w:t>。</w:t>
            </w:r>
          </w:p>
        </w:tc>
        <w:tc>
          <w:tcPr>
            <w:tcW w:w="826" w:type="dxa"/>
            <w:noWrap w:val="0"/>
            <w:vAlign w:val="center"/>
          </w:tcPr>
          <w:p w14:paraId="41524082">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0DBE83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dxa"/>
            <w:vMerge w:val="continue"/>
            <w:noWrap w:val="0"/>
            <w:vAlign w:val="center"/>
          </w:tcPr>
          <w:p w14:paraId="154FE080">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kern w:val="0"/>
                <w:sz w:val="18"/>
                <w:szCs w:val="18"/>
              </w:rPr>
            </w:pPr>
          </w:p>
        </w:tc>
        <w:tc>
          <w:tcPr>
            <w:tcW w:w="4293" w:type="dxa"/>
            <w:noWrap w:val="0"/>
            <w:vAlign w:val="center"/>
          </w:tcPr>
          <w:p w14:paraId="2C38889B">
            <w:pPr>
              <w:keepNext w:val="0"/>
              <w:keepLines w:val="0"/>
              <w:pageBreakBefore w:val="0"/>
              <w:widowControl w:val="0"/>
              <w:kinsoku/>
              <w:wordWrap/>
              <w:overflowPunct/>
              <w:topLinePunct w:val="0"/>
              <w:autoSpaceDE w:val="0"/>
              <w:autoSpaceDN w:val="0"/>
              <w:bidi w:val="0"/>
              <w:adjustRightInd/>
              <w:snapToGrid/>
              <w:ind w:firstLine="360" w:firstLineChars="200"/>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lang w:val="en-US" w:eastAsia="zh-CN"/>
              </w:rPr>
              <w:t>6）</w:t>
            </w:r>
            <w:r>
              <w:rPr>
                <w:rFonts w:hint="default" w:ascii="Times New Roman" w:hAnsi="Times New Roman" w:cs="Times New Roman"/>
                <w:color w:val="auto"/>
                <w:sz w:val="18"/>
                <w:szCs w:val="18"/>
              </w:rPr>
              <w:t>禁止建设高毒高残留以及对环境影响大的农药原药生产装置，严格控制尿素、磷铵、电石、焦炭、黄磷、烧碱、纯碱、聚氯乙烯等行业新增产能</w:t>
            </w:r>
          </w:p>
        </w:tc>
        <w:tc>
          <w:tcPr>
            <w:tcW w:w="3021" w:type="dxa"/>
            <w:noWrap w:val="0"/>
            <w:vAlign w:val="center"/>
          </w:tcPr>
          <w:p w14:paraId="1E17EBE3">
            <w:pPr>
              <w:keepNext w:val="0"/>
              <w:keepLines w:val="0"/>
              <w:pageBreakBefore w:val="0"/>
              <w:widowControl w:val="0"/>
              <w:kinsoku/>
              <w:wordWrap/>
              <w:overflowPunct/>
              <w:topLinePunct w:val="0"/>
              <w:bidi w:val="0"/>
              <w:adjustRightInd/>
              <w:snapToGrid/>
              <w:ind w:firstLine="360" w:firstLineChars="200"/>
              <w:jc w:val="left"/>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本项目不涉及</w:t>
            </w:r>
            <w:r>
              <w:rPr>
                <w:rFonts w:hint="default" w:ascii="Times New Roman" w:hAnsi="Times New Roman" w:cs="Times New Roman"/>
                <w:color w:val="auto"/>
                <w:sz w:val="18"/>
                <w:szCs w:val="18"/>
              </w:rPr>
              <w:t>高毒高残留以及对环境影响大的农药原药生产装置</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不属于</w:t>
            </w:r>
            <w:r>
              <w:rPr>
                <w:rFonts w:hint="default" w:ascii="Times New Roman" w:hAnsi="Times New Roman" w:cs="Times New Roman"/>
                <w:color w:val="auto"/>
                <w:sz w:val="18"/>
                <w:szCs w:val="18"/>
              </w:rPr>
              <w:t>尿素、磷铵、电石、焦炭、黄磷、烧碱、纯碱、聚氯乙烯等行业</w:t>
            </w:r>
            <w:r>
              <w:rPr>
                <w:rFonts w:hint="default" w:ascii="Times New Roman" w:hAnsi="Times New Roman" w:cs="Times New Roman"/>
                <w:color w:val="auto"/>
                <w:sz w:val="18"/>
                <w:szCs w:val="18"/>
                <w:lang w:eastAsia="zh-CN"/>
              </w:rPr>
              <w:t>。</w:t>
            </w:r>
          </w:p>
        </w:tc>
        <w:tc>
          <w:tcPr>
            <w:tcW w:w="826" w:type="dxa"/>
            <w:noWrap w:val="0"/>
            <w:vAlign w:val="center"/>
          </w:tcPr>
          <w:p w14:paraId="3843844B">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14:paraId="014375D4">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从表中分析，项目符合《云南省长江经济带发展负面清单实施细则（试行）》相关要求</w:t>
      </w:r>
      <w:r>
        <w:rPr>
          <w:rFonts w:hint="default" w:ascii="Times New Roman" w:hAnsi="Times New Roman" w:eastAsia="宋体" w:cs="Times New Roman"/>
          <w:color w:val="auto"/>
          <w:sz w:val="24"/>
          <w:szCs w:val="24"/>
          <w:lang w:eastAsia="zh-CN"/>
        </w:rPr>
        <w:t>。</w:t>
      </w:r>
    </w:p>
    <w:p w14:paraId="735101E2">
      <w:pPr>
        <w:pStyle w:val="6"/>
        <w:bidi w:val="0"/>
        <w:rPr>
          <w:rFonts w:hint="default" w:ascii="Times New Roman" w:hAnsi="Times New Roman" w:cs="Times New Roman"/>
          <w:color w:val="auto"/>
          <w:lang w:val="en-US" w:eastAsia="zh-CN"/>
        </w:rPr>
      </w:pPr>
      <w:r>
        <w:rPr>
          <w:rFonts w:hint="default" w:ascii="Times New Roman" w:hAnsi="Times New Roman" w:cs="Times New Roman"/>
          <w:lang w:val="en-US" w:eastAsia="zh-CN"/>
        </w:rPr>
        <w:t>1.3.15与《云南省地下水管理办法</w:t>
      </w:r>
      <w:r>
        <w:rPr>
          <w:rFonts w:hint="default" w:ascii="Times New Roman" w:hAnsi="Times New Roman" w:cs="Times New Roman"/>
          <w:color w:val="auto"/>
          <w:lang w:val="en-US" w:eastAsia="zh-CN"/>
        </w:rPr>
        <w:t>》相符性分析</w:t>
      </w:r>
    </w:p>
    <w:p w14:paraId="75B1FFBA">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《云南省地下水管理办法》已经2023年11月20日第十四届省人民政府第22次常务会议审议通过，自2024年2月1日起施行。</w:t>
      </w:r>
      <w:r>
        <w:rPr>
          <w:rFonts w:hint="default" w:ascii="Times New Roman" w:hAnsi="Times New Roman" w:eastAsia="宋体" w:cs="Times New Roman"/>
          <w:color w:val="auto"/>
          <w:sz w:val="24"/>
          <w:highlight w:val="none"/>
          <w:lang w:val="en-US" w:eastAsia="zh-CN"/>
        </w:rPr>
        <w:t>本项目与其符合性分析见下表：</w:t>
      </w:r>
    </w:p>
    <w:p w14:paraId="24DF2EF5">
      <w:pPr>
        <w:spacing w:line="360" w:lineRule="auto"/>
        <w:jc w:val="center"/>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表1.3-8   项目与《云南省地下水管理办法》相符性分析表</w:t>
      </w:r>
    </w:p>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625"/>
        <w:gridCol w:w="5175"/>
        <w:gridCol w:w="1812"/>
        <w:gridCol w:w="876"/>
      </w:tblGrid>
      <w:tr w14:paraId="4E476B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dxa"/>
            <w:tcBorders>
              <w:tl2br w:val="nil"/>
              <w:tr2bl w:val="nil"/>
            </w:tcBorders>
            <w:noWrap w:val="0"/>
            <w:vAlign w:val="center"/>
          </w:tcPr>
          <w:p w14:paraId="2AEEE2F8">
            <w:pPr>
              <w:pStyle w:val="17"/>
              <w:spacing w:line="240" w:lineRule="auto"/>
              <w:ind w:left="0" w:leftChars="0" w:firstLine="0" w:firstLineChars="0"/>
              <w:jc w:val="both"/>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序号</w:t>
            </w:r>
          </w:p>
        </w:tc>
        <w:tc>
          <w:tcPr>
            <w:tcW w:w="5800" w:type="dxa"/>
            <w:gridSpan w:val="2"/>
            <w:tcBorders>
              <w:tl2br w:val="nil"/>
              <w:tr2bl w:val="nil"/>
            </w:tcBorders>
            <w:noWrap w:val="0"/>
            <w:vAlign w:val="center"/>
          </w:tcPr>
          <w:p w14:paraId="5A6B1A9D">
            <w:pPr>
              <w:pStyle w:val="17"/>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“管理办法”要求</w:t>
            </w:r>
          </w:p>
        </w:tc>
        <w:tc>
          <w:tcPr>
            <w:tcW w:w="1812" w:type="dxa"/>
            <w:tcBorders>
              <w:tl2br w:val="nil"/>
              <w:tr2bl w:val="nil"/>
            </w:tcBorders>
            <w:noWrap w:val="0"/>
            <w:vAlign w:val="center"/>
          </w:tcPr>
          <w:p w14:paraId="1268F4F1">
            <w:pPr>
              <w:pStyle w:val="17"/>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本项目情况</w:t>
            </w:r>
          </w:p>
        </w:tc>
        <w:tc>
          <w:tcPr>
            <w:tcW w:w="740" w:type="dxa"/>
            <w:tcBorders>
              <w:tl2br w:val="nil"/>
              <w:tr2bl w:val="nil"/>
            </w:tcBorders>
            <w:noWrap w:val="0"/>
            <w:vAlign w:val="center"/>
          </w:tcPr>
          <w:p w14:paraId="3805827A">
            <w:pPr>
              <w:pStyle w:val="17"/>
              <w:spacing w:line="240" w:lineRule="auto"/>
              <w:ind w:left="0" w:leftChars="0" w:firstLine="0" w:firstLineChars="0"/>
              <w:jc w:val="both"/>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符合性</w:t>
            </w:r>
          </w:p>
        </w:tc>
      </w:tr>
      <w:tr w14:paraId="14D66B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dxa"/>
            <w:tcBorders>
              <w:tl2br w:val="nil"/>
              <w:tr2bl w:val="nil"/>
            </w:tcBorders>
            <w:noWrap w:val="0"/>
            <w:vAlign w:val="center"/>
          </w:tcPr>
          <w:p w14:paraId="36EBEB95">
            <w:pPr>
              <w:pStyle w:val="17"/>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c>
          <w:tcPr>
            <w:tcW w:w="625" w:type="dxa"/>
            <w:vMerge w:val="restart"/>
            <w:tcBorders>
              <w:tl2br w:val="nil"/>
              <w:tr2bl w:val="nil"/>
            </w:tcBorders>
            <w:noWrap w:val="0"/>
            <w:vAlign w:val="center"/>
          </w:tcPr>
          <w:p w14:paraId="3C018E26">
            <w:pPr>
              <w:pStyle w:val="17"/>
              <w:spacing w:line="240" w:lineRule="auto"/>
              <w:ind w:left="0" w:leftChars="0" w:firstLine="0" w:firstLineChars="0"/>
              <w:jc w:val="both"/>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第四章污染防治</w:t>
            </w:r>
          </w:p>
        </w:tc>
        <w:tc>
          <w:tcPr>
            <w:tcW w:w="5175" w:type="dxa"/>
            <w:tcBorders>
              <w:tl2br w:val="nil"/>
              <w:tr2bl w:val="nil"/>
            </w:tcBorders>
            <w:noWrap w:val="0"/>
            <w:vAlign w:val="top"/>
          </w:tcPr>
          <w:p w14:paraId="0F7DB014">
            <w:pPr>
              <w:pStyle w:val="17"/>
              <w:spacing w:line="240" w:lineRule="auto"/>
              <w:jc w:val="left"/>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第三十条 禁止下列污染或者可能污染地下水的行为：</w:t>
            </w:r>
          </w:p>
          <w:p w14:paraId="186A66D7">
            <w:pPr>
              <w:pStyle w:val="17"/>
              <w:spacing w:line="240" w:lineRule="auto"/>
              <w:jc w:val="left"/>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（一）利用渗井、渗坑、裂隙、溶洞以及私设暗管等逃避监管的方式排放水污染物；</w:t>
            </w:r>
          </w:p>
          <w:p w14:paraId="0B3F5D00">
            <w:pPr>
              <w:pStyle w:val="17"/>
              <w:spacing w:line="240" w:lineRule="auto"/>
              <w:jc w:val="left"/>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（二）利用岩层孔隙、裂隙、溶洞、废弃矿坑等贮存石化原料及产品、农药、危险废物、城镇污水处理设施产生的污泥和处理后的污泥或者其他有毒有害物质；</w:t>
            </w:r>
          </w:p>
          <w:p w14:paraId="74A1A59B">
            <w:pPr>
              <w:pStyle w:val="17"/>
              <w:spacing w:line="240" w:lineRule="auto"/>
              <w:jc w:val="left"/>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（三）利用无防渗漏措施的沟渠、坑塘等输送或者贮存含有毒污染物的废水、含病原体的污水和其他废弃物；</w:t>
            </w:r>
          </w:p>
          <w:p w14:paraId="28C2BE66">
            <w:pPr>
              <w:pStyle w:val="17"/>
              <w:spacing w:line="240" w:lineRule="auto"/>
              <w:jc w:val="left"/>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（四）法律、法规禁止的其他污染或者可能污染地下水的行为。</w:t>
            </w:r>
          </w:p>
        </w:tc>
        <w:tc>
          <w:tcPr>
            <w:tcW w:w="1812" w:type="dxa"/>
            <w:tcBorders>
              <w:tl2br w:val="nil"/>
              <w:tr2bl w:val="nil"/>
            </w:tcBorders>
            <w:noWrap w:val="0"/>
            <w:vAlign w:val="center"/>
          </w:tcPr>
          <w:p w14:paraId="59771A13">
            <w:pPr>
              <w:pStyle w:val="17"/>
              <w:spacing w:line="240" w:lineRule="auto"/>
              <w:jc w:val="left"/>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项目生活污水也依托矿山污水处理站处理达标后全部回用，不外排；不产生生产废水；因此不存在第三十条中禁止的污染地下水的行为。</w:t>
            </w:r>
          </w:p>
        </w:tc>
        <w:tc>
          <w:tcPr>
            <w:tcW w:w="740" w:type="dxa"/>
            <w:tcBorders>
              <w:tl2br w:val="nil"/>
              <w:tr2bl w:val="nil"/>
            </w:tcBorders>
            <w:noWrap w:val="0"/>
            <w:vAlign w:val="center"/>
          </w:tcPr>
          <w:p w14:paraId="75C2BDD7">
            <w:pPr>
              <w:pStyle w:val="17"/>
              <w:spacing w:line="240" w:lineRule="auto"/>
              <w:ind w:left="0" w:leftChars="0" w:firstLine="0" w:firstLineChars="0"/>
              <w:jc w:val="both"/>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w:t>
            </w:r>
          </w:p>
        </w:tc>
      </w:tr>
      <w:tr w14:paraId="6E5356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dxa"/>
            <w:tcBorders>
              <w:tl2br w:val="nil"/>
              <w:tr2bl w:val="nil"/>
            </w:tcBorders>
            <w:noWrap w:val="0"/>
            <w:vAlign w:val="center"/>
          </w:tcPr>
          <w:p w14:paraId="2150E19C">
            <w:pPr>
              <w:pStyle w:val="17"/>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w:t>
            </w:r>
          </w:p>
        </w:tc>
        <w:tc>
          <w:tcPr>
            <w:tcW w:w="625" w:type="dxa"/>
            <w:vMerge w:val="continue"/>
            <w:tcBorders>
              <w:tl2br w:val="nil"/>
              <w:tr2bl w:val="nil"/>
            </w:tcBorders>
            <w:noWrap w:val="0"/>
            <w:vAlign w:val="top"/>
          </w:tcPr>
          <w:p w14:paraId="20991F36">
            <w:pPr>
              <w:pStyle w:val="17"/>
              <w:spacing w:line="240" w:lineRule="auto"/>
              <w:rPr>
                <w:rFonts w:hint="default" w:ascii="Times New Roman" w:hAnsi="Times New Roman" w:eastAsia="宋体" w:cs="Times New Roman"/>
                <w:color w:val="auto"/>
                <w:sz w:val="18"/>
                <w:szCs w:val="18"/>
                <w:vertAlign w:val="baseline"/>
              </w:rPr>
            </w:pPr>
          </w:p>
        </w:tc>
        <w:tc>
          <w:tcPr>
            <w:tcW w:w="5175" w:type="dxa"/>
            <w:tcBorders>
              <w:tl2br w:val="nil"/>
              <w:tr2bl w:val="nil"/>
            </w:tcBorders>
            <w:noWrap w:val="0"/>
            <w:vAlign w:val="top"/>
          </w:tcPr>
          <w:p w14:paraId="4B583538">
            <w:pPr>
              <w:pStyle w:val="17"/>
              <w:spacing w:line="240" w:lineRule="auto"/>
              <w:jc w:val="left"/>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第三十一条 企业事业单位和其他生产经营者应当采取下列措施，防止地下水污染：</w:t>
            </w:r>
          </w:p>
          <w:p w14:paraId="54062104">
            <w:pPr>
              <w:pStyle w:val="17"/>
              <w:spacing w:line="240" w:lineRule="auto"/>
              <w:jc w:val="left"/>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（一）兴建地下工程设施或者进行地下勘探、采矿等活动，依法编制的环境影响评价文件中，应当包括地下水污染防治的内容，并采取防护性措施；</w:t>
            </w:r>
          </w:p>
          <w:p w14:paraId="31CAE6A4">
            <w:pPr>
              <w:pStyle w:val="17"/>
              <w:spacing w:line="240" w:lineRule="auto"/>
              <w:jc w:val="left"/>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（二）化学品生产企业以及工业集聚区、矿山开采区、尾矿库、危险废物处置场、垃圾填埋场等的运营、管理单位，应当采取防渗漏等措施，建设地下水水质监测井，按照有关标准和技术规范进行监测；</w:t>
            </w:r>
          </w:p>
          <w:p w14:paraId="11075E48">
            <w:pPr>
              <w:pStyle w:val="17"/>
              <w:spacing w:line="240" w:lineRule="auto"/>
              <w:jc w:val="left"/>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（三）加油站等的地下油罐应当使用双层罐或者采取建造防渗池等其他有效措施，并按照有关标准和技术规范进行防渗漏监测；</w:t>
            </w:r>
          </w:p>
          <w:p w14:paraId="2A292EAF">
            <w:pPr>
              <w:pStyle w:val="17"/>
              <w:spacing w:line="240" w:lineRule="auto"/>
              <w:jc w:val="left"/>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（四）存放可溶性剧毒废渣的场所，应当采取防水、防渗漏、防流失的措施；</w:t>
            </w:r>
          </w:p>
          <w:p w14:paraId="5A72D457">
            <w:pPr>
              <w:pStyle w:val="17"/>
              <w:spacing w:line="240" w:lineRule="auto"/>
              <w:jc w:val="left"/>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（五）法律、法规规定应当采取的其他防止地下水污染的措施。</w:t>
            </w:r>
          </w:p>
        </w:tc>
        <w:tc>
          <w:tcPr>
            <w:tcW w:w="1812" w:type="dxa"/>
            <w:tcBorders>
              <w:tl2br w:val="nil"/>
              <w:tr2bl w:val="nil"/>
            </w:tcBorders>
            <w:noWrap w:val="0"/>
            <w:vAlign w:val="top"/>
          </w:tcPr>
          <w:p w14:paraId="405511E1">
            <w:pPr>
              <w:pStyle w:val="17"/>
              <w:spacing w:line="240" w:lineRule="auto"/>
              <w:jc w:val="left"/>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项目为铁矿选矿项目，本次环评已对地下水污染防治的内容进行了评价，并采取了相应的防护性措施，并按要求建设地下水跟踪监测井。</w:t>
            </w:r>
          </w:p>
          <w:p w14:paraId="7B9335CE">
            <w:pPr>
              <w:pStyle w:val="17"/>
              <w:spacing w:line="240" w:lineRule="auto"/>
              <w:jc w:val="left"/>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项目依托矿山危废暂存间，环评提出严格按照《危险废物贮存污染控制标准》（GB18597-2023）的要求进行改建。</w:t>
            </w:r>
          </w:p>
        </w:tc>
        <w:tc>
          <w:tcPr>
            <w:tcW w:w="740" w:type="dxa"/>
            <w:tcBorders>
              <w:tl2br w:val="nil"/>
              <w:tr2bl w:val="nil"/>
            </w:tcBorders>
            <w:noWrap w:val="0"/>
            <w:vAlign w:val="center"/>
          </w:tcPr>
          <w:p w14:paraId="00510052">
            <w:pPr>
              <w:pStyle w:val="17"/>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w:t>
            </w:r>
          </w:p>
        </w:tc>
      </w:tr>
      <w:tr w14:paraId="4A9371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dxa"/>
            <w:tcBorders>
              <w:tl2br w:val="nil"/>
              <w:tr2bl w:val="nil"/>
            </w:tcBorders>
            <w:noWrap w:val="0"/>
            <w:vAlign w:val="center"/>
          </w:tcPr>
          <w:p w14:paraId="2866434C">
            <w:pPr>
              <w:pStyle w:val="17"/>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3</w:t>
            </w:r>
          </w:p>
        </w:tc>
        <w:tc>
          <w:tcPr>
            <w:tcW w:w="625" w:type="dxa"/>
            <w:tcBorders>
              <w:tl2br w:val="nil"/>
              <w:tr2bl w:val="nil"/>
            </w:tcBorders>
            <w:noWrap w:val="0"/>
            <w:vAlign w:val="center"/>
          </w:tcPr>
          <w:p w14:paraId="379BCCA9">
            <w:pPr>
              <w:pStyle w:val="17"/>
              <w:spacing w:line="240" w:lineRule="auto"/>
              <w:ind w:left="0" w:leftChars="0" w:firstLine="0" w:firstLineChars="0"/>
              <w:jc w:val="both"/>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第五章监测与信息管理</w:t>
            </w:r>
          </w:p>
        </w:tc>
        <w:tc>
          <w:tcPr>
            <w:tcW w:w="5175" w:type="dxa"/>
            <w:tcBorders>
              <w:tl2br w:val="nil"/>
              <w:tr2bl w:val="nil"/>
            </w:tcBorders>
            <w:noWrap w:val="0"/>
            <w:vAlign w:val="top"/>
          </w:tcPr>
          <w:p w14:paraId="2130E8DA">
            <w:pPr>
              <w:pStyle w:val="17"/>
              <w:spacing w:line="240" w:lineRule="auto"/>
              <w:jc w:val="left"/>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第三十八条 任何单位和个人不得侵占、毁坏或者擅自移动地下水监测设施设备及其标志。</w:t>
            </w:r>
          </w:p>
          <w:p w14:paraId="19B5E91D">
            <w:pPr>
              <w:pStyle w:val="17"/>
              <w:spacing w:line="240" w:lineRule="auto"/>
              <w:jc w:val="left"/>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新建、改建、扩建建设工程应当避开地下水监测设施设备；确实无法避开、需要拆除地下水监测设施设备的，应当由县级以上人民政府水行政、自然资源、生态环境等主管部门按照有关技术要求组织迁建，迁建费用由建设单位承担。</w:t>
            </w:r>
          </w:p>
        </w:tc>
        <w:tc>
          <w:tcPr>
            <w:tcW w:w="1812" w:type="dxa"/>
            <w:tcBorders>
              <w:tl2br w:val="nil"/>
              <w:tr2bl w:val="nil"/>
            </w:tcBorders>
            <w:noWrap w:val="0"/>
            <w:vAlign w:val="center"/>
          </w:tcPr>
          <w:p w14:paraId="3BBC5D19">
            <w:pPr>
              <w:pStyle w:val="17"/>
              <w:spacing w:line="240" w:lineRule="auto"/>
              <w:jc w:val="left"/>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根据调查，项目区不涉及地下水监测设施设备及其标志。</w:t>
            </w:r>
          </w:p>
          <w:p w14:paraId="7A1D1E32">
            <w:pPr>
              <w:pStyle w:val="17"/>
              <w:spacing w:line="240" w:lineRule="auto"/>
              <w:jc w:val="left"/>
              <w:rPr>
                <w:rFonts w:hint="default" w:ascii="Times New Roman" w:hAnsi="Times New Roman" w:eastAsia="宋体" w:cs="Times New Roman"/>
                <w:color w:val="auto"/>
                <w:sz w:val="18"/>
                <w:szCs w:val="18"/>
                <w:vertAlign w:val="baseline"/>
                <w:lang w:val="en-US" w:eastAsia="zh-CN"/>
              </w:rPr>
            </w:pPr>
          </w:p>
        </w:tc>
        <w:tc>
          <w:tcPr>
            <w:tcW w:w="740" w:type="dxa"/>
            <w:tcBorders>
              <w:tl2br w:val="nil"/>
              <w:tr2bl w:val="nil"/>
            </w:tcBorders>
            <w:noWrap w:val="0"/>
            <w:vAlign w:val="center"/>
          </w:tcPr>
          <w:p w14:paraId="5B97B08C">
            <w:pPr>
              <w:pStyle w:val="17"/>
              <w:spacing w:line="240" w:lineRule="auto"/>
              <w:ind w:left="0" w:leftChars="0" w:firstLine="0" w:firstLineChars="0"/>
              <w:jc w:val="both"/>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w:t>
            </w:r>
          </w:p>
        </w:tc>
      </w:tr>
    </w:tbl>
    <w:p w14:paraId="15A3037F">
      <w:pPr>
        <w:adjustRightInd w:val="0"/>
        <w:snapToGrid w:val="0"/>
        <w:spacing w:line="360" w:lineRule="auto"/>
        <w:ind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根据上表的分析可以看出，项目的建设符合《云南省地下水管理办法》中的相关要求。</w:t>
      </w:r>
    </w:p>
    <w:p w14:paraId="66F829F3">
      <w:pPr>
        <w:pStyle w:val="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1.3.16与《云南省土壤污染防治工作方案》（云政发〔2017〕8号）相符性分析</w:t>
      </w:r>
    </w:p>
    <w:p w14:paraId="055A61D8">
      <w:pPr>
        <w:spacing w:line="360" w:lineRule="auto"/>
        <w:jc w:val="center"/>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表1.3-9  项目与《云南省土壤污染防治工作方案》相符性分析表</w:t>
      </w:r>
    </w:p>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5820"/>
        <w:gridCol w:w="1804"/>
        <w:gridCol w:w="876"/>
      </w:tblGrid>
      <w:tr w14:paraId="7D13E8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noWrap w:val="0"/>
            <w:vAlign w:val="center"/>
          </w:tcPr>
          <w:p w14:paraId="2F9CDF97">
            <w:pPr>
              <w:pStyle w:val="17"/>
              <w:spacing w:line="240" w:lineRule="auto"/>
              <w:ind w:left="0" w:leftChars="0" w:firstLine="0" w:firstLineChars="0"/>
              <w:jc w:val="both"/>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序号</w:t>
            </w:r>
          </w:p>
        </w:tc>
        <w:tc>
          <w:tcPr>
            <w:tcW w:w="5820" w:type="dxa"/>
            <w:tcBorders>
              <w:tl2br w:val="nil"/>
              <w:tr2bl w:val="nil"/>
            </w:tcBorders>
            <w:noWrap w:val="0"/>
            <w:vAlign w:val="center"/>
          </w:tcPr>
          <w:p w14:paraId="6D41919B">
            <w:pPr>
              <w:pStyle w:val="17"/>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方案要求</w:t>
            </w:r>
          </w:p>
        </w:tc>
        <w:tc>
          <w:tcPr>
            <w:tcW w:w="1804" w:type="dxa"/>
            <w:tcBorders>
              <w:tl2br w:val="nil"/>
              <w:tr2bl w:val="nil"/>
            </w:tcBorders>
            <w:noWrap w:val="0"/>
            <w:vAlign w:val="center"/>
          </w:tcPr>
          <w:p w14:paraId="67CBB04A">
            <w:pPr>
              <w:pStyle w:val="17"/>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本项目情况</w:t>
            </w:r>
          </w:p>
        </w:tc>
        <w:tc>
          <w:tcPr>
            <w:tcW w:w="876" w:type="dxa"/>
            <w:tcBorders>
              <w:tl2br w:val="nil"/>
              <w:tr2bl w:val="nil"/>
            </w:tcBorders>
            <w:noWrap w:val="0"/>
            <w:vAlign w:val="center"/>
          </w:tcPr>
          <w:p w14:paraId="2AB5D794">
            <w:pPr>
              <w:pStyle w:val="17"/>
              <w:spacing w:line="240" w:lineRule="auto"/>
              <w:ind w:left="0" w:leftChars="0" w:firstLine="0" w:firstLineChars="0"/>
              <w:jc w:val="both"/>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符合性</w:t>
            </w:r>
          </w:p>
        </w:tc>
      </w:tr>
      <w:tr w14:paraId="2B9FC3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noWrap w:val="0"/>
            <w:vAlign w:val="center"/>
          </w:tcPr>
          <w:p w14:paraId="443272B5">
            <w:pPr>
              <w:pStyle w:val="17"/>
              <w:spacing w:line="240" w:lineRule="auto"/>
              <w:jc w:val="center"/>
              <w:rPr>
                <w:rFonts w:hint="default" w:ascii="Times New Roman" w:hAnsi="Times New Roman" w:eastAsia="宋体" w:cs="Times New Roman"/>
                <w:color w:val="auto"/>
                <w:sz w:val="18"/>
                <w:szCs w:val="18"/>
                <w:vertAlign w:val="baseline"/>
                <w:lang w:val="en-US" w:eastAsia="zh-CN"/>
              </w:rPr>
            </w:pPr>
          </w:p>
        </w:tc>
        <w:tc>
          <w:tcPr>
            <w:tcW w:w="5820" w:type="dxa"/>
            <w:tcBorders>
              <w:tl2br w:val="nil"/>
              <w:tr2bl w:val="nil"/>
            </w:tcBorders>
            <w:noWrap w:val="0"/>
            <w:vAlign w:val="center"/>
          </w:tcPr>
          <w:p w14:paraId="0032F9BD">
            <w:pPr>
              <w:pStyle w:val="17"/>
              <w:spacing w:line="240" w:lineRule="auto"/>
              <w:rPr>
                <w:rFonts w:hint="default" w:ascii="Times New Roman" w:hAnsi="Times New Roman" w:eastAsia="宋体" w:cs="Times New Roman"/>
                <w:i w:val="0"/>
                <w:iCs w:val="0"/>
                <w:caps w:val="0"/>
                <w:color w:val="auto"/>
                <w:spacing w:val="0"/>
                <w:sz w:val="18"/>
                <w:szCs w:val="18"/>
              </w:rPr>
            </w:pPr>
            <w:r>
              <w:rPr>
                <w:rFonts w:hint="default" w:ascii="Times New Roman" w:hAnsi="Times New Roman" w:eastAsia="宋体" w:cs="Times New Roman"/>
                <w:i w:val="0"/>
                <w:iCs w:val="0"/>
                <w:caps w:val="0"/>
                <w:color w:val="auto"/>
                <w:spacing w:val="0"/>
                <w:sz w:val="18"/>
                <w:szCs w:val="18"/>
              </w:rPr>
              <w:t>防范建设用地新增污染。严格环境准入</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 xml:space="preserve">防止新建项目对土壤造成污染。排放重点污染物 </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镉、汞、砷、铅、铬等重金属和多环芳烃、石油烃等有机污染物</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的建设项目</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在开展环境影响评价时</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要增加对土壤环境影响的评价内容</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并提出防范土壤污染的具体措施</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需要建设的土壤污染防治设施</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要与主体工程同时设计、同时施工、同时投产使用</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有关环境保护部门要做好风险管控、污染防治等措施落实情况的监督管理工作。</w:t>
            </w:r>
          </w:p>
        </w:tc>
        <w:tc>
          <w:tcPr>
            <w:tcW w:w="1804" w:type="dxa"/>
            <w:tcBorders>
              <w:tl2br w:val="nil"/>
              <w:tr2bl w:val="nil"/>
            </w:tcBorders>
            <w:noWrap w:val="0"/>
            <w:vAlign w:val="center"/>
          </w:tcPr>
          <w:p w14:paraId="66C2E9D3">
            <w:pPr>
              <w:pStyle w:val="17"/>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环评开展土壤环境影响评价，并提出污染防治措施。</w:t>
            </w:r>
          </w:p>
        </w:tc>
        <w:tc>
          <w:tcPr>
            <w:tcW w:w="876" w:type="dxa"/>
            <w:tcBorders>
              <w:tl2br w:val="nil"/>
              <w:tr2bl w:val="nil"/>
            </w:tcBorders>
            <w:noWrap w:val="0"/>
            <w:vAlign w:val="center"/>
          </w:tcPr>
          <w:p w14:paraId="01789EEF">
            <w:pPr>
              <w:pStyle w:val="17"/>
              <w:spacing w:line="240" w:lineRule="auto"/>
              <w:ind w:left="0" w:leftChars="0" w:firstLine="0" w:firstLineChars="0"/>
              <w:jc w:val="both"/>
              <w:rPr>
                <w:rFonts w:hint="default" w:ascii="Times New Roman" w:hAnsi="Times New Roman" w:eastAsia="宋体" w:cs="Times New Roman"/>
                <w:color w:val="auto"/>
                <w:sz w:val="18"/>
                <w:szCs w:val="18"/>
                <w:vertAlign w:val="baseline"/>
                <w:lang w:val="en-US" w:eastAsia="zh-CN"/>
              </w:rPr>
            </w:pPr>
          </w:p>
        </w:tc>
      </w:tr>
      <w:tr w14:paraId="2DEDBD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243" w:hRule="atLeast"/>
        </w:trPr>
        <w:tc>
          <w:tcPr>
            <w:tcW w:w="786" w:type="dxa"/>
            <w:tcBorders>
              <w:tl2br w:val="nil"/>
              <w:tr2bl w:val="nil"/>
            </w:tcBorders>
            <w:noWrap w:val="0"/>
            <w:vAlign w:val="center"/>
          </w:tcPr>
          <w:p w14:paraId="73256D11">
            <w:pPr>
              <w:pStyle w:val="17"/>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c>
          <w:tcPr>
            <w:tcW w:w="5820" w:type="dxa"/>
            <w:tcBorders>
              <w:tl2br w:val="nil"/>
              <w:tr2bl w:val="nil"/>
            </w:tcBorders>
            <w:noWrap w:val="0"/>
            <w:vAlign w:val="center"/>
          </w:tcPr>
          <w:p w14:paraId="259C4582">
            <w:pPr>
              <w:pStyle w:val="17"/>
              <w:spacing w:line="240" w:lineRule="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aps w:val="0"/>
                <w:color w:val="auto"/>
                <w:spacing w:val="0"/>
                <w:sz w:val="18"/>
                <w:szCs w:val="18"/>
              </w:rPr>
              <w:t>加强对矿产资源开发利用活动的辐射安全监管</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开展全省伴生放射性矿调查</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根据调查结果</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有关企业每年要对本矿区土壤进行辐射环境监测。</w:t>
            </w:r>
          </w:p>
        </w:tc>
        <w:tc>
          <w:tcPr>
            <w:tcW w:w="1804" w:type="dxa"/>
            <w:tcBorders>
              <w:tl2br w:val="nil"/>
              <w:tr2bl w:val="nil"/>
            </w:tcBorders>
            <w:noWrap w:val="0"/>
            <w:vAlign w:val="center"/>
          </w:tcPr>
          <w:p w14:paraId="63361701">
            <w:pPr>
              <w:pStyle w:val="17"/>
              <w:spacing w:line="240" w:lineRule="auto"/>
              <w:jc w:val="left"/>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本项目原矿、产品铁矿石、砂石料中的铀（钍）系单个核素活度浓度小于1贝可/克（Bq/g），满足《有色金属矿产品天然放射性限值》（GB 20664-2006）的相关要求。</w:t>
            </w:r>
          </w:p>
        </w:tc>
        <w:tc>
          <w:tcPr>
            <w:tcW w:w="876" w:type="dxa"/>
            <w:tcBorders>
              <w:tl2br w:val="nil"/>
              <w:tr2bl w:val="nil"/>
            </w:tcBorders>
            <w:noWrap w:val="0"/>
            <w:vAlign w:val="center"/>
          </w:tcPr>
          <w:p w14:paraId="3277560F">
            <w:pPr>
              <w:pStyle w:val="17"/>
              <w:spacing w:line="240" w:lineRule="auto"/>
              <w:ind w:left="0" w:leftChars="0" w:firstLine="0" w:firstLineChars="0"/>
              <w:jc w:val="both"/>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w:t>
            </w:r>
          </w:p>
        </w:tc>
      </w:tr>
      <w:tr w14:paraId="53E158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786" w:type="dxa"/>
            <w:tcBorders>
              <w:tl2br w:val="nil"/>
              <w:tr2bl w:val="nil"/>
            </w:tcBorders>
            <w:noWrap w:val="0"/>
            <w:vAlign w:val="center"/>
          </w:tcPr>
          <w:p w14:paraId="35B421D5">
            <w:pPr>
              <w:pStyle w:val="17"/>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w:t>
            </w:r>
          </w:p>
        </w:tc>
        <w:tc>
          <w:tcPr>
            <w:tcW w:w="5820" w:type="dxa"/>
            <w:tcBorders>
              <w:tl2br w:val="nil"/>
              <w:tr2bl w:val="nil"/>
            </w:tcBorders>
            <w:noWrap w:val="0"/>
            <w:vAlign w:val="top"/>
          </w:tcPr>
          <w:p w14:paraId="3E548150">
            <w:pPr>
              <w:pStyle w:val="17"/>
              <w:spacing w:line="240" w:lineRule="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aps w:val="0"/>
                <w:color w:val="auto"/>
                <w:spacing w:val="0"/>
                <w:sz w:val="18"/>
                <w:szCs w:val="18"/>
              </w:rPr>
              <w:t>加强工业废物处理处置。制定工业固体废物堆存场所整治方案</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全面整治尾矿、煤矸石、工业副产石膏、粉煤灰、赤泥、冶炼渣、电石渣、铬渣、砷渣以及</w:t>
            </w:r>
            <w:r>
              <w:rPr>
                <w:rFonts w:hint="default" w:ascii="Times New Roman" w:hAnsi="Times New Roman" w:eastAsia="宋体" w:cs="Times New Roman"/>
                <w:i w:val="0"/>
                <w:iCs w:val="0"/>
                <w:caps w:val="0"/>
                <w:color w:val="auto"/>
                <w:spacing w:val="0"/>
                <w:sz w:val="18"/>
                <w:szCs w:val="18"/>
                <w:u w:val="none"/>
              </w:rPr>
              <w:fldChar w:fldCharType="begin"/>
            </w:r>
            <w:r>
              <w:rPr>
                <w:rFonts w:hint="default" w:ascii="Times New Roman" w:hAnsi="Times New Roman" w:eastAsia="宋体" w:cs="Times New Roman"/>
                <w:i w:val="0"/>
                <w:iCs w:val="0"/>
                <w:caps w:val="0"/>
                <w:color w:val="auto"/>
                <w:spacing w:val="0"/>
                <w:sz w:val="18"/>
                <w:szCs w:val="18"/>
                <w:u w:val="none"/>
              </w:rPr>
              <w:instrText xml:space="preserve"> HYPERLINK "http://www.chndaqi.com/news/field?fid=48" \o "脱硫" \t "https://www.solidwaste.com.cn/news/_blank" </w:instrText>
            </w:r>
            <w:r>
              <w:rPr>
                <w:rFonts w:hint="default" w:ascii="Times New Roman" w:hAnsi="Times New Roman" w:eastAsia="宋体" w:cs="Times New Roman"/>
                <w:i w:val="0"/>
                <w:iCs w:val="0"/>
                <w:caps w:val="0"/>
                <w:color w:val="auto"/>
                <w:spacing w:val="0"/>
                <w:sz w:val="18"/>
                <w:szCs w:val="18"/>
                <w:u w:val="none"/>
              </w:rPr>
              <w:fldChar w:fldCharType="separate"/>
            </w:r>
            <w:r>
              <w:rPr>
                <w:rStyle w:val="33"/>
                <w:rFonts w:hint="default" w:ascii="Times New Roman" w:hAnsi="Times New Roman" w:eastAsia="宋体" w:cs="Times New Roman"/>
                <w:i w:val="0"/>
                <w:iCs w:val="0"/>
                <w:caps w:val="0"/>
                <w:color w:val="auto"/>
                <w:spacing w:val="0"/>
                <w:sz w:val="18"/>
                <w:szCs w:val="18"/>
                <w:u w:val="none"/>
              </w:rPr>
              <w:t>脱硫</w:t>
            </w:r>
            <w:r>
              <w:rPr>
                <w:rFonts w:hint="default" w:ascii="Times New Roman" w:hAnsi="Times New Roman" w:eastAsia="宋体" w:cs="Times New Roman"/>
                <w:i w:val="0"/>
                <w:iCs w:val="0"/>
                <w:caps w:val="0"/>
                <w:color w:val="auto"/>
                <w:spacing w:val="0"/>
                <w:sz w:val="18"/>
                <w:szCs w:val="18"/>
                <w:u w:val="none"/>
              </w:rPr>
              <w:fldChar w:fldCharType="end"/>
            </w:r>
            <w:r>
              <w:rPr>
                <w:rFonts w:hint="default" w:ascii="Times New Roman" w:hAnsi="Times New Roman" w:eastAsia="宋体" w:cs="Times New Roman"/>
                <w:i w:val="0"/>
                <w:iCs w:val="0"/>
                <w:caps w:val="0"/>
                <w:color w:val="auto"/>
                <w:spacing w:val="0"/>
                <w:sz w:val="18"/>
                <w:szCs w:val="18"/>
              </w:rPr>
              <w:t>、脱硝、</w:t>
            </w:r>
            <w:r>
              <w:rPr>
                <w:rFonts w:hint="default" w:ascii="Times New Roman" w:hAnsi="Times New Roman" w:eastAsia="宋体" w:cs="Times New Roman"/>
                <w:i w:val="0"/>
                <w:iCs w:val="0"/>
                <w:caps w:val="0"/>
                <w:color w:val="auto"/>
                <w:spacing w:val="0"/>
                <w:sz w:val="18"/>
                <w:szCs w:val="18"/>
                <w:u w:val="none"/>
              </w:rPr>
              <w:fldChar w:fldCharType="begin"/>
            </w:r>
            <w:r>
              <w:rPr>
                <w:rFonts w:hint="default" w:ascii="Times New Roman" w:hAnsi="Times New Roman" w:eastAsia="宋体" w:cs="Times New Roman"/>
                <w:i w:val="0"/>
                <w:iCs w:val="0"/>
                <w:caps w:val="0"/>
                <w:color w:val="auto"/>
                <w:spacing w:val="0"/>
                <w:sz w:val="18"/>
                <w:szCs w:val="18"/>
                <w:u w:val="none"/>
              </w:rPr>
              <w:instrText xml:space="preserve"> HYPERLINK "http://www.chndaqi.com/news/field?fid=50" \o "除尘" \t "https://www.solidwaste.com.cn/news/_blank" </w:instrText>
            </w:r>
            <w:r>
              <w:rPr>
                <w:rFonts w:hint="default" w:ascii="Times New Roman" w:hAnsi="Times New Roman" w:eastAsia="宋体" w:cs="Times New Roman"/>
                <w:i w:val="0"/>
                <w:iCs w:val="0"/>
                <w:caps w:val="0"/>
                <w:color w:val="auto"/>
                <w:spacing w:val="0"/>
                <w:sz w:val="18"/>
                <w:szCs w:val="18"/>
                <w:u w:val="none"/>
              </w:rPr>
              <w:fldChar w:fldCharType="separate"/>
            </w:r>
            <w:r>
              <w:rPr>
                <w:rStyle w:val="33"/>
                <w:rFonts w:hint="default" w:ascii="Times New Roman" w:hAnsi="Times New Roman" w:eastAsia="宋体" w:cs="Times New Roman"/>
                <w:i w:val="0"/>
                <w:iCs w:val="0"/>
                <w:caps w:val="0"/>
                <w:color w:val="auto"/>
                <w:spacing w:val="0"/>
                <w:sz w:val="18"/>
                <w:szCs w:val="18"/>
                <w:u w:val="none"/>
              </w:rPr>
              <w:t>除尘</w:t>
            </w:r>
            <w:r>
              <w:rPr>
                <w:rFonts w:hint="default" w:ascii="Times New Roman" w:hAnsi="Times New Roman" w:eastAsia="宋体" w:cs="Times New Roman"/>
                <w:i w:val="0"/>
                <w:iCs w:val="0"/>
                <w:caps w:val="0"/>
                <w:color w:val="auto"/>
                <w:spacing w:val="0"/>
                <w:sz w:val="18"/>
                <w:szCs w:val="18"/>
                <w:u w:val="none"/>
              </w:rPr>
              <w:fldChar w:fldCharType="end"/>
            </w:r>
            <w:r>
              <w:rPr>
                <w:rFonts w:hint="default" w:ascii="Times New Roman" w:hAnsi="Times New Roman" w:eastAsia="宋体" w:cs="Times New Roman"/>
                <w:i w:val="0"/>
                <w:iCs w:val="0"/>
                <w:caps w:val="0"/>
                <w:color w:val="auto"/>
                <w:spacing w:val="0"/>
                <w:sz w:val="18"/>
                <w:szCs w:val="18"/>
              </w:rPr>
              <w:t>产生固体废物的堆存场所</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完善防扬散、防流失、防渗漏等设施。推进历史遗留危险废物的处理处置。加强工业固体废物综合利用。对电子废物、废轮胎、废塑料等再生利用活动进行清理整顿</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引导有关企业采用先进适用加工工艺、集聚发展</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集中建设和运营污染治理设施</w:t>
            </w:r>
            <w:r>
              <w:rPr>
                <w:rFonts w:hint="default" w:ascii="Times New Roman" w:hAnsi="Times New Roman"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防止污染土壤和地下水。</w:t>
            </w:r>
          </w:p>
        </w:tc>
        <w:tc>
          <w:tcPr>
            <w:tcW w:w="1804" w:type="dxa"/>
            <w:tcBorders>
              <w:tl2br w:val="nil"/>
              <w:tr2bl w:val="nil"/>
            </w:tcBorders>
            <w:noWrap w:val="0"/>
            <w:vAlign w:val="top"/>
          </w:tcPr>
          <w:p w14:paraId="003F22EA">
            <w:pPr>
              <w:pStyle w:val="17"/>
              <w:spacing w:line="240" w:lineRule="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项目尾矿作为砂石料产品外售用作建筑材料。其他除尘灰、废机油均得到合理处置。</w:t>
            </w:r>
          </w:p>
        </w:tc>
        <w:tc>
          <w:tcPr>
            <w:tcW w:w="876" w:type="dxa"/>
            <w:tcBorders>
              <w:tl2br w:val="nil"/>
              <w:tr2bl w:val="nil"/>
            </w:tcBorders>
            <w:noWrap w:val="0"/>
            <w:vAlign w:val="center"/>
          </w:tcPr>
          <w:p w14:paraId="12EBB254">
            <w:pPr>
              <w:pStyle w:val="17"/>
              <w:spacing w:line="240" w:lineRule="auto"/>
              <w:ind w:left="0" w:leftChars="0" w:firstLine="0" w:firstLineChars="0"/>
              <w:jc w:val="both"/>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w:t>
            </w:r>
          </w:p>
        </w:tc>
      </w:tr>
    </w:tbl>
    <w:p w14:paraId="28F198F3">
      <w:pPr>
        <w:adjustRightInd w:val="0"/>
        <w:snapToGrid w:val="0"/>
        <w:spacing w:line="360" w:lineRule="auto"/>
        <w:ind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根据上表的分析可以看出，项目的建设符合《云南省土壤污染防治工作方案》中的相关要求。</w:t>
      </w:r>
    </w:p>
    <w:p w14:paraId="4C527D8C">
      <w:pPr>
        <w:pStyle w:val="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1.3.17与《中华人民共和国固体废物污染环境防治法》（2020-09-01）相符性分析</w:t>
      </w:r>
    </w:p>
    <w:p w14:paraId="741016E7">
      <w:pPr>
        <w:spacing w:line="360" w:lineRule="auto"/>
        <w:jc w:val="center"/>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表1.3-10  项目与《中华人民共和国固体废物污染环境防治法》相符性分析表</w:t>
      </w:r>
    </w:p>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5820"/>
        <w:gridCol w:w="1804"/>
        <w:gridCol w:w="876"/>
      </w:tblGrid>
      <w:tr w14:paraId="6555E1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noWrap w:val="0"/>
            <w:vAlign w:val="center"/>
          </w:tcPr>
          <w:p w14:paraId="3E4E46F5">
            <w:pPr>
              <w:pStyle w:val="17"/>
              <w:spacing w:line="240" w:lineRule="auto"/>
              <w:ind w:left="0" w:leftChars="0" w:firstLine="0" w:firstLineChars="0"/>
              <w:jc w:val="both"/>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序号</w:t>
            </w:r>
          </w:p>
        </w:tc>
        <w:tc>
          <w:tcPr>
            <w:tcW w:w="5820" w:type="dxa"/>
            <w:tcBorders>
              <w:tl2br w:val="nil"/>
              <w:tr2bl w:val="nil"/>
            </w:tcBorders>
            <w:noWrap w:val="0"/>
            <w:vAlign w:val="center"/>
          </w:tcPr>
          <w:p w14:paraId="63E305E0">
            <w:pPr>
              <w:pStyle w:val="17"/>
              <w:spacing w:line="240" w:lineRule="auto"/>
              <w:jc w:val="center"/>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lang w:val="en-US" w:eastAsia="zh-CN"/>
              </w:rPr>
              <w:t>中华人民共和国固体废物污染环境防治法相关要求</w:t>
            </w:r>
          </w:p>
        </w:tc>
        <w:tc>
          <w:tcPr>
            <w:tcW w:w="1804" w:type="dxa"/>
            <w:tcBorders>
              <w:tl2br w:val="nil"/>
              <w:tr2bl w:val="nil"/>
            </w:tcBorders>
            <w:noWrap w:val="0"/>
            <w:vAlign w:val="center"/>
          </w:tcPr>
          <w:p w14:paraId="1E54B41F">
            <w:pPr>
              <w:pStyle w:val="17"/>
              <w:spacing w:line="240" w:lineRule="auto"/>
              <w:jc w:val="center"/>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本项目情况</w:t>
            </w:r>
          </w:p>
        </w:tc>
        <w:tc>
          <w:tcPr>
            <w:tcW w:w="876" w:type="dxa"/>
            <w:tcBorders>
              <w:tl2br w:val="nil"/>
              <w:tr2bl w:val="nil"/>
            </w:tcBorders>
            <w:noWrap w:val="0"/>
            <w:vAlign w:val="center"/>
          </w:tcPr>
          <w:p w14:paraId="3E527CCD">
            <w:pPr>
              <w:pStyle w:val="17"/>
              <w:spacing w:line="240" w:lineRule="auto"/>
              <w:ind w:left="0" w:leftChars="0" w:firstLine="0" w:firstLineChars="0"/>
              <w:jc w:val="both"/>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符合性</w:t>
            </w:r>
          </w:p>
        </w:tc>
      </w:tr>
      <w:tr w14:paraId="7B74E0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noWrap w:val="0"/>
            <w:vAlign w:val="center"/>
          </w:tcPr>
          <w:p w14:paraId="7F5A334B">
            <w:pPr>
              <w:pStyle w:val="17"/>
              <w:spacing w:line="240" w:lineRule="auto"/>
              <w:jc w:val="center"/>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1</w:t>
            </w:r>
          </w:p>
        </w:tc>
        <w:tc>
          <w:tcPr>
            <w:tcW w:w="5820" w:type="dxa"/>
            <w:tcBorders>
              <w:tl2br w:val="nil"/>
              <w:tr2bl w:val="nil"/>
            </w:tcBorders>
            <w:noWrap w:val="0"/>
            <w:vAlign w:val="center"/>
          </w:tcPr>
          <w:p w14:paraId="6E04717C">
            <w:pPr>
              <w:pStyle w:val="17"/>
              <w:spacing w:line="240" w:lineRule="auto"/>
              <w:rPr>
                <w:rFonts w:hint="default" w:ascii="Times New Roman" w:hAnsi="Times New Roman" w:cs="Times New Roman" w:eastAsiaTheme="majorEastAsia"/>
                <w:i w:val="0"/>
                <w:iCs w:val="0"/>
                <w:caps w:val="0"/>
                <w:color w:val="auto"/>
                <w:spacing w:val="0"/>
                <w:sz w:val="18"/>
                <w:szCs w:val="18"/>
              </w:rPr>
            </w:pPr>
            <w:r>
              <w:rPr>
                <w:rFonts w:hint="default" w:ascii="Times New Roman" w:hAnsi="Times New Roman" w:cs="Times New Roman" w:eastAsiaTheme="majorEastAsia"/>
                <w:i w:val="0"/>
                <w:iCs w:val="0"/>
                <w:caps w:val="0"/>
                <w:color w:val="auto"/>
                <w:spacing w:val="0"/>
                <w:sz w:val="18"/>
                <w:szCs w:val="18"/>
                <w:shd w:val="clear" w:fill="FFFFFF"/>
              </w:rPr>
              <w:t>建设产生、贮存、利用、处置固体废物的项目，应当依法进行环境影响评价，并遵守国家有关建设项目环境保护管理的规定。</w:t>
            </w:r>
          </w:p>
        </w:tc>
        <w:tc>
          <w:tcPr>
            <w:tcW w:w="1804" w:type="dxa"/>
            <w:tcBorders>
              <w:tl2br w:val="nil"/>
              <w:tr2bl w:val="nil"/>
            </w:tcBorders>
            <w:noWrap w:val="0"/>
            <w:vAlign w:val="center"/>
          </w:tcPr>
          <w:p w14:paraId="570A7ADD">
            <w:pPr>
              <w:pStyle w:val="17"/>
              <w:spacing w:line="240" w:lineRule="auto"/>
              <w:jc w:val="center"/>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本项目正在开展环境影响评价</w:t>
            </w:r>
          </w:p>
        </w:tc>
        <w:tc>
          <w:tcPr>
            <w:tcW w:w="876" w:type="dxa"/>
            <w:tcBorders>
              <w:tl2br w:val="nil"/>
              <w:tr2bl w:val="nil"/>
            </w:tcBorders>
            <w:noWrap w:val="0"/>
            <w:vAlign w:val="center"/>
          </w:tcPr>
          <w:p w14:paraId="04E239AD">
            <w:pPr>
              <w:pStyle w:val="17"/>
              <w:spacing w:line="240" w:lineRule="auto"/>
              <w:ind w:left="0" w:leftChars="0" w:firstLine="0" w:firstLineChars="0"/>
              <w:jc w:val="both"/>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符合</w:t>
            </w:r>
          </w:p>
        </w:tc>
      </w:tr>
      <w:tr w14:paraId="1120AA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noWrap w:val="0"/>
            <w:vAlign w:val="center"/>
          </w:tcPr>
          <w:p w14:paraId="77B17463">
            <w:pPr>
              <w:pStyle w:val="17"/>
              <w:spacing w:line="240" w:lineRule="auto"/>
              <w:jc w:val="center"/>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2</w:t>
            </w:r>
          </w:p>
        </w:tc>
        <w:tc>
          <w:tcPr>
            <w:tcW w:w="5820" w:type="dxa"/>
            <w:tcBorders>
              <w:tl2br w:val="nil"/>
              <w:tr2bl w:val="nil"/>
            </w:tcBorders>
            <w:noWrap w:val="0"/>
            <w:vAlign w:val="center"/>
          </w:tcPr>
          <w:p w14:paraId="00070AD3">
            <w:pPr>
              <w:pStyle w:val="17"/>
              <w:spacing w:line="240" w:lineRule="auto"/>
              <w:rPr>
                <w:rFonts w:hint="default" w:ascii="Times New Roman" w:hAnsi="Times New Roman" w:cs="Times New Roman" w:eastAsiaTheme="majorEastAsia"/>
                <w:color w:val="auto"/>
                <w:sz w:val="18"/>
                <w:szCs w:val="18"/>
                <w:vertAlign w:val="baseline"/>
              </w:rPr>
            </w:pPr>
            <w:r>
              <w:rPr>
                <w:rFonts w:hint="default" w:ascii="Times New Roman" w:hAnsi="Times New Roman" w:cs="Times New Roman" w:eastAsiaTheme="majorEastAsia"/>
                <w:i w:val="0"/>
                <w:iCs w:val="0"/>
                <w:caps w:val="0"/>
                <w:color w:val="auto"/>
                <w:spacing w:val="0"/>
                <w:sz w:val="18"/>
                <w:szCs w:val="18"/>
                <w:shd w:val="clear" w:fill="FFFFFF"/>
              </w:rPr>
              <w:t>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p>
        </w:tc>
        <w:tc>
          <w:tcPr>
            <w:tcW w:w="1804" w:type="dxa"/>
            <w:tcBorders>
              <w:tl2br w:val="nil"/>
              <w:tr2bl w:val="nil"/>
            </w:tcBorders>
            <w:noWrap w:val="0"/>
            <w:vAlign w:val="center"/>
          </w:tcPr>
          <w:p w14:paraId="4E435373">
            <w:pPr>
              <w:pStyle w:val="17"/>
              <w:spacing w:line="240" w:lineRule="auto"/>
              <w:jc w:val="center"/>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环评提出项目产生的固体废物防治设施与主体工程同时设计、同时施工、同时投入使用。</w:t>
            </w:r>
          </w:p>
        </w:tc>
        <w:tc>
          <w:tcPr>
            <w:tcW w:w="876" w:type="dxa"/>
            <w:tcBorders>
              <w:tl2br w:val="nil"/>
              <w:tr2bl w:val="nil"/>
            </w:tcBorders>
            <w:noWrap w:val="0"/>
            <w:vAlign w:val="center"/>
          </w:tcPr>
          <w:p w14:paraId="1F0050B2">
            <w:pPr>
              <w:pStyle w:val="17"/>
              <w:spacing w:line="240" w:lineRule="auto"/>
              <w:ind w:left="0" w:leftChars="0" w:firstLine="0" w:firstLineChars="0"/>
              <w:jc w:val="both"/>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符合</w:t>
            </w:r>
          </w:p>
        </w:tc>
      </w:tr>
      <w:tr w14:paraId="24B651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noWrap w:val="0"/>
            <w:vAlign w:val="center"/>
          </w:tcPr>
          <w:p w14:paraId="7023403F">
            <w:pPr>
              <w:pStyle w:val="17"/>
              <w:spacing w:line="240" w:lineRule="auto"/>
              <w:jc w:val="center"/>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3</w:t>
            </w:r>
          </w:p>
        </w:tc>
        <w:tc>
          <w:tcPr>
            <w:tcW w:w="5820" w:type="dxa"/>
            <w:tcBorders>
              <w:tl2br w:val="nil"/>
              <w:tr2bl w:val="nil"/>
            </w:tcBorders>
            <w:noWrap w:val="0"/>
            <w:vAlign w:val="top"/>
          </w:tcPr>
          <w:p w14:paraId="2DCFA77F">
            <w:pPr>
              <w:pStyle w:val="17"/>
              <w:spacing w:line="240" w:lineRule="auto"/>
              <w:rPr>
                <w:rFonts w:hint="default" w:ascii="Times New Roman" w:hAnsi="Times New Roman" w:cs="Times New Roman" w:eastAsiaTheme="majorEastAsia"/>
                <w:i w:val="0"/>
                <w:iCs w:val="0"/>
                <w:caps w:val="0"/>
                <w:color w:val="auto"/>
                <w:spacing w:val="0"/>
                <w:sz w:val="18"/>
                <w:szCs w:val="18"/>
                <w:shd w:val="clear" w:fill="FFFFFF"/>
              </w:rPr>
            </w:pPr>
            <w:r>
              <w:rPr>
                <w:rFonts w:hint="default" w:ascii="Times New Roman" w:hAnsi="Times New Roman" w:cs="Times New Roman" w:eastAsiaTheme="majorEastAsia"/>
                <w:i w:val="0"/>
                <w:iCs w:val="0"/>
                <w:caps w:val="0"/>
                <w:color w:val="auto"/>
                <w:spacing w:val="0"/>
                <w:sz w:val="18"/>
                <w:szCs w:val="18"/>
                <w:shd w:val="clear" w:fill="FFFFFF"/>
              </w:rPr>
              <w:t>产生、收集、贮存、运输、利用、处置固体废物的单位和其他生产经营者，应当采取防扬散、防流失、防渗漏或者其他防止污染环境的措施，不得擅自倾倒、堆放、丢弃、遗撒固体废物。</w:t>
            </w:r>
          </w:p>
        </w:tc>
        <w:tc>
          <w:tcPr>
            <w:tcW w:w="1804" w:type="dxa"/>
            <w:tcBorders>
              <w:tl2br w:val="nil"/>
              <w:tr2bl w:val="nil"/>
            </w:tcBorders>
            <w:noWrap w:val="0"/>
            <w:vAlign w:val="top"/>
          </w:tcPr>
          <w:p w14:paraId="2902FF94">
            <w:pPr>
              <w:pStyle w:val="17"/>
              <w:spacing w:line="240" w:lineRule="auto"/>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本项目对产生的固体废物（除尘灰、废机油等）产生、收集、贮存、运输等过程均采取扬散、防流失、防渗漏或者其他防止污染环境的措施</w:t>
            </w:r>
          </w:p>
        </w:tc>
        <w:tc>
          <w:tcPr>
            <w:tcW w:w="876" w:type="dxa"/>
            <w:tcBorders>
              <w:tl2br w:val="nil"/>
              <w:tr2bl w:val="nil"/>
            </w:tcBorders>
            <w:noWrap w:val="0"/>
            <w:vAlign w:val="center"/>
          </w:tcPr>
          <w:p w14:paraId="4FA35190">
            <w:pPr>
              <w:pStyle w:val="17"/>
              <w:spacing w:line="240" w:lineRule="auto"/>
              <w:ind w:left="0" w:leftChars="0" w:firstLine="0" w:firstLineChars="0"/>
              <w:jc w:val="both"/>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符合</w:t>
            </w:r>
          </w:p>
        </w:tc>
      </w:tr>
      <w:tr w14:paraId="23EA4E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noWrap w:val="0"/>
            <w:vAlign w:val="center"/>
          </w:tcPr>
          <w:p w14:paraId="37AF5BC6">
            <w:pPr>
              <w:pStyle w:val="17"/>
              <w:spacing w:line="240" w:lineRule="auto"/>
              <w:jc w:val="center"/>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4</w:t>
            </w:r>
          </w:p>
        </w:tc>
        <w:tc>
          <w:tcPr>
            <w:tcW w:w="5820" w:type="dxa"/>
            <w:tcBorders>
              <w:tl2br w:val="nil"/>
              <w:tr2bl w:val="nil"/>
            </w:tcBorders>
            <w:noWrap w:val="0"/>
            <w:vAlign w:val="top"/>
          </w:tcPr>
          <w:p w14:paraId="645E560A">
            <w:pPr>
              <w:pStyle w:val="17"/>
              <w:spacing w:line="240" w:lineRule="auto"/>
              <w:rPr>
                <w:rFonts w:hint="default" w:ascii="Times New Roman" w:hAnsi="Times New Roman" w:cs="Times New Roman" w:eastAsiaTheme="majorEastAsia"/>
                <w:i w:val="0"/>
                <w:iCs w:val="0"/>
                <w:caps w:val="0"/>
                <w:color w:val="auto"/>
                <w:spacing w:val="0"/>
                <w:sz w:val="18"/>
                <w:szCs w:val="18"/>
                <w:shd w:val="clear" w:fill="FFFFFF"/>
              </w:rPr>
            </w:pPr>
            <w:r>
              <w:rPr>
                <w:rFonts w:hint="default" w:ascii="Times New Roman" w:hAnsi="Times New Roman" w:cs="Times New Roman" w:eastAsiaTheme="majorEastAsia"/>
                <w:i w:val="0"/>
                <w:iCs w:val="0"/>
                <w:caps w:val="0"/>
                <w:color w:val="auto"/>
                <w:spacing w:val="0"/>
                <w:sz w:val="18"/>
                <w:szCs w:val="18"/>
                <w:shd w:val="clear" w:fill="FFFFFF"/>
              </w:rPr>
              <w:t>在生态保护红线区域、永久基本农田集中区域和其他需要特别保护的区域内，禁止建设工业固体废物、危险废物集中贮存、利用、处置的设施、场所和生活垃圾填埋场。</w:t>
            </w:r>
          </w:p>
        </w:tc>
        <w:tc>
          <w:tcPr>
            <w:tcW w:w="1804" w:type="dxa"/>
            <w:tcBorders>
              <w:tl2br w:val="nil"/>
              <w:tr2bl w:val="nil"/>
            </w:tcBorders>
            <w:noWrap w:val="0"/>
            <w:vAlign w:val="top"/>
          </w:tcPr>
          <w:p w14:paraId="2E396F84">
            <w:pPr>
              <w:pStyle w:val="17"/>
              <w:spacing w:line="240" w:lineRule="auto"/>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项目不在生态保护红线区域、永久基本农田集中区域和其他需要特别保护的区域内</w:t>
            </w:r>
          </w:p>
        </w:tc>
        <w:tc>
          <w:tcPr>
            <w:tcW w:w="876" w:type="dxa"/>
            <w:tcBorders>
              <w:tl2br w:val="nil"/>
              <w:tr2bl w:val="nil"/>
            </w:tcBorders>
            <w:noWrap w:val="0"/>
            <w:vAlign w:val="center"/>
          </w:tcPr>
          <w:p w14:paraId="23BD655D">
            <w:pPr>
              <w:pStyle w:val="17"/>
              <w:spacing w:line="240" w:lineRule="auto"/>
              <w:ind w:left="0" w:leftChars="0" w:firstLine="0" w:firstLineChars="0"/>
              <w:jc w:val="both"/>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符合</w:t>
            </w:r>
          </w:p>
        </w:tc>
      </w:tr>
      <w:tr w14:paraId="4BB06A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noWrap w:val="0"/>
            <w:vAlign w:val="center"/>
          </w:tcPr>
          <w:p w14:paraId="6D597F6C">
            <w:pPr>
              <w:pStyle w:val="17"/>
              <w:spacing w:line="240" w:lineRule="auto"/>
              <w:jc w:val="center"/>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5</w:t>
            </w:r>
          </w:p>
        </w:tc>
        <w:tc>
          <w:tcPr>
            <w:tcW w:w="5820" w:type="dxa"/>
            <w:tcBorders>
              <w:tl2br w:val="nil"/>
              <w:tr2bl w:val="nil"/>
            </w:tcBorders>
            <w:noWrap w:val="0"/>
            <w:vAlign w:val="top"/>
          </w:tcPr>
          <w:p w14:paraId="2BDB0BBB">
            <w:pPr>
              <w:pStyle w:val="17"/>
              <w:spacing w:line="240" w:lineRule="auto"/>
              <w:rPr>
                <w:rFonts w:hint="default" w:ascii="Times New Roman" w:hAnsi="Times New Roman" w:cs="Times New Roman" w:eastAsiaTheme="majorEastAsia"/>
                <w:i w:val="0"/>
                <w:iCs w:val="0"/>
                <w:caps w:val="0"/>
                <w:color w:val="auto"/>
                <w:spacing w:val="0"/>
                <w:sz w:val="18"/>
                <w:szCs w:val="18"/>
                <w:shd w:val="clear" w:fill="FFFFFF"/>
              </w:rPr>
            </w:pPr>
            <w:r>
              <w:rPr>
                <w:rFonts w:hint="default" w:ascii="Times New Roman" w:hAnsi="Times New Roman" w:cs="Times New Roman" w:eastAsiaTheme="majorEastAsia"/>
                <w:i w:val="0"/>
                <w:iCs w:val="0"/>
                <w:caps w:val="0"/>
                <w:color w:val="auto"/>
                <w:spacing w:val="0"/>
                <w:sz w:val="18"/>
                <w:szCs w:val="18"/>
                <w:shd w:val="clear" w:fill="FFFFFF"/>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tc>
        <w:tc>
          <w:tcPr>
            <w:tcW w:w="1804" w:type="dxa"/>
            <w:tcBorders>
              <w:tl2br w:val="nil"/>
              <w:tr2bl w:val="nil"/>
            </w:tcBorders>
            <w:noWrap w:val="0"/>
            <w:vAlign w:val="top"/>
          </w:tcPr>
          <w:p w14:paraId="0F6D8216">
            <w:pPr>
              <w:pStyle w:val="17"/>
              <w:spacing w:line="240" w:lineRule="auto"/>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项目建立工业固体废物管理台账，如实记录产生工业固体废物的种类、数量、流向、贮存、利用、处置等信息</w:t>
            </w:r>
          </w:p>
        </w:tc>
        <w:tc>
          <w:tcPr>
            <w:tcW w:w="876" w:type="dxa"/>
            <w:tcBorders>
              <w:tl2br w:val="nil"/>
              <w:tr2bl w:val="nil"/>
            </w:tcBorders>
            <w:noWrap w:val="0"/>
            <w:vAlign w:val="center"/>
          </w:tcPr>
          <w:p w14:paraId="1AB9B9A3">
            <w:pPr>
              <w:pStyle w:val="17"/>
              <w:spacing w:line="240" w:lineRule="auto"/>
              <w:ind w:left="0" w:leftChars="0" w:firstLine="0" w:firstLineChars="0"/>
              <w:jc w:val="both"/>
              <w:rPr>
                <w:rFonts w:hint="default" w:ascii="Times New Roman" w:hAnsi="Times New Roman" w:cs="Times New Roman" w:eastAsiaTheme="majorEastAsia"/>
                <w:color w:val="auto"/>
                <w:sz w:val="18"/>
                <w:szCs w:val="18"/>
                <w:vertAlign w:val="baseline"/>
                <w:lang w:val="en-US" w:eastAsia="zh-CN"/>
              </w:rPr>
            </w:pPr>
            <w:r>
              <w:rPr>
                <w:rFonts w:hint="default" w:ascii="Times New Roman" w:hAnsi="Times New Roman" w:cs="Times New Roman" w:eastAsiaTheme="majorEastAsia"/>
                <w:color w:val="auto"/>
                <w:sz w:val="18"/>
                <w:szCs w:val="18"/>
                <w:vertAlign w:val="baseline"/>
                <w:lang w:val="en-US" w:eastAsia="zh-CN"/>
              </w:rPr>
              <w:t>符合</w:t>
            </w:r>
          </w:p>
        </w:tc>
      </w:tr>
    </w:tbl>
    <w:p w14:paraId="4FC1F480">
      <w:pPr>
        <w:adjustRightInd w:val="0"/>
        <w:snapToGrid w:val="0"/>
        <w:spacing w:line="360" w:lineRule="auto"/>
        <w:ind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根据上表的分析可以看出，项目的建设符合《中华人民共和国固体废物污染环境防治法》中的相关要求。</w:t>
      </w:r>
    </w:p>
    <w:p w14:paraId="044DE426">
      <w:pPr>
        <w:pStyle w:val="6"/>
        <w:bidi w:val="0"/>
        <w:rPr>
          <w:rFonts w:hint="default" w:ascii="Times New Roman" w:hAnsi="Times New Roman" w:cs="Times New Roman"/>
        </w:rPr>
      </w:pPr>
      <w:r>
        <w:rPr>
          <w:rFonts w:hint="default" w:ascii="Times New Roman" w:hAnsi="Times New Roman" w:cs="Times New Roman"/>
          <w:color w:val="auto"/>
          <w:lang w:val="en-US" w:eastAsia="zh-CN"/>
        </w:rPr>
        <w:t>1.3.18</w:t>
      </w:r>
      <w:r>
        <w:rPr>
          <w:rFonts w:hint="default" w:ascii="Times New Roman" w:hAnsi="Times New Roman" w:cs="Times New Roman"/>
          <w:color w:val="auto"/>
        </w:rPr>
        <w:t>与《玉溪市矿产资源总体规</w:t>
      </w:r>
      <w:r>
        <w:rPr>
          <w:rFonts w:hint="default" w:ascii="Times New Roman" w:hAnsi="Times New Roman" w:cs="Times New Roman"/>
        </w:rPr>
        <w:t>划（2021</w:t>
      </w:r>
      <w:r>
        <w:rPr>
          <w:rFonts w:hint="default" w:ascii="Times New Roman" w:hAnsi="Times New Roman" w:cs="Times New Roman"/>
          <w:lang w:eastAsia="zh-CN"/>
        </w:rPr>
        <w:t>—</w:t>
      </w:r>
      <w:r>
        <w:rPr>
          <w:rFonts w:hint="default" w:ascii="Times New Roman" w:hAnsi="Times New Roman" w:cs="Times New Roman"/>
        </w:rPr>
        <w:t>2025年）》的符合性分析</w:t>
      </w:r>
      <w:bookmarkEnd w:id="81"/>
    </w:p>
    <w:p w14:paraId="6701DBAC">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《玉溪市矿产资源总体规划》（2021</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2025年）中“绿色矿山建设总体思路”中提出：①坚持绿色生产、资源高效利用，推动绿色生产，引导绿色消费，构建贯通矿产资源行业绿色全产业链；进一步提高资源利用效率，摒弃采富弃贫做法，贫富兼采，综合利用，最大限度地提高资源利用率。②坚持绿色循环经济，推进资源总量管理、科学配置、循环利用，推动能源清洁低碳安全高效利用；大力发展矿产资源行业中尾矿、尾渣循环再利用的研究与实用技术，大宗尾矿规模化高端利用技术，低品位和伴生矿物的选矿提纯及产品应用技术；加快发展有色金属再生循环利用产业，提高有价元素回收和保级升级再利用水平；加快磷矿山建设步伐，实现规模化保护性开采，实现矿山复垦利用，提高资源保障度，加大磷矿中伴生氟、硅、碘等资源回收循环利用。</w:t>
      </w:r>
    </w:p>
    <w:p w14:paraId="3C7FF327">
      <w:pPr>
        <w:pStyle w:val="11"/>
        <w:adjustRightInd w:val="0"/>
        <w:snapToGrid w:val="0"/>
        <w:spacing w:line="360" w:lineRule="auto"/>
        <w:ind w:firstLine="48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项目采用的工艺和设备不属于淘汰落后工艺和设备，不属于淘汰落后产能。项目生产工艺主要为破碎、筛分及磁选，生产产品主要为</w:t>
      </w:r>
      <w:r>
        <w:rPr>
          <w:rFonts w:hint="default" w:ascii="Times New Roman" w:hAnsi="Times New Roman" w:cs="Times New Roman" w:eastAsiaTheme="minorEastAsia"/>
          <w:sz w:val="24"/>
          <w:szCs w:val="24"/>
          <w:lang w:val="en-US" w:eastAsia="zh-CN"/>
        </w:rPr>
        <w:t>铁矿石</w:t>
      </w:r>
      <w:r>
        <w:rPr>
          <w:rFonts w:hint="default" w:ascii="Times New Roman" w:hAnsi="Times New Roman" w:cs="Times New Roman" w:eastAsiaTheme="minorEastAsia"/>
          <w:sz w:val="24"/>
          <w:szCs w:val="24"/>
        </w:rPr>
        <w:t>和非磁性产品</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砂石料</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无尾矿外排。项目符合《玉溪市矿产资源总体规划》（2021—2025年）中的绿色矿山建设“大力发展矿产资源行业中尾矿、尾渣循环再利用的研究与实用技术，大宗尾矿规模化高端利用技术，低品位和伴生矿物的选矿提纯及产品应用技术”的规划要求。</w:t>
      </w:r>
    </w:p>
    <w:p w14:paraId="6A5C8696">
      <w:pPr>
        <w:pStyle w:val="6"/>
        <w:bidi w:val="0"/>
        <w:rPr>
          <w:rFonts w:hint="default" w:ascii="Times New Roman" w:hAnsi="Times New Roman" w:cs="Times New Roman"/>
        </w:rPr>
      </w:pPr>
      <w:bookmarkStart w:id="82" w:name="_Toc1106"/>
      <w:r>
        <w:rPr>
          <w:rFonts w:hint="default" w:ascii="Times New Roman" w:hAnsi="Times New Roman" w:cs="Times New Roman"/>
          <w:lang w:val="en-US" w:eastAsia="zh-CN"/>
        </w:rPr>
        <w:t>1.3.19</w:t>
      </w:r>
      <w:r>
        <w:rPr>
          <w:rFonts w:hint="default" w:ascii="Times New Roman" w:hAnsi="Times New Roman" w:cs="Times New Roman"/>
        </w:rPr>
        <w:t>与</w:t>
      </w:r>
      <w:bookmarkStart w:id="83" w:name="_Hlk162516189"/>
      <w:r>
        <w:rPr>
          <w:rFonts w:hint="default" w:ascii="Times New Roman" w:hAnsi="Times New Roman" w:cs="Times New Roman"/>
        </w:rPr>
        <w:t>《玉溪市“十四五”生态建设和环境保护规划（2021-2025 年）》</w:t>
      </w:r>
      <w:bookmarkEnd w:id="83"/>
      <w:r>
        <w:rPr>
          <w:rFonts w:hint="default" w:ascii="Times New Roman" w:hAnsi="Times New Roman" w:cs="Times New Roman"/>
        </w:rPr>
        <w:t>符合性分析</w:t>
      </w:r>
      <w:bookmarkEnd w:id="82"/>
    </w:p>
    <w:p w14:paraId="5011824D">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本项目对照《玉溪市“十四五”生态建设和环境保护规划（2021-2025 年）》中与本项目有关的规划内容符合性分析详见下表。</w:t>
      </w:r>
    </w:p>
    <w:p w14:paraId="6BC066C8">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表1</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 xml:space="preserve">11  </w:t>
      </w:r>
      <w:r>
        <w:rPr>
          <w:rFonts w:hint="default" w:ascii="Times New Roman" w:hAnsi="Times New Roman" w:eastAsia="黑体" w:cs="Times New Roman"/>
          <w:b w:val="0"/>
          <w:bCs/>
          <w:sz w:val="21"/>
          <w:szCs w:val="21"/>
        </w:rPr>
        <w:t>项目与《玉溪市“十四五”生态建设和环境保护规划》符合性分析一览表</w:t>
      </w:r>
    </w:p>
    <w:tbl>
      <w:tblPr>
        <w:tblStyle w:val="3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00"/>
        <w:gridCol w:w="3564"/>
        <w:gridCol w:w="1422"/>
      </w:tblGrid>
      <w:tr w14:paraId="24627F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00" w:type="dxa"/>
            <w:tcBorders>
              <w:tl2br w:val="nil"/>
              <w:tr2bl w:val="nil"/>
            </w:tcBorders>
            <w:vAlign w:val="center"/>
          </w:tcPr>
          <w:p w14:paraId="31FB0A94">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规划内容</w:t>
            </w:r>
          </w:p>
        </w:tc>
        <w:tc>
          <w:tcPr>
            <w:tcW w:w="3481" w:type="dxa"/>
            <w:tcBorders>
              <w:tl2br w:val="nil"/>
              <w:tr2bl w:val="nil"/>
            </w:tcBorders>
            <w:vAlign w:val="center"/>
          </w:tcPr>
          <w:p w14:paraId="76C562B1">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项目情况</w:t>
            </w:r>
          </w:p>
        </w:tc>
        <w:tc>
          <w:tcPr>
            <w:tcW w:w="1389" w:type="dxa"/>
            <w:tcBorders>
              <w:tl2br w:val="nil"/>
              <w:tr2bl w:val="nil"/>
            </w:tcBorders>
            <w:vAlign w:val="center"/>
          </w:tcPr>
          <w:p w14:paraId="412780B1">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符合情况</w:t>
            </w:r>
          </w:p>
        </w:tc>
      </w:tr>
      <w:tr w14:paraId="7C530C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070" w:type="dxa"/>
            <w:gridSpan w:val="3"/>
            <w:tcBorders>
              <w:tl2br w:val="nil"/>
              <w:tr2bl w:val="nil"/>
            </w:tcBorders>
            <w:vAlign w:val="center"/>
          </w:tcPr>
          <w:p w14:paraId="36DB80E5">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第五章 坚持创新引领，推动绿色低碳发展</w:t>
            </w:r>
          </w:p>
          <w:p w14:paraId="0290EE41">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第一节 调整产业结构</w:t>
            </w:r>
          </w:p>
        </w:tc>
      </w:tr>
      <w:tr w14:paraId="544B34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00" w:type="dxa"/>
            <w:tcBorders>
              <w:tl2br w:val="nil"/>
              <w:tr2bl w:val="nil"/>
            </w:tcBorders>
            <w:vAlign w:val="center"/>
          </w:tcPr>
          <w:p w14:paraId="085A50B5">
            <w:pPr>
              <w:autoSpaceDE w:val="0"/>
              <w:autoSpaceDN w:val="0"/>
              <w:adjustRightInd w:val="0"/>
              <w:spacing w:line="240" w:lineRule="auto"/>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一、加快构建现代化产业体系</w:t>
            </w:r>
          </w:p>
          <w:p w14:paraId="3E56A7D6">
            <w:pPr>
              <w:autoSpaceDE w:val="0"/>
              <w:autoSpaceDN w:val="0"/>
              <w:adjustRightInd w:val="0"/>
              <w:spacing w:line="240" w:lineRule="auto"/>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（二）矿冶产业</w:t>
            </w:r>
          </w:p>
          <w:p w14:paraId="17C754B5">
            <w:pPr>
              <w:autoSpaceDE w:val="0"/>
              <w:autoSpaceDN w:val="0"/>
              <w:adjustRightInd w:val="0"/>
              <w:spacing w:line="240" w:lineRule="auto"/>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落实碳达峰、碳中和决策部署，严格实行能源消费强度和总量双控，加快节能降碳工艺革新，推进矿冶产业向开放型、创新型和绿色化、信息化、高端化发展。以产业兼并重组、淘汰落后产能和技术升级改造为抓手，推动矿山、冶炼、加工全链条发展，加快钢铁行业转型升级，建成现代化“绿色钢城”。优化发展化工产业，严格控制黄磷产能规模，鼓励发展黄磷深加工和磷酸精细加工为主的精细化工产业，延伸产业链，提高资源综合利用水平和环境综合治理能力。</w:t>
            </w:r>
          </w:p>
        </w:tc>
        <w:tc>
          <w:tcPr>
            <w:tcW w:w="3481" w:type="dxa"/>
            <w:tcBorders>
              <w:tl2br w:val="nil"/>
              <w:tr2bl w:val="nil"/>
            </w:tcBorders>
            <w:vAlign w:val="center"/>
          </w:tcPr>
          <w:p w14:paraId="0A37F376">
            <w:pPr>
              <w:autoSpaceDE w:val="0"/>
              <w:autoSpaceDN w:val="0"/>
              <w:spacing w:line="240" w:lineRule="auto"/>
              <w:ind w:firstLine="360" w:firstLineChars="20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本项目属于B0810铁矿采选中的选矿项目，项目选矿工艺为干式磁选工艺，提高了铁矿综合回收率。项目无选矿废水产生，项目废气主要为颗粒物，经采取袋式除尘处理后可达标排放。本项目尾矿作为非磁性产品</w:t>
            </w:r>
            <w:r>
              <w:rPr>
                <w:rFonts w:hint="default" w:ascii="Times New Roman" w:hAnsi="Times New Roman" w:cs="Times New Roman" w:eastAsiaTheme="minorEastAsia"/>
                <w:sz w:val="18"/>
                <w:szCs w:val="18"/>
                <w:lang w:val="en-US" w:eastAsia="zh-CN"/>
              </w:rPr>
              <w:t>砂石料</w:t>
            </w:r>
            <w:r>
              <w:rPr>
                <w:rFonts w:hint="default" w:ascii="Times New Roman" w:hAnsi="Times New Roman" w:cs="Times New Roman" w:eastAsiaTheme="minorEastAsia"/>
                <w:sz w:val="18"/>
                <w:szCs w:val="18"/>
              </w:rPr>
              <w:t>用于道路维护、工业场地建设以及</w:t>
            </w:r>
            <w:r>
              <w:rPr>
                <w:rFonts w:hint="default" w:ascii="Times New Roman" w:hAnsi="Times New Roman" w:cs="Times New Roman" w:eastAsiaTheme="minorEastAsia"/>
                <w:sz w:val="18"/>
                <w:szCs w:val="18"/>
                <w:lang w:val="en-US" w:eastAsia="zh-CN"/>
              </w:rPr>
              <w:t>外售建材公司</w:t>
            </w:r>
            <w:r>
              <w:rPr>
                <w:rFonts w:hint="default" w:ascii="Times New Roman" w:hAnsi="Times New Roman" w:cs="Times New Roman" w:eastAsiaTheme="minorEastAsia"/>
                <w:sz w:val="18"/>
                <w:szCs w:val="18"/>
              </w:rPr>
              <w:t>，无废石排放。</w:t>
            </w:r>
          </w:p>
        </w:tc>
        <w:tc>
          <w:tcPr>
            <w:tcW w:w="1389" w:type="dxa"/>
            <w:tcBorders>
              <w:tl2br w:val="nil"/>
              <w:tr2bl w:val="nil"/>
            </w:tcBorders>
            <w:vAlign w:val="center"/>
          </w:tcPr>
          <w:p w14:paraId="25CC30CF">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符合</w:t>
            </w:r>
          </w:p>
        </w:tc>
      </w:tr>
      <w:tr w14:paraId="7D4A6D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070" w:type="dxa"/>
            <w:gridSpan w:val="3"/>
            <w:tcBorders>
              <w:tl2br w:val="nil"/>
              <w:tr2bl w:val="nil"/>
            </w:tcBorders>
            <w:vAlign w:val="center"/>
          </w:tcPr>
          <w:p w14:paraId="05DEAF57">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第八章 统筹协调，深入打好污染防治攻坚战</w:t>
            </w:r>
          </w:p>
          <w:p w14:paraId="327B77F1">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第一节 深化“三水”统筹，提升水生态环境</w:t>
            </w:r>
          </w:p>
        </w:tc>
      </w:tr>
      <w:tr w14:paraId="10EBC7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00" w:type="dxa"/>
            <w:tcBorders>
              <w:tl2br w:val="nil"/>
              <w:tr2bl w:val="nil"/>
            </w:tcBorders>
            <w:vAlign w:val="center"/>
          </w:tcPr>
          <w:p w14:paraId="1594462A">
            <w:pPr>
              <w:autoSpaceDE w:val="0"/>
              <w:autoSpaceDN w:val="0"/>
              <w:adjustRightInd w:val="0"/>
              <w:spacing w:line="240" w:lineRule="auto"/>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三、元江流域</w:t>
            </w:r>
          </w:p>
          <w:p w14:paraId="1982895B">
            <w:pPr>
              <w:autoSpaceDE w:val="0"/>
              <w:autoSpaceDN w:val="0"/>
              <w:adjustRightInd w:val="0"/>
              <w:spacing w:line="240" w:lineRule="auto"/>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（二）新平县工矿污染控制与脆弱生态修复</w:t>
            </w:r>
          </w:p>
          <w:p w14:paraId="58313E27">
            <w:pPr>
              <w:autoSpaceDE w:val="0"/>
              <w:autoSpaceDN w:val="0"/>
              <w:adjustRightInd w:val="0"/>
              <w:spacing w:line="240" w:lineRule="auto"/>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新平主要工业污染行业是制糖业与矿产开采业，制糖废水具有短期集中排放的显著特点，短期对河流水质有较大和直接影响，进而影响长期河流生态系统和自净能力。新平矿产资源丰富，资源种类较多，矿产资源是新平县的优势资源，全县矿产资源种类和总资源储量位居玉溪市前列，拥有全国著名的大红山铁铜多金属矿床和鲁奎山铁矿床。采矿及加工企业数量较多，工矿业的发展同时也带来了污染问题。针对新平工矿业污染特点，规划实施重点工业企业污染源防治、重点工业园区</w:t>
            </w:r>
            <w:r>
              <w:rPr>
                <w:rFonts w:hint="default" w:ascii="Times New Roman" w:hAnsi="Times New Roman" w:cs="Times New Roman" w:eastAsiaTheme="minorEastAsia"/>
                <w:sz w:val="18"/>
                <w:szCs w:val="18"/>
                <w:lang w:eastAsia="zh-CN"/>
              </w:rPr>
              <w:t>（</w:t>
            </w:r>
            <w:r>
              <w:rPr>
                <w:rFonts w:hint="default" w:ascii="Times New Roman" w:hAnsi="Times New Roman" w:cs="Times New Roman" w:eastAsiaTheme="minorEastAsia"/>
                <w:sz w:val="18"/>
                <w:szCs w:val="18"/>
              </w:rPr>
              <w:t>片区</w:t>
            </w:r>
            <w:r>
              <w:rPr>
                <w:rFonts w:hint="default" w:ascii="Times New Roman" w:hAnsi="Times New Roman" w:cs="Times New Roman" w:eastAsiaTheme="minorEastAsia"/>
                <w:sz w:val="18"/>
                <w:szCs w:val="18"/>
                <w:lang w:eastAsia="zh-CN"/>
              </w:rPr>
              <w:t>）</w:t>
            </w:r>
            <w:r>
              <w:rPr>
                <w:rFonts w:hint="default" w:ascii="Times New Roman" w:hAnsi="Times New Roman" w:cs="Times New Roman" w:eastAsiaTheme="minorEastAsia"/>
                <w:sz w:val="18"/>
                <w:szCs w:val="18"/>
              </w:rPr>
              <w:t>污水处理、工业固废有序处置与综合利用、矿山生态修复。</w:t>
            </w:r>
          </w:p>
        </w:tc>
        <w:tc>
          <w:tcPr>
            <w:tcW w:w="3481" w:type="dxa"/>
            <w:tcBorders>
              <w:tl2br w:val="nil"/>
              <w:tr2bl w:val="nil"/>
            </w:tcBorders>
            <w:vAlign w:val="center"/>
          </w:tcPr>
          <w:p w14:paraId="4AC931A1">
            <w:pPr>
              <w:autoSpaceDE w:val="0"/>
              <w:autoSpaceDN w:val="0"/>
              <w:adjustRightInd w:val="0"/>
              <w:spacing w:line="240" w:lineRule="auto"/>
              <w:ind w:firstLine="360" w:firstLineChars="20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本项目属于B0810铁矿采选中的选矿项目，项目无选矿废水产生，生活污水经</w:t>
            </w:r>
            <w:r>
              <w:rPr>
                <w:rFonts w:hint="default" w:ascii="Times New Roman" w:hAnsi="Times New Roman" w:cs="Times New Roman" w:eastAsiaTheme="minorEastAsia"/>
                <w:sz w:val="18"/>
                <w:szCs w:val="18"/>
                <w:lang w:val="en-US" w:eastAsia="zh-CN"/>
              </w:rPr>
              <w:t>矿山</w:t>
            </w:r>
            <w:r>
              <w:rPr>
                <w:rFonts w:hint="default" w:ascii="Times New Roman" w:hAnsi="Times New Roman" w:cs="Times New Roman" w:eastAsiaTheme="minorEastAsia"/>
                <w:sz w:val="18"/>
                <w:szCs w:val="18"/>
              </w:rPr>
              <w:t>污水处理站处理后，回用于</w:t>
            </w:r>
            <w:r>
              <w:rPr>
                <w:rFonts w:hint="default" w:ascii="Times New Roman" w:hAnsi="Times New Roman" w:cs="Times New Roman" w:eastAsiaTheme="minorEastAsia"/>
                <w:sz w:val="18"/>
                <w:szCs w:val="18"/>
                <w:lang w:val="en-US" w:eastAsia="zh-CN"/>
              </w:rPr>
              <w:t>矿山</w:t>
            </w:r>
            <w:r>
              <w:rPr>
                <w:rFonts w:hint="default" w:ascii="Times New Roman" w:hAnsi="Times New Roman" w:cs="Times New Roman" w:eastAsiaTheme="minorEastAsia"/>
                <w:sz w:val="18"/>
                <w:szCs w:val="18"/>
              </w:rPr>
              <w:t>绿化用水及洒水降尘，初期雨水经雨水收集池沉淀处理后回用于项目洒水降尘，废水不外排。</w:t>
            </w:r>
          </w:p>
          <w:p w14:paraId="46B69831">
            <w:pPr>
              <w:autoSpaceDE w:val="0"/>
              <w:autoSpaceDN w:val="0"/>
              <w:adjustRightInd w:val="0"/>
              <w:spacing w:line="240" w:lineRule="auto"/>
              <w:ind w:firstLine="360" w:firstLineChars="20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项目废气主要为颗粒物，经采取袋式除尘处理后可达标排放。</w:t>
            </w:r>
          </w:p>
          <w:p w14:paraId="6C03EC89">
            <w:pPr>
              <w:autoSpaceDE w:val="0"/>
              <w:autoSpaceDN w:val="0"/>
              <w:adjustRightInd w:val="0"/>
              <w:spacing w:line="240" w:lineRule="auto"/>
              <w:ind w:firstLine="360" w:firstLineChars="20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本项目尾矿作为非磁性产品</w:t>
            </w:r>
            <w:r>
              <w:rPr>
                <w:rFonts w:hint="default" w:ascii="Times New Roman" w:hAnsi="Times New Roman" w:cs="Times New Roman" w:eastAsiaTheme="minorEastAsia"/>
                <w:sz w:val="18"/>
                <w:szCs w:val="18"/>
                <w:lang w:val="en-US" w:eastAsia="zh-CN"/>
              </w:rPr>
              <w:t>砂石料</w:t>
            </w:r>
            <w:r>
              <w:rPr>
                <w:rFonts w:hint="default" w:ascii="Times New Roman" w:hAnsi="Times New Roman" w:cs="Times New Roman" w:eastAsiaTheme="minorEastAsia"/>
                <w:sz w:val="18"/>
                <w:szCs w:val="18"/>
              </w:rPr>
              <w:t>，</w:t>
            </w:r>
            <w:r>
              <w:rPr>
                <w:rFonts w:hint="default" w:ascii="Times New Roman" w:hAnsi="Times New Roman" w:cs="Times New Roman" w:eastAsiaTheme="minorEastAsia"/>
                <w:color w:val="auto"/>
                <w:sz w:val="18"/>
                <w:szCs w:val="18"/>
              </w:rPr>
              <w:t>用于道路维护、工业场地建设以及</w:t>
            </w:r>
            <w:r>
              <w:rPr>
                <w:rFonts w:hint="default" w:ascii="Times New Roman" w:hAnsi="Times New Roman" w:cs="Times New Roman" w:eastAsiaTheme="minorEastAsia"/>
                <w:color w:val="auto"/>
                <w:sz w:val="18"/>
                <w:szCs w:val="18"/>
                <w:lang w:val="en-US" w:eastAsia="zh-CN"/>
              </w:rPr>
              <w:t>外售建材公司</w:t>
            </w:r>
            <w:r>
              <w:rPr>
                <w:rFonts w:hint="default" w:ascii="Times New Roman" w:hAnsi="Times New Roman" w:cs="Times New Roman" w:eastAsiaTheme="minorEastAsia"/>
                <w:color w:val="auto"/>
                <w:sz w:val="18"/>
                <w:szCs w:val="18"/>
                <w:lang w:eastAsia="zh-CN"/>
              </w:rPr>
              <w:t>。除尘灰外售</w:t>
            </w:r>
            <w:r>
              <w:rPr>
                <w:rFonts w:hint="default" w:ascii="Times New Roman" w:hAnsi="Times New Roman" w:cs="Times New Roman" w:eastAsiaTheme="minorEastAsia"/>
                <w:color w:val="auto"/>
                <w:sz w:val="18"/>
                <w:szCs w:val="18"/>
                <w:lang w:val="en-US" w:eastAsia="zh-CN"/>
              </w:rPr>
              <w:t>新平甬福环保有限公司用于矿渣微粉生产线使用。</w:t>
            </w:r>
            <w:r>
              <w:rPr>
                <w:rFonts w:hint="default" w:ascii="Times New Roman" w:hAnsi="Times New Roman" w:cs="Times New Roman" w:eastAsiaTheme="minorEastAsia"/>
                <w:sz w:val="18"/>
                <w:szCs w:val="18"/>
              </w:rPr>
              <w:t>项目固体废物储存场设置分区防渗，配备完善的污染防治措施。</w:t>
            </w:r>
          </w:p>
        </w:tc>
        <w:tc>
          <w:tcPr>
            <w:tcW w:w="1389" w:type="dxa"/>
            <w:tcBorders>
              <w:tl2br w:val="nil"/>
              <w:tr2bl w:val="nil"/>
            </w:tcBorders>
            <w:vAlign w:val="center"/>
          </w:tcPr>
          <w:p w14:paraId="091AD3B5">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符合</w:t>
            </w:r>
          </w:p>
        </w:tc>
      </w:tr>
      <w:tr w14:paraId="42399F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070" w:type="dxa"/>
            <w:gridSpan w:val="3"/>
            <w:tcBorders>
              <w:tl2br w:val="nil"/>
              <w:tr2bl w:val="nil"/>
            </w:tcBorders>
            <w:vAlign w:val="center"/>
          </w:tcPr>
          <w:p w14:paraId="6220CE05">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第八章 统筹协调，深入打好污染防治攻坚战</w:t>
            </w:r>
          </w:p>
          <w:p w14:paraId="47AA3801">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第二节 加强协同控制，改善大气环境</w:t>
            </w:r>
          </w:p>
        </w:tc>
      </w:tr>
      <w:tr w14:paraId="009DCC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00" w:type="dxa"/>
            <w:tcBorders>
              <w:tl2br w:val="nil"/>
              <w:tr2bl w:val="nil"/>
            </w:tcBorders>
            <w:vAlign w:val="center"/>
          </w:tcPr>
          <w:p w14:paraId="558021A0">
            <w:pPr>
              <w:autoSpaceDE w:val="0"/>
              <w:autoSpaceDN w:val="0"/>
              <w:adjustRightInd w:val="0"/>
              <w:spacing w:line="240" w:lineRule="auto"/>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一、控制污染物排放</w:t>
            </w:r>
          </w:p>
          <w:p w14:paraId="01E40EA5">
            <w:pPr>
              <w:autoSpaceDE w:val="0"/>
              <w:autoSpaceDN w:val="0"/>
              <w:adjustRightInd w:val="0"/>
              <w:spacing w:line="240" w:lineRule="auto"/>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（一）优化产业空间布局</w:t>
            </w:r>
          </w:p>
          <w:p w14:paraId="5C693426">
            <w:pPr>
              <w:autoSpaceDE w:val="0"/>
              <w:autoSpaceDN w:val="0"/>
              <w:adjustRightInd w:val="0"/>
              <w:spacing w:line="240" w:lineRule="auto"/>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按照云南省主体功能区规划要求，合理确定重点产业发展布局、结构和规模。科学制定并严格实施城乡规划，强化城市空间管制和绿地控制要求，规范各类产业园区和城市新城、新区的设立和布局，城市规划时注重城市风道布局，优化城市大气扩散条件。</w:t>
            </w:r>
          </w:p>
          <w:p w14:paraId="0A9FE7DF">
            <w:pPr>
              <w:autoSpaceDE w:val="0"/>
              <w:autoSpaceDN w:val="0"/>
              <w:adjustRightInd w:val="0"/>
              <w:spacing w:line="240" w:lineRule="auto"/>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（二）有序开展结构调整</w:t>
            </w:r>
          </w:p>
          <w:p w14:paraId="0707178C">
            <w:pPr>
              <w:autoSpaceDE w:val="0"/>
              <w:autoSpaceDN w:val="0"/>
              <w:adjustRightInd w:val="0"/>
              <w:spacing w:line="240" w:lineRule="auto"/>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调整优化产业结构，推进产业绿色发展。按照云南省环境管控单元生态环境准入清单要求，各县（市、区）必须严格执行生态环境准入清单的管控要求，明确禁止和限制发展的行业、生产工艺和产业目录。</w:t>
            </w:r>
          </w:p>
        </w:tc>
        <w:tc>
          <w:tcPr>
            <w:tcW w:w="3481" w:type="dxa"/>
            <w:tcBorders>
              <w:tl2br w:val="nil"/>
              <w:tr2bl w:val="nil"/>
            </w:tcBorders>
            <w:vAlign w:val="center"/>
          </w:tcPr>
          <w:p w14:paraId="50E02B1F">
            <w:pPr>
              <w:autoSpaceDE w:val="0"/>
              <w:autoSpaceDN w:val="0"/>
              <w:adjustRightInd w:val="0"/>
              <w:spacing w:line="240" w:lineRule="auto"/>
              <w:ind w:firstLine="360" w:firstLineChars="20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本项目建设符合</w:t>
            </w:r>
            <w:r>
              <w:rPr>
                <w:rFonts w:hint="default" w:ascii="Times New Roman" w:hAnsi="Times New Roman" w:cs="Times New Roman" w:eastAsiaTheme="minorEastAsia"/>
                <w:sz w:val="18"/>
                <w:szCs w:val="18"/>
                <w:lang w:val="en-US" w:eastAsia="zh-CN"/>
              </w:rPr>
              <w:t>玉溪市生态环境局《关于印发玉溪市生态环境分区管控动态更新调整方案（2023年）的通知》（玉市环〔2024〕40号）</w:t>
            </w:r>
            <w:r>
              <w:rPr>
                <w:rFonts w:hint="default" w:ascii="Times New Roman" w:hAnsi="Times New Roman" w:cs="Times New Roman" w:eastAsiaTheme="minorEastAsia"/>
                <w:color w:val="auto"/>
                <w:sz w:val="18"/>
                <w:szCs w:val="18"/>
              </w:rPr>
              <w:t>的相关管控要求。</w:t>
            </w:r>
          </w:p>
        </w:tc>
        <w:tc>
          <w:tcPr>
            <w:tcW w:w="1389" w:type="dxa"/>
            <w:tcBorders>
              <w:tl2br w:val="nil"/>
              <w:tr2bl w:val="nil"/>
            </w:tcBorders>
            <w:vAlign w:val="center"/>
          </w:tcPr>
          <w:p w14:paraId="57AD00FF">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符合</w:t>
            </w:r>
          </w:p>
        </w:tc>
      </w:tr>
      <w:tr w14:paraId="4E326F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0" w:type="dxa"/>
            <w:gridSpan w:val="3"/>
            <w:tcBorders>
              <w:tl2br w:val="nil"/>
              <w:tr2bl w:val="nil"/>
            </w:tcBorders>
            <w:vAlign w:val="center"/>
          </w:tcPr>
          <w:p w14:paraId="41AF4AED">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第八章 统筹协调，深入打好污染防治攻坚战</w:t>
            </w:r>
          </w:p>
          <w:p w14:paraId="7FF7E4DE">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第五节 加强固废管理，推进资源化利用</w:t>
            </w:r>
          </w:p>
        </w:tc>
      </w:tr>
      <w:tr w14:paraId="7A3BE5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00" w:type="dxa"/>
            <w:tcBorders>
              <w:tl2br w:val="nil"/>
              <w:tr2bl w:val="nil"/>
            </w:tcBorders>
            <w:vAlign w:val="center"/>
          </w:tcPr>
          <w:p w14:paraId="14CCF991">
            <w:pPr>
              <w:autoSpaceDE w:val="0"/>
              <w:autoSpaceDN w:val="0"/>
              <w:adjustRightInd w:val="0"/>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五、加强工业固废的综合利用和无害化处置</w:t>
            </w:r>
          </w:p>
          <w:p w14:paraId="335587B3">
            <w:pPr>
              <w:autoSpaceDE w:val="0"/>
              <w:autoSpaceDN w:val="0"/>
              <w:adjustRightInd w:val="0"/>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全面推进清洁生产，源头减少固体废物产生量。大力推进清洁生产，实行产业、产品结构调整与清洁生产技术相结合，全面实施增产增效、降耗减废等政策。通过更新生产设备，采用先进生产工艺，同时关停、改造落后生产工艺与设备，降低能源和原材料的消耗，从源头上减少工业固体废物产生量，实施大宗工业固体废物综合利用工程，以烟草、矿冶、建材、制药与食品加工行业为重点，推进尾矿、低品位矿、工业废渣和药渣综合利用。</w:t>
            </w:r>
          </w:p>
        </w:tc>
        <w:tc>
          <w:tcPr>
            <w:tcW w:w="3481" w:type="dxa"/>
            <w:tcBorders>
              <w:tl2br w:val="nil"/>
              <w:tr2bl w:val="nil"/>
            </w:tcBorders>
            <w:vAlign w:val="center"/>
          </w:tcPr>
          <w:p w14:paraId="7FDA53F5">
            <w:pPr>
              <w:autoSpaceDE w:val="0"/>
              <w:autoSpaceDN w:val="0"/>
              <w:adjustRightInd w:val="0"/>
              <w:spacing w:line="240" w:lineRule="auto"/>
              <w:ind w:firstLine="360" w:firstLineChars="20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本项目磁选后尾矿作为非磁性产品</w:t>
            </w:r>
            <w:r>
              <w:rPr>
                <w:rFonts w:hint="default" w:ascii="Times New Roman" w:hAnsi="Times New Roman" w:cs="Times New Roman" w:eastAsiaTheme="minorEastAsia"/>
                <w:color w:val="auto"/>
                <w:sz w:val="18"/>
                <w:szCs w:val="18"/>
                <w:lang w:val="en-US" w:eastAsia="zh-CN"/>
              </w:rPr>
              <w:t>砂石料</w:t>
            </w:r>
            <w:r>
              <w:rPr>
                <w:rFonts w:hint="default" w:ascii="Times New Roman" w:hAnsi="Times New Roman" w:cs="Times New Roman" w:eastAsiaTheme="minorEastAsia"/>
                <w:color w:val="auto"/>
                <w:sz w:val="18"/>
                <w:szCs w:val="18"/>
              </w:rPr>
              <w:t>用于道路维护、工业场地建设以及</w:t>
            </w:r>
            <w:r>
              <w:rPr>
                <w:rFonts w:hint="default" w:ascii="Times New Roman" w:hAnsi="Times New Roman" w:cs="Times New Roman" w:eastAsiaTheme="minorEastAsia"/>
                <w:color w:val="auto"/>
                <w:sz w:val="18"/>
                <w:szCs w:val="18"/>
                <w:lang w:val="en-US" w:eastAsia="zh-CN"/>
              </w:rPr>
              <w:t>外售建材公司。</w:t>
            </w:r>
            <w:r>
              <w:rPr>
                <w:rFonts w:hint="default" w:ascii="Times New Roman" w:hAnsi="Times New Roman" w:cs="Times New Roman" w:eastAsiaTheme="minorEastAsia"/>
                <w:bCs/>
                <w:color w:val="auto"/>
                <w:sz w:val="18"/>
                <w:szCs w:val="18"/>
                <w:lang w:val="en-US" w:eastAsia="zh-CN"/>
              </w:rPr>
              <w:t>除尘灰外售</w:t>
            </w:r>
            <w:r>
              <w:rPr>
                <w:rFonts w:hint="default" w:ascii="Times New Roman" w:hAnsi="Times New Roman" w:cs="Times New Roman" w:eastAsiaTheme="minorEastAsia"/>
                <w:color w:val="auto"/>
                <w:sz w:val="18"/>
                <w:szCs w:val="18"/>
                <w:lang w:val="en-US" w:eastAsia="zh-CN"/>
              </w:rPr>
              <w:t>新平甬福环保有限公司用于矿渣微粉生产线使用。</w:t>
            </w:r>
            <w:r>
              <w:rPr>
                <w:rFonts w:hint="default" w:ascii="Times New Roman" w:hAnsi="Times New Roman" w:cs="Times New Roman" w:eastAsiaTheme="minorEastAsia"/>
                <w:color w:val="auto"/>
                <w:sz w:val="18"/>
                <w:szCs w:val="18"/>
              </w:rPr>
              <w:t>从源头上减少工业固体废物产生量，资源化利用。</w:t>
            </w:r>
          </w:p>
        </w:tc>
        <w:tc>
          <w:tcPr>
            <w:tcW w:w="1389" w:type="dxa"/>
            <w:tcBorders>
              <w:tl2br w:val="nil"/>
              <w:tr2bl w:val="nil"/>
            </w:tcBorders>
            <w:vAlign w:val="center"/>
          </w:tcPr>
          <w:p w14:paraId="6134EAB1">
            <w:pPr>
              <w:autoSpaceDE w:val="0"/>
              <w:autoSpaceDN w:val="0"/>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符合</w:t>
            </w:r>
          </w:p>
        </w:tc>
      </w:tr>
    </w:tbl>
    <w:p w14:paraId="74EC4306">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根据上表分析，本项目符合《玉溪市“十四五”生态建设和环境保护规划（2021-2025 年）》中与本项目有关规划内容的要求。</w:t>
      </w:r>
    </w:p>
    <w:p w14:paraId="0B88A74C">
      <w:pPr>
        <w:pStyle w:val="6"/>
        <w:bidi w:val="0"/>
        <w:rPr>
          <w:rFonts w:hint="default" w:ascii="Times New Roman" w:hAnsi="Times New Roman" w:cs="Times New Roman" w:eastAsiaTheme="minorEastAsia"/>
          <w:sz w:val="24"/>
          <w:szCs w:val="24"/>
        </w:rPr>
      </w:pPr>
      <w:bookmarkStart w:id="84" w:name="_Toc28700"/>
      <w:bookmarkStart w:id="85" w:name="_Toc165816714"/>
      <w:r>
        <w:rPr>
          <w:rFonts w:hint="default" w:ascii="Times New Roman" w:hAnsi="Times New Roman" w:cs="Times New Roman" w:eastAsiaTheme="minorEastAsia"/>
          <w:sz w:val="24"/>
          <w:szCs w:val="24"/>
          <w:lang w:val="en-US" w:eastAsia="zh-CN"/>
        </w:rPr>
        <w:t>1.3.20与</w:t>
      </w:r>
      <w:r>
        <w:rPr>
          <w:rFonts w:hint="default" w:ascii="Times New Roman" w:hAnsi="Times New Roman" w:cs="Times New Roman" w:eastAsiaTheme="minorEastAsia"/>
          <w:sz w:val="24"/>
          <w:szCs w:val="24"/>
        </w:rPr>
        <w:t>“</w:t>
      </w:r>
      <w:r>
        <w:rPr>
          <w:rFonts w:hint="default" w:ascii="Times New Roman" w:hAnsi="Times New Roman" w:eastAsia="宋体" w:cs="Times New Roman"/>
          <w:kern w:val="0"/>
          <w:sz w:val="24"/>
          <w:szCs w:val="24"/>
        </w:rPr>
        <w:t>玉溪市生态环境</w:t>
      </w:r>
      <w:r>
        <w:rPr>
          <w:rFonts w:hint="default" w:ascii="Times New Roman" w:hAnsi="Times New Roman" w:cs="Times New Roman" w:eastAsiaTheme="minorEastAsia"/>
          <w:sz w:val="24"/>
          <w:szCs w:val="24"/>
          <w:lang w:val="en-US" w:eastAsia="zh-CN"/>
        </w:rPr>
        <w:t>分</w:t>
      </w:r>
      <w:r>
        <w:rPr>
          <w:rFonts w:hint="default" w:ascii="Times New Roman" w:hAnsi="Times New Roman" w:cs="Times New Roman" w:eastAsiaTheme="minorEastAsia"/>
          <w:sz w:val="24"/>
          <w:szCs w:val="24"/>
        </w:rPr>
        <w:t>区管控动态更新调整方案”符合性分析</w:t>
      </w:r>
      <w:bookmarkEnd w:id="84"/>
      <w:bookmarkEnd w:id="85"/>
    </w:p>
    <w:p w14:paraId="09CB80D4">
      <w:pPr>
        <w:spacing w:line="360" w:lineRule="auto"/>
        <w:ind w:firstLine="480" w:firstLineChars="200"/>
        <w:rPr>
          <w:rFonts w:hint="default" w:ascii="Times New Roman" w:hAnsi="Times New Roman" w:cs="Times New Roman"/>
          <w:color w:val="auto"/>
          <w:sz w:val="24"/>
          <w:u w:val="none"/>
          <w:lang w:val="en-US" w:eastAsia="zh-CN"/>
        </w:rPr>
      </w:pPr>
      <w:r>
        <w:rPr>
          <w:rFonts w:hint="default" w:ascii="Times New Roman" w:hAnsi="Times New Roman" w:cs="Times New Roman"/>
          <w:color w:val="auto"/>
          <w:sz w:val="24"/>
          <w:u w:val="none"/>
        </w:rPr>
        <w:t>为认真贯彻落实国家部署要求，</w:t>
      </w:r>
      <w:r>
        <w:rPr>
          <w:rFonts w:hint="default" w:ascii="Times New Roman" w:hAnsi="Times New Roman" w:cs="Times New Roman"/>
          <w:color w:val="auto"/>
          <w:sz w:val="24"/>
          <w:u w:val="none"/>
          <w:lang w:val="en-US" w:eastAsia="zh-CN"/>
        </w:rPr>
        <w:t>云南省生态环境</w:t>
      </w:r>
      <w:r>
        <w:rPr>
          <w:rFonts w:hint="default" w:ascii="Times New Roman" w:hAnsi="Times New Roman" w:cs="Times New Roman"/>
          <w:color w:val="auto"/>
          <w:sz w:val="24"/>
          <w:u w:val="none"/>
        </w:rPr>
        <w:t>厅组织开展了州</w:t>
      </w:r>
      <w:r>
        <w:rPr>
          <w:rFonts w:hint="default" w:ascii="Times New Roman" w:hAnsi="Times New Roman" w:cs="Times New Roman"/>
          <w:color w:val="auto"/>
          <w:sz w:val="24"/>
          <w:u w:val="none"/>
          <w:lang w:eastAsia="zh-CN"/>
        </w:rPr>
        <w:t>（</w:t>
      </w:r>
      <w:r>
        <w:rPr>
          <w:rFonts w:hint="default" w:ascii="Times New Roman" w:hAnsi="Times New Roman" w:cs="Times New Roman"/>
          <w:color w:val="auto"/>
          <w:sz w:val="24"/>
          <w:u w:val="none"/>
        </w:rPr>
        <w:t>市</w:t>
      </w:r>
      <w:r>
        <w:rPr>
          <w:rFonts w:hint="default" w:ascii="Times New Roman" w:hAnsi="Times New Roman" w:cs="Times New Roman"/>
          <w:color w:val="auto"/>
          <w:sz w:val="24"/>
          <w:u w:val="none"/>
          <w:lang w:eastAsia="zh-CN"/>
        </w:rPr>
        <w:t>）</w:t>
      </w:r>
      <w:r>
        <w:rPr>
          <w:rFonts w:hint="default" w:ascii="Times New Roman" w:hAnsi="Times New Roman" w:cs="Times New Roman"/>
          <w:color w:val="auto"/>
          <w:sz w:val="24"/>
          <w:u w:val="none"/>
        </w:rPr>
        <w:t>生态环境分区管控动态更新工作，并汇总各州</w:t>
      </w:r>
      <w:r>
        <w:rPr>
          <w:rFonts w:hint="default" w:ascii="Times New Roman" w:hAnsi="Times New Roman" w:cs="Times New Roman"/>
          <w:color w:val="auto"/>
          <w:sz w:val="24"/>
          <w:u w:val="none"/>
          <w:lang w:eastAsia="zh-CN"/>
        </w:rPr>
        <w:t>（</w:t>
      </w:r>
      <w:r>
        <w:rPr>
          <w:rFonts w:hint="default" w:ascii="Times New Roman" w:hAnsi="Times New Roman" w:cs="Times New Roman"/>
          <w:color w:val="auto"/>
          <w:sz w:val="24"/>
          <w:u w:val="none"/>
        </w:rPr>
        <w:t>市</w:t>
      </w:r>
      <w:r>
        <w:rPr>
          <w:rFonts w:hint="default" w:ascii="Times New Roman" w:hAnsi="Times New Roman" w:cs="Times New Roman"/>
          <w:color w:val="auto"/>
          <w:sz w:val="24"/>
          <w:u w:val="none"/>
          <w:lang w:eastAsia="zh-CN"/>
        </w:rPr>
        <w:t>）</w:t>
      </w:r>
      <w:r>
        <w:rPr>
          <w:rFonts w:hint="default" w:ascii="Times New Roman" w:hAnsi="Times New Roman" w:cs="Times New Roman"/>
          <w:color w:val="auto"/>
          <w:sz w:val="24"/>
          <w:u w:val="none"/>
        </w:rPr>
        <w:t>成果，编制了《云南省2023年生态环境分区管控成果动态更新备案材料》，经省人民政府同意上报生态环境部，目前已通过国家备案，收到正式反馈的分区管控成果矢量数据，并赋予了国家标识码。</w:t>
      </w:r>
      <w:r>
        <w:rPr>
          <w:rFonts w:hint="default" w:ascii="Times New Roman" w:hAnsi="Times New Roman" w:cs="Times New Roman"/>
          <w:color w:val="auto"/>
          <w:sz w:val="24"/>
          <w:u w:val="none"/>
          <w:lang w:val="en-US" w:eastAsia="zh-CN"/>
        </w:rPr>
        <w:t>2024年4月28日，云南省生态环境厅下发了《关于发布州（市）生态环境分区管控动态更新成果的函》（云环函〔2024〕147号），明确全省统一于2024年4月28日起正式应用下发的生态环境分区管控成果。2024年6月7日，玉溪市生态环境局下发了《关于印发玉溪市生态环境分区管控动态更新调整方案（2023 年）的通知》。</w:t>
      </w:r>
    </w:p>
    <w:p w14:paraId="5705A2CD">
      <w:pPr>
        <w:pStyle w:val="17"/>
        <w:spacing w:line="360" w:lineRule="auto"/>
        <w:ind w:firstLine="480"/>
        <w:rPr>
          <w:rFonts w:hint="default" w:ascii="Times New Roman" w:hAnsi="Times New Roman" w:cs="Times New Roman"/>
          <w:b/>
          <w:color w:val="auto"/>
          <w:sz w:val="24"/>
        </w:rPr>
      </w:pPr>
      <w:r>
        <w:rPr>
          <w:rFonts w:hint="default" w:ascii="Times New Roman" w:hAnsi="Times New Roman" w:cs="Times New Roman"/>
          <w:b/>
          <w:color w:val="auto"/>
          <w:sz w:val="24"/>
        </w:rPr>
        <w:t>（1）生态保护红线</w:t>
      </w:r>
    </w:p>
    <w:p w14:paraId="68D0434D">
      <w:pPr>
        <w:pStyle w:val="17"/>
        <w:spacing w:line="360" w:lineRule="auto"/>
        <w:ind w:firstLine="480"/>
        <w:rPr>
          <w:rFonts w:hint="default" w:ascii="Times New Roman" w:hAnsi="Times New Roman" w:cs="Times New Roman"/>
          <w:color w:val="auto"/>
          <w:sz w:val="24"/>
          <w:lang w:val="en-US"/>
        </w:rPr>
      </w:pPr>
      <w:r>
        <w:rPr>
          <w:rFonts w:hint="default" w:ascii="Times New Roman" w:hAnsi="Times New Roman" w:cs="Times New Roman"/>
          <w:color w:val="auto"/>
          <w:sz w:val="24"/>
        </w:rPr>
        <w:t>根据</w:t>
      </w:r>
      <w:r>
        <w:rPr>
          <w:rFonts w:hint="default" w:ascii="Times New Roman" w:hAnsi="Times New Roman" w:cs="Times New Roman"/>
          <w:color w:val="auto"/>
          <w:sz w:val="24"/>
          <w:lang w:val="en-US" w:eastAsia="zh-CN"/>
        </w:rPr>
        <w:t>新平县</w:t>
      </w:r>
      <w:r>
        <w:rPr>
          <w:rFonts w:hint="default" w:ascii="Times New Roman" w:hAnsi="Times New Roman" w:cs="Times New Roman"/>
          <w:color w:val="auto"/>
          <w:sz w:val="24"/>
        </w:rPr>
        <w:t>自然资源局出具的</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关于云南新平仙福矿冶有限公司废石加工资源综合利用项目是否占用新平县生态保护红线的查询结果</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项目不在生态红线范围内。</w:t>
      </w:r>
    </w:p>
    <w:p w14:paraId="4BBE6F31">
      <w:pPr>
        <w:pStyle w:val="17"/>
        <w:spacing w:line="360" w:lineRule="auto"/>
        <w:ind w:firstLine="48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（2）环境质量底线</w:t>
      </w:r>
    </w:p>
    <w:p w14:paraId="4566ADC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highlight w:val="none"/>
        </w:rPr>
        <w:t>项目区为地表水环境质量达标区域，区域地表水能达到《地表水环境质量标准》（GB3838-2002）Ⅲ类水质标准要求，项目</w:t>
      </w:r>
      <w:r>
        <w:rPr>
          <w:rFonts w:hint="default" w:ascii="Times New Roman" w:hAnsi="Times New Roman" w:cs="Times New Roman"/>
          <w:snapToGrid w:val="0"/>
          <w:color w:val="auto"/>
          <w:kern w:val="0"/>
          <w:sz w:val="24"/>
          <w:highlight w:val="none"/>
        </w:rPr>
        <w:t>生活</w:t>
      </w:r>
      <w:r>
        <w:rPr>
          <w:rFonts w:hint="default" w:ascii="Times New Roman" w:hAnsi="Times New Roman" w:cs="Times New Roman"/>
          <w:snapToGrid w:val="0"/>
          <w:color w:val="auto"/>
          <w:kern w:val="0"/>
          <w:sz w:val="24"/>
          <w:highlight w:val="none"/>
          <w:lang w:val="en-US" w:eastAsia="zh-CN"/>
        </w:rPr>
        <w:t>污水</w:t>
      </w:r>
      <w:r>
        <w:rPr>
          <w:rFonts w:hint="default" w:ascii="Times New Roman" w:hAnsi="Times New Roman" w:cs="Times New Roman"/>
          <w:snapToGrid w:val="0"/>
          <w:color w:val="auto"/>
          <w:kern w:val="0"/>
          <w:sz w:val="24"/>
          <w:highlight w:val="none"/>
        </w:rPr>
        <w:t>经生活</w:t>
      </w:r>
      <w:r>
        <w:rPr>
          <w:rFonts w:hint="default" w:ascii="Times New Roman" w:hAnsi="Times New Roman" w:cs="Times New Roman"/>
          <w:snapToGrid w:val="0"/>
          <w:color w:val="auto"/>
          <w:kern w:val="0"/>
          <w:sz w:val="24"/>
          <w:highlight w:val="none"/>
          <w:lang w:val="en-US" w:eastAsia="zh-CN"/>
        </w:rPr>
        <w:t>依托矿山污</w:t>
      </w:r>
      <w:r>
        <w:rPr>
          <w:rFonts w:hint="default" w:ascii="Times New Roman" w:hAnsi="Times New Roman" w:cs="Times New Roman"/>
          <w:snapToGrid w:val="0"/>
          <w:color w:val="auto"/>
          <w:kern w:val="0"/>
          <w:sz w:val="24"/>
          <w:highlight w:val="none"/>
        </w:rPr>
        <w:t>水处理站处理达标后</w:t>
      </w:r>
      <w:r>
        <w:rPr>
          <w:rFonts w:hint="default" w:ascii="Times New Roman" w:hAnsi="Times New Roman" w:cs="Times New Roman"/>
          <w:snapToGrid w:val="0"/>
          <w:color w:val="auto"/>
          <w:kern w:val="0"/>
          <w:sz w:val="24"/>
          <w:highlight w:val="none"/>
          <w:lang w:val="en-US" w:eastAsia="zh-CN"/>
        </w:rPr>
        <w:t>全部回用，不外排</w:t>
      </w:r>
      <w:r>
        <w:rPr>
          <w:rFonts w:hint="default" w:ascii="Times New Roman" w:hAnsi="Times New Roman" w:cs="Times New Roman"/>
          <w:snapToGrid w:val="0"/>
          <w:color w:val="auto"/>
          <w:kern w:val="0"/>
          <w:sz w:val="24"/>
          <w:highlight w:val="none"/>
        </w:rPr>
        <w:t>。</w:t>
      </w:r>
      <w:r>
        <w:rPr>
          <w:rFonts w:hint="default" w:ascii="Times New Roman" w:hAnsi="Times New Roman" w:cs="Times New Roman"/>
          <w:color w:val="auto"/>
          <w:sz w:val="24"/>
          <w:highlight w:val="none"/>
        </w:rPr>
        <w:t>项目区为环境空气质量达标区域，区域环境空气质量可达《环境空气质量标准》（GB</w:t>
      </w:r>
      <w:r>
        <w:rPr>
          <w:rFonts w:hint="default" w:ascii="Times New Roman" w:hAnsi="Times New Roman" w:cs="Times New Roman"/>
          <w:color w:val="auto"/>
          <w:sz w:val="24"/>
        </w:rPr>
        <w:t>3095-2012）二级标准要求，项目运营过程废气达标排放，不会改变区域大气环境功能。项目施工及运营过程采取相应污染防治措施防治土壤污染，项目建设及运营过程对土壤环境影响较小，不会造成土壤环境风险污染。</w:t>
      </w:r>
    </w:p>
    <w:p w14:paraId="60250C59">
      <w:pPr>
        <w:pStyle w:val="1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w:t>
      </w:r>
      <w:r>
        <w:rPr>
          <w:rFonts w:hint="default" w:ascii="Times New Roman" w:hAnsi="Times New Roman" w:cs="Times New Roman"/>
          <w:color w:val="auto"/>
          <w:sz w:val="24"/>
        </w:rPr>
        <w:t>项目的建设对环境质量影响较小，不会改变区域内环境功能现状，不触及环境质量底线，符合环境质量底线要求。</w:t>
      </w:r>
    </w:p>
    <w:p w14:paraId="5C2BF602">
      <w:pPr>
        <w:pStyle w:val="17"/>
        <w:spacing w:line="360" w:lineRule="auto"/>
        <w:ind w:firstLine="48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（3）资源利用上线</w:t>
      </w:r>
    </w:p>
    <w:p w14:paraId="4902D277">
      <w:pPr>
        <w:pStyle w:val="1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根据“通知”，</w:t>
      </w:r>
      <w:r>
        <w:rPr>
          <w:rFonts w:hint="default" w:ascii="Times New Roman" w:hAnsi="Times New Roman" w:cs="Times New Roman"/>
          <w:color w:val="auto"/>
          <w:sz w:val="24"/>
          <w:szCs w:val="24"/>
          <w:lang w:val="en-US" w:eastAsia="zh-CN"/>
        </w:rPr>
        <w:t>玉溪</w:t>
      </w:r>
      <w:r>
        <w:rPr>
          <w:rFonts w:hint="default" w:ascii="Times New Roman" w:hAnsi="Times New Roman" w:cs="Times New Roman"/>
          <w:color w:val="auto"/>
          <w:sz w:val="24"/>
          <w:szCs w:val="24"/>
        </w:rPr>
        <w:t>市需强化节约集约利用，持续提升资源能源利用效率，水资源、土地资源、能源消耗完成省级下达的控制目标。</w:t>
      </w:r>
    </w:p>
    <w:p w14:paraId="75D157E7">
      <w:pPr>
        <w:pStyle w:val="1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①水资源利用上线</w:t>
      </w:r>
    </w:p>
    <w:p w14:paraId="26E57771">
      <w:pPr>
        <w:pStyle w:val="1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根据云南省“三线一单”要求，到2020年底，全省年用水总量控制在214.6亿立方米以内。本项目为</w:t>
      </w:r>
      <w:r>
        <w:rPr>
          <w:rFonts w:hint="default" w:ascii="Times New Roman" w:hAnsi="Times New Roman" w:cs="Times New Roman"/>
          <w:color w:val="auto"/>
          <w:sz w:val="24"/>
          <w:szCs w:val="24"/>
          <w:lang w:val="en-US" w:eastAsia="zh-CN"/>
        </w:rPr>
        <w:t>铁矿选矿</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除生活用水外，生产用水全部利用沉淀后初期雨水及矿山矿井涌水</w:t>
      </w:r>
      <w:r>
        <w:rPr>
          <w:rFonts w:hint="default" w:ascii="Times New Roman" w:hAnsi="Times New Roman" w:cs="Times New Roman"/>
          <w:color w:val="auto"/>
          <w:sz w:val="24"/>
          <w:szCs w:val="24"/>
        </w:rPr>
        <w:t>，符合水资源利用上线要求。</w:t>
      </w:r>
    </w:p>
    <w:p w14:paraId="72764C56">
      <w:pPr>
        <w:pStyle w:val="1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②土地资源利用上线</w:t>
      </w:r>
    </w:p>
    <w:p w14:paraId="66AB799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根据云南省“三线一单”要求，到2020年底，全省耕地保有量不低于584.53万公顷，基本农田</w:t>
      </w:r>
      <w:r>
        <w:rPr>
          <w:rFonts w:hint="default" w:ascii="Times New Roman" w:hAnsi="Times New Roman" w:cs="Times New Roman"/>
          <w:color w:val="auto"/>
          <w:kern w:val="0"/>
          <w:sz w:val="24"/>
        </w:rPr>
        <w:t>保护面积不低于489.4万公顷，建设用地总规模控制在115.4万公顷以内。</w:t>
      </w:r>
      <w:r>
        <w:rPr>
          <w:rFonts w:hint="default" w:ascii="Times New Roman" w:hAnsi="Times New Roman" w:cs="Times New Roman"/>
          <w:color w:val="auto"/>
          <w:kern w:val="0"/>
          <w:sz w:val="24"/>
          <w:lang w:val="en-US" w:eastAsia="zh-CN"/>
        </w:rPr>
        <w:t>本</w:t>
      </w: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利用鲁奎山铁矿6号料场空地进行建设，不新增占地，原有占地均</w:t>
      </w:r>
      <w:r>
        <w:rPr>
          <w:rFonts w:hint="default" w:ascii="Times New Roman" w:hAnsi="Times New Roman" w:cs="Times New Roman"/>
          <w:color w:val="auto"/>
          <w:sz w:val="24"/>
        </w:rPr>
        <w:t>不涉及基本农田、耕地，符合土地资源利用上线要求。</w:t>
      </w:r>
    </w:p>
    <w:p w14:paraId="3A7EBB1F">
      <w:pPr>
        <w:pStyle w:val="1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③能源利用上线</w:t>
      </w:r>
    </w:p>
    <w:p w14:paraId="2AF0AAD1">
      <w:pPr>
        <w:pStyle w:val="17"/>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根据云南省“三线一单”要求，到2020年底，全省万元地区生产总值能耗较2015年下降14%，能源消耗总量控制在国家下达目标以内，非化石能源消费量占能源消费总量比重达到42%。</w:t>
      </w:r>
      <w:r>
        <w:rPr>
          <w:rFonts w:hint="default" w:ascii="Times New Roman" w:hAnsi="Times New Roman" w:eastAsia="宋体" w:cs="Times New Roman"/>
          <w:color w:val="auto"/>
          <w:sz w:val="24"/>
          <w:lang w:val="en-US" w:eastAsia="zh-CN"/>
        </w:rPr>
        <w:t>项目生产过程中使用电能，但项目不属于高耗能项目，</w:t>
      </w:r>
      <w:r>
        <w:rPr>
          <w:rFonts w:hint="default" w:ascii="Times New Roman" w:hAnsi="Times New Roman" w:eastAsia="宋体" w:cs="Times New Roman"/>
          <w:color w:val="auto"/>
          <w:sz w:val="24"/>
        </w:rPr>
        <w:t>符合能源利用上线要求。</w:t>
      </w:r>
    </w:p>
    <w:p w14:paraId="6FF8B8B1">
      <w:pPr>
        <w:pStyle w:val="1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综上所述，项目建设符合资源利用上线要求。</w:t>
      </w:r>
    </w:p>
    <w:p w14:paraId="6B6509B5">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kern w:val="0"/>
          <w:sz w:val="24"/>
          <w:szCs w:val="24"/>
        </w:rPr>
      </w:pPr>
      <w:r>
        <w:rPr>
          <w:rFonts w:hint="default" w:ascii="Times New Roman" w:hAnsi="Times New Roman" w:eastAsia="宋体" w:cs="Times New Roman"/>
          <w:color w:val="auto"/>
          <w:sz w:val="24"/>
          <w:szCs w:val="24"/>
          <w:lang w:val="en-US" w:eastAsia="zh-CN"/>
        </w:rPr>
        <w:t>根据</w:t>
      </w:r>
      <w:r>
        <w:rPr>
          <w:rFonts w:hint="default" w:ascii="Times New Roman" w:hAnsi="Times New Roman" w:cs="Times New Roman"/>
          <w:color w:val="auto"/>
          <w:sz w:val="24"/>
          <w:szCs w:val="24"/>
          <w:lang w:val="en-US" w:eastAsia="zh-CN"/>
        </w:rPr>
        <w:t>分区管控</w:t>
      </w:r>
      <w:r>
        <w:rPr>
          <w:rFonts w:hint="default" w:ascii="Times New Roman" w:hAnsi="Times New Roman" w:eastAsia="宋体" w:cs="Times New Roman"/>
          <w:color w:val="auto"/>
          <w:sz w:val="24"/>
          <w:szCs w:val="24"/>
          <w:lang w:val="en-US" w:eastAsia="zh-CN"/>
        </w:rPr>
        <w:t>核查结果，</w:t>
      </w:r>
      <w:r>
        <w:rPr>
          <w:rFonts w:hint="default" w:ascii="Times New Roman" w:hAnsi="Times New Roman" w:eastAsia="宋体" w:cs="Times New Roman"/>
          <w:kern w:val="0"/>
          <w:sz w:val="24"/>
          <w:szCs w:val="24"/>
        </w:rPr>
        <w:t>本项目属于新平</w:t>
      </w:r>
      <w:r>
        <w:rPr>
          <w:rFonts w:hint="default" w:ascii="Times New Roman" w:hAnsi="Times New Roman" w:cs="Times New Roman"/>
          <w:kern w:val="0"/>
          <w:sz w:val="24"/>
          <w:szCs w:val="24"/>
          <w:lang w:val="en-US" w:eastAsia="zh-CN"/>
        </w:rPr>
        <w:t>彝族傣族自治</w:t>
      </w:r>
      <w:r>
        <w:rPr>
          <w:rFonts w:hint="default" w:ascii="Times New Roman" w:hAnsi="Times New Roman" w:eastAsia="宋体" w:cs="Times New Roman"/>
          <w:kern w:val="0"/>
          <w:sz w:val="24"/>
          <w:szCs w:val="24"/>
        </w:rPr>
        <w:t>县</w:t>
      </w:r>
      <w:r>
        <w:rPr>
          <w:rFonts w:hint="default" w:ascii="Times New Roman" w:hAnsi="Times New Roman" w:cs="Times New Roman"/>
          <w:kern w:val="0"/>
          <w:sz w:val="24"/>
          <w:szCs w:val="24"/>
          <w:lang w:val="en-US" w:eastAsia="zh-CN"/>
        </w:rPr>
        <w:t>一般</w:t>
      </w:r>
      <w:r>
        <w:rPr>
          <w:rFonts w:hint="default" w:ascii="Times New Roman" w:hAnsi="Times New Roman" w:eastAsia="宋体" w:cs="Times New Roman"/>
          <w:kern w:val="0"/>
          <w:sz w:val="24"/>
          <w:szCs w:val="24"/>
        </w:rPr>
        <w:t>管控单元</w:t>
      </w:r>
      <w:r>
        <w:rPr>
          <w:rFonts w:hint="default" w:ascii="Times New Roman" w:hAnsi="Times New Roman" w:eastAsia="宋体" w:cs="Times New Roman"/>
          <w:kern w:val="0"/>
          <w:sz w:val="24"/>
          <w:szCs w:val="24"/>
          <w:lang w:eastAsia="zh-CN"/>
        </w:rPr>
        <w:t>。</w:t>
      </w:r>
      <w:r>
        <w:rPr>
          <w:rFonts w:hint="default" w:ascii="Times New Roman" w:hAnsi="Times New Roman" w:cs="Times New Roman" w:eastAsiaTheme="minorEastAsia"/>
          <w:kern w:val="0"/>
          <w:sz w:val="24"/>
          <w:szCs w:val="24"/>
        </w:rPr>
        <w:t>项目与其符合性分析详见下表。</w:t>
      </w:r>
    </w:p>
    <w:p w14:paraId="74484CF4">
      <w:pPr>
        <w:spacing w:line="360" w:lineRule="auto"/>
        <w:jc w:val="center"/>
        <w:rPr>
          <w:rFonts w:hint="default" w:ascii="Times New Roman" w:hAnsi="Times New Roman" w:cs="Times New Roman" w:eastAsiaTheme="minorEastAsia"/>
          <w:b/>
          <w:color w:val="auto"/>
          <w:sz w:val="24"/>
          <w:szCs w:val="24"/>
        </w:rPr>
      </w:pPr>
      <w:r>
        <w:rPr>
          <w:rFonts w:hint="default" w:ascii="Times New Roman" w:hAnsi="Times New Roman" w:eastAsia="黑体" w:cs="Times New Roman"/>
          <w:b w:val="0"/>
          <w:bCs/>
          <w:color w:val="auto"/>
          <w:sz w:val="21"/>
          <w:szCs w:val="21"/>
        </w:rPr>
        <w:t>表1.</w:t>
      </w:r>
      <w:r>
        <w:rPr>
          <w:rFonts w:hint="default" w:ascii="Times New Roman" w:hAnsi="Times New Roman" w:eastAsia="黑体" w:cs="Times New Roman"/>
          <w:b w:val="0"/>
          <w:bCs/>
          <w:color w:val="auto"/>
          <w:sz w:val="21"/>
          <w:szCs w:val="21"/>
          <w:lang w:val="en-US" w:eastAsia="zh-CN"/>
        </w:rPr>
        <w:t>3</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12</w:t>
      </w:r>
      <w:r>
        <w:rPr>
          <w:rFonts w:hint="default" w:ascii="Times New Roman" w:hAnsi="Times New Roman" w:eastAsia="黑体" w:cs="Times New Roman"/>
          <w:b w:val="0"/>
          <w:bCs/>
          <w:color w:val="auto"/>
          <w:sz w:val="21"/>
          <w:szCs w:val="21"/>
        </w:rPr>
        <w:t xml:space="preserve">  项目与所在地“</w:t>
      </w:r>
      <w:r>
        <w:rPr>
          <w:rFonts w:hint="default" w:ascii="Times New Roman" w:hAnsi="Times New Roman" w:eastAsia="黑体" w:cs="Times New Roman"/>
          <w:b w:val="0"/>
          <w:bCs/>
          <w:color w:val="auto"/>
          <w:sz w:val="21"/>
          <w:szCs w:val="21"/>
          <w:lang w:val="en-US" w:eastAsia="zh-CN"/>
        </w:rPr>
        <w:t>分</w:t>
      </w:r>
      <w:r>
        <w:rPr>
          <w:rFonts w:hint="default" w:ascii="Times New Roman" w:hAnsi="Times New Roman" w:eastAsia="黑体" w:cs="Times New Roman"/>
          <w:b w:val="0"/>
          <w:bCs/>
          <w:color w:val="auto"/>
          <w:sz w:val="21"/>
          <w:szCs w:val="21"/>
        </w:rPr>
        <w:t>区管控动态更新调整方案”符合性分析一览表</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3833"/>
        <w:gridCol w:w="2682"/>
        <w:gridCol w:w="1592"/>
      </w:tblGrid>
      <w:tr w14:paraId="6D1F51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14:paraId="36D37E3D">
            <w:pPr>
              <w:autoSpaceDE w:val="0"/>
              <w:autoSpaceDN w:val="0"/>
              <w:adjustRightInd w:val="0"/>
              <w:snapToGrid w:val="0"/>
              <w:jc w:val="center"/>
              <w:rPr>
                <w:rFonts w:hint="default" w:ascii="Times New Roman" w:hAnsi="Times New Roman" w:eastAsia="宋体" w:cs="Times New Roman"/>
                <w:kern w:val="0"/>
                <w:sz w:val="18"/>
                <w:szCs w:val="18"/>
              </w:rPr>
            </w:pPr>
            <w:r>
              <w:rPr>
                <w:rFonts w:hint="default" w:ascii="Times New Roman" w:hAnsi="Times New Roman" w:eastAsia="宋体" w:cs="Times New Roman"/>
                <w:b/>
                <w:bCs/>
                <w:color w:val="auto"/>
                <w:kern w:val="0"/>
                <w:sz w:val="18"/>
                <w:szCs w:val="18"/>
                <w:vertAlign w:val="baseline"/>
                <w:lang w:val="en-US" w:eastAsia="zh-CN" w:bidi="ar"/>
              </w:rPr>
              <w:t>玉溪市生态环境管控总体要求</w:t>
            </w:r>
          </w:p>
        </w:tc>
      </w:tr>
      <w:tr w14:paraId="692352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tcBorders>
              <w:tl2br w:val="nil"/>
              <w:tr2bl w:val="nil"/>
            </w:tcBorders>
            <w:vAlign w:val="top"/>
          </w:tcPr>
          <w:p w14:paraId="289FDE8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66FF"/>
                <w:kern w:val="0"/>
                <w:sz w:val="18"/>
                <w:szCs w:val="18"/>
              </w:rPr>
            </w:pPr>
            <w:r>
              <w:rPr>
                <w:rFonts w:hint="default" w:ascii="Times New Roman" w:hAnsi="Times New Roman" w:eastAsia="宋体" w:cs="Times New Roman"/>
                <w:color w:val="auto"/>
                <w:kern w:val="0"/>
                <w:sz w:val="18"/>
                <w:szCs w:val="18"/>
                <w:lang w:val="en-US" w:eastAsia="zh-CN" w:bidi="ar"/>
              </w:rPr>
              <w:t>空间布局约束</w:t>
            </w:r>
          </w:p>
        </w:tc>
        <w:tc>
          <w:tcPr>
            <w:tcW w:w="2064" w:type="pct"/>
            <w:tcBorders>
              <w:tl2br w:val="nil"/>
              <w:tr2bl w:val="nil"/>
            </w:tcBorders>
            <w:vAlign w:val="top"/>
          </w:tcPr>
          <w:p w14:paraId="025E2D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p w14:paraId="5B60C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加强河湖水域岸线空间管控，严格落实九大高原湖泊（抚仙湖、星云湖、杞麓湖）“两线三区”相关管控要求。加快推动重点区域、重点流域落后和过剩产能退出。依法加快城市建成区重污染企业搬迁改造或关闭退出。</w:t>
            </w:r>
          </w:p>
          <w:p w14:paraId="51835D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34324B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4.禁止在九大高原湖泊（抚仙湖、星云湖、杞麓湖）流域内新建、改建、扩建污染环境、高耗水、高耗能、破坏生态平衡和自然景观的项目。</w:t>
            </w:r>
          </w:p>
          <w:p w14:paraId="231EFA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66FF"/>
                <w:kern w:val="0"/>
                <w:sz w:val="18"/>
                <w:szCs w:val="18"/>
              </w:rPr>
            </w:pPr>
            <w:r>
              <w:rPr>
                <w:rFonts w:hint="default" w:ascii="Times New Roman" w:hAnsi="Times New Roman" w:eastAsia="宋体" w:cs="Times New Roman"/>
                <w:color w:val="auto"/>
                <w:kern w:val="0"/>
                <w:sz w:val="18"/>
                <w:szCs w:val="18"/>
              </w:rPr>
              <w:t>5.落实云南省碳达峰碳中和相关要求，处理好发展和减排、整体和局部、长远目标和短期目标、政府和市场的关系，坚定不移走生态优先、绿色低碳的高质量发展道路。</w:t>
            </w:r>
          </w:p>
        </w:tc>
        <w:tc>
          <w:tcPr>
            <w:tcW w:w="1444" w:type="pct"/>
            <w:tcBorders>
              <w:tl2br w:val="nil"/>
              <w:tr2bl w:val="nil"/>
            </w:tcBorders>
            <w:vAlign w:val="top"/>
          </w:tcPr>
          <w:p w14:paraId="66A5ABDA">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Chars="0" w:firstLine="0" w:firstLineChars="0"/>
              <w:jc w:val="both"/>
              <w:textAlignment w:val="auto"/>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根据《产业结构调整指导目录（2024年本）》，本项目属于第一类鼓励类中“八、黑色金属矿山开采、选矿及共伴生矿产综合开发利用”。项目不属于高耗能、高排放、低水平项目。</w:t>
            </w:r>
          </w:p>
          <w:p w14:paraId="37B8D21A">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Chars="0"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本项目位于</w:t>
            </w:r>
            <w:r>
              <w:rPr>
                <w:rFonts w:hint="default" w:ascii="Times New Roman" w:hAnsi="Times New Roman" w:eastAsia="宋体" w:cs="Times New Roman"/>
                <w:color w:val="auto"/>
                <w:kern w:val="0"/>
                <w:sz w:val="18"/>
                <w:szCs w:val="18"/>
              </w:rPr>
              <w:t>新平县扬武镇鲁奎山铁矿</w:t>
            </w:r>
            <w:r>
              <w:rPr>
                <w:rFonts w:hint="default"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lang w:val="en-US" w:eastAsia="zh-CN"/>
              </w:rPr>
              <w:t>不属于抚仙湖、星云湖、杞麓湖</w:t>
            </w:r>
            <w:r>
              <w:rPr>
                <w:rFonts w:hint="default" w:ascii="Times New Roman" w:hAnsi="Times New Roman" w:cs="Times New Roman"/>
                <w:color w:val="auto"/>
                <w:kern w:val="0"/>
                <w:sz w:val="18"/>
                <w:szCs w:val="18"/>
                <w:lang w:val="en-US" w:eastAsia="zh-CN" w:bidi="ar"/>
              </w:rPr>
              <w:t>流域</w:t>
            </w:r>
            <w:r>
              <w:rPr>
                <w:rFonts w:hint="default" w:ascii="Times New Roman" w:hAnsi="Times New Roman" w:eastAsia="宋体" w:cs="Times New Roman"/>
                <w:color w:val="auto"/>
                <w:kern w:val="0"/>
                <w:sz w:val="18"/>
                <w:szCs w:val="18"/>
                <w:lang w:val="en-US" w:eastAsia="zh-CN" w:bidi="ar"/>
              </w:rPr>
              <w:t>。</w:t>
            </w:r>
          </w:p>
          <w:p w14:paraId="64F9A070">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3</w:t>
            </w:r>
            <w:r>
              <w:rPr>
                <w:rFonts w:hint="default" w:ascii="Times New Roman" w:hAnsi="Times New Roman" w:eastAsia="宋体" w:cs="Times New Roman"/>
                <w:color w:val="auto"/>
                <w:kern w:val="0"/>
                <w:sz w:val="18"/>
                <w:szCs w:val="18"/>
                <w:lang w:val="en-US" w:eastAsia="zh-CN" w:bidi="ar"/>
              </w:rPr>
              <w:t>、本项目不属于</w:t>
            </w:r>
            <w:r>
              <w:rPr>
                <w:rFonts w:hint="default" w:ascii="Times New Roman" w:hAnsi="Times New Roman" w:eastAsia="宋体" w:cs="Times New Roman"/>
                <w:color w:val="auto"/>
                <w:kern w:val="0"/>
                <w:sz w:val="18"/>
                <w:szCs w:val="18"/>
              </w:rPr>
              <w:t>钢铁、石化、化工、焦化、建材、有色、制浆造纸行业中的高污染项目</w:t>
            </w:r>
            <w:r>
              <w:rPr>
                <w:rFonts w:hint="default" w:ascii="Times New Roman" w:hAnsi="Times New Roman" w:eastAsia="宋体" w:cs="Times New Roman"/>
                <w:color w:val="auto"/>
                <w:kern w:val="0"/>
                <w:sz w:val="18"/>
                <w:szCs w:val="18"/>
                <w:lang w:eastAsia="zh-CN"/>
              </w:rPr>
              <w:t>。</w:t>
            </w:r>
          </w:p>
          <w:p w14:paraId="26673CB1">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66FF"/>
                <w:kern w:val="0"/>
                <w:sz w:val="18"/>
                <w:szCs w:val="18"/>
              </w:rPr>
            </w:pPr>
          </w:p>
        </w:tc>
        <w:tc>
          <w:tcPr>
            <w:tcW w:w="854" w:type="pct"/>
            <w:tcBorders>
              <w:tl2br w:val="nil"/>
              <w:tr2bl w:val="nil"/>
            </w:tcBorders>
            <w:vAlign w:val="top"/>
          </w:tcPr>
          <w:p w14:paraId="2928FB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01314E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711B63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71BBA1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66FF"/>
                <w:kern w:val="0"/>
                <w:sz w:val="18"/>
                <w:szCs w:val="18"/>
              </w:rPr>
            </w:pPr>
            <w:r>
              <w:rPr>
                <w:rFonts w:hint="default" w:ascii="Times New Roman" w:hAnsi="Times New Roman" w:eastAsia="宋体" w:cs="Times New Roman"/>
                <w:b w:val="0"/>
                <w:bCs w:val="0"/>
                <w:color w:val="auto"/>
                <w:kern w:val="0"/>
                <w:sz w:val="18"/>
                <w:szCs w:val="18"/>
                <w:vertAlign w:val="baseline"/>
                <w:lang w:val="en-US" w:eastAsia="zh-CN" w:bidi="ar"/>
              </w:rPr>
              <w:t>符合</w:t>
            </w:r>
          </w:p>
        </w:tc>
      </w:tr>
      <w:tr w14:paraId="2BD682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tcBorders>
              <w:tl2br w:val="nil"/>
              <w:tr2bl w:val="nil"/>
            </w:tcBorders>
            <w:vAlign w:val="top"/>
          </w:tcPr>
          <w:p w14:paraId="708EC8F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污染物排放管控</w:t>
            </w:r>
          </w:p>
          <w:p w14:paraId="57DDB37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66FF"/>
                <w:kern w:val="0"/>
                <w:sz w:val="18"/>
                <w:szCs w:val="18"/>
              </w:rPr>
            </w:pPr>
          </w:p>
        </w:tc>
        <w:tc>
          <w:tcPr>
            <w:tcW w:w="2064" w:type="pct"/>
            <w:tcBorders>
              <w:tl2br w:val="nil"/>
              <w:tr2bl w:val="nil"/>
            </w:tcBorders>
            <w:vAlign w:val="top"/>
          </w:tcPr>
          <w:p w14:paraId="07041F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1.严格落实强制性清洁生产审核要求，引导重点行业实施清洁生产改造，到2025年底，重点行业企业基本达到国内清洁生产先进水平。</w:t>
            </w:r>
          </w:p>
          <w:p w14:paraId="23F4FC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p w14:paraId="797EEE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3.严格保护城乡饮用水水源地，整治饮用水水源保护区内的污染源，确保饮水安全。</w:t>
            </w:r>
          </w:p>
          <w:p w14:paraId="77B627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p w14:paraId="1EBF2F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5.加大环境污染物减排力度，到2025年，实现氮氧化物减排1224吨，挥发性有机物减排1393吨，化学需氧量减排2461吨，氨氮减排230吨。</w:t>
            </w:r>
          </w:p>
          <w:p w14:paraId="72016B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p w14:paraId="124584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7.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p>
          <w:p w14:paraId="6F7F19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66FF"/>
                <w:kern w:val="0"/>
                <w:sz w:val="18"/>
                <w:szCs w:val="18"/>
              </w:rPr>
            </w:pPr>
            <w:r>
              <w:rPr>
                <w:rFonts w:hint="default" w:ascii="Times New Roman" w:hAnsi="Times New Roman" w:eastAsia="宋体" w:cs="Times New Roman"/>
                <w:color w:val="auto"/>
                <w:kern w:val="0"/>
                <w:sz w:val="18"/>
                <w:szCs w:val="18"/>
              </w:rPr>
              <w:t>8.到2025年，中心城区细颗粒物（PM2.5）平均浓度控制在21微克/立方米以内，城市空气质量优良天数比率达到98.5%以上，坚决防范重度及以上污染天气发生，全市地表水国控断面优良水体比例达80%，消除城市黑臭水体，消除劣Ⅴ类水体。</w:t>
            </w:r>
          </w:p>
        </w:tc>
        <w:tc>
          <w:tcPr>
            <w:tcW w:w="1444" w:type="pct"/>
            <w:tcBorders>
              <w:tl2br w:val="nil"/>
              <w:tr2bl w:val="nil"/>
            </w:tcBorders>
            <w:vAlign w:val="top"/>
          </w:tcPr>
          <w:p w14:paraId="4A64C67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1、本项目不属于重点行业；</w:t>
            </w:r>
          </w:p>
          <w:p w14:paraId="390CBD77">
            <w:pPr>
              <w:spacing w:line="240" w:lineRule="auto"/>
              <w:ind w:firstLine="0" w:firstLineChars="0"/>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2、本项目初期雨水经雨水沟汇集后排入初期雨水收集池，沉淀处理后回用于项目区洒水降尘；运营期不产生生产废水；生活污水依托</w:t>
            </w:r>
            <w:r>
              <w:rPr>
                <w:rFonts w:hint="default" w:ascii="Times New Roman" w:hAnsi="Times New Roman" w:cs="Times New Roman"/>
                <w:color w:val="auto"/>
                <w:kern w:val="0"/>
                <w:sz w:val="18"/>
                <w:szCs w:val="18"/>
                <w:lang w:val="en-US" w:eastAsia="zh-CN" w:bidi="ar"/>
              </w:rPr>
              <w:t>鲁奎山铁矿</w:t>
            </w:r>
            <w:r>
              <w:rPr>
                <w:rFonts w:hint="default" w:ascii="Times New Roman" w:hAnsi="Times New Roman" w:eastAsia="宋体" w:cs="Times New Roman"/>
                <w:color w:val="auto"/>
                <w:kern w:val="0"/>
                <w:sz w:val="18"/>
                <w:szCs w:val="18"/>
                <w:lang w:val="en-US" w:eastAsia="zh-CN" w:bidi="ar"/>
              </w:rPr>
              <w:t>污水处理设施</w:t>
            </w:r>
            <w:r>
              <w:rPr>
                <w:rFonts w:hint="default" w:ascii="Times New Roman" w:hAnsi="Times New Roman" w:cs="Times New Roman"/>
                <w:color w:val="auto"/>
                <w:kern w:val="0"/>
                <w:sz w:val="18"/>
                <w:szCs w:val="18"/>
                <w:lang w:val="en-US" w:eastAsia="zh-CN" w:bidi="ar"/>
              </w:rPr>
              <w:t>，</w:t>
            </w:r>
            <w:r>
              <w:rPr>
                <w:rFonts w:hint="default" w:ascii="Times New Roman" w:hAnsi="Times New Roman" w:eastAsia="宋体" w:cs="Times New Roman"/>
                <w:color w:val="auto"/>
                <w:sz w:val="18"/>
                <w:szCs w:val="18"/>
              </w:rPr>
              <w:t>处理达《城市污水再生利用 城市杂用水水质》（</w:t>
            </w:r>
            <w:r>
              <w:rPr>
                <w:rFonts w:hint="default" w:ascii="Times New Roman" w:hAnsi="Times New Roman" w:eastAsia="宋体" w:cs="Times New Roman"/>
                <w:color w:val="auto"/>
                <w:sz w:val="18"/>
                <w:szCs w:val="18"/>
                <w:lang w:val="en-US" w:eastAsia="zh-CN"/>
              </w:rPr>
              <w:t>G</w:t>
            </w:r>
            <w:r>
              <w:rPr>
                <w:rFonts w:hint="default" w:ascii="Times New Roman" w:hAnsi="Times New Roman" w:eastAsia="宋体" w:cs="Times New Roman"/>
                <w:color w:val="auto"/>
                <w:sz w:val="18"/>
                <w:szCs w:val="18"/>
              </w:rPr>
              <w:t>B/T18920-2020）中城市绿化、道路清扫</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消防、建筑施工</w:t>
            </w:r>
            <w:r>
              <w:rPr>
                <w:rFonts w:hint="default" w:ascii="Times New Roman" w:hAnsi="Times New Roman" w:eastAsia="宋体" w:cs="Times New Roman"/>
                <w:color w:val="auto"/>
                <w:sz w:val="18"/>
                <w:szCs w:val="18"/>
              </w:rPr>
              <w:t>标准后</w:t>
            </w:r>
            <w:r>
              <w:rPr>
                <w:rFonts w:hint="default" w:ascii="Times New Roman" w:hAnsi="Times New Roman" w:eastAsia="宋体" w:cs="Times New Roman"/>
                <w:color w:val="auto"/>
                <w:sz w:val="18"/>
                <w:szCs w:val="18"/>
                <w:lang w:val="en-US" w:eastAsia="zh-CN"/>
              </w:rPr>
              <w:t>回</w:t>
            </w:r>
            <w:r>
              <w:rPr>
                <w:rFonts w:hint="default" w:ascii="Times New Roman" w:hAnsi="Times New Roman" w:eastAsia="宋体" w:cs="Times New Roman"/>
                <w:color w:val="auto"/>
                <w:sz w:val="18"/>
                <w:szCs w:val="18"/>
              </w:rPr>
              <w:t>用于</w:t>
            </w:r>
            <w:r>
              <w:rPr>
                <w:rFonts w:hint="default" w:ascii="Times New Roman" w:hAnsi="Times New Roman" w:cs="Times New Roman"/>
                <w:color w:val="auto"/>
                <w:sz w:val="18"/>
                <w:szCs w:val="18"/>
                <w:lang w:val="en-US" w:eastAsia="zh-CN"/>
              </w:rPr>
              <w:t>矿山</w:t>
            </w:r>
            <w:r>
              <w:rPr>
                <w:rFonts w:hint="default" w:ascii="Times New Roman" w:hAnsi="Times New Roman" w:eastAsia="宋体" w:cs="Times New Roman"/>
                <w:color w:val="auto"/>
                <w:sz w:val="18"/>
                <w:szCs w:val="18"/>
              </w:rPr>
              <w:t>绿化</w:t>
            </w:r>
            <w:r>
              <w:rPr>
                <w:rFonts w:hint="default" w:ascii="Times New Roman" w:hAnsi="Times New Roman" w:eastAsia="宋体" w:cs="Times New Roman"/>
                <w:color w:val="auto"/>
                <w:sz w:val="18"/>
                <w:szCs w:val="18"/>
                <w:lang w:val="en-US" w:eastAsia="zh-CN"/>
              </w:rPr>
              <w:t>及道路洒水</w:t>
            </w:r>
            <w:r>
              <w:rPr>
                <w:rFonts w:hint="default" w:ascii="Times New Roman" w:hAnsi="Times New Roman" w:eastAsia="宋体" w:cs="Times New Roman"/>
                <w:color w:val="auto"/>
                <w:sz w:val="18"/>
                <w:szCs w:val="18"/>
              </w:rPr>
              <w:t>降尘</w:t>
            </w:r>
            <w:r>
              <w:rPr>
                <w:rFonts w:hint="default" w:ascii="Times New Roman" w:hAnsi="Times New Roman" w:eastAsia="宋体" w:cs="Times New Roman"/>
                <w:color w:val="auto"/>
                <w:kern w:val="0"/>
                <w:sz w:val="18"/>
                <w:szCs w:val="18"/>
                <w:lang w:val="en-US" w:eastAsia="zh-CN" w:bidi="ar"/>
              </w:rPr>
              <w:t>，不外排。</w:t>
            </w:r>
          </w:p>
          <w:p w14:paraId="3A2D1266">
            <w:pPr>
              <w:spacing w:line="240" w:lineRule="auto"/>
              <w:ind w:firstLine="0" w:firstLineChars="0"/>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3、项目不涉及饮用水水源保护区。</w:t>
            </w:r>
          </w:p>
          <w:p w14:paraId="1DCEF77D">
            <w:pPr>
              <w:spacing w:line="240" w:lineRule="auto"/>
              <w:ind w:firstLine="0" w:firstLineChars="0"/>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4、项目涉及的大气污染物为颗粒物，项目建成后，每台破碎、筛分、磁选设备上方设置集气罩和风管，各工序产生粉尘经过集气罩收集后引至1套“布袋除尘”系统进行处理，处理后通过1根15m高排气筒排放（DA001），排放浓度可满足《铁矿采选工业污染物排放标准》（GB28661-2012）表5新建企业大气污染物排放浓度限值，即颗粒物≤20mg/m</w:t>
            </w:r>
            <w:r>
              <w:rPr>
                <w:rFonts w:hint="default" w:ascii="Times New Roman" w:hAnsi="Times New Roman" w:cs="Times New Roman"/>
                <w:color w:val="auto"/>
                <w:kern w:val="0"/>
                <w:sz w:val="18"/>
                <w:szCs w:val="18"/>
                <w:vertAlign w:val="superscript"/>
                <w:lang w:val="en-US" w:eastAsia="zh-CN" w:bidi="ar"/>
              </w:rPr>
              <w:t>3</w:t>
            </w:r>
            <w:r>
              <w:rPr>
                <w:rFonts w:hint="default" w:ascii="Times New Roman" w:hAnsi="Times New Roman" w:cs="Times New Roman"/>
                <w:color w:val="auto"/>
                <w:kern w:val="0"/>
                <w:sz w:val="18"/>
                <w:szCs w:val="18"/>
                <w:lang w:val="en-US" w:eastAsia="zh-CN" w:bidi="ar"/>
              </w:rPr>
              <w:t>。无组织颗粒物通过围挡、喷雾降尘减少排放。</w:t>
            </w:r>
          </w:p>
          <w:p w14:paraId="24917A6F">
            <w:pPr>
              <w:spacing w:line="240" w:lineRule="auto"/>
              <w:ind w:firstLine="0" w:firstLineChars="0"/>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5、项目占地类型为采矿用地，不涉及农用地。</w:t>
            </w:r>
          </w:p>
          <w:p w14:paraId="50EA3302">
            <w:pPr>
              <w:spacing w:line="240" w:lineRule="auto"/>
              <w:ind w:firstLine="0" w:firstLineChars="0"/>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6、本项目产生的尾矿作为砂石料产品外售建材公司，固体废物处置率100%。</w:t>
            </w:r>
          </w:p>
        </w:tc>
        <w:tc>
          <w:tcPr>
            <w:tcW w:w="854" w:type="pct"/>
            <w:tcBorders>
              <w:tl2br w:val="nil"/>
              <w:tr2bl w:val="nil"/>
            </w:tcBorders>
            <w:vAlign w:val="top"/>
          </w:tcPr>
          <w:p w14:paraId="2DE91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4309B5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637BE1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1891B3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5EAC9B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2ACB8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67D1D5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1FF8D5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3DC52B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66FF"/>
                <w:kern w:val="0"/>
                <w:sz w:val="18"/>
                <w:szCs w:val="18"/>
              </w:rPr>
            </w:pPr>
            <w:r>
              <w:rPr>
                <w:rFonts w:hint="default" w:ascii="Times New Roman" w:hAnsi="Times New Roman" w:eastAsia="宋体" w:cs="Times New Roman"/>
                <w:b w:val="0"/>
                <w:bCs w:val="0"/>
                <w:color w:val="auto"/>
                <w:kern w:val="0"/>
                <w:sz w:val="18"/>
                <w:szCs w:val="18"/>
                <w:vertAlign w:val="baseline"/>
                <w:lang w:val="en-US" w:eastAsia="zh-CN" w:bidi="ar"/>
              </w:rPr>
              <w:t>符合</w:t>
            </w:r>
          </w:p>
        </w:tc>
      </w:tr>
      <w:tr w14:paraId="4B60C5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tcBorders>
              <w:tl2br w:val="nil"/>
              <w:tr2bl w:val="nil"/>
            </w:tcBorders>
            <w:vAlign w:val="top"/>
          </w:tcPr>
          <w:p w14:paraId="074F45F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66FF"/>
                <w:kern w:val="0"/>
                <w:sz w:val="18"/>
                <w:szCs w:val="18"/>
              </w:rPr>
            </w:pPr>
            <w:r>
              <w:rPr>
                <w:rFonts w:hint="default" w:ascii="Times New Roman" w:hAnsi="Times New Roman" w:eastAsia="宋体" w:cs="Times New Roman"/>
                <w:color w:val="auto"/>
                <w:kern w:val="0"/>
                <w:sz w:val="18"/>
                <w:szCs w:val="18"/>
                <w:lang w:val="en-US" w:eastAsia="zh-CN" w:bidi="ar"/>
              </w:rPr>
              <w:t>环境风险防控</w:t>
            </w:r>
          </w:p>
        </w:tc>
        <w:tc>
          <w:tcPr>
            <w:tcW w:w="2064" w:type="pct"/>
            <w:tcBorders>
              <w:tl2br w:val="nil"/>
              <w:tr2bl w:val="nil"/>
            </w:tcBorders>
            <w:vAlign w:val="top"/>
          </w:tcPr>
          <w:p w14:paraId="0FC958F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1.强化与其他滇中城市的大气、水污染防治联防联控协作机制，加强区域内重污染天气和跨界水体风险应急联动。</w:t>
            </w:r>
          </w:p>
          <w:p w14:paraId="77DCD9E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66FF"/>
                <w:kern w:val="0"/>
                <w:sz w:val="18"/>
                <w:szCs w:val="18"/>
              </w:rPr>
            </w:pPr>
            <w:r>
              <w:rPr>
                <w:rFonts w:hint="default" w:ascii="Times New Roman" w:hAnsi="Times New Roman" w:eastAsia="宋体" w:cs="Times New Roman"/>
                <w:color w:val="auto"/>
                <w:kern w:val="0"/>
                <w:sz w:val="18"/>
                <w:szCs w:val="18"/>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1444" w:type="pct"/>
            <w:tcBorders>
              <w:tl2br w:val="nil"/>
              <w:tr2bl w:val="nil"/>
            </w:tcBorders>
            <w:vAlign w:val="top"/>
          </w:tcPr>
          <w:p w14:paraId="4C727687">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本项目不涉及危险化学品，产生的废机油作为危险废物依托矿山危废暂存间暂存，由集团公司统一委托资质单位处置。本次环评提出风险防范措施。</w:t>
            </w:r>
          </w:p>
          <w:p w14:paraId="48CF6B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66FF"/>
                <w:kern w:val="0"/>
                <w:sz w:val="18"/>
                <w:szCs w:val="18"/>
              </w:rPr>
            </w:pPr>
          </w:p>
        </w:tc>
        <w:tc>
          <w:tcPr>
            <w:tcW w:w="854" w:type="pct"/>
            <w:tcBorders>
              <w:tl2br w:val="nil"/>
              <w:tr2bl w:val="nil"/>
            </w:tcBorders>
            <w:vAlign w:val="top"/>
          </w:tcPr>
          <w:p w14:paraId="51A426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33F2D6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2320AE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66FF"/>
                <w:kern w:val="0"/>
                <w:sz w:val="18"/>
                <w:szCs w:val="18"/>
              </w:rPr>
            </w:pPr>
            <w:r>
              <w:rPr>
                <w:rFonts w:hint="default" w:ascii="Times New Roman" w:hAnsi="Times New Roman" w:eastAsia="宋体" w:cs="Times New Roman"/>
                <w:b w:val="0"/>
                <w:bCs w:val="0"/>
                <w:color w:val="auto"/>
                <w:kern w:val="0"/>
                <w:sz w:val="18"/>
                <w:szCs w:val="18"/>
                <w:vertAlign w:val="baseline"/>
                <w:lang w:val="en-US" w:eastAsia="zh-CN" w:bidi="ar"/>
              </w:rPr>
              <w:t>符合</w:t>
            </w:r>
          </w:p>
        </w:tc>
      </w:tr>
      <w:tr w14:paraId="22AB47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tcBorders>
              <w:tl2br w:val="nil"/>
              <w:tr2bl w:val="nil"/>
            </w:tcBorders>
            <w:vAlign w:val="top"/>
          </w:tcPr>
          <w:p w14:paraId="4924C6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66FF"/>
                <w:kern w:val="0"/>
                <w:sz w:val="18"/>
                <w:szCs w:val="18"/>
              </w:rPr>
            </w:pPr>
            <w:r>
              <w:rPr>
                <w:rFonts w:hint="default" w:ascii="Times New Roman" w:hAnsi="Times New Roman" w:eastAsia="宋体" w:cs="Times New Roman"/>
                <w:color w:val="auto"/>
                <w:kern w:val="0"/>
                <w:sz w:val="18"/>
                <w:szCs w:val="18"/>
                <w:lang w:val="en-US" w:eastAsia="zh-CN" w:bidi="ar"/>
              </w:rPr>
              <w:t>资源开发利用效率</w:t>
            </w:r>
          </w:p>
        </w:tc>
        <w:tc>
          <w:tcPr>
            <w:tcW w:w="2064" w:type="pct"/>
            <w:tcBorders>
              <w:tl2br w:val="nil"/>
              <w:tr2bl w:val="nil"/>
            </w:tcBorders>
            <w:vAlign w:val="top"/>
          </w:tcPr>
          <w:p w14:paraId="0A96FE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1.降低水、土地、能源、矿产资源消耗强度，强化约束性指标管理。</w:t>
            </w:r>
          </w:p>
          <w:p w14:paraId="624EE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2.实行最严格的水资源管理制度，严格用水总量、强度指标管理，严格取水管控，建立重点监控取水单位名录，强化重点监控取水单位管理。全市年用水总量、万元工业增加值用水量降幅等指标达到省考核要求。</w:t>
            </w:r>
          </w:p>
          <w:p w14:paraId="63CAB3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3.坚持最严格的耕地保护制度，守住耕地保护红线。坚持节约用地，严格执行耕地占补平衡等制度，提高土地投资强度和单位面积产出水平。</w:t>
            </w:r>
          </w:p>
          <w:p w14:paraId="75BC04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4.全市单位GDP二氧化碳排放累计下降率完成云南省下达的指标；单位GDP能耗持续下降，到2025年，全市单位GDP能耗累计下降率14%。</w:t>
            </w:r>
          </w:p>
          <w:p w14:paraId="287F84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5.高污染燃料禁燃区按照《高污染燃料目录》及当地有关禁燃区管理规定执行。</w:t>
            </w:r>
          </w:p>
          <w:p w14:paraId="03BDE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66FF"/>
                <w:sz w:val="18"/>
                <w:szCs w:val="18"/>
              </w:rPr>
            </w:pPr>
            <w:r>
              <w:rPr>
                <w:rFonts w:hint="default" w:ascii="Times New Roman" w:hAnsi="Times New Roman" w:eastAsia="宋体" w:cs="Times New Roman"/>
                <w:color w:val="auto"/>
                <w:sz w:val="18"/>
                <w:szCs w:val="18"/>
              </w:rPr>
              <w:t>6.实施高效节水灌溉工程，大力推广高效节水灌溉措施，到2025年，农田灌溉水有效利用系数达到0.55。</w:t>
            </w:r>
          </w:p>
        </w:tc>
        <w:tc>
          <w:tcPr>
            <w:tcW w:w="1444" w:type="pct"/>
            <w:tcBorders>
              <w:tl2br w:val="nil"/>
              <w:tr2bl w:val="nil"/>
            </w:tcBorders>
            <w:vAlign w:val="top"/>
          </w:tcPr>
          <w:p w14:paraId="33753C06">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1、项目利用</w:t>
            </w:r>
            <w:r>
              <w:rPr>
                <w:rFonts w:hint="default" w:ascii="Times New Roman" w:hAnsi="Times New Roman" w:cs="Times New Roman"/>
                <w:color w:val="auto"/>
                <w:kern w:val="0"/>
                <w:sz w:val="18"/>
                <w:szCs w:val="18"/>
                <w:lang w:val="en-US" w:eastAsia="zh-CN" w:bidi="ar"/>
              </w:rPr>
              <w:t>鲁奎山铁矿6号</w:t>
            </w:r>
            <w:r>
              <w:rPr>
                <w:rFonts w:hint="default" w:ascii="Times New Roman" w:hAnsi="Times New Roman" w:eastAsia="宋体" w:cs="Times New Roman"/>
                <w:color w:val="auto"/>
                <w:kern w:val="0"/>
                <w:sz w:val="18"/>
                <w:szCs w:val="18"/>
                <w:lang w:val="en-US" w:eastAsia="zh-CN" w:bidi="ar"/>
              </w:rPr>
              <w:t>料场建设，</w:t>
            </w:r>
            <w:r>
              <w:rPr>
                <w:rFonts w:hint="default" w:ascii="Times New Roman" w:hAnsi="Times New Roman" w:cs="Times New Roman"/>
                <w:color w:val="auto"/>
                <w:kern w:val="0"/>
                <w:sz w:val="18"/>
                <w:szCs w:val="18"/>
                <w:lang w:val="en-US" w:eastAsia="zh-CN" w:bidi="ar"/>
              </w:rPr>
              <w:t>不增加土地资源消耗</w:t>
            </w:r>
            <w:r>
              <w:rPr>
                <w:rFonts w:hint="default" w:ascii="Times New Roman" w:hAnsi="Times New Roman" w:eastAsia="宋体" w:cs="Times New Roman"/>
                <w:color w:val="auto"/>
                <w:kern w:val="0"/>
                <w:sz w:val="18"/>
                <w:szCs w:val="18"/>
                <w:lang w:val="en-US" w:eastAsia="zh-CN" w:bidi="ar"/>
              </w:rPr>
              <w:t>；</w:t>
            </w:r>
          </w:p>
          <w:p w14:paraId="4E7692E6">
            <w:pPr>
              <w:spacing w:line="240" w:lineRule="auto"/>
              <w:ind w:firstLine="0" w:firstLineChars="0"/>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2、本项目用水主要为降尘用水及生活用水，用水量小。初期雨水经雨水排水沟汇集后排入初期雨水收集池，经处理后回用于项目区洒水降尘；</w:t>
            </w:r>
          </w:p>
          <w:p w14:paraId="5736117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3、本项目用地不涉及耕地，不占用生态保护红线；</w:t>
            </w:r>
          </w:p>
          <w:p w14:paraId="10F05E8F">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66FF"/>
                <w:kern w:val="0"/>
                <w:sz w:val="18"/>
                <w:szCs w:val="18"/>
                <w:lang w:val="en-US"/>
              </w:rPr>
            </w:pPr>
            <w:r>
              <w:rPr>
                <w:rFonts w:hint="default" w:ascii="Times New Roman" w:hAnsi="Times New Roman" w:eastAsia="宋体" w:cs="Times New Roman"/>
                <w:color w:val="auto"/>
                <w:kern w:val="0"/>
                <w:sz w:val="18"/>
                <w:szCs w:val="18"/>
                <w:lang w:val="en-US" w:eastAsia="zh-CN" w:bidi="ar"/>
              </w:rPr>
              <w:t>4、本项目使用清洁能源电能</w:t>
            </w:r>
            <w:r>
              <w:rPr>
                <w:rFonts w:hint="default" w:ascii="Times New Roman" w:hAnsi="Times New Roman" w:cs="Times New Roman"/>
                <w:color w:val="auto"/>
                <w:kern w:val="0"/>
                <w:sz w:val="18"/>
                <w:szCs w:val="18"/>
                <w:lang w:val="en-US" w:eastAsia="zh-CN" w:bidi="ar"/>
              </w:rPr>
              <w:t>，不涉及高污染燃料。</w:t>
            </w:r>
          </w:p>
        </w:tc>
        <w:tc>
          <w:tcPr>
            <w:tcW w:w="854" w:type="pct"/>
            <w:tcBorders>
              <w:tl2br w:val="nil"/>
              <w:tr2bl w:val="nil"/>
            </w:tcBorders>
            <w:vAlign w:val="top"/>
          </w:tcPr>
          <w:p w14:paraId="2D064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627415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576E6A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648CEC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7AE669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66FF"/>
                <w:kern w:val="0"/>
                <w:sz w:val="18"/>
                <w:szCs w:val="18"/>
              </w:rPr>
            </w:pPr>
            <w:r>
              <w:rPr>
                <w:rFonts w:hint="default" w:ascii="Times New Roman" w:hAnsi="Times New Roman" w:eastAsia="宋体" w:cs="Times New Roman"/>
                <w:b w:val="0"/>
                <w:bCs w:val="0"/>
                <w:color w:val="auto"/>
                <w:kern w:val="0"/>
                <w:sz w:val="18"/>
                <w:szCs w:val="18"/>
                <w:vertAlign w:val="baseline"/>
                <w:lang w:val="en-US" w:eastAsia="zh-CN" w:bidi="ar"/>
              </w:rPr>
              <w:t>符合</w:t>
            </w:r>
          </w:p>
        </w:tc>
      </w:tr>
      <w:tr w14:paraId="491B4A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14:paraId="2C845C6C">
            <w:pPr>
              <w:autoSpaceDE w:val="0"/>
              <w:autoSpaceDN w:val="0"/>
              <w:adjustRightInd w:val="0"/>
              <w:snapToGrid w:val="0"/>
              <w:jc w:val="center"/>
              <w:rPr>
                <w:rFonts w:hint="default" w:ascii="Times New Roman" w:hAnsi="Times New Roman" w:eastAsia="宋体" w:cs="Times New Roman"/>
                <w:color w:val="0066FF"/>
                <w:kern w:val="0"/>
                <w:sz w:val="18"/>
                <w:szCs w:val="18"/>
              </w:rPr>
            </w:pPr>
            <w:r>
              <w:rPr>
                <w:rFonts w:hint="default" w:ascii="Times New Roman" w:hAnsi="Times New Roman" w:eastAsia="宋体" w:cs="Times New Roman"/>
                <w:b/>
                <w:bCs/>
                <w:color w:val="auto"/>
                <w:kern w:val="0"/>
                <w:sz w:val="18"/>
                <w:szCs w:val="18"/>
                <w:vertAlign w:val="baseline"/>
                <w:lang w:val="en-US" w:eastAsia="zh-CN" w:bidi="ar"/>
              </w:rPr>
              <w:t>一般管控单元生态环境准入清单（新平县）</w:t>
            </w:r>
          </w:p>
        </w:tc>
      </w:tr>
      <w:tr w14:paraId="22BAD9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tcBorders>
              <w:tl2br w:val="nil"/>
              <w:tr2bl w:val="nil"/>
            </w:tcBorders>
            <w:vAlign w:val="top"/>
          </w:tcPr>
          <w:p w14:paraId="5A0F02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66FF"/>
                <w:kern w:val="0"/>
                <w:sz w:val="18"/>
                <w:szCs w:val="18"/>
              </w:rPr>
            </w:pPr>
            <w:r>
              <w:rPr>
                <w:rFonts w:hint="default" w:ascii="Times New Roman" w:hAnsi="Times New Roman" w:eastAsia="宋体" w:cs="Times New Roman"/>
                <w:color w:val="auto"/>
                <w:kern w:val="0"/>
                <w:sz w:val="18"/>
                <w:szCs w:val="18"/>
                <w:lang w:val="en-US" w:eastAsia="zh-CN" w:bidi="ar"/>
              </w:rPr>
              <w:t>空间布局约束</w:t>
            </w:r>
          </w:p>
        </w:tc>
        <w:tc>
          <w:tcPr>
            <w:tcW w:w="2064" w:type="pct"/>
            <w:tcBorders>
              <w:tl2br w:val="nil"/>
              <w:tr2bl w:val="nil"/>
            </w:tcBorders>
            <w:vAlign w:val="top"/>
          </w:tcPr>
          <w:p w14:paraId="7CDB79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66FF"/>
                <w:kern w:val="0"/>
                <w:sz w:val="18"/>
                <w:szCs w:val="18"/>
              </w:rPr>
            </w:pPr>
            <w:r>
              <w:rPr>
                <w:rFonts w:hint="default" w:ascii="Times New Roman" w:hAnsi="Times New Roman" w:eastAsia="宋体" w:cs="Times New Roman"/>
                <w:color w:val="auto"/>
                <w:kern w:val="0"/>
                <w:sz w:val="18"/>
                <w:szCs w:val="18"/>
              </w:rPr>
              <w:t>落实生态环境保护基本要求，项目建设和运行应满足产业准入、污染物削减、污染物排放标准等管理规定和国家法律法规要求。</w:t>
            </w:r>
          </w:p>
        </w:tc>
        <w:tc>
          <w:tcPr>
            <w:tcW w:w="1444" w:type="pct"/>
            <w:tcBorders>
              <w:tl2br w:val="nil"/>
              <w:tr2bl w:val="nil"/>
            </w:tcBorders>
            <w:vAlign w:val="top"/>
          </w:tcPr>
          <w:p w14:paraId="45AFF5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66FF"/>
                <w:kern w:val="0"/>
                <w:sz w:val="18"/>
                <w:szCs w:val="18"/>
              </w:rPr>
            </w:pPr>
            <w:r>
              <w:rPr>
                <w:rFonts w:hint="default" w:ascii="Times New Roman" w:hAnsi="Times New Roman" w:eastAsia="宋体" w:cs="Times New Roman"/>
                <w:color w:val="auto"/>
                <w:kern w:val="0"/>
                <w:sz w:val="18"/>
                <w:szCs w:val="18"/>
                <w:lang w:val="en-US" w:eastAsia="zh-CN" w:bidi="ar"/>
              </w:rPr>
              <w:t>项目符合生态环境保护基本要求，符合国家产业政策，根据国家相关环保要求，能够达标排放，项目将根据排污许可证要求实施总量控制。</w:t>
            </w:r>
          </w:p>
        </w:tc>
        <w:tc>
          <w:tcPr>
            <w:tcW w:w="854" w:type="pct"/>
            <w:tcBorders>
              <w:tl2br w:val="nil"/>
              <w:tr2bl w:val="nil"/>
            </w:tcBorders>
            <w:vAlign w:val="top"/>
          </w:tcPr>
          <w:p w14:paraId="13398C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kern w:val="0"/>
                <w:sz w:val="18"/>
                <w:szCs w:val="18"/>
                <w:vertAlign w:val="baseline"/>
                <w:lang w:val="en-US" w:eastAsia="zh-CN" w:bidi="ar"/>
              </w:rPr>
            </w:pPr>
          </w:p>
          <w:p w14:paraId="6DC3BD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66FF"/>
                <w:kern w:val="0"/>
                <w:sz w:val="18"/>
                <w:szCs w:val="18"/>
              </w:rPr>
            </w:pPr>
            <w:r>
              <w:rPr>
                <w:rFonts w:hint="default" w:ascii="Times New Roman" w:hAnsi="Times New Roman" w:eastAsia="宋体" w:cs="Times New Roman"/>
                <w:b w:val="0"/>
                <w:bCs w:val="0"/>
                <w:color w:val="auto"/>
                <w:kern w:val="0"/>
                <w:sz w:val="18"/>
                <w:szCs w:val="18"/>
                <w:vertAlign w:val="baseline"/>
                <w:lang w:val="en-US" w:eastAsia="zh-CN" w:bidi="ar"/>
              </w:rPr>
              <w:t>符合</w:t>
            </w:r>
          </w:p>
        </w:tc>
      </w:tr>
    </w:tbl>
    <w:p w14:paraId="765E35C6">
      <w:pPr>
        <w:autoSpaceDE w:val="0"/>
        <w:autoSpaceDN w:val="0"/>
        <w:adjustRightInd w:val="0"/>
        <w:spacing w:line="360" w:lineRule="auto"/>
        <w:ind w:firstLine="480" w:firstLineChars="200"/>
        <w:jc w:val="left"/>
        <w:rPr>
          <w:rFonts w:hint="default" w:ascii="Times New Roman" w:hAnsi="Times New Roman" w:cs="Times New Roman" w:eastAsiaTheme="minorEastAsia"/>
          <w:kern w:val="0"/>
          <w:sz w:val="24"/>
          <w:szCs w:val="24"/>
        </w:rPr>
      </w:pPr>
      <w:r>
        <w:rPr>
          <w:rFonts w:hint="default" w:ascii="Times New Roman" w:hAnsi="Times New Roman" w:cs="Times New Roman" w:eastAsiaTheme="minorEastAsia"/>
          <w:sz w:val="24"/>
          <w:szCs w:val="24"/>
        </w:rPr>
        <w:t>根据上表</w:t>
      </w:r>
      <w:r>
        <w:rPr>
          <w:rFonts w:hint="default" w:ascii="Times New Roman" w:hAnsi="Times New Roman" w:cs="Times New Roman" w:eastAsiaTheme="minorEastAsia"/>
          <w:kern w:val="0"/>
          <w:sz w:val="24"/>
          <w:szCs w:val="24"/>
        </w:rPr>
        <w:t>对照</w:t>
      </w:r>
      <w:r>
        <w:rPr>
          <w:rFonts w:hint="default" w:ascii="Times New Roman" w:hAnsi="Times New Roman" w:cs="Times New Roman" w:eastAsiaTheme="minorEastAsia"/>
          <w:sz w:val="24"/>
          <w:szCs w:val="24"/>
        </w:rPr>
        <w:t>分析，本项目符合</w:t>
      </w:r>
      <w:r>
        <w:rPr>
          <w:rFonts w:hint="default" w:ascii="Times New Roman" w:hAnsi="Times New Roman" w:eastAsia="宋体" w:cs="Times New Roman"/>
          <w:kern w:val="0"/>
          <w:sz w:val="24"/>
          <w:szCs w:val="24"/>
        </w:rPr>
        <w:t>《关于印发玉溪市生态环境分区管控动态更新调整方案（2023年）的通知》</w:t>
      </w:r>
      <w:r>
        <w:rPr>
          <w:rFonts w:hint="default" w:ascii="Times New Roman" w:hAnsi="Times New Roman" w:cs="Times New Roman"/>
          <w:kern w:val="0"/>
          <w:sz w:val="24"/>
          <w:szCs w:val="24"/>
          <w:lang w:eastAsia="zh-CN"/>
        </w:rPr>
        <w:t>（</w:t>
      </w:r>
      <w:r>
        <w:rPr>
          <w:rFonts w:hint="default" w:ascii="Times New Roman" w:hAnsi="Times New Roman" w:eastAsia="宋体" w:cs="Times New Roman"/>
          <w:kern w:val="0"/>
          <w:sz w:val="24"/>
          <w:szCs w:val="24"/>
        </w:rPr>
        <w:t>玉市环〔2024〕40号</w:t>
      </w:r>
      <w:r>
        <w:rPr>
          <w:rFonts w:hint="default" w:ascii="Times New Roman" w:hAnsi="Times New Roman" w:cs="Times New Roman"/>
          <w:kern w:val="0"/>
          <w:sz w:val="24"/>
          <w:szCs w:val="24"/>
          <w:lang w:eastAsia="zh-CN"/>
        </w:rPr>
        <w:t>）</w:t>
      </w:r>
      <w:r>
        <w:rPr>
          <w:rFonts w:hint="default" w:ascii="Times New Roman" w:hAnsi="Times New Roman" w:cs="Times New Roman" w:eastAsiaTheme="minorEastAsia"/>
          <w:kern w:val="0"/>
          <w:sz w:val="24"/>
          <w:szCs w:val="24"/>
        </w:rPr>
        <w:t>的相关要求。</w:t>
      </w:r>
    </w:p>
    <w:p w14:paraId="5A33E24F">
      <w:pPr>
        <w:pStyle w:val="6"/>
        <w:bidi w:val="0"/>
        <w:rPr>
          <w:rFonts w:hint="default" w:ascii="Times New Roman" w:hAnsi="Times New Roman" w:cs="Times New Roman"/>
          <w:lang w:val="en-US" w:eastAsia="zh-CN"/>
        </w:rPr>
      </w:pPr>
      <w:bookmarkStart w:id="86" w:name="_Toc21342"/>
      <w:bookmarkStart w:id="87" w:name="_Toc165816716"/>
      <w:r>
        <w:rPr>
          <w:rFonts w:hint="default" w:ascii="Times New Roman" w:hAnsi="Times New Roman" w:cs="Times New Roman"/>
          <w:lang w:val="en-US" w:eastAsia="zh-CN"/>
        </w:rPr>
        <w:t>1.3.21与新平县“三区三线”划定范围的符合性分析</w:t>
      </w:r>
    </w:p>
    <w:p w14:paraId="642DBD19">
      <w:pPr>
        <w:adjustRightInd w:val="0"/>
        <w:snapToGrid w:val="0"/>
        <w:spacing w:line="360" w:lineRule="auto"/>
        <w:ind w:firstLine="540" w:firstLineChars="225"/>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根据新平县自然资源局出具的“三区三线”的情况说明，本项目占地范围不涉及生态保护红线、不在城镇开发边界内，未占用永久基本农田，未占用耕地后备资源。</w:t>
      </w:r>
    </w:p>
    <w:p w14:paraId="08166137">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1.3.22与“国务院关于印发《空气质量持续改善行动计划》的通知”（国发〔2023〕24号）符合性分析</w:t>
      </w:r>
    </w:p>
    <w:p w14:paraId="5A237C5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持续深入打好蓝天保卫战，切实保障人民群众身体健康，以空气质量持续改善推动经济高质量发展，2023年11月30日，国务院发布“国务院关于印发《空气质量持续改善行动计划》的通知”（国发〔2023〕24号），项目与该计划符合性分析详见下表。</w:t>
      </w:r>
    </w:p>
    <w:p w14:paraId="4A9B5AB0">
      <w:pPr>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br w:type="page"/>
      </w:r>
    </w:p>
    <w:p w14:paraId="79E93E74">
      <w:pPr>
        <w:spacing w:line="360" w:lineRule="auto"/>
        <w:jc w:val="center"/>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表1.3-13  与《空气质量持续改善行动计划》符合性分析一览表</w:t>
      </w:r>
    </w:p>
    <w:tbl>
      <w:tblPr>
        <w:tblStyle w:val="30"/>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84"/>
        <w:gridCol w:w="2627"/>
        <w:gridCol w:w="873"/>
      </w:tblGrid>
      <w:tr w14:paraId="15158C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15" w:type="pct"/>
            <w:tcBorders>
              <w:tl2br w:val="nil"/>
              <w:tr2bl w:val="nil"/>
            </w:tcBorders>
            <w:noWrap w:val="0"/>
            <w:vAlign w:val="top"/>
          </w:tcPr>
          <w:p w14:paraId="00213054">
            <w:pPr>
              <w:pStyle w:val="17"/>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文件内容</w:t>
            </w:r>
          </w:p>
        </w:tc>
        <w:tc>
          <w:tcPr>
            <w:tcW w:w="1415" w:type="pct"/>
            <w:tcBorders>
              <w:tl2br w:val="nil"/>
              <w:tr2bl w:val="nil"/>
            </w:tcBorders>
            <w:noWrap w:val="0"/>
            <w:vAlign w:val="top"/>
          </w:tcPr>
          <w:p w14:paraId="58AE6ECD">
            <w:pPr>
              <w:pStyle w:val="17"/>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项目情况</w:t>
            </w:r>
          </w:p>
        </w:tc>
        <w:tc>
          <w:tcPr>
            <w:tcW w:w="469" w:type="pct"/>
            <w:tcBorders>
              <w:tl2br w:val="nil"/>
              <w:tr2bl w:val="nil"/>
            </w:tcBorders>
            <w:noWrap w:val="0"/>
            <w:vAlign w:val="top"/>
          </w:tcPr>
          <w:p w14:paraId="6F6A4F17">
            <w:pPr>
              <w:pStyle w:val="17"/>
              <w:spacing w:line="240" w:lineRule="auto"/>
              <w:ind w:left="0" w:leftChars="0" w:firstLine="0" w:firstLineChars="0"/>
              <w:jc w:val="both"/>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符合性</w:t>
            </w:r>
          </w:p>
        </w:tc>
      </w:tr>
      <w:tr w14:paraId="26588C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14:paraId="3AEB7946">
            <w:pPr>
              <w:pStyle w:val="17"/>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优化产业结构，促进产业产品绿色升级</w:t>
            </w:r>
          </w:p>
        </w:tc>
      </w:tr>
      <w:tr w14:paraId="2664AD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15" w:type="pct"/>
            <w:tcBorders>
              <w:tl2br w:val="nil"/>
              <w:tr2bl w:val="nil"/>
            </w:tcBorders>
            <w:noWrap w:val="0"/>
            <w:vAlign w:val="center"/>
          </w:tcPr>
          <w:p w14:paraId="2A8E81AA">
            <w:pPr>
              <w:pStyle w:val="17"/>
              <w:spacing w:line="240" w:lineRule="auto"/>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7B148EFA">
            <w:pPr>
              <w:pStyle w:val="17"/>
              <w:spacing w:line="240" w:lineRule="auto"/>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w:t>
            </w:r>
          </w:p>
        </w:tc>
        <w:tc>
          <w:tcPr>
            <w:tcW w:w="1415" w:type="pct"/>
            <w:tcBorders>
              <w:tl2br w:val="nil"/>
              <w:tr2bl w:val="nil"/>
            </w:tcBorders>
            <w:noWrap w:val="0"/>
            <w:vAlign w:val="center"/>
          </w:tcPr>
          <w:p w14:paraId="6868EEF8">
            <w:pPr>
              <w:pStyle w:val="17"/>
              <w:spacing w:line="240" w:lineRule="auto"/>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本项目不属于高耗能、高排放及低水平项目。项目的建设符合产业政策及生态环境分区管控要求。</w:t>
            </w:r>
          </w:p>
        </w:tc>
        <w:tc>
          <w:tcPr>
            <w:tcW w:w="469" w:type="pct"/>
            <w:tcBorders>
              <w:tl2br w:val="nil"/>
              <w:tr2bl w:val="nil"/>
            </w:tcBorders>
            <w:noWrap w:val="0"/>
            <w:vAlign w:val="center"/>
          </w:tcPr>
          <w:p w14:paraId="4253307A">
            <w:pPr>
              <w:pStyle w:val="17"/>
              <w:spacing w:line="240" w:lineRule="auto"/>
              <w:ind w:left="0" w:leftChars="0" w:firstLine="0" w:firstLineChars="0"/>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符合</w:t>
            </w:r>
          </w:p>
        </w:tc>
      </w:tr>
      <w:tr w14:paraId="7D25B7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14:paraId="328AC0C0">
            <w:pPr>
              <w:pStyle w:val="17"/>
              <w:spacing w:line="240" w:lineRule="auto"/>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优化能源结构，加速能源清洁低碳高效发展</w:t>
            </w:r>
          </w:p>
        </w:tc>
      </w:tr>
      <w:tr w14:paraId="14FF91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15" w:type="pct"/>
            <w:tcBorders>
              <w:tl2br w:val="nil"/>
              <w:tr2bl w:val="nil"/>
            </w:tcBorders>
            <w:noWrap w:val="0"/>
            <w:vAlign w:val="top"/>
          </w:tcPr>
          <w:p w14:paraId="53ACC658">
            <w:pPr>
              <w:pStyle w:val="17"/>
              <w:spacing w:line="240" w:lineRule="auto"/>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（九）大力发展新能源和清洁能源。到2025年，非化石能源消费比重达20%左右，电能占终端能源消费比重达30%左右。持续增加天然气生产供应，新增天然气优先保障居民生活和清洁取暖需求。</w:t>
            </w:r>
          </w:p>
        </w:tc>
        <w:tc>
          <w:tcPr>
            <w:tcW w:w="1415" w:type="pct"/>
            <w:vMerge w:val="restart"/>
            <w:tcBorders>
              <w:tl2br w:val="nil"/>
              <w:tr2bl w:val="nil"/>
            </w:tcBorders>
            <w:noWrap w:val="0"/>
            <w:vAlign w:val="center"/>
          </w:tcPr>
          <w:p w14:paraId="4A970803">
            <w:pPr>
              <w:pStyle w:val="17"/>
              <w:spacing w:line="240" w:lineRule="auto"/>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本项目使用能源为电能，不涉及煤炭燃烧</w:t>
            </w:r>
          </w:p>
        </w:tc>
        <w:tc>
          <w:tcPr>
            <w:tcW w:w="469" w:type="pct"/>
            <w:vMerge w:val="restart"/>
            <w:tcBorders>
              <w:tl2br w:val="nil"/>
              <w:tr2bl w:val="nil"/>
            </w:tcBorders>
            <w:noWrap w:val="0"/>
            <w:vAlign w:val="center"/>
          </w:tcPr>
          <w:p w14:paraId="6CA04B64">
            <w:pPr>
              <w:pStyle w:val="17"/>
              <w:spacing w:line="240" w:lineRule="auto"/>
              <w:ind w:left="0" w:leftChars="0" w:firstLine="0" w:firstLineChars="0"/>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符合</w:t>
            </w:r>
          </w:p>
        </w:tc>
      </w:tr>
      <w:tr w14:paraId="0BF13B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15" w:type="pct"/>
            <w:tcBorders>
              <w:tl2br w:val="nil"/>
              <w:tr2bl w:val="nil"/>
            </w:tcBorders>
            <w:noWrap w:val="0"/>
            <w:vAlign w:val="top"/>
          </w:tcPr>
          <w:p w14:paraId="5122E787">
            <w:pPr>
              <w:pStyle w:val="17"/>
              <w:spacing w:line="240" w:lineRule="auto"/>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十）严格合理控制煤炭消费总量。在保障能源安全供应的前提下，重点区域继续实施煤炭消费总量控制。到2025年，京津冀及周边地区、长三角地区煤炭消费量较2020年分别下降10%和5%左右，汾渭平原煤炭消费量实现负增长，重点削减非电力用煤。重点区域新改扩建用煤项目，依法实行煤炭等量或减量替代，替代方案不完善的不予审批；不得将使用石油焦、焦炭、兰炭等高污染燃料作为煤炭减量替代措施。完善重点区域煤炭消费减量替代管理办法，煤矸石、原料用煤不纳入煤炭消费总量考核。原则上不再新增自备燃煤机组，支持自备燃煤机组实施清洁能源替代。对支撑电力稳定供应、电网安全运行、清洁能源大规模并网消纳的煤电项目及其用煤量应予以合理保障。</w:t>
            </w:r>
          </w:p>
        </w:tc>
        <w:tc>
          <w:tcPr>
            <w:tcW w:w="1415" w:type="pct"/>
            <w:vMerge w:val="continue"/>
            <w:tcBorders>
              <w:tl2br w:val="nil"/>
              <w:tr2bl w:val="nil"/>
            </w:tcBorders>
            <w:noWrap w:val="0"/>
            <w:vAlign w:val="top"/>
          </w:tcPr>
          <w:p w14:paraId="5ACD2331">
            <w:pPr>
              <w:pStyle w:val="17"/>
              <w:spacing w:line="240" w:lineRule="auto"/>
              <w:jc w:val="left"/>
              <w:rPr>
                <w:rFonts w:hint="default" w:ascii="Times New Roman" w:hAnsi="Times New Roman" w:eastAsia="宋体" w:cs="Times New Roman"/>
                <w:b w:val="0"/>
                <w:bCs w:val="0"/>
                <w:color w:val="auto"/>
                <w:sz w:val="18"/>
                <w:szCs w:val="18"/>
                <w:highlight w:val="none"/>
                <w:lang w:val="en-US" w:eastAsia="zh-CN"/>
              </w:rPr>
            </w:pPr>
          </w:p>
        </w:tc>
        <w:tc>
          <w:tcPr>
            <w:tcW w:w="469" w:type="pct"/>
            <w:vMerge w:val="continue"/>
            <w:tcBorders>
              <w:tl2br w:val="nil"/>
              <w:tr2bl w:val="nil"/>
            </w:tcBorders>
            <w:noWrap w:val="0"/>
            <w:vAlign w:val="top"/>
          </w:tcPr>
          <w:p w14:paraId="18F87C63">
            <w:pPr>
              <w:pStyle w:val="17"/>
              <w:spacing w:line="240" w:lineRule="auto"/>
              <w:jc w:val="left"/>
              <w:rPr>
                <w:rFonts w:hint="default" w:ascii="Times New Roman" w:hAnsi="Times New Roman" w:eastAsia="宋体" w:cs="Times New Roman"/>
                <w:b w:val="0"/>
                <w:bCs w:val="0"/>
                <w:color w:val="auto"/>
                <w:sz w:val="18"/>
                <w:szCs w:val="18"/>
                <w:highlight w:val="none"/>
                <w:lang w:val="en-US" w:eastAsia="zh-CN"/>
              </w:rPr>
            </w:pPr>
          </w:p>
        </w:tc>
      </w:tr>
      <w:tr w14:paraId="76E106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14:paraId="52C4917D">
            <w:pPr>
              <w:pStyle w:val="17"/>
              <w:spacing w:line="240" w:lineRule="auto"/>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强化面源污染治理，提升精细化管理水平</w:t>
            </w:r>
          </w:p>
        </w:tc>
      </w:tr>
      <w:tr w14:paraId="3B0CE0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15" w:type="pct"/>
            <w:tcBorders>
              <w:tl2br w:val="nil"/>
              <w:tr2bl w:val="nil"/>
            </w:tcBorders>
            <w:noWrap w:val="0"/>
            <w:vAlign w:val="top"/>
          </w:tcPr>
          <w:p w14:paraId="66670B41">
            <w:pPr>
              <w:pStyle w:val="17"/>
              <w:spacing w:line="240" w:lineRule="auto"/>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十八）深化扬尘污染综合治理。鼓励经济发达地区5000平方米及以上建筑工地安装视频监控并接入当地监管平台；重点区域道路、水务等长距离线性工程实行分段施工。将防治扬尘污染费用纳入工程造价。到2025年，装配式建筑占新建建筑面积比例达30%；地级及以上城市建成区道路机械化清扫率达80%左右，县城达70%左右。对城市公共裸地进行排查建档并采取防尘措施。城市大型煤炭、矿石等干散货码头物料堆场基本完成抑尘设施建设和物料输送系统封闭改造。</w:t>
            </w:r>
          </w:p>
        </w:tc>
        <w:tc>
          <w:tcPr>
            <w:tcW w:w="1415" w:type="pct"/>
            <w:tcBorders>
              <w:tl2br w:val="nil"/>
              <w:tr2bl w:val="nil"/>
            </w:tcBorders>
            <w:noWrap w:val="0"/>
            <w:vAlign w:val="center"/>
          </w:tcPr>
          <w:p w14:paraId="170DB3FF">
            <w:pPr>
              <w:pStyle w:val="17"/>
              <w:spacing w:line="240" w:lineRule="auto"/>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项目铁矿石及</w:t>
            </w:r>
            <w:r>
              <w:rPr>
                <w:rFonts w:hint="default" w:ascii="Times New Roman" w:hAnsi="Times New Roman" w:cs="Times New Roman"/>
                <w:b w:val="0"/>
                <w:bCs w:val="0"/>
                <w:color w:val="auto"/>
                <w:sz w:val="18"/>
                <w:szCs w:val="18"/>
                <w:highlight w:val="none"/>
                <w:lang w:val="en-US" w:eastAsia="zh-CN"/>
              </w:rPr>
              <w:t>砂石料</w:t>
            </w:r>
            <w:r>
              <w:rPr>
                <w:rFonts w:hint="default" w:ascii="Times New Roman" w:hAnsi="Times New Roman" w:eastAsia="宋体" w:cs="Times New Roman"/>
                <w:b w:val="0"/>
                <w:bCs w:val="0"/>
                <w:color w:val="auto"/>
                <w:sz w:val="18"/>
                <w:szCs w:val="18"/>
                <w:highlight w:val="none"/>
                <w:lang w:val="en-US" w:eastAsia="zh-CN"/>
              </w:rPr>
              <w:t>建设三面围挡的堆棚，洒水降尘，因此扬尘产生量较少。</w:t>
            </w:r>
          </w:p>
        </w:tc>
        <w:tc>
          <w:tcPr>
            <w:tcW w:w="469" w:type="pct"/>
            <w:tcBorders>
              <w:tl2br w:val="nil"/>
              <w:tr2bl w:val="nil"/>
            </w:tcBorders>
            <w:noWrap w:val="0"/>
            <w:vAlign w:val="center"/>
          </w:tcPr>
          <w:p w14:paraId="66BE910D">
            <w:pPr>
              <w:pStyle w:val="17"/>
              <w:spacing w:line="240" w:lineRule="auto"/>
              <w:ind w:left="0" w:leftChars="0" w:firstLine="0" w:firstLineChars="0"/>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符合</w:t>
            </w:r>
          </w:p>
        </w:tc>
      </w:tr>
    </w:tbl>
    <w:p w14:paraId="4A8EA3F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综上所述，本项目建设符合《空气质量持续改善行动计划》中相关要求。</w:t>
      </w:r>
    </w:p>
    <w:p w14:paraId="488202FA">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1.3.23</w:t>
      </w:r>
      <w:r>
        <w:rPr>
          <w:rFonts w:hint="default" w:ascii="Times New Roman" w:hAnsi="Times New Roman" w:cs="Times New Roman"/>
          <w:color w:val="auto"/>
        </w:rPr>
        <w:t>与《云南省空气质量持续改善行动实施方案》的符合性分析</w:t>
      </w:r>
    </w:p>
    <w:p w14:paraId="45427EA4">
      <w:pPr>
        <w:tabs>
          <w:tab w:val="left" w:pos="667"/>
        </w:tab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2024年4月23日云南省人民政府印发《云南省空气质量持续改善行动实施方案》的通知（云政发〔2024〕14号），项目与《云南省空气质量持续改善行动实施方案》的通知符合性分析见下表：</w:t>
      </w:r>
    </w:p>
    <w:p w14:paraId="1DC73B56">
      <w:pP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br w:type="page"/>
      </w:r>
    </w:p>
    <w:p w14:paraId="2E6C4F18">
      <w:pPr>
        <w:spacing w:line="360" w:lineRule="auto"/>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表1</w:t>
      </w:r>
      <w:r>
        <w:rPr>
          <w:rFonts w:hint="default" w:ascii="Times New Roman" w:hAnsi="Times New Roman" w:eastAsia="黑体" w:cs="Times New Roman"/>
          <w:color w:val="auto"/>
          <w:sz w:val="21"/>
          <w:szCs w:val="21"/>
          <w:lang w:val="en-US" w:eastAsia="zh-CN"/>
        </w:rPr>
        <w:t>.3</w:t>
      </w:r>
      <w:r>
        <w:rPr>
          <w:rFonts w:hint="default" w:ascii="Times New Roman" w:hAnsi="Times New Roman" w:eastAsia="黑体" w:cs="Times New Roman"/>
          <w:color w:val="auto"/>
          <w:sz w:val="21"/>
          <w:szCs w:val="21"/>
        </w:rPr>
        <w:t>-</w:t>
      </w:r>
      <w:r>
        <w:rPr>
          <w:rFonts w:hint="default" w:ascii="Times New Roman" w:hAnsi="Times New Roman" w:eastAsia="黑体" w:cs="Times New Roman"/>
          <w:color w:val="auto"/>
          <w:sz w:val="21"/>
          <w:szCs w:val="21"/>
          <w:lang w:val="en-US" w:eastAsia="zh-CN"/>
        </w:rPr>
        <w:t>14</w:t>
      </w:r>
      <w:r>
        <w:rPr>
          <w:rFonts w:hint="default" w:ascii="Times New Roman" w:hAnsi="Times New Roman" w:eastAsia="黑体" w:cs="Times New Roman"/>
          <w:color w:val="auto"/>
          <w:sz w:val="21"/>
          <w:szCs w:val="21"/>
        </w:rPr>
        <w:t xml:space="preserve">  项目与《云南省空气质量持续改善行动实施方案》的通知符合性分析</w:t>
      </w:r>
    </w:p>
    <w:tbl>
      <w:tblPr>
        <w:tblStyle w:val="2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4104"/>
        <w:gridCol w:w="3194"/>
        <w:gridCol w:w="748"/>
      </w:tblGrid>
      <w:tr w14:paraId="585A02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1A1738B6">
            <w:pPr>
              <w:pStyle w:val="17"/>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2315" w:type="pct"/>
            <w:noWrap w:val="0"/>
            <w:vAlign w:val="center"/>
          </w:tcPr>
          <w:p w14:paraId="7A58D0D1">
            <w:pPr>
              <w:pStyle w:val="17"/>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云政发〔2024〕14号内容</w:t>
            </w:r>
          </w:p>
        </w:tc>
        <w:tc>
          <w:tcPr>
            <w:tcW w:w="1824" w:type="pct"/>
            <w:noWrap w:val="0"/>
            <w:vAlign w:val="center"/>
          </w:tcPr>
          <w:p w14:paraId="351A898F">
            <w:pPr>
              <w:pStyle w:val="17"/>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本项目内容</w:t>
            </w:r>
          </w:p>
        </w:tc>
        <w:tc>
          <w:tcPr>
            <w:tcW w:w="338" w:type="pct"/>
            <w:noWrap w:val="0"/>
            <w:vAlign w:val="center"/>
          </w:tcPr>
          <w:p w14:paraId="0DE98D9D">
            <w:pPr>
              <w:pStyle w:val="17"/>
              <w:adjustRightInd w:val="0"/>
              <w:snapToGrid w:val="0"/>
              <w:spacing w:line="240" w:lineRule="auto"/>
              <w:ind w:left="0" w:leftChars="0" w:firstLine="0" w:firstLineChars="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符合性</w:t>
            </w:r>
          </w:p>
        </w:tc>
      </w:tr>
      <w:tr w14:paraId="196933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77DD047B">
            <w:pPr>
              <w:pStyle w:val="17"/>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w:t>
            </w:r>
          </w:p>
        </w:tc>
        <w:tc>
          <w:tcPr>
            <w:tcW w:w="4478" w:type="pct"/>
            <w:gridSpan w:val="3"/>
            <w:noWrap w:val="0"/>
            <w:vAlign w:val="center"/>
          </w:tcPr>
          <w:p w14:paraId="089C2737">
            <w:pPr>
              <w:pStyle w:val="17"/>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优化产业结构</w:t>
            </w:r>
          </w:p>
        </w:tc>
      </w:tr>
      <w:tr w14:paraId="74EBBD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52B81C59">
            <w:pPr>
              <w:pStyle w:val="17"/>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w:t>
            </w:r>
          </w:p>
        </w:tc>
        <w:tc>
          <w:tcPr>
            <w:tcW w:w="2315" w:type="pct"/>
            <w:noWrap w:val="0"/>
            <w:vAlign w:val="center"/>
          </w:tcPr>
          <w:p w14:paraId="6B8474D1">
            <w:pPr>
              <w:pStyle w:val="17"/>
              <w:adjustRightInd w:val="0"/>
              <w:snapToGrid w:val="0"/>
              <w:spacing w:line="240"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tc>
        <w:tc>
          <w:tcPr>
            <w:tcW w:w="1824" w:type="pct"/>
            <w:noWrap w:val="0"/>
            <w:vAlign w:val="center"/>
          </w:tcPr>
          <w:p w14:paraId="2AA38B66">
            <w:pPr>
              <w:pStyle w:val="17"/>
              <w:adjustRightInd w:val="0"/>
              <w:snapToGrid w:val="0"/>
              <w:spacing w:line="240"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本</w:t>
            </w:r>
            <w:r>
              <w:rPr>
                <w:rFonts w:hint="default" w:ascii="Times New Roman" w:hAnsi="Times New Roman" w:cs="Times New Roman"/>
                <w:color w:val="auto"/>
                <w:sz w:val="18"/>
                <w:szCs w:val="18"/>
              </w:rPr>
              <w:t>项目不属于“两高”项目；项目的建设符合国家和云南省产业政策、生态环境分区管控方案要求。</w:t>
            </w:r>
          </w:p>
        </w:tc>
        <w:tc>
          <w:tcPr>
            <w:tcW w:w="338" w:type="pct"/>
            <w:noWrap w:val="0"/>
            <w:vAlign w:val="center"/>
          </w:tcPr>
          <w:p w14:paraId="2A97A08E">
            <w:pPr>
              <w:pStyle w:val="17"/>
              <w:adjustRightInd w:val="0"/>
              <w:snapToGrid w:val="0"/>
              <w:spacing w:line="240" w:lineRule="auto"/>
              <w:ind w:left="0" w:leftChars="0" w:firstLine="0" w:firstLineChars="0"/>
              <w:jc w:val="both"/>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符合</w:t>
            </w:r>
          </w:p>
        </w:tc>
      </w:tr>
      <w:tr w14:paraId="5A79A0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2829288E">
            <w:pPr>
              <w:pStyle w:val="17"/>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w:t>
            </w:r>
          </w:p>
        </w:tc>
        <w:tc>
          <w:tcPr>
            <w:tcW w:w="4478" w:type="pct"/>
            <w:gridSpan w:val="3"/>
            <w:noWrap w:val="0"/>
            <w:vAlign w:val="center"/>
          </w:tcPr>
          <w:p w14:paraId="0F0CD2E9">
            <w:pPr>
              <w:pStyle w:val="17"/>
              <w:adjustRightInd w:val="0"/>
              <w:snapToGrid w:val="0"/>
              <w:spacing w:line="240"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优化能源结构</w:t>
            </w:r>
          </w:p>
        </w:tc>
      </w:tr>
      <w:tr w14:paraId="3AE98B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02ABA2CD">
            <w:pPr>
              <w:pStyle w:val="17"/>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（六）</w:t>
            </w:r>
          </w:p>
        </w:tc>
        <w:tc>
          <w:tcPr>
            <w:tcW w:w="2315" w:type="pct"/>
            <w:noWrap w:val="0"/>
            <w:vAlign w:val="center"/>
          </w:tcPr>
          <w:p w14:paraId="2458E109">
            <w:pPr>
              <w:pStyle w:val="17"/>
              <w:adjustRightInd w:val="0"/>
              <w:snapToGrid w:val="0"/>
              <w:spacing w:line="240"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大力发展新能源和清洁能源。到2025年，非化石能源消费比重较2020年提高4个百分点以上，电能占终端能源消费比重达30%以上。持续增加天然气生产供应，新增天然气优先保障居民生活和清洁取暖需求。</w:t>
            </w:r>
          </w:p>
        </w:tc>
        <w:tc>
          <w:tcPr>
            <w:tcW w:w="1824" w:type="pct"/>
            <w:noWrap w:val="0"/>
            <w:vAlign w:val="center"/>
          </w:tcPr>
          <w:p w14:paraId="21918784">
            <w:pPr>
              <w:pStyle w:val="17"/>
              <w:adjustRightInd w:val="0"/>
              <w:snapToGrid w:val="0"/>
              <w:spacing w:line="240"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项目使用电为能源，为清洁能源。</w:t>
            </w:r>
          </w:p>
        </w:tc>
        <w:tc>
          <w:tcPr>
            <w:tcW w:w="338" w:type="pct"/>
            <w:noWrap w:val="0"/>
            <w:vAlign w:val="center"/>
          </w:tcPr>
          <w:p w14:paraId="0D88842C">
            <w:pPr>
              <w:pStyle w:val="17"/>
              <w:adjustRightInd w:val="0"/>
              <w:snapToGrid w:val="0"/>
              <w:spacing w:line="240" w:lineRule="auto"/>
              <w:ind w:left="0" w:leftChars="0" w:firstLine="0" w:firstLineChars="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65C3A7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41AAA00A">
            <w:pPr>
              <w:pStyle w:val="17"/>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（九）</w:t>
            </w:r>
          </w:p>
        </w:tc>
        <w:tc>
          <w:tcPr>
            <w:tcW w:w="2315" w:type="pct"/>
            <w:noWrap w:val="0"/>
            <w:vAlign w:val="center"/>
          </w:tcPr>
          <w:p w14:paraId="686ED061">
            <w:pPr>
              <w:pStyle w:val="17"/>
              <w:adjustRightInd w:val="0"/>
              <w:snapToGrid w:val="0"/>
              <w:spacing w:line="240"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推动工业炉窑清洁能源替代。有序推进以电代煤，积极稳妥推进以气代煤。对以煤、石油焦、渣油、重油等为燃料的工业炉窑，加快使用工业余热、电能、天然气等清洁能源进行替代。</w:t>
            </w:r>
          </w:p>
        </w:tc>
        <w:tc>
          <w:tcPr>
            <w:tcW w:w="1824" w:type="pct"/>
            <w:noWrap w:val="0"/>
            <w:vAlign w:val="center"/>
          </w:tcPr>
          <w:p w14:paraId="17324B81">
            <w:pPr>
              <w:pStyle w:val="17"/>
              <w:adjustRightInd w:val="0"/>
              <w:snapToGrid w:val="0"/>
              <w:spacing w:line="240"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本项目不涉及工业炉窑。</w:t>
            </w:r>
          </w:p>
        </w:tc>
        <w:tc>
          <w:tcPr>
            <w:tcW w:w="338" w:type="pct"/>
            <w:noWrap w:val="0"/>
            <w:vAlign w:val="center"/>
          </w:tcPr>
          <w:p w14:paraId="7AD4B95F">
            <w:pPr>
              <w:pStyle w:val="17"/>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1D0031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65CE85FC">
            <w:pPr>
              <w:pStyle w:val="17"/>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w:t>
            </w:r>
          </w:p>
        </w:tc>
        <w:tc>
          <w:tcPr>
            <w:tcW w:w="4478" w:type="pct"/>
            <w:gridSpan w:val="3"/>
            <w:noWrap w:val="0"/>
            <w:vAlign w:val="center"/>
          </w:tcPr>
          <w:p w14:paraId="2E4F382E">
            <w:pPr>
              <w:pStyle w:val="17"/>
              <w:adjustRightInd w:val="0"/>
              <w:snapToGrid w:val="0"/>
              <w:spacing w:line="240"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提升面源污染治理精细化水平</w:t>
            </w:r>
          </w:p>
        </w:tc>
      </w:tr>
      <w:tr w14:paraId="12AEF3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0F857C05">
            <w:pPr>
              <w:pStyle w:val="17"/>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（十四）</w:t>
            </w:r>
          </w:p>
        </w:tc>
        <w:tc>
          <w:tcPr>
            <w:tcW w:w="2315" w:type="pct"/>
            <w:noWrap w:val="0"/>
            <w:vAlign w:val="center"/>
          </w:tcPr>
          <w:p w14:paraId="62147466">
            <w:pPr>
              <w:pStyle w:val="17"/>
              <w:adjustRightInd w:val="0"/>
              <w:snapToGrid w:val="0"/>
              <w:spacing w:line="240"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持续推动扬尘污染治理管控。严格落实建筑施工工地“六个百分之百”要求，对城市公共裸地进行排查建档并采取防尘措施。到2025年，城镇装配式建筑和采用装配式技术体系建筑占新开工建筑面积比重达30%；昆明市主城区道路机械化清扫率达90%左右，其他地级城市建成区达85%左右，县城达70%左右。</w:t>
            </w:r>
          </w:p>
        </w:tc>
        <w:tc>
          <w:tcPr>
            <w:tcW w:w="1824" w:type="pct"/>
            <w:noWrap w:val="0"/>
            <w:vAlign w:val="center"/>
          </w:tcPr>
          <w:p w14:paraId="41D3D263">
            <w:pPr>
              <w:pStyle w:val="17"/>
              <w:adjustRightInd w:val="0"/>
              <w:snapToGrid w:val="0"/>
              <w:spacing w:line="240"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本环评要求后续项目在施工期间需严格落实扬尘污染治理要求，对建筑施工工地落实“六个百分之百”的要求。</w:t>
            </w:r>
          </w:p>
        </w:tc>
        <w:tc>
          <w:tcPr>
            <w:tcW w:w="338" w:type="pct"/>
            <w:noWrap w:val="0"/>
            <w:vAlign w:val="center"/>
          </w:tcPr>
          <w:p w14:paraId="6B65AFBE">
            <w:pPr>
              <w:pStyle w:val="17"/>
              <w:adjustRightInd w:val="0"/>
              <w:snapToGrid w:val="0"/>
              <w:spacing w:line="240" w:lineRule="auto"/>
              <w:ind w:left="0" w:leftChars="0" w:firstLine="0" w:firstLineChars="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14:paraId="470363A8">
      <w:pPr>
        <w:pStyle w:val="9"/>
        <w:spacing w:line="360" w:lineRule="auto"/>
        <w:ind w:firstLine="480"/>
        <w:rPr>
          <w:rFonts w:hint="default" w:ascii="Times New Roman" w:hAnsi="Times New Roman" w:cs="Times New Roman"/>
          <w:color w:val="auto"/>
        </w:rPr>
      </w:pPr>
      <w:r>
        <w:rPr>
          <w:rFonts w:hint="default" w:ascii="Times New Roman" w:hAnsi="Times New Roman" w:cs="Times New Roman"/>
          <w:color w:val="auto"/>
          <w:sz w:val="24"/>
          <w:szCs w:val="24"/>
        </w:rPr>
        <w:t>根据分析，项目的建设符合云南省人民政府印发《云南省空气质量持续改善行动实施方案》的通知（云政发〔2024〕14号）中的相关要求。</w:t>
      </w:r>
    </w:p>
    <w:p w14:paraId="5ED6B232">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1.3.24</w:t>
      </w:r>
      <w:r>
        <w:rPr>
          <w:rFonts w:hint="default" w:ascii="Times New Roman" w:hAnsi="Times New Roman" w:cs="Times New Roman"/>
          <w:color w:val="auto"/>
        </w:rPr>
        <w:t>与《</w:t>
      </w:r>
      <w:r>
        <w:rPr>
          <w:rFonts w:hint="default" w:ascii="Times New Roman" w:hAnsi="Times New Roman" w:cs="Times New Roman"/>
          <w:color w:val="auto"/>
          <w:sz w:val="24"/>
          <w:szCs w:val="22"/>
        </w:rPr>
        <w:t>云南省新平彝族傣族自治县国土空间总体规划</w:t>
      </w:r>
      <w:r>
        <w:rPr>
          <w:rFonts w:hint="default" w:ascii="Times New Roman" w:hAnsi="Times New Roman" w:cs="Times New Roman"/>
          <w:color w:val="auto"/>
        </w:rPr>
        <w:t>》</w:t>
      </w:r>
      <w:r>
        <w:rPr>
          <w:rFonts w:hint="default" w:ascii="Times New Roman" w:hAnsi="Times New Roman" w:cs="Times New Roman"/>
          <w:color w:val="auto"/>
          <w:sz w:val="24"/>
          <w:szCs w:val="22"/>
        </w:rPr>
        <w:t>（2021-2035年）</w:t>
      </w:r>
      <w:r>
        <w:rPr>
          <w:rFonts w:hint="default" w:ascii="Times New Roman" w:hAnsi="Times New Roman" w:cs="Times New Roman"/>
          <w:color w:val="auto"/>
        </w:rPr>
        <w:t>符合性分析</w:t>
      </w:r>
    </w:p>
    <w:p w14:paraId="6DE996DA">
      <w:pPr>
        <w:bidi w:val="0"/>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根据</w:t>
      </w:r>
      <w:r>
        <w:rPr>
          <w:rFonts w:hint="default" w:ascii="Times New Roman" w:hAnsi="Times New Roman" w:cs="Times New Roman"/>
          <w:color w:val="auto"/>
        </w:rPr>
        <w:t>《云南省新平彝族傣族自治县国土空间总体规划》（2021-2035年）</w:t>
      </w:r>
      <w:r>
        <w:rPr>
          <w:rFonts w:hint="default" w:ascii="Times New Roman" w:hAnsi="Times New Roman" w:cs="Times New Roman"/>
          <w:color w:val="auto"/>
          <w:lang w:val="en-US" w:eastAsia="zh-CN"/>
        </w:rPr>
        <w:t>相关内容</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项目位于规划中“两区：大开门工矿区、大红山工矿区”的大开门工矿区。</w:t>
      </w:r>
      <w:r>
        <w:rPr>
          <w:rFonts w:hint="default" w:ascii="Times New Roman" w:hAnsi="Times New Roman" w:cs="Times New Roman"/>
          <w:color w:val="auto"/>
          <w:lang w:eastAsia="zh-CN"/>
        </w:rPr>
        <w:t>“以大红山片区和鲁奎山片区为重点，提高铁铜矿开采效率；积极整合两片区低品位、难采选零星矿点，提高资源综合利用率。”</w:t>
      </w:r>
      <w:r>
        <w:rPr>
          <w:rFonts w:hint="default" w:ascii="Times New Roman" w:hAnsi="Times New Roman" w:cs="Times New Roman"/>
          <w:color w:val="auto"/>
          <w:lang w:val="en-US" w:eastAsia="zh-CN"/>
        </w:rPr>
        <w:t>项目为低品位铁矿选矿项目，提高了铁矿利用率，</w:t>
      </w:r>
      <w:r>
        <w:rPr>
          <w:rFonts w:hint="default" w:ascii="Times New Roman" w:hAnsi="Times New Roman" w:cs="Times New Roman"/>
          <w:color w:val="auto"/>
        </w:rPr>
        <w:t>与《</w:t>
      </w:r>
      <w:r>
        <w:rPr>
          <w:rFonts w:hint="default" w:ascii="Times New Roman" w:hAnsi="Times New Roman" w:cs="Times New Roman"/>
          <w:color w:val="auto"/>
          <w:sz w:val="24"/>
          <w:szCs w:val="22"/>
        </w:rPr>
        <w:t>云南省新平彝族傣族自治县国土空间总体规划</w:t>
      </w:r>
      <w:r>
        <w:rPr>
          <w:rFonts w:hint="default" w:ascii="Times New Roman" w:hAnsi="Times New Roman" w:cs="Times New Roman"/>
          <w:color w:val="auto"/>
        </w:rPr>
        <w:t>》</w:t>
      </w:r>
      <w:r>
        <w:rPr>
          <w:rFonts w:hint="default" w:ascii="Times New Roman" w:hAnsi="Times New Roman" w:cs="Times New Roman"/>
          <w:color w:val="auto"/>
          <w:sz w:val="24"/>
          <w:szCs w:val="22"/>
          <w:lang w:val="en-US" w:eastAsia="zh-CN"/>
        </w:rPr>
        <w:t>相符。</w:t>
      </w:r>
    </w:p>
    <w:p w14:paraId="47E051C1">
      <w:pPr>
        <w:pStyle w:val="6"/>
        <w:bidi w:val="0"/>
        <w:rPr>
          <w:rFonts w:hint="default" w:ascii="Times New Roman" w:hAnsi="Times New Roman" w:cs="Times New Roman"/>
        </w:rPr>
      </w:pPr>
      <w:r>
        <w:rPr>
          <w:rFonts w:hint="default" w:ascii="Times New Roman" w:hAnsi="Times New Roman" w:cs="Times New Roman"/>
          <w:lang w:val="en-US" w:eastAsia="zh-CN"/>
        </w:rPr>
        <w:t>1.3.25</w:t>
      </w:r>
      <w:r>
        <w:rPr>
          <w:rFonts w:hint="default" w:ascii="Times New Roman" w:hAnsi="Times New Roman" w:cs="Times New Roman"/>
        </w:rPr>
        <w:t>项目平面布置合理性分析</w:t>
      </w:r>
      <w:bookmarkEnd w:id="86"/>
      <w:bookmarkEnd w:id="87"/>
    </w:p>
    <w:p w14:paraId="4282EED3">
      <w:pPr>
        <w:pStyle w:val="44"/>
        <w:spacing w:line="360" w:lineRule="auto"/>
        <w:ind w:firstLine="48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24"/>
          <w:sz w:val="24"/>
          <w:szCs w:val="24"/>
        </w:rPr>
        <w:t>本项目厂址位于新平</w:t>
      </w:r>
      <w:r>
        <w:rPr>
          <w:rFonts w:hint="default" w:ascii="Times New Roman" w:hAnsi="Times New Roman" w:cs="Times New Roman" w:eastAsiaTheme="minorEastAsia"/>
          <w:color w:val="auto"/>
          <w:kern w:val="24"/>
          <w:sz w:val="24"/>
          <w:szCs w:val="24"/>
          <w:lang w:val="en-US" w:eastAsia="zh-CN"/>
        </w:rPr>
        <w:t>县扬武镇</w:t>
      </w:r>
      <w:r>
        <w:rPr>
          <w:rFonts w:hint="default" w:ascii="Times New Roman" w:hAnsi="Times New Roman" w:cs="Times New Roman" w:eastAsiaTheme="minorEastAsia"/>
          <w:color w:val="auto"/>
          <w:kern w:val="24"/>
          <w:sz w:val="24"/>
          <w:szCs w:val="24"/>
        </w:rPr>
        <w:t>鲁奎山铁矿</w:t>
      </w:r>
      <w:r>
        <w:rPr>
          <w:rFonts w:hint="default" w:ascii="Times New Roman" w:hAnsi="Times New Roman" w:cs="Times New Roman" w:eastAsiaTheme="minorEastAsia"/>
          <w:color w:val="auto"/>
          <w:kern w:val="24"/>
          <w:sz w:val="24"/>
          <w:szCs w:val="24"/>
          <w:lang w:val="en-US" w:eastAsia="zh-CN"/>
        </w:rPr>
        <w:t>6号料</w:t>
      </w:r>
      <w:r>
        <w:rPr>
          <w:rFonts w:hint="default" w:ascii="Times New Roman" w:hAnsi="Times New Roman" w:cs="Times New Roman" w:eastAsiaTheme="minorEastAsia"/>
          <w:color w:val="auto"/>
          <w:kern w:val="24"/>
          <w:sz w:val="24"/>
          <w:szCs w:val="24"/>
        </w:rPr>
        <w:t>场，占地面积</w:t>
      </w:r>
      <w:r>
        <w:rPr>
          <w:rFonts w:hint="default" w:ascii="Times New Roman" w:hAnsi="Times New Roman" w:cs="Times New Roman" w:eastAsiaTheme="minorEastAsia"/>
          <w:color w:val="auto"/>
          <w:kern w:val="24"/>
          <w:sz w:val="24"/>
          <w:szCs w:val="24"/>
          <w:lang w:val="en-US" w:eastAsia="zh-CN"/>
        </w:rPr>
        <w:t>3000</w:t>
      </w:r>
      <w:r>
        <w:rPr>
          <w:rFonts w:hint="default" w:ascii="Times New Roman" w:hAnsi="Times New Roman" w:cs="Times New Roman" w:eastAsiaTheme="minorEastAsia"/>
          <w:color w:val="auto"/>
          <w:kern w:val="24"/>
          <w:sz w:val="24"/>
          <w:szCs w:val="24"/>
        </w:rPr>
        <w:t>m</w:t>
      </w:r>
      <w:r>
        <w:rPr>
          <w:rFonts w:hint="default" w:ascii="Times New Roman" w:hAnsi="Times New Roman" w:cs="Times New Roman" w:eastAsiaTheme="minorEastAsia"/>
          <w:color w:val="auto"/>
          <w:kern w:val="24"/>
          <w:sz w:val="24"/>
          <w:szCs w:val="24"/>
          <w:vertAlign w:val="superscript"/>
        </w:rPr>
        <w:t>2</w:t>
      </w:r>
      <w:r>
        <w:rPr>
          <w:rFonts w:hint="default" w:ascii="Times New Roman" w:hAnsi="Times New Roman" w:cs="Times New Roman" w:eastAsiaTheme="minorEastAsia"/>
          <w:color w:val="auto"/>
          <w:kern w:val="24"/>
          <w:sz w:val="24"/>
          <w:szCs w:val="24"/>
          <w:vertAlign w:val="baseline"/>
          <w:lang w:val="en-US" w:eastAsia="zh-CN"/>
        </w:rPr>
        <w:t>。</w:t>
      </w:r>
      <w:r>
        <w:rPr>
          <w:rFonts w:hint="default" w:ascii="Times New Roman" w:hAnsi="Times New Roman" w:cs="Times New Roman" w:eastAsiaTheme="minorEastAsia"/>
          <w:color w:val="auto"/>
          <w:kern w:val="24"/>
          <w:sz w:val="24"/>
          <w:szCs w:val="24"/>
        </w:rPr>
        <w:t>根据本工程生产特点</w:t>
      </w:r>
      <w:r>
        <w:rPr>
          <w:rFonts w:hint="default" w:ascii="Times New Roman" w:hAnsi="Times New Roman" w:cs="Times New Roman" w:eastAsiaTheme="minorEastAsia"/>
          <w:color w:val="auto"/>
          <w:kern w:val="24"/>
          <w:sz w:val="24"/>
          <w:szCs w:val="24"/>
          <w:lang w:eastAsia="zh-CN"/>
        </w:rPr>
        <w:t>，</w:t>
      </w:r>
      <w:r>
        <w:rPr>
          <w:rFonts w:hint="default" w:ascii="Times New Roman" w:hAnsi="Times New Roman" w:cs="Times New Roman" w:eastAsiaTheme="minorEastAsia"/>
          <w:color w:val="auto"/>
          <w:kern w:val="24"/>
          <w:sz w:val="24"/>
          <w:szCs w:val="24"/>
        </w:rPr>
        <w:t>根据工艺总体布置及流程，并结合场地的地势情况，</w:t>
      </w:r>
      <w:r>
        <w:rPr>
          <w:rFonts w:hint="default" w:ascii="Times New Roman" w:hAnsi="Times New Roman" w:cs="Times New Roman" w:eastAsiaTheme="minorEastAsia"/>
          <w:color w:val="auto"/>
          <w:kern w:val="24"/>
          <w:sz w:val="24"/>
          <w:szCs w:val="24"/>
          <w:lang w:val="en-US" w:eastAsia="zh-CN"/>
        </w:rPr>
        <w:t>生产线紧邻原矿堆场，依次布置进料斗、筛分、破碎、磁选设备</w:t>
      </w:r>
      <w:r>
        <w:rPr>
          <w:rFonts w:hint="default" w:ascii="Times New Roman" w:hAnsi="Times New Roman" w:cs="Times New Roman" w:eastAsiaTheme="minorEastAsia"/>
          <w:color w:val="auto"/>
          <w:kern w:val="24"/>
          <w:sz w:val="24"/>
          <w:szCs w:val="24"/>
        </w:rPr>
        <w:t>。初期雨水收集池布置于</w:t>
      </w:r>
      <w:r>
        <w:rPr>
          <w:rFonts w:hint="default" w:ascii="Times New Roman" w:hAnsi="Times New Roman" w:cs="Times New Roman" w:eastAsiaTheme="minorEastAsia"/>
          <w:color w:val="auto"/>
          <w:kern w:val="24"/>
          <w:sz w:val="24"/>
          <w:szCs w:val="24"/>
          <w:lang w:val="en-US" w:eastAsia="zh-CN"/>
        </w:rPr>
        <w:t>项目北侧</w:t>
      </w:r>
      <w:r>
        <w:rPr>
          <w:rFonts w:hint="default" w:ascii="Times New Roman" w:hAnsi="Times New Roman" w:cs="Times New Roman" w:eastAsiaTheme="minorEastAsia"/>
          <w:color w:val="auto"/>
          <w:kern w:val="24"/>
          <w:sz w:val="24"/>
          <w:szCs w:val="24"/>
        </w:rPr>
        <w:t>，根据地势高差自流进入雨水收集池。</w:t>
      </w:r>
    </w:p>
    <w:p w14:paraId="2B0DBBE3">
      <w:pPr>
        <w:bidi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根据现场实际情况，计划</w:t>
      </w:r>
      <w:r>
        <w:rPr>
          <w:rFonts w:hint="default" w:ascii="Times New Roman" w:hAnsi="Times New Roman" w:cs="Times New Roman" w:eastAsiaTheme="minorEastAsia"/>
          <w:color w:val="auto"/>
          <w:sz w:val="24"/>
          <w:szCs w:val="24"/>
          <w:lang w:eastAsia="zh-CN"/>
        </w:rPr>
        <w:t>使用彩钢</w:t>
      </w:r>
      <w:r>
        <w:rPr>
          <w:rFonts w:hint="default" w:ascii="Times New Roman" w:hAnsi="Times New Roman" w:cs="Times New Roman" w:eastAsiaTheme="minorEastAsia"/>
          <w:color w:val="auto"/>
          <w:sz w:val="24"/>
          <w:szCs w:val="24"/>
          <w:lang w:val="en-US" w:eastAsia="zh-CN"/>
        </w:rPr>
        <w:t>板对两台振动筛、一台颚式破碎机、一台对辊式破碎机整体封闭，对棒条筛和两台磁选机进行单独封闭。设备上方各设置1个集气罩，各</w:t>
      </w:r>
      <w:r>
        <w:rPr>
          <w:rFonts w:hint="default" w:ascii="Times New Roman" w:hAnsi="Times New Roman" w:cs="Times New Roman" w:eastAsiaTheme="minorEastAsia"/>
          <w:b w:val="0"/>
          <w:bCs w:val="0"/>
          <w:color w:val="auto"/>
          <w:sz w:val="24"/>
          <w:szCs w:val="24"/>
          <w:lang w:val="en-US" w:eastAsia="zh-CN"/>
        </w:rPr>
        <w:t>集气罩收集废气经引风管+1套布袋除尘器+1根15m高的排气筒（DA001）排放</w:t>
      </w:r>
      <w:r>
        <w:rPr>
          <w:rFonts w:hint="default" w:ascii="Times New Roman" w:hAnsi="Times New Roman" w:cs="Times New Roman" w:eastAsiaTheme="minorEastAsia"/>
          <w:color w:val="auto"/>
          <w:sz w:val="24"/>
          <w:szCs w:val="24"/>
        </w:rPr>
        <w:t>；综上所述，项目建筑物布局合理，不会相互影响。环保设施布置相对合理，能有效</w:t>
      </w:r>
      <w:r>
        <w:rPr>
          <w:rFonts w:hint="default" w:ascii="Times New Roman" w:hAnsi="Times New Roman" w:cs="Times New Roman" w:eastAsiaTheme="minorEastAsia"/>
          <w:color w:val="auto"/>
          <w:sz w:val="24"/>
          <w:szCs w:val="24"/>
          <w:lang w:eastAsia="zh-CN"/>
        </w:rPr>
        <w:t>地</w:t>
      </w:r>
      <w:r>
        <w:rPr>
          <w:rFonts w:hint="default" w:ascii="Times New Roman" w:hAnsi="Times New Roman" w:cs="Times New Roman" w:eastAsiaTheme="minorEastAsia"/>
          <w:color w:val="auto"/>
          <w:sz w:val="24"/>
          <w:szCs w:val="24"/>
        </w:rPr>
        <w:t>收集处理项目废气，同时能降低对自身及周围环境的相互影响，</w:t>
      </w:r>
      <w:r>
        <w:rPr>
          <w:rFonts w:hint="default" w:ascii="Times New Roman" w:hAnsi="Times New Roman" w:cs="Times New Roman" w:eastAsiaTheme="minorEastAsia"/>
          <w:color w:val="auto"/>
          <w:sz w:val="24"/>
          <w:szCs w:val="24"/>
          <w:lang w:val="en-US" w:eastAsia="zh-CN"/>
        </w:rPr>
        <w:t>依托的办公生活区及危废暂存间位于项目西南侧约500米。</w:t>
      </w:r>
      <w:r>
        <w:rPr>
          <w:rFonts w:hint="default" w:ascii="Times New Roman" w:hAnsi="Times New Roman" w:cs="Times New Roman" w:eastAsiaTheme="minorEastAsia"/>
          <w:color w:val="auto"/>
          <w:sz w:val="24"/>
          <w:szCs w:val="24"/>
        </w:rPr>
        <w:t>项目整体布局合理可行。</w:t>
      </w:r>
    </w:p>
    <w:p w14:paraId="115EC7B6">
      <w:pPr>
        <w:pStyle w:val="6"/>
        <w:bidi w:val="0"/>
        <w:rPr>
          <w:rFonts w:hint="default" w:ascii="Times New Roman" w:hAnsi="Times New Roman" w:cs="Times New Roman"/>
        </w:rPr>
      </w:pPr>
      <w:bookmarkStart w:id="88" w:name="_Toc28771"/>
      <w:bookmarkStart w:id="89" w:name="_Toc12393"/>
      <w:r>
        <w:rPr>
          <w:rFonts w:hint="default" w:ascii="Times New Roman" w:hAnsi="Times New Roman" w:cs="Times New Roman"/>
          <w:lang w:val="en-US" w:eastAsia="zh-CN"/>
        </w:rPr>
        <w:t>1.3.26</w:t>
      </w:r>
      <w:r>
        <w:rPr>
          <w:rFonts w:hint="default" w:ascii="Times New Roman" w:hAnsi="Times New Roman" w:cs="Times New Roman"/>
        </w:rPr>
        <w:t>环境选址合理性判定</w:t>
      </w:r>
      <w:bookmarkEnd w:id="88"/>
      <w:bookmarkEnd w:id="89"/>
    </w:p>
    <w:p w14:paraId="136BEF72">
      <w:pPr>
        <w:bidi w:val="0"/>
        <w:spacing w:line="360" w:lineRule="auto"/>
        <w:ind w:firstLine="480" w:firstLineChars="200"/>
        <w:rPr>
          <w:rFonts w:hint="default" w:ascii="Times New Roman" w:hAnsi="Times New Roman" w:cs="Times New Roman"/>
          <w:color w:val="0000C7"/>
          <w:lang w:eastAsia="zh-CN"/>
        </w:rPr>
      </w:pPr>
      <w:r>
        <w:rPr>
          <w:rFonts w:hint="default" w:ascii="Times New Roman" w:hAnsi="Times New Roman" w:cs="Times New Roman" w:eastAsiaTheme="minorEastAsia"/>
          <w:sz w:val="24"/>
          <w:szCs w:val="24"/>
          <w:lang w:val="en-US" w:eastAsia="zh-CN"/>
        </w:rPr>
        <w:t>项目位于云南新平县扬武镇鲁奎山铁矿，利用矿山6号料场空地进行建设，用地性质为采矿用地，不新增占地</w:t>
      </w:r>
      <w:r>
        <w:rPr>
          <w:rFonts w:hint="default" w:ascii="Times New Roman" w:hAnsi="Times New Roman" w:cs="Times New Roman" w:eastAsiaTheme="minorEastAsia"/>
          <w:color w:val="auto"/>
          <w:sz w:val="24"/>
          <w:szCs w:val="24"/>
          <w:lang w:val="en-US" w:eastAsia="zh-CN"/>
        </w:rPr>
        <w:t>。鲁奎山铁矿6号料场总面积</w:t>
      </w:r>
      <w:r>
        <w:rPr>
          <w:rFonts w:hint="default" w:ascii="Times New Roman" w:hAnsi="Times New Roman" w:cs="Times New Roman"/>
          <w:color w:val="auto"/>
          <w:sz w:val="24"/>
          <w:szCs w:val="24"/>
          <w:lang w:val="en-US" w:eastAsia="zh-CN"/>
        </w:rPr>
        <w:t>17800㎡，目前堆存矿山经人工分选后的低品位原矿约20万吨，堆放占地约4000㎡，本项目占地3000㎡。现有低品位铁矿及矿山后期开采产生的低品位铁矿除用作本项目生产，还用作矿山废石加工场原料生产建筑砂石料。现有堆放场地能够满足矿山后期开采产生的低品位铁矿堆存。综上，项目建设不会改变</w:t>
      </w:r>
      <w:r>
        <w:rPr>
          <w:rFonts w:hint="default" w:ascii="Times New Roman" w:hAnsi="Times New Roman" w:cs="Times New Roman"/>
          <w:color w:val="auto"/>
        </w:rPr>
        <w:t>6号</w:t>
      </w:r>
      <w:r>
        <w:rPr>
          <w:rFonts w:hint="default" w:ascii="Times New Roman" w:hAnsi="Times New Roman" w:cs="Times New Roman"/>
          <w:color w:val="auto"/>
          <w:lang w:val="en-US" w:eastAsia="zh-CN"/>
        </w:rPr>
        <w:t>料场</w:t>
      </w:r>
      <w:r>
        <w:rPr>
          <w:rFonts w:hint="default" w:ascii="Times New Roman" w:hAnsi="Times New Roman" w:cs="Times New Roman"/>
          <w:color w:val="auto"/>
        </w:rPr>
        <w:t>场地功能</w:t>
      </w:r>
      <w:r>
        <w:rPr>
          <w:rFonts w:hint="default" w:ascii="Times New Roman" w:hAnsi="Times New Roman" w:cs="Times New Roman"/>
          <w:color w:val="auto"/>
          <w:lang w:eastAsia="zh-CN"/>
        </w:rPr>
        <w:t>。</w:t>
      </w:r>
    </w:p>
    <w:p w14:paraId="2007414E">
      <w:pPr>
        <w:bidi w:val="0"/>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项目不涉及自然保护区、风景名胜区、生态保护区、集中式供水水源地等环境敏感区，区域无珍稀濒危受保护动植物分布。项目与《云南省生态功能区划》《云南省主体功能区划》不冲突。本项目建设符合玉溪市生态环境局《关于印发玉溪市生态环境分区管控动态更新调整方案（2023年）的通知》（玉市环〔2024〕40号）的相关管控要求，项目与周围环境能做到相容。项目产生的污染物在采取污染防治对策措施后，产生的环境影响均可得到有效控制，所有排放污染物均符合国家排放标准，不会改变当地的环境功能区划。从环境影响的角度分析，本项目选址合理。</w:t>
      </w:r>
    </w:p>
    <w:p w14:paraId="06749D44">
      <w:pPr>
        <w:pStyle w:val="5"/>
        <w:bidi w:val="0"/>
        <w:rPr>
          <w:rFonts w:hint="default" w:ascii="Times New Roman" w:hAnsi="Times New Roman" w:cs="Times New Roman"/>
        </w:rPr>
      </w:pPr>
      <w:bookmarkStart w:id="90" w:name="_Toc21695"/>
      <w:bookmarkStart w:id="91" w:name="_Toc16241"/>
      <w:bookmarkStart w:id="92" w:name="_Toc165816690"/>
      <w:bookmarkStart w:id="93" w:name="_Toc13595"/>
      <w:bookmarkStart w:id="94" w:name="_Toc9534"/>
      <w:bookmarkStart w:id="95" w:name="_Toc30449"/>
      <w:r>
        <w:rPr>
          <w:rFonts w:hint="default" w:ascii="Times New Roman" w:hAnsi="Times New Roman" w:cs="Times New Roman"/>
          <w:lang w:val="en-US" w:eastAsia="zh-CN"/>
        </w:rPr>
        <w:t>1.</w:t>
      </w:r>
      <w:r>
        <w:rPr>
          <w:rFonts w:hint="default" w:ascii="Times New Roman" w:hAnsi="Times New Roman" w:cs="Times New Roman"/>
        </w:rPr>
        <w:t>4关注的主要环境问题及环境影响</w:t>
      </w:r>
      <w:bookmarkEnd w:id="90"/>
      <w:bookmarkEnd w:id="91"/>
      <w:bookmarkEnd w:id="92"/>
      <w:bookmarkEnd w:id="93"/>
      <w:bookmarkEnd w:id="94"/>
      <w:bookmarkEnd w:id="95"/>
    </w:p>
    <w:p w14:paraId="6830EA01">
      <w:pPr>
        <w:spacing w:line="360" w:lineRule="auto"/>
        <w:ind w:firstLine="480" w:firstLineChars="200"/>
        <w:rPr>
          <w:rFonts w:hint="default" w:ascii="Times New Roman" w:hAnsi="Times New Roman" w:cs="Times New Roman" w:eastAsiaTheme="minorEastAsia"/>
          <w:color w:val="4874CB" w:themeColor="accent1"/>
          <w:sz w:val="24"/>
          <w:szCs w:val="24"/>
          <w14:textFill>
            <w14:solidFill>
              <w14:schemeClr w14:val="accent1"/>
            </w14:solidFill>
          </w14:textFill>
        </w:rPr>
      </w:pPr>
      <w:r>
        <w:rPr>
          <w:rFonts w:hint="default" w:ascii="Times New Roman" w:hAnsi="Times New Roman" w:cs="Times New Roman" w:eastAsiaTheme="minorEastAsia"/>
          <w:sz w:val="24"/>
          <w:szCs w:val="24"/>
        </w:rPr>
        <w:t>本项目关</w:t>
      </w:r>
      <w:r>
        <w:rPr>
          <w:rFonts w:hint="default" w:ascii="Times New Roman" w:hAnsi="Times New Roman" w:cs="Times New Roman" w:eastAsiaTheme="minorEastAsia"/>
          <w:color w:val="auto"/>
          <w:sz w:val="24"/>
          <w:szCs w:val="24"/>
        </w:rPr>
        <w:t>注的主要环境问题为废气、噪声以及固体废物处置问题，主要环境影响以废气污染为主。</w:t>
      </w:r>
      <w:r>
        <w:rPr>
          <w:rFonts w:hint="default" w:ascii="Times New Roman" w:hAnsi="Times New Roman" w:cs="Times New Roman" w:eastAsiaTheme="minorEastAsia"/>
          <w:color w:val="auto"/>
          <w:sz w:val="24"/>
          <w:szCs w:val="24"/>
          <w:lang w:val="en-US" w:eastAsia="zh-CN"/>
        </w:rPr>
        <w:t>应关注</w:t>
      </w:r>
      <w:r>
        <w:rPr>
          <w:rFonts w:hint="default" w:ascii="Times New Roman" w:hAnsi="Times New Roman" w:cs="Times New Roman"/>
          <w:color w:val="auto"/>
        </w:rPr>
        <w:t>项目已建成环保措施的有效性及合理性，是否达到相关环保要求，根据项目存在的主要环境问题，并提出相应的整改措施要求</w:t>
      </w:r>
      <w:r>
        <w:rPr>
          <w:rFonts w:hint="default" w:ascii="Times New Roman" w:hAnsi="Times New Roman" w:cs="Times New Roman"/>
          <w:color w:val="auto"/>
          <w:lang w:eastAsia="zh-CN"/>
        </w:rPr>
        <w:t>。</w:t>
      </w:r>
    </w:p>
    <w:p w14:paraId="3A3094C0">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（1）废气</w:t>
      </w:r>
    </w:p>
    <w:p w14:paraId="14AB576D">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项目运营后对环境影响主要以废气污染为主，主要污染物为颗粒物。因此本次评价重点分析项目运营后废气污染物的产生情况以及防治措施的可行性。</w:t>
      </w:r>
    </w:p>
    <w:p w14:paraId="6734979A">
      <w:pPr>
        <w:spacing w:line="360" w:lineRule="auto"/>
        <w:ind w:firstLine="480" w:firstLineChars="200"/>
        <w:rPr>
          <w:rFonts w:hint="default" w:ascii="Times New Roman" w:hAnsi="Times New Roman" w:cs="Times New Roman" w:eastAsiaTheme="minorEastAsia"/>
          <w:color w:val="FF00FF"/>
          <w:sz w:val="24"/>
          <w:szCs w:val="24"/>
        </w:rPr>
      </w:pPr>
      <w:r>
        <w:rPr>
          <w:rFonts w:hint="default" w:ascii="Times New Roman" w:hAnsi="Times New Roman" w:cs="Times New Roman" w:eastAsiaTheme="minorEastAsia"/>
          <w:sz w:val="24"/>
          <w:szCs w:val="24"/>
        </w:rPr>
        <w:t>项目</w:t>
      </w:r>
      <w:r>
        <w:rPr>
          <w:rFonts w:hint="default" w:ascii="Times New Roman" w:hAnsi="Times New Roman" w:cs="Times New Roman" w:eastAsiaTheme="minorEastAsia"/>
          <w:sz w:val="24"/>
          <w:szCs w:val="24"/>
          <w:lang w:val="en-US" w:eastAsia="zh-CN"/>
        </w:rPr>
        <w:t>破碎、筛分、磁选</w:t>
      </w:r>
      <w:r>
        <w:rPr>
          <w:rFonts w:hint="default" w:ascii="Times New Roman" w:hAnsi="Times New Roman" w:cs="Times New Roman" w:eastAsiaTheme="minorEastAsia"/>
          <w:sz w:val="24"/>
          <w:szCs w:val="24"/>
        </w:rPr>
        <w:t>过程中产生的粉尘，采用在每台</w:t>
      </w:r>
      <w:r>
        <w:rPr>
          <w:rFonts w:hint="default" w:ascii="Times New Roman" w:hAnsi="Times New Roman" w:cs="Times New Roman" w:eastAsiaTheme="minorEastAsia"/>
          <w:sz w:val="24"/>
          <w:szCs w:val="24"/>
          <w:lang w:val="en-US" w:eastAsia="zh-CN"/>
        </w:rPr>
        <w:t>设备</w:t>
      </w:r>
      <w:r>
        <w:rPr>
          <w:rFonts w:hint="default" w:ascii="Times New Roman" w:hAnsi="Times New Roman" w:cs="Times New Roman" w:eastAsiaTheme="minorEastAsia"/>
          <w:sz w:val="24"/>
          <w:szCs w:val="24"/>
        </w:rPr>
        <w:t>上方设置集气罩和风管，粉尘经收集后引至1套袋式除尘器（TA001）进行处理后</w:t>
      </w:r>
      <w:r>
        <w:rPr>
          <w:rFonts w:hint="default" w:ascii="Times New Roman" w:hAnsi="Times New Roman" w:cs="Times New Roman" w:eastAsiaTheme="minorEastAsia"/>
          <w:sz w:val="24"/>
          <w:szCs w:val="24"/>
          <w:lang w:val="en-US" w:eastAsia="zh-CN"/>
        </w:rPr>
        <w:t>经</w:t>
      </w:r>
      <w:r>
        <w:rPr>
          <w:rFonts w:hint="default" w:ascii="Times New Roman" w:hAnsi="Times New Roman" w:cs="Times New Roman" w:eastAsiaTheme="minorEastAsia"/>
          <w:sz w:val="24"/>
          <w:szCs w:val="24"/>
        </w:rPr>
        <w:t>1根15m高排气筒（DA001）排放。排气筒排放浓度能够满足《铁矿采选工业污染物排放标准》（GB28661-2012）表5新建企业大气污染物排放浓度限值要求。项目无组织废气主要为生产工艺无组织排放粉尘、原矿</w:t>
      </w:r>
      <w:r>
        <w:rPr>
          <w:rFonts w:hint="default" w:ascii="Times New Roman" w:hAnsi="Times New Roman" w:cs="Times New Roman" w:eastAsiaTheme="minorEastAsia"/>
          <w:sz w:val="24"/>
          <w:szCs w:val="24"/>
          <w:lang w:val="en-US" w:eastAsia="zh-CN"/>
        </w:rPr>
        <w:t>进料</w:t>
      </w:r>
      <w:r>
        <w:rPr>
          <w:rFonts w:hint="default" w:ascii="Times New Roman" w:hAnsi="Times New Roman" w:cs="Times New Roman" w:eastAsiaTheme="minorEastAsia"/>
          <w:sz w:val="24"/>
          <w:szCs w:val="24"/>
        </w:rPr>
        <w:t>扬尘</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堆场扬尘；</w:t>
      </w:r>
      <w:r>
        <w:rPr>
          <w:rFonts w:hint="default" w:ascii="Times New Roman" w:hAnsi="Times New Roman" w:cs="Times New Roman" w:eastAsiaTheme="minorEastAsia"/>
          <w:sz w:val="24"/>
          <w:szCs w:val="24"/>
        </w:rPr>
        <w:t>项目生产工艺无组织粉尘主要来自</w:t>
      </w:r>
      <w:r>
        <w:rPr>
          <w:rFonts w:hint="default" w:ascii="Times New Roman" w:hAnsi="Times New Roman" w:cs="Times New Roman" w:eastAsiaTheme="minorEastAsia"/>
          <w:sz w:val="24"/>
          <w:szCs w:val="24"/>
          <w:lang w:val="en-US" w:eastAsia="zh-CN"/>
        </w:rPr>
        <w:t>破碎</w:t>
      </w:r>
      <w:r>
        <w:rPr>
          <w:rFonts w:hint="default" w:ascii="Times New Roman" w:hAnsi="Times New Roman" w:cs="Times New Roman" w:eastAsiaTheme="minorEastAsia"/>
          <w:sz w:val="24"/>
          <w:szCs w:val="24"/>
        </w:rPr>
        <w:t>、筛分、磁选等工序集气罩未收集的粉尘，通过</w:t>
      </w:r>
      <w:r>
        <w:rPr>
          <w:rFonts w:hint="default" w:ascii="Times New Roman" w:hAnsi="Times New Roman" w:cs="Times New Roman" w:eastAsiaTheme="minorEastAsia"/>
          <w:sz w:val="24"/>
          <w:szCs w:val="24"/>
          <w:lang w:val="en-US" w:eastAsia="zh-CN"/>
        </w:rPr>
        <w:t>采取设备</w:t>
      </w:r>
      <w:r>
        <w:rPr>
          <w:rFonts w:hint="default" w:ascii="Times New Roman" w:hAnsi="Times New Roman" w:cs="Times New Roman" w:eastAsiaTheme="minorEastAsia"/>
          <w:sz w:val="24"/>
          <w:szCs w:val="24"/>
        </w:rPr>
        <w:t>封闭和喷雾降尘，各工艺之间物料转运采用输送带进行，输送带密闭等无组织排放控制措施。项目废气污染物采取了成熟稳定的处理措施，确保废气达标排放，对周围环境影响可接受。</w:t>
      </w:r>
    </w:p>
    <w:p w14:paraId="202EE90D">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（2）废水</w:t>
      </w:r>
    </w:p>
    <w:p w14:paraId="54B5E3B5">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本项目无选矿废水产生。项目生活污水依托</w:t>
      </w:r>
      <w:r>
        <w:rPr>
          <w:rFonts w:hint="default" w:ascii="Times New Roman" w:hAnsi="Times New Roman" w:cs="Times New Roman" w:eastAsiaTheme="minorEastAsia"/>
          <w:sz w:val="24"/>
          <w:szCs w:val="24"/>
          <w:lang w:val="en-US" w:eastAsia="zh-CN"/>
        </w:rPr>
        <w:t>鲁奎山铁矿</w:t>
      </w:r>
      <w:r>
        <w:rPr>
          <w:rFonts w:hint="default" w:ascii="Times New Roman" w:hAnsi="Times New Roman" w:cs="Times New Roman" w:eastAsiaTheme="minorEastAsia"/>
          <w:sz w:val="24"/>
          <w:szCs w:val="24"/>
        </w:rPr>
        <w:t>生活污水处理设施，厨房废水经隔油池隔油处理</w:t>
      </w:r>
      <w:r>
        <w:rPr>
          <w:rFonts w:hint="default" w:ascii="Times New Roman" w:hAnsi="Times New Roman" w:cs="Times New Roman" w:eastAsiaTheme="minorEastAsia"/>
          <w:sz w:val="24"/>
          <w:szCs w:val="24"/>
          <w:lang w:val="en-US" w:eastAsia="zh-CN"/>
        </w:rPr>
        <w:t>后与其他</w:t>
      </w:r>
      <w:r>
        <w:rPr>
          <w:rFonts w:hint="default" w:ascii="Times New Roman" w:hAnsi="Times New Roman" w:cs="Times New Roman" w:eastAsiaTheme="minorEastAsia"/>
          <w:sz w:val="24"/>
          <w:szCs w:val="24"/>
        </w:rPr>
        <w:t>生活污水经化粪池处理</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进入</w:t>
      </w:r>
      <w:r>
        <w:rPr>
          <w:rFonts w:hint="default" w:ascii="Times New Roman" w:hAnsi="Times New Roman" w:cs="Times New Roman" w:eastAsiaTheme="minorEastAsia"/>
          <w:sz w:val="24"/>
          <w:szCs w:val="24"/>
          <w:lang w:val="en-US" w:eastAsia="zh-CN"/>
        </w:rPr>
        <w:t>矿山</w:t>
      </w:r>
      <w:r>
        <w:rPr>
          <w:rFonts w:hint="default" w:ascii="Times New Roman" w:hAnsi="Times New Roman" w:cs="Times New Roman" w:eastAsiaTheme="minorEastAsia"/>
          <w:sz w:val="24"/>
          <w:szCs w:val="24"/>
        </w:rPr>
        <w:t>一体化污水处理设备，处理达标后回用于</w:t>
      </w:r>
      <w:r>
        <w:rPr>
          <w:rFonts w:hint="default" w:ascii="Times New Roman" w:hAnsi="Times New Roman" w:cs="Times New Roman" w:eastAsiaTheme="minorEastAsia"/>
          <w:sz w:val="24"/>
          <w:szCs w:val="24"/>
          <w:lang w:val="en-US" w:eastAsia="zh-CN"/>
        </w:rPr>
        <w:t>矿山</w:t>
      </w:r>
      <w:r>
        <w:rPr>
          <w:rFonts w:hint="default" w:ascii="Times New Roman" w:hAnsi="Times New Roman" w:cs="Times New Roman" w:eastAsiaTheme="minorEastAsia"/>
          <w:sz w:val="24"/>
          <w:szCs w:val="24"/>
        </w:rPr>
        <w:t>绿化及洒水降尘，不外排。</w:t>
      </w:r>
    </w:p>
    <w:p w14:paraId="00628C73">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（3）噪声</w:t>
      </w:r>
    </w:p>
    <w:p w14:paraId="4BA0041C">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项目运营期噪声源主要为机械设备噪声，经过采取消声、减振、隔声等控制措施，并通过距离衰减后，对声环境影响可接受。</w:t>
      </w:r>
    </w:p>
    <w:p w14:paraId="636E565F">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（4）固体废物</w:t>
      </w:r>
    </w:p>
    <w:p w14:paraId="66E0C9BE">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本项目磁选后尾矿作为</w:t>
      </w:r>
      <w:r>
        <w:rPr>
          <w:rFonts w:hint="default" w:ascii="Times New Roman" w:hAnsi="Times New Roman" w:cs="Times New Roman" w:eastAsiaTheme="minorEastAsia"/>
          <w:color w:val="auto"/>
          <w:sz w:val="24"/>
          <w:szCs w:val="24"/>
          <w:lang w:val="en-US" w:eastAsia="zh-CN"/>
        </w:rPr>
        <w:t>砂石料产品</w:t>
      </w:r>
      <w:r>
        <w:rPr>
          <w:rFonts w:hint="default" w:ascii="Times New Roman" w:hAnsi="Times New Roman" w:cs="Times New Roman" w:eastAsiaTheme="minorEastAsia"/>
          <w:color w:val="auto"/>
          <w:sz w:val="24"/>
          <w:szCs w:val="24"/>
        </w:rPr>
        <w:t>用于道路维护、工业场地建设以及</w:t>
      </w:r>
      <w:r>
        <w:rPr>
          <w:rFonts w:hint="default" w:ascii="Times New Roman" w:hAnsi="Times New Roman" w:cs="Times New Roman" w:eastAsiaTheme="minorEastAsia"/>
          <w:color w:val="auto"/>
          <w:sz w:val="24"/>
          <w:szCs w:val="24"/>
          <w:lang w:val="en-US" w:eastAsia="zh-CN"/>
        </w:rPr>
        <w:t>外售建材公司</w:t>
      </w:r>
      <w:r>
        <w:rPr>
          <w:rFonts w:hint="default" w:ascii="Times New Roman" w:hAnsi="Times New Roman" w:cs="Times New Roman" w:eastAsiaTheme="minorEastAsia"/>
          <w:color w:val="auto"/>
          <w:sz w:val="24"/>
          <w:szCs w:val="24"/>
        </w:rPr>
        <w:t>。项目运营期一般工业固废废物主要有除尘灰，危险废物主要有废矿物油。除尘灰</w:t>
      </w:r>
      <w:r>
        <w:rPr>
          <w:rFonts w:hint="default" w:ascii="Times New Roman" w:hAnsi="Times New Roman" w:cs="Times New Roman" w:eastAsiaTheme="minorEastAsia"/>
          <w:color w:val="auto"/>
          <w:sz w:val="24"/>
          <w:szCs w:val="24"/>
          <w:lang w:val="en-US" w:eastAsia="zh-CN"/>
        </w:rPr>
        <w:t>外售新平甬福环保有限公司用于矿渣微粉生产线使用，已签订处置协议（见附件11）</w:t>
      </w:r>
      <w:r>
        <w:rPr>
          <w:rFonts w:hint="default" w:ascii="Times New Roman" w:hAnsi="Times New Roman" w:cs="Times New Roman" w:eastAsiaTheme="minorEastAsia"/>
          <w:color w:val="auto"/>
          <w:sz w:val="24"/>
          <w:szCs w:val="24"/>
        </w:rPr>
        <w:t>。废矿物油</w:t>
      </w:r>
      <w:r>
        <w:rPr>
          <w:rFonts w:hint="default" w:ascii="Times New Roman" w:hAnsi="Times New Roman" w:cs="Times New Roman" w:eastAsiaTheme="minorEastAsia"/>
          <w:color w:val="auto"/>
          <w:sz w:val="24"/>
          <w:szCs w:val="24"/>
          <w:lang w:val="en-US" w:eastAsia="zh-CN"/>
        </w:rPr>
        <w:t>依托矿山危废暂存间</w:t>
      </w:r>
      <w:r>
        <w:rPr>
          <w:rFonts w:hint="default" w:ascii="Times New Roman" w:hAnsi="Times New Roman" w:cs="Times New Roman" w:eastAsiaTheme="minorEastAsia"/>
          <w:color w:val="auto"/>
          <w:sz w:val="24"/>
          <w:szCs w:val="24"/>
        </w:rPr>
        <w:t>暂存，</w:t>
      </w:r>
      <w:r>
        <w:rPr>
          <w:rFonts w:hint="default" w:ascii="Times New Roman" w:hAnsi="Times New Roman" w:cs="Times New Roman" w:eastAsiaTheme="minorEastAsia"/>
          <w:color w:val="auto"/>
          <w:sz w:val="24"/>
          <w:szCs w:val="24"/>
          <w:lang w:val="en-US" w:eastAsia="zh-CN"/>
        </w:rPr>
        <w:t>由集团公司统一</w:t>
      </w:r>
      <w:r>
        <w:rPr>
          <w:rFonts w:hint="default" w:ascii="Times New Roman" w:hAnsi="Times New Roman" w:cs="Times New Roman" w:eastAsiaTheme="minorEastAsia"/>
          <w:color w:val="auto"/>
          <w:sz w:val="24"/>
          <w:szCs w:val="24"/>
        </w:rPr>
        <w:t>委托有资质单位处置。项目生活垃圾</w:t>
      </w:r>
      <w:r>
        <w:rPr>
          <w:rFonts w:hint="default" w:ascii="Times New Roman" w:hAnsi="Times New Roman" w:cs="Times New Roman" w:eastAsiaTheme="minorEastAsia"/>
          <w:color w:val="auto"/>
          <w:sz w:val="24"/>
          <w:szCs w:val="24"/>
          <w:lang w:val="en-US" w:eastAsia="zh-CN"/>
        </w:rPr>
        <w:t>依托鲁奎山铁矿垃圾池收集，定期清运至扬武镇生活垃圾集中收集点，统一处置</w:t>
      </w:r>
      <w:r>
        <w:rPr>
          <w:rFonts w:hint="default" w:ascii="Times New Roman" w:hAnsi="Times New Roman" w:cs="Times New Roman" w:eastAsiaTheme="minorEastAsia"/>
          <w:color w:val="auto"/>
          <w:sz w:val="24"/>
          <w:szCs w:val="24"/>
        </w:rPr>
        <w:t>。项目产生的固体废弃物均得到处置，不向外环境排放。</w:t>
      </w:r>
    </w:p>
    <w:p w14:paraId="25AD9DC0">
      <w:pPr>
        <w:pStyle w:val="5"/>
        <w:bidi w:val="0"/>
        <w:rPr>
          <w:rFonts w:hint="default" w:ascii="Times New Roman" w:hAnsi="Times New Roman" w:cs="Times New Roman"/>
        </w:rPr>
      </w:pPr>
      <w:bookmarkStart w:id="96" w:name="_Toc14262"/>
      <w:bookmarkStart w:id="97" w:name="_Toc30941"/>
      <w:bookmarkStart w:id="98" w:name="_Toc14728"/>
      <w:bookmarkStart w:id="99" w:name="_Toc1419"/>
      <w:bookmarkStart w:id="100" w:name="_Toc8534"/>
      <w:bookmarkStart w:id="101" w:name="_Toc165816691"/>
      <w:r>
        <w:rPr>
          <w:rFonts w:hint="default" w:ascii="Times New Roman" w:hAnsi="Times New Roman" w:cs="Times New Roman"/>
          <w:lang w:val="en-US" w:eastAsia="zh-CN"/>
        </w:rPr>
        <w:t>1.</w:t>
      </w:r>
      <w:r>
        <w:rPr>
          <w:rFonts w:hint="default" w:ascii="Times New Roman" w:hAnsi="Times New Roman" w:cs="Times New Roman"/>
        </w:rPr>
        <w:t>5环境影响评价的主要结论</w:t>
      </w:r>
      <w:bookmarkEnd w:id="96"/>
      <w:bookmarkEnd w:id="97"/>
      <w:bookmarkEnd w:id="98"/>
      <w:bookmarkEnd w:id="99"/>
      <w:bookmarkEnd w:id="100"/>
      <w:bookmarkEnd w:id="101"/>
    </w:p>
    <w:p w14:paraId="2E961048">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本项目建设符合国家和地方的相关产业政策</w:t>
      </w:r>
      <w:r>
        <w:rPr>
          <w:rFonts w:hint="default" w:ascii="Times New Roman" w:hAnsi="Times New Roman" w:cs="Times New Roman" w:eastAsiaTheme="minorEastAsia"/>
          <w:kern w:val="24"/>
          <w:sz w:val="24"/>
          <w:szCs w:val="24"/>
        </w:rPr>
        <w:t>，符合</w:t>
      </w:r>
      <w:r>
        <w:rPr>
          <w:rFonts w:hint="default" w:ascii="Times New Roman" w:hAnsi="Times New Roman" w:cs="Times New Roman" w:eastAsiaTheme="minorEastAsia"/>
          <w:kern w:val="24"/>
          <w:sz w:val="24"/>
          <w:szCs w:val="24"/>
          <w:lang w:val="en-US" w:eastAsia="zh-CN"/>
        </w:rPr>
        <w:t>相关规划及</w:t>
      </w:r>
      <w:r>
        <w:rPr>
          <w:rFonts w:hint="default" w:ascii="Times New Roman" w:hAnsi="Times New Roman" w:cs="Times New Roman" w:eastAsiaTheme="minorEastAsia"/>
          <w:kern w:val="24"/>
          <w:sz w:val="24"/>
          <w:szCs w:val="24"/>
        </w:rPr>
        <w:t>生态环境保护法律法规</w:t>
      </w:r>
      <w:r>
        <w:rPr>
          <w:rFonts w:hint="default" w:ascii="Times New Roman" w:hAnsi="Times New Roman" w:cs="Times New Roman" w:eastAsiaTheme="minorEastAsia"/>
          <w:kern w:val="24"/>
          <w:sz w:val="24"/>
          <w:szCs w:val="24"/>
          <w:lang w:eastAsia="zh-CN"/>
        </w:rPr>
        <w:t>，</w:t>
      </w:r>
      <w:r>
        <w:rPr>
          <w:rFonts w:hint="default" w:ascii="Times New Roman" w:hAnsi="Times New Roman" w:cs="Times New Roman" w:eastAsiaTheme="minorEastAsia"/>
          <w:kern w:val="24"/>
          <w:sz w:val="24"/>
          <w:szCs w:val="24"/>
          <w:lang w:val="en-US" w:eastAsia="zh-CN"/>
        </w:rPr>
        <w:t>不涉及生态红线及基本农田</w:t>
      </w:r>
      <w:r>
        <w:rPr>
          <w:rFonts w:hint="default" w:ascii="Times New Roman" w:hAnsi="Times New Roman" w:cs="Times New Roman" w:eastAsiaTheme="minorEastAsia"/>
          <w:kern w:val="24"/>
          <w:sz w:val="24"/>
          <w:szCs w:val="24"/>
        </w:rPr>
        <w:t>。项目运营期产生的</w:t>
      </w:r>
      <w:r>
        <w:rPr>
          <w:rFonts w:hint="default" w:ascii="Times New Roman" w:hAnsi="Times New Roman" w:cs="Times New Roman" w:eastAsiaTheme="minorEastAsia"/>
          <w:sz w:val="24"/>
          <w:szCs w:val="24"/>
        </w:rPr>
        <w:t>污染物</w:t>
      </w:r>
      <w:r>
        <w:rPr>
          <w:rFonts w:hint="default" w:ascii="Times New Roman" w:hAnsi="Times New Roman" w:cs="Times New Roman" w:eastAsiaTheme="minorEastAsia"/>
          <w:kern w:val="24"/>
          <w:sz w:val="24"/>
          <w:szCs w:val="24"/>
        </w:rPr>
        <w:t>采取了相应的措施处置，</w:t>
      </w:r>
      <w:r>
        <w:rPr>
          <w:rFonts w:hint="default" w:ascii="Times New Roman" w:hAnsi="Times New Roman" w:cs="Times New Roman" w:eastAsiaTheme="minorEastAsia"/>
          <w:sz w:val="24"/>
          <w:szCs w:val="24"/>
        </w:rPr>
        <w:t>所采取环保措施有效可行，符合达标排放、总量控制和不降低当地环境功能的要求，</w:t>
      </w:r>
      <w:r>
        <w:rPr>
          <w:rFonts w:hint="default" w:ascii="Times New Roman" w:hAnsi="Times New Roman" w:cs="Times New Roman" w:eastAsiaTheme="minorEastAsia"/>
          <w:kern w:val="24"/>
          <w:sz w:val="24"/>
          <w:szCs w:val="24"/>
        </w:rPr>
        <w:t>对环境影响可接受</w:t>
      </w:r>
      <w:r>
        <w:rPr>
          <w:rFonts w:hint="default" w:ascii="Times New Roman" w:hAnsi="Times New Roman" w:cs="Times New Roman" w:eastAsiaTheme="minorEastAsia"/>
          <w:sz w:val="24"/>
          <w:szCs w:val="24"/>
        </w:rPr>
        <w:t>。根据环境影响预测分析结果表明，项目建成后产生的污染物可做到达标排放，对当地环境影响较小，固废得到妥善处置，环境风险可控。</w:t>
      </w:r>
    </w:p>
    <w:p w14:paraId="071D1932">
      <w:pPr>
        <w:spacing w:line="360" w:lineRule="auto"/>
        <w:ind w:firstLine="480" w:firstLineChars="200"/>
        <w:rPr>
          <w:rFonts w:hint="default" w:ascii="Times New Roman" w:hAnsi="Times New Roman" w:cs="Times New Roman" w:eastAsiaTheme="minorEastAsia"/>
          <w:kern w:val="24"/>
          <w:sz w:val="24"/>
          <w:szCs w:val="24"/>
        </w:rPr>
      </w:pPr>
      <w:r>
        <w:rPr>
          <w:rFonts w:hint="default" w:ascii="Times New Roman" w:hAnsi="Times New Roman" w:cs="Times New Roman" w:eastAsiaTheme="minorEastAsia"/>
          <w:kern w:val="24"/>
          <w:sz w:val="24"/>
          <w:szCs w:val="24"/>
        </w:rPr>
        <w:t>在认真落实环评中提出的污染防治对策措施，保证治理设施正常运转，确保污染物达标排放的情况下，项目建设不会降低和改变该区域的环境质量和环境功能。</w:t>
      </w:r>
    </w:p>
    <w:p w14:paraId="7FA3725E">
      <w:pPr>
        <w:spacing w:line="360" w:lineRule="auto"/>
        <w:ind w:firstLine="480" w:firstLineChars="200"/>
        <w:rPr>
          <w:rFonts w:hint="default" w:ascii="Times New Roman" w:hAnsi="Times New Roman" w:cs="Times New Roman" w:eastAsiaTheme="minorEastAsia"/>
          <w:kern w:val="24"/>
          <w:sz w:val="24"/>
          <w:szCs w:val="24"/>
        </w:rPr>
      </w:pPr>
      <w:r>
        <w:rPr>
          <w:rFonts w:hint="default" w:ascii="Times New Roman" w:hAnsi="Times New Roman" w:cs="Times New Roman" w:eastAsiaTheme="minorEastAsia"/>
          <w:kern w:val="24"/>
          <w:sz w:val="24"/>
          <w:szCs w:val="24"/>
        </w:rPr>
        <w:t>因此，从环境保护角度分析，本项目的建设是可行的。</w:t>
      </w:r>
    </w:p>
    <w:p w14:paraId="068B8D60">
      <w:pPr>
        <w:pStyle w:val="4"/>
        <w:bidi w:val="0"/>
        <w:rPr>
          <w:rFonts w:hint="default" w:ascii="Times New Roman" w:hAnsi="Times New Roman" w:cs="Times New Roman"/>
        </w:rPr>
      </w:pPr>
      <w:bookmarkStart w:id="102" w:name="_Toc9018"/>
      <w:bookmarkStart w:id="103" w:name="_Toc17806"/>
      <w:bookmarkStart w:id="104" w:name="_Toc32445"/>
      <w:bookmarkStart w:id="105" w:name="_Toc8938"/>
      <w:bookmarkStart w:id="106" w:name="_Toc165816692"/>
      <w:bookmarkStart w:id="107" w:name="_Toc26926"/>
      <w:r>
        <w:rPr>
          <w:rFonts w:hint="default" w:ascii="Times New Roman" w:hAnsi="Times New Roman" w:cs="Times New Roman"/>
          <w:lang w:val="en-US" w:eastAsia="zh-CN"/>
        </w:rPr>
        <w:t>2</w:t>
      </w:r>
      <w:r>
        <w:rPr>
          <w:rFonts w:hint="default" w:ascii="Times New Roman" w:hAnsi="Times New Roman" w:cs="Times New Roman"/>
        </w:rPr>
        <w:t>总则</w:t>
      </w:r>
      <w:bookmarkEnd w:id="102"/>
      <w:bookmarkEnd w:id="103"/>
      <w:bookmarkEnd w:id="104"/>
      <w:bookmarkEnd w:id="105"/>
      <w:bookmarkEnd w:id="106"/>
      <w:bookmarkEnd w:id="107"/>
    </w:p>
    <w:p w14:paraId="0C974362">
      <w:pPr>
        <w:pStyle w:val="5"/>
        <w:bidi w:val="0"/>
        <w:rPr>
          <w:rFonts w:hint="default" w:ascii="Times New Roman" w:hAnsi="Times New Roman" w:cs="Times New Roman"/>
        </w:rPr>
      </w:pPr>
      <w:bookmarkStart w:id="108" w:name="_Toc22567"/>
      <w:bookmarkStart w:id="109" w:name="_Toc246"/>
      <w:bookmarkStart w:id="110" w:name="_Toc25822"/>
      <w:bookmarkStart w:id="111" w:name="_Toc165816693"/>
      <w:bookmarkStart w:id="112" w:name="_Toc1236"/>
      <w:bookmarkStart w:id="113" w:name="_Toc11740"/>
      <w:r>
        <w:rPr>
          <w:rFonts w:hint="default" w:ascii="Times New Roman" w:hAnsi="Times New Roman" w:cs="Times New Roman"/>
          <w:lang w:val="en-US" w:eastAsia="zh-CN"/>
        </w:rPr>
        <w:t>2</w:t>
      </w:r>
      <w:r>
        <w:rPr>
          <w:rFonts w:hint="default" w:ascii="Times New Roman" w:hAnsi="Times New Roman" w:cs="Times New Roman"/>
        </w:rPr>
        <w:t>.1编制依据</w:t>
      </w:r>
      <w:bookmarkEnd w:id="108"/>
      <w:bookmarkEnd w:id="109"/>
      <w:bookmarkEnd w:id="110"/>
      <w:bookmarkEnd w:id="111"/>
      <w:bookmarkEnd w:id="112"/>
      <w:bookmarkEnd w:id="113"/>
    </w:p>
    <w:p w14:paraId="4CC4C2CD">
      <w:pPr>
        <w:pStyle w:val="6"/>
        <w:bidi w:val="0"/>
        <w:rPr>
          <w:rFonts w:hint="default" w:ascii="Times New Roman" w:hAnsi="Times New Roman" w:cs="Times New Roman"/>
        </w:rPr>
      </w:pPr>
      <w:bookmarkStart w:id="114" w:name="_Toc165816694"/>
      <w:bookmarkStart w:id="115" w:name="_Toc80906460"/>
      <w:bookmarkStart w:id="116" w:name="_Toc23552"/>
      <w:r>
        <w:rPr>
          <w:rFonts w:hint="default" w:ascii="Times New Roman" w:hAnsi="Times New Roman" w:cs="Times New Roman"/>
          <w:lang w:val="en-US" w:eastAsia="zh-CN"/>
        </w:rPr>
        <w:t>2</w:t>
      </w:r>
      <w:r>
        <w:rPr>
          <w:rFonts w:hint="default" w:ascii="Times New Roman" w:hAnsi="Times New Roman" w:cs="Times New Roman"/>
        </w:rPr>
        <w:t>.1.1国家环境保护法律法规</w:t>
      </w:r>
      <w:bookmarkEnd w:id="114"/>
      <w:bookmarkEnd w:id="115"/>
      <w:bookmarkEnd w:id="116"/>
    </w:p>
    <w:p w14:paraId="3EC27AD3">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1、《中华人民共和国环境保护法》（2015年1月1日）；</w:t>
      </w:r>
    </w:p>
    <w:p w14:paraId="33246561">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2、《中华人民共和国环境影响评价法》（2018年12月 29日）；</w:t>
      </w:r>
    </w:p>
    <w:p w14:paraId="2A6C2088">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3、《中华人民共和国水污染防治法》（2018年1月1日）；</w:t>
      </w:r>
    </w:p>
    <w:p w14:paraId="1F1308AF">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4、《中华人民共和国大气污染防治法》（2018年10月26日）；</w:t>
      </w:r>
    </w:p>
    <w:p w14:paraId="5294ABAA">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5、《中华人民共和国噪声污染防治法》（2022年6月5日）；</w:t>
      </w:r>
    </w:p>
    <w:p w14:paraId="00487896">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6、《中华人民共和国固体废物污染环境防治法》（2020年9月1日）；</w:t>
      </w:r>
    </w:p>
    <w:p w14:paraId="721E65FE">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7、《中华人民共和国土壤污染防治法》（2019年1月1日）；</w:t>
      </w:r>
    </w:p>
    <w:p w14:paraId="582555FC">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8、《中华人民共和国清洁生产促进法》（2012年7月1日）；</w:t>
      </w:r>
    </w:p>
    <w:p w14:paraId="004913D0">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9、《中华人民共和国水土保持法》（2011年3月1日）；</w:t>
      </w:r>
    </w:p>
    <w:p w14:paraId="5BCA06E2">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10、《中华人民共和国节约能源法》（2018年10月26日）；</w:t>
      </w:r>
    </w:p>
    <w:p w14:paraId="39C2C82F">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11、《中华人民共和国长江保护法》（2021年3月1日）；</w:t>
      </w:r>
    </w:p>
    <w:p w14:paraId="11DD985F">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12、《建设项目环境保护管理条例》（2017年10月1日）。</w:t>
      </w:r>
    </w:p>
    <w:p w14:paraId="6EE8046F">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13、《排污许可管理条例》（2021年3月1日）；</w:t>
      </w:r>
    </w:p>
    <w:p w14:paraId="18680B20">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14、《地下水管理条例》（2021年12月1日）；</w:t>
      </w:r>
    </w:p>
    <w:p w14:paraId="2FF94D6C">
      <w:pPr>
        <w:spacing w:line="360" w:lineRule="auto"/>
        <w:ind w:firstLine="48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15、《中华人民共和国土地管理法实施条例》（2021年7月8日）</w:t>
      </w:r>
      <w:r>
        <w:rPr>
          <w:rFonts w:hint="default" w:ascii="Times New Roman" w:hAnsi="Times New Roman" w:cs="Times New Roman" w:eastAsiaTheme="minorEastAsia"/>
          <w:sz w:val="24"/>
          <w:szCs w:val="24"/>
          <w:lang w:eastAsia="zh-CN"/>
        </w:rPr>
        <w:t>；</w:t>
      </w:r>
      <w:bookmarkStart w:id="117" w:name="_Toc15419"/>
      <w:bookmarkStart w:id="118" w:name="_Toc165816695"/>
    </w:p>
    <w:p w14:paraId="6481A4F5">
      <w:pPr>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cs="Times New Roman"/>
          <w:color w:val="auto"/>
          <w:sz w:val="24"/>
          <w:lang w:val="en-US" w:eastAsia="zh-CN"/>
        </w:rPr>
        <w:t>16、</w:t>
      </w:r>
      <w:r>
        <w:rPr>
          <w:rFonts w:hint="default" w:ascii="Times New Roman" w:hAnsi="Times New Roman" w:cs="Times New Roman"/>
          <w:color w:val="auto"/>
          <w:sz w:val="24"/>
        </w:rPr>
        <w:t>《中华人民共和国环境保护税法》</w:t>
      </w:r>
      <w:r>
        <w:rPr>
          <w:rFonts w:hint="default" w:ascii="Times New Roman" w:hAnsi="Times New Roman" w:cs="Times New Roman"/>
          <w:sz w:val="24"/>
        </w:rPr>
        <w:t>（</w:t>
      </w:r>
      <w:r>
        <w:rPr>
          <w:rFonts w:hint="default" w:ascii="Times New Roman" w:hAnsi="Times New Roman" w:eastAsia="TimesNewRomanPSMT" w:cs="Times New Roman"/>
          <w:sz w:val="24"/>
        </w:rPr>
        <w:t>2018</w:t>
      </w:r>
      <w:r>
        <w:rPr>
          <w:rFonts w:hint="default" w:ascii="Times New Roman" w:hAnsi="Times New Roman" w:cs="Times New Roman"/>
          <w:sz w:val="24"/>
        </w:rPr>
        <w:t>年1月</w:t>
      </w:r>
      <w:r>
        <w:rPr>
          <w:rFonts w:hint="default" w:ascii="Times New Roman" w:hAnsi="Times New Roman" w:eastAsia="TimesNewRomanPSMT" w:cs="Times New Roman"/>
          <w:sz w:val="24"/>
        </w:rPr>
        <w:t>1</w:t>
      </w:r>
      <w:r>
        <w:rPr>
          <w:rFonts w:hint="default" w:ascii="Times New Roman" w:hAnsi="Times New Roman" w:cs="Times New Roman"/>
          <w:sz w:val="24"/>
        </w:rPr>
        <w:t>日）</w:t>
      </w:r>
      <w:r>
        <w:rPr>
          <w:rFonts w:hint="default" w:ascii="Times New Roman" w:hAnsi="Times New Roman" w:cs="Times New Roman"/>
          <w:sz w:val="24"/>
          <w:lang w:eastAsia="zh-CN"/>
        </w:rPr>
        <w:t>。</w:t>
      </w:r>
    </w:p>
    <w:p w14:paraId="4CB3411E">
      <w:pPr>
        <w:pStyle w:val="6"/>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.1.2部门规章及相关文件</w:t>
      </w:r>
      <w:bookmarkEnd w:id="117"/>
      <w:bookmarkEnd w:id="118"/>
    </w:p>
    <w:p w14:paraId="2A0C7EC4">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1、《产业结构调整指导⽬录（2024年本）》；</w:t>
      </w:r>
    </w:p>
    <w:p w14:paraId="1ADDF870">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 xml:space="preserve">2、《固定污染源排污许可分类管理名录（2019年版）》（2019年12月20日）； </w:t>
      </w:r>
    </w:p>
    <w:p w14:paraId="6FEA0017">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3、《建设项目环境保护分类管理名录（2021 版）》（2021年1月1日）；</w:t>
      </w:r>
    </w:p>
    <w:p w14:paraId="163F551F">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4、《排污许可管理办法（试行）》（2018年1月10日）；</w:t>
      </w:r>
    </w:p>
    <w:p w14:paraId="21E981B2">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5、《生态环境标准管理办法》（2021年2月1日）；</w:t>
      </w:r>
    </w:p>
    <w:p w14:paraId="5DD646E0">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6、《环境影响评价公众参与办法》（2019年1月1日）；</w:t>
      </w:r>
    </w:p>
    <w:p w14:paraId="167DF9B5">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7、《突发环境事件应急管理办法》（2015年6月5日）；</w:t>
      </w:r>
    </w:p>
    <w:p w14:paraId="71AA123E">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8、《国家危险废物名录（</w:t>
      </w:r>
      <w:r>
        <w:rPr>
          <w:rFonts w:hint="default" w:ascii="Times New Roman" w:hAnsi="Times New Roman" w:eastAsia="宋体" w:cs="Times New Roman"/>
          <w:b w:val="0"/>
          <w:bCs w:val="0"/>
          <w:color w:val="auto"/>
          <w:sz w:val="24"/>
          <w:szCs w:val="24"/>
        </w:rPr>
        <w:t>202</w:t>
      </w:r>
      <w:r>
        <w:rPr>
          <w:rFonts w:hint="default" w:ascii="Times New Roman" w:hAnsi="Times New Roman" w:cs="Times New Roman"/>
          <w:b w:val="0"/>
          <w:bCs w:val="0"/>
          <w:color w:val="auto"/>
          <w:sz w:val="24"/>
          <w:szCs w:val="24"/>
          <w:lang w:val="en-US" w:eastAsia="zh-CN"/>
        </w:rPr>
        <w:t>5年</w:t>
      </w:r>
      <w:r>
        <w:rPr>
          <w:rFonts w:hint="default" w:ascii="Times New Roman" w:hAnsi="Times New Roman" w:eastAsia="宋体" w:cs="Times New Roman"/>
          <w:b w:val="0"/>
          <w:bCs w:val="0"/>
          <w:color w:val="auto"/>
          <w:sz w:val="24"/>
          <w:szCs w:val="24"/>
        </w:rPr>
        <w:t>版</w:t>
      </w:r>
      <w:r>
        <w:rPr>
          <w:rFonts w:hint="default" w:ascii="Times New Roman" w:hAnsi="Times New Roman" w:cs="Times New Roman" w:eastAsiaTheme="minorEastAsia"/>
          <w:sz w:val="24"/>
          <w:szCs w:val="24"/>
          <w:lang w:bidi="zh-CN"/>
        </w:rPr>
        <w:t>）》（202</w:t>
      </w:r>
      <w:r>
        <w:rPr>
          <w:rFonts w:hint="eastAsia" w:cs="Times New Roman" w:eastAsiaTheme="minorEastAsia"/>
          <w:sz w:val="24"/>
          <w:szCs w:val="24"/>
          <w:lang w:val="en-US" w:bidi="zh-CN"/>
        </w:rPr>
        <w:t>5</w:t>
      </w:r>
      <w:r>
        <w:rPr>
          <w:rFonts w:hint="default" w:ascii="Times New Roman" w:hAnsi="Times New Roman" w:cs="Times New Roman" w:eastAsiaTheme="minorEastAsia"/>
          <w:sz w:val="24"/>
          <w:szCs w:val="24"/>
          <w:lang w:bidi="zh-CN"/>
        </w:rPr>
        <w:t>年1月1日）；</w:t>
      </w:r>
    </w:p>
    <w:p w14:paraId="515CC627">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9、《危险废物转移管理办法》（2022年1月1日）；</w:t>
      </w:r>
    </w:p>
    <w:p w14:paraId="3471EDEB">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10、《企业环境信息依法披露管理办法》（2022年2月8日）；</w:t>
      </w:r>
    </w:p>
    <w:p w14:paraId="1DB90CCA">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11、《建设项目竣工环境保护验收暂行办法》（国环规环评〔2017〕4号）；</w:t>
      </w:r>
    </w:p>
    <w:p w14:paraId="74584533">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12、《关于印发“十四五”环境影响评价与排污许可工作实施方案的通知》（环环评〔2022〕26号）；</w:t>
      </w:r>
    </w:p>
    <w:p w14:paraId="374FCDE4">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13、《关于开展工业固体废物排污许可管理工作的通知》（环办环评〔2021〕26号）；</w:t>
      </w:r>
    </w:p>
    <w:p w14:paraId="3EDC0280">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14、《关于印发〈强化危险废物监管和利用处置能力改革实施方案〉的通知》（国办函〔2021〕47号）；</w:t>
      </w:r>
    </w:p>
    <w:p w14:paraId="10599FBF">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15、《关于印发〈“十四五”噪声污染防治行动计划〉的通知》（环大气〔2023〕1号）；</w:t>
      </w:r>
    </w:p>
    <w:p w14:paraId="5F57CE20">
      <w:pPr>
        <w:pStyle w:val="11"/>
        <w:spacing w:line="360" w:lineRule="auto"/>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16、关于发布《矿产资源开发利用辐射环境监督管理名录》的公告（生态环境部公告 2020年第54号）；</w:t>
      </w:r>
    </w:p>
    <w:p w14:paraId="0F5E33D1">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lang w:val="en-US" w:eastAsia="zh-CN"/>
        </w:rPr>
        <w:t>1</w:t>
      </w:r>
      <w:r>
        <w:rPr>
          <w:rFonts w:hint="default" w:ascii="Times New Roman" w:hAnsi="Times New Roman" w:cs="Times New Roman"/>
          <w:color w:val="auto"/>
          <w:sz w:val="24"/>
          <w:lang w:val="en-US" w:eastAsia="zh-CN"/>
        </w:rPr>
        <w:t>7</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highlight w:val="none"/>
          <w:lang w:eastAsia="zh-CN"/>
        </w:rPr>
        <w:t>《关于发布《一般工业固体废物贮存和填埋污染控制标准》等三项固体废物污染控制标准的公告》（公告2020年第65号）；</w:t>
      </w:r>
    </w:p>
    <w:p w14:paraId="224733AD">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1</w:t>
      </w:r>
      <w:r>
        <w:rPr>
          <w:rFonts w:hint="default" w:ascii="Times New Roman" w:hAnsi="Times New Roman" w:cs="Times New Roman"/>
          <w:color w:val="auto"/>
          <w:sz w:val="24"/>
          <w:lang w:val="en-US" w:eastAsia="zh-CN"/>
        </w:rPr>
        <w:t>8</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w:t>
      </w:r>
      <w:r>
        <w:rPr>
          <w:rFonts w:hint="default" w:ascii="Times New Roman" w:hAnsi="Times New Roman" w:cs="Times New Roman"/>
          <w:color w:val="auto"/>
          <w:sz w:val="24"/>
          <w:lang w:eastAsia="zh-CN"/>
        </w:rPr>
        <w:t>排污许可管理条例</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中华人民共和国国务院令第736号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2021.3.1施行</w:t>
      </w:r>
      <w:r>
        <w:rPr>
          <w:rFonts w:hint="default" w:ascii="Times New Roman" w:hAnsi="Times New Roman" w:eastAsia="宋体" w:cs="Times New Roman"/>
          <w:color w:val="auto"/>
          <w:sz w:val="24"/>
          <w:lang w:eastAsia="zh-CN"/>
        </w:rPr>
        <w:t>）；</w:t>
      </w:r>
    </w:p>
    <w:p w14:paraId="1537E397">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szCs w:val="24"/>
          <w:lang w:val="en-US" w:eastAsia="zh-CN"/>
        </w:rPr>
        <w:t>19</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国务院关于印发《空气质量持续改善行动计划》的通知（国发〔2023〕24 号），2023年11月30日</w:t>
      </w:r>
      <w:r>
        <w:rPr>
          <w:rFonts w:hint="default" w:ascii="Times New Roman" w:hAnsi="Times New Roman" w:cs="Times New Roman"/>
          <w:bCs/>
          <w:color w:val="auto"/>
          <w:sz w:val="24"/>
        </w:rPr>
        <w:t>；</w:t>
      </w:r>
    </w:p>
    <w:p w14:paraId="58411478">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20、</w:t>
      </w:r>
      <w:r>
        <w:rPr>
          <w:rFonts w:hint="default" w:ascii="Times New Roman" w:hAnsi="Times New Roman" w:cs="Times New Roman"/>
          <w:bCs/>
          <w:color w:val="auto"/>
          <w:sz w:val="24"/>
        </w:rPr>
        <w:t>环境保护部第31号令：《企业、事业单位环境信息公开办法》（2015.1.1）；</w:t>
      </w:r>
    </w:p>
    <w:p w14:paraId="706FE1CB">
      <w:pPr>
        <w:pStyle w:val="11"/>
        <w:spacing w:line="360" w:lineRule="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21、</w:t>
      </w:r>
      <w:r>
        <w:rPr>
          <w:rFonts w:hint="default" w:ascii="Times New Roman" w:hAnsi="Times New Roman" w:cs="Times New Roman"/>
          <w:color w:val="auto"/>
          <w:sz w:val="24"/>
        </w:rPr>
        <w:t>《环境保护部关于强化建设项目环境影响评价事中事后监管的实施意见》（环环评[201811号]）（2018.1.26）</w:t>
      </w:r>
      <w:r>
        <w:rPr>
          <w:rFonts w:hint="default" w:ascii="Times New Roman" w:hAnsi="Times New Roman" w:cs="Times New Roman"/>
          <w:bCs/>
          <w:color w:val="auto"/>
          <w:sz w:val="24"/>
        </w:rPr>
        <w:t>；</w:t>
      </w:r>
    </w:p>
    <w:p w14:paraId="10669F89">
      <w:pPr>
        <w:pStyle w:val="11"/>
        <w:ind w:firstLine="420"/>
        <w:rPr>
          <w:rFonts w:hint="default" w:ascii="Times New Roman" w:hAnsi="Times New Roman" w:eastAsia="宋体" w:cs="Times New Roman"/>
          <w:lang w:eastAsia="zh-CN"/>
        </w:rPr>
      </w:pPr>
      <w:r>
        <w:rPr>
          <w:rFonts w:hint="default" w:ascii="Times New Roman" w:hAnsi="Times New Roman" w:cs="Times New Roman"/>
          <w:lang w:val="en-US" w:eastAsia="zh-CN" w:bidi="ar"/>
        </w:rPr>
        <w:t>22、</w:t>
      </w:r>
      <w:r>
        <w:rPr>
          <w:rFonts w:hint="default" w:ascii="Times New Roman" w:hAnsi="Times New Roman" w:cs="Times New Roman"/>
          <w:lang w:bidi="ar"/>
        </w:rPr>
        <w:t>《关于进一步加强重金属污染防控的意见》（环固体〔2022〕17号）</w:t>
      </w:r>
      <w:r>
        <w:rPr>
          <w:rFonts w:hint="default" w:ascii="Times New Roman" w:hAnsi="Times New Roman" w:cs="Times New Roman"/>
          <w:lang w:eastAsia="zh-CN" w:bidi="ar"/>
        </w:rPr>
        <w:t>；</w:t>
      </w:r>
    </w:p>
    <w:p w14:paraId="50BB4A1A">
      <w:pPr>
        <w:pStyle w:val="11"/>
        <w:spacing w:line="360" w:lineRule="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23、</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固体废物污染环境防治信息发布指南</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（环办固体函〔2024〕37号）。</w:t>
      </w:r>
    </w:p>
    <w:p w14:paraId="6D1B1489">
      <w:pPr>
        <w:pStyle w:val="6"/>
        <w:bidi w:val="0"/>
        <w:rPr>
          <w:rFonts w:hint="default" w:ascii="Times New Roman" w:hAnsi="Times New Roman" w:cs="Times New Roman"/>
        </w:rPr>
      </w:pPr>
      <w:bookmarkStart w:id="119" w:name="_Toc165816696"/>
      <w:bookmarkStart w:id="120" w:name="_Toc32262"/>
      <w:r>
        <w:rPr>
          <w:rFonts w:hint="default" w:ascii="Times New Roman" w:hAnsi="Times New Roman" w:cs="Times New Roman"/>
          <w:lang w:val="en-US" w:eastAsia="zh-CN"/>
        </w:rPr>
        <w:t>2</w:t>
      </w:r>
      <w:r>
        <w:rPr>
          <w:rFonts w:hint="default" w:ascii="Times New Roman" w:hAnsi="Times New Roman" w:cs="Times New Roman"/>
        </w:rPr>
        <w:t>.1.3地方环境保护法规及相关政策、规划</w:t>
      </w:r>
      <w:bookmarkEnd w:id="119"/>
      <w:bookmarkEnd w:id="120"/>
    </w:p>
    <w:p w14:paraId="0F74B387">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w:t>
      </w:r>
      <w:r>
        <w:rPr>
          <w:rFonts w:hint="default" w:ascii="Times New Roman" w:hAnsi="Times New Roman" w:eastAsia="宋体" w:cs="Times New Roman"/>
          <w:color w:val="auto"/>
          <w:sz w:val="24"/>
          <w:highlight w:val="none"/>
          <w:lang w:val="en-US" w:eastAsia="zh-CN"/>
        </w:rPr>
        <w:t>云南省生态环境厅《关于发布州（市）生态环境分区管控动态更新成果的函》（云环函〔2024〕147号），2024年4月28日</w:t>
      </w:r>
      <w:r>
        <w:rPr>
          <w:rFonts w:hint="default" w:ascii="Times New Roman" w:hAnsi="Times New Roman" w:cs="Times New Roman" w:eastAsiaTheme="minorEastAsia"/>
          <w:sz w:val="24"/>
          <w:szCs w:val="24"/>
          <w:lang w:bidi="zh-CN"/>
        </w:rPr>
        <w:t>；</w:t>
      </w:r>
    </w:p>
    <w:p w14:paraId="3B8A6CCE">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2、《云南省大气污染防治条例》（2019年1月1日）；</w:t>
      </w:r>
    </w:p>
    <w:p w14:paraId="08618331">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3、《云南省生物多样性保护条例》（2019年1月1日）；</w:t>
      </w:r>
    </w:p>
    <w:p w14:paraId="1E5C4545">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4、《云南省土壤污染防治条例》（2022年5月1日）；</w:t>
      </w:r>
    </w:p>
    <w:p w14:paraId="731444A6">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5、《云南省固体废物污染环境防治条例》（2023年3月1日）；</w:t>
      </w:r>
    </w:p>
    <w:p w14:paraId="61699078">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6、《云南省主体功能区规划》（2014年1月6日）；</w:t>
      </w:r>
    </w:p>
    <w:p w14:paraId="7C04B9A4">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7、《云南省水功能区划（2014修订）》；</w:t>
      </w:r>
    </w:p>
    <w:p w14:paraId="5D45A0D8">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8、《云南省生态功能区划》（2009年9月）；</w:t>
      </w:r>
    </w:p>
    <w:p w14:paraId="518F6388">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9、《云南省生态保护红线》（2018年6月29日）；</w:t>
      </w:r>
    </w:p>
    <w:p w14:paraId="461F97F3">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10、《云南省地方标准用水定额》（DB53/T168-2019），2019年6月；</w:t>
      </w:r>
    </w:p>
    <w:p w14:paraId="156E547A">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11、《云南省贯彻《排污许可管理条例》实施细则》（云环规〔2021〕1号，2022年1月15日）；</w:t>
      </w:r>
    </w:p>
    <w:p w14:paraId="498E2F73">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12、《云南省“十四五”生态环境保护规划》（云环发〔2022〕13号）；</w:t>
      </w:r>
    </w:p>
    <w:p w14:paraId="1ABC91D7">
      <w:pPr>
        <w:spacing w:line="360" w:lineRule="auto"/>
        <w:ind w:firstLine="480"/>
        <w:rPr>
          <w:rFonts w:hint="default" w:ascii="Times New Roman" w:hAnsi="Times New Roman" w:cs="Times New Roman" w:eastAsiaTheme="minorEastAsia"/>
          <w:color w:val="auto"/>
          <w:sz w:val="24"/>
          <w:szCs w:val="24"/>
          <w:lang w:bidi="zh-CN"/>
        </w:rPr>
      </w:pPr>
      <w:r>
        <w:rPr>
          <w:rFonts w:hint="default" w:ascii="Times New Roman" w:hAnsi="Times New Roman" w:cs="Times New Roman" w:eastAsiaTheme="minorEastAsia"/>
          <w:color w:val="auto"/>
          <w:sz w:val="24"/>
          <w:szCs w:val="24"/>
          <w:lang w:val="en-US" w:eastAsia="zh-CN"/>
        </w:rPr>
        <w:t>13、</w:t>
      </w:r>
      <w:r>
        <w:rPr>
          <w:rFonts w:hint="default" w:ascii="Times New Roman" w:hAnsi="Times New Roman" w:cs="Times New Roman" w:eastAsiaTheme="minorEastAsia"/>
          <w:color w:val="auto"/>
          <w:sz w:val="24"/>
          <w:szCs w:val="24"/>
        </w:rPr>
        <w:t>《云南省生物多样性保护战略与行动计划》（20</w:t>
      </w:r>
      <w:r>
        <w:rPr>
          <w:rFonts w:hint="default" w:ascii="Times New Roman" w:hAnsi="Times New Roman" w:cs="Times New Roman" w:eastAsiaTheme="minorEastAsia"/>
          <w:color w:val="auto"/>
          <w:sz w:val="24"/>
          <w:szCs w:val="24"/>
          <w:lang w:val="en-US" w:eastAsia="zh-CN"/>
        </w:rPr>
        <w:t>24—</w:t>
      </w:r>
      <w:r>
        <w:rPr>
          <w:rFonts w:hint="default" w:ascii="Times New Roman" w:hAnsi="Times New Roman" w:cs="Times New Roman" w:eastAsiaTheme="minorEastAsia"/>
          <w:color w:val="auto"/>
          <w:sz w:val="24"/>
          <w:szCs w:val="24"/>
        </w:rPr>
        <w:t>2030年）</w:t>
      </w:r>
      <w:r>
        <w:rPr>
          <w:rFonts w:hint="default" w:ascii="Times New Roman" w:hAnsi="Times New Roman" w:cs="Times New Roman" w:eastAsiaTheme="minorEastAsia"/>
          <w:sz w:val="24"/>
          <w:szCs w:val="24"/>
          <w:lang w:bidi="zh-CN"/>
        </w:rPr>
        <w:t>；</w:t>
      </w:r>
    </w:p>
    <w:p w14:paraId="4EB7C9F8">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14、</w:t>
      </w:r>
      <w:r>
        <w:rPr>
          <w:rFonts w:hint="default" w:ascii="Times New Roman" w:hAnsi="Times New Roman" w:cs="Times New Roman"/>
          <w:bCs/>
          <w:color w:val="auto"/>
          <w:sz w:val="24"/>
        </w:rPr>
        <w:t>《云南省矿产资源总体规划（20</w:t>
      </w:r>
      <w:r>
        <w:rPr>
          <w:rFonts w:hint="default" w:ascii="Times New Roman" w:hAnsi="Times New Roman" w:cs="Times New Roman"/>
          <w:bCs/>
          <w:color w:val="auto"/>
          <w:sz w:val="24"/>
          <w:lang w:val="en-US" w:eastAsia="zh-CN"/>
        </w:rPr>
        <w:t>21</w:t>
      </w:r>
      <w:r>
        <w:rPr>
          <w:rFonts w:hint="default" w:ascii="Times New Roman" w:hAnsi="Times New Roman" w:cs="Times New Roman"/>
          <w:bCs/>
          <w:color w:val="auto"/>
          <w:sz w:val="24"/>
        </w:rPr>
        <w:t>-20</w:t>
      </w:r>
      <w:r>
        <w:rPr>
          <w:rFonts w:hint="default" w:ascii="Times New Roman" w:hAnsi="Times New Roman" w:cs="Times New Roman"/>
          <w:bCs/>
          <w:color w:val="auto"/>
          <w:sz w:val="24"/>
          <w:lang w:val="en-US" w:eastAsia="zh-CN"/>
        </w:rPr>
        <w:t>25</w:t>
      </w:r>
      <w:r>
        <w:rPr>
          <w:rFonts w:hint="default" w:ascii="Times New Roman" w:hAnsi="Times New Roman" w:cs="Times New Roman"/>
          <w:bCs/>
          <w:color w:val="auto"/>
          <w:sz w:val="24"/>
        </w:rPr>
        <w:t>）》；</w:t>
      </w:r>
    </w:p>
    <w:p w14:paraId="77B62B17">
      <w:pPr>
        <w:pStyle w:val="11"/>
        <w:spacing w:line="360" w:lineRule="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15、</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rPr>
        <w:t>云南省生态环境厅审批环境影响评价文件的建设项目目录（2024年本）</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cs="Times New Roman"/>
          <w:bCs/>
          <w:color w:val="auto"/>
          <w:sz w:val="24"/>
        </w:rPr>
        <w:t>；</w:t>
      </w:r>
    </w:p>
    <w:p w14:paraId="7ABCFE52">
      <w:pPr>
        <w:pStyle w:val="11"/>
        <w:spacing w:line="360" w:lineRule="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16、</w:t>
      </w:r>
      <w:r>
        <w:rPr>
          <w:rFonts w:hint="default" w:ascii="Times New Roman" w:hAnsi="Times New Roman" w:eastAsia="宋体" w:cs="Times New Roman"/>
          <w:color w:val="auto"/>
          <w:kern w:val="0"/>
          <w:sz w:val="24"/>
          <w:szCs w:val="24"/>
          <w:lang w:eastAsia="zh-CN"/>
        </w:rPr>
        <w:t>《云南省长江经济带发展负面清单指南实施细则（试行）》（2022年版）</w:t>
      </w:r>
      <w:r>
        <w:rPr>
          <w:rFonts w:hint="default" w:ascii="Times New Roman" w:hAnsi="Times New Roman" w:cs="Times New Roman"/>
          <w:bCs/>
          <w:color w:val="auto"/>
          <w:sz w:val="24"/>
        </w:rPr>
        <w:t>；</w:t>
      </w:r>
    </w:p>
    <w:p w14:paraId="4F0D59F2">
      <w:pPr>
        <w:pStyle w:val="11"/>
        <w:spacing w:line="360" w:lineRule="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17、《云南省工业固体废物和重金属污染防治“十四五”规划》（云环发[2022]22号）</w:t>
      </w:r>
      <w:r>
        <w:rPr>
          <w:rFonts w:hint="default" w:ascii="Times New Roman" w:hAnsi="Times New Roman" w:cs="Times New Roman"/>
          <w:bCs/>
          <w:color w:val="auto"/>
          <w:sz w:val="24"/>
        </w:rPr>
        <w:t>；</w:t>
      </w:r>
    </w:p>
    <w:p w14:paraId="2C53EDEF">
      <w:pPr>
        <w:pStyle w:val="11"/>
        <w:spacing w:line="360" w:lineRule="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18、《云南省土壤、地下水污染防治“十四五”</w:t>
      </w:r>
      <w:r>
        <w:rPr>
          <w:rFonts w:hint="default" w:ascii="Times New Roman" w:hAnsi="Times New Roman" w:cs="Times New Roman"/>
          <w:color w:val="auto"/>
          <w:kern w:val="0"/>
          <w:sz w:val="24"/>
          <w:szCs w:val="24"/>
          <w:lang w:val="en-US" w:eastAsia="zh-CN"/>
        </w:rPr>
        <w:t>规划</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cs="Times New Roman"/>
          <w:bCs/>
          <w:color w:val="auto"/>
          <w:sz w:val="24"/>
        </w:rPr>
        <w:t>；</w:t>
      </w:r>
    </w:p>
    <w:p w14:paraId="01CD1D17">
      <w:pPr>
        <w:spacing w:line="360" w:lineRule="auto"/>
        <w:ind w:firstLine="480"/>
        <w:rPr>
          <w:rFonts w:hint="default" w:ascii="Times New Roman" w:hAnsi="Times New Roman" w:cs="Times New Roman" w:eastAsiaTheme="minorEastAsia"/>
          <w:color w:val="auto"/>
          <w:sz w:val="24"/>
          <w:szCs w:val="24"/>
          <w:lang w:val="en-US" w:eastAsia="zh-CN" w:bidi="zh-CN"/>
        </w:rPr>
      </w:pPr>
      <w:r>
        <w:rPr>
          <w:rFonts w:hint="default" w:ascii="Times New Roman" w:hAnsi="Times New Roman" w:cs="Times New Roman"/>
          <w:color w:val="auto"/>
          <w:kern w:val="0"/>
          <w:sz w:val="24"/>
          <w:szCs w:val="24"/>
          <w:lang w:val="en-US" w:eastAsia="zh-CN"/>
        </w:rPr>
        <w:t>19、《云南省生态环境保护条例》，2024年9月26日云南省第十四届人民代表大会常务委员会第十二次会议通过，自2024年11月1日起施行</w:t>
      </w:r>
      <w:r>
        <w:rPr>
          <w:rFonts w:hint="default" w:ascii="Times New Roman" w:hAnsi="Times New Roman" w:cs="Times New Roman" w:eastAsiaTheme="minorEastAsia"/>
          <w:color w:val="auto"/>
          <w:sz w:val="24"/>
          <w:szCs w:val="24"/>
          <w:lang w:eastAsia="zh-CN"/>
        </w:rPr>
        <w:t>；</w:t>
      </w:r>
    </w:p>
    <w:p w14:paraId="436A07F4">
      <w:pPr>
        <w:spacing w:line="360" w:lineRule="auto"/>
        <w:ind w:firstLine="480"/>
        <w:rPr>
          <w:rFonts w:hint="default" w:ascii="Times New Roman" w:hAnsi="Times New Roman" w:cs="Times New Roman" w:eastAsiaTheme="minorEastAsia"/>
          <w:color w:val="auto"/>
          <w:sz w:val="24"/>
          <w:szCs w:val="24"/>
          <w:lang w:val="en-US" w:bidi="zh-CN"/>
        </w:rPr>
      </w:pPr>
      <w:r>
        <w:rPr>
          <w:rFonts w:hint="default" w:ascii="Times New Roman" w:hAnsi="Times New Roman" w:cs="Times New Roman" w:eastAsiaTheme="minorEastAsia"/>
          <w:color w:val="auto"/>
          <w:sz w:val="24"/>
          <w:szCs w:val="24"/>
          <w:lang w:val="en-US" w:bidi="zh-CN"/>
        </w:rPr>
        <w:t>20、《云南省噪声污染防治三年行动实施方案》；</w:t>
      </w:r>
    </w:p>
    <w:p w14:paraId="24F8FB23">
      <w:pPr>
        <w:spacing w:line="360" w:lineRule="auto"/>
        <w:ind w:firstLine="480"/>
        <w:rPr>
          <w:rFonts w:hint="default" w:ascii="Times New Roman" w:hAnsi="Times New Roman" w:cs="Times New Roman" w:eastAsiaTheme="minorEastAsia"/>
          <w:color w:val="auto"/>
          <w:sz w:val="24"/>
          <w:szCs w:val="24"/>
          <w:lang w:bidi="zh-CN"/>
        </w:rPr>
      </w:pPr>
      <w:r>
        <w:rPr>
          <w:rFonts w:hint="default" w:ascii="Times New Roman" w:hAnsi="Times New Roman" w:cs="Times New Roman" w:eastAsiaTheme="minorEastAsia"/>
          <w:color w:val="auto"/>
          <w:sz w:val="24"/>
          <w:szCs w:val="24"/>
          <w:lang w:val="en-US" w:bidi="zh-CN"/>
        </w:rPr>
        <w:t>21</w:t>
      </w:r>
      <w:r>
        <w:rPr>
          <w:rFonts w:hint="default" w:ascii="Times New Roman" w:hAnsi="Times New Roman" w:cs="Times New Roman" w:eastAsiaTheme="minorEastAsia"/>
          <w:color w:val="auto"/>
          <w:sz w:val="24"/>
          <w:szCs w:val="24"/>
          <w:lang w:bidi="zh-CN"/>
        </w:rPr>
        <w:t>、《玉溪市矿产资源总体规划》（2021—2025年），2023年4月7日发布；</w:t>
      </w:r>
    </w:p>
    <w:p w14:paraId="5D472098">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val="en-US" w:bidi="zh-CN"/>
        </w:rPr>
        <w:t>22</w:t>
      </w:r>
      <w:r>
        <w:rPr>
          <w:rFonts w:hint="default" w:ascii="Times New Roman" w:hAnsi="Times New Roman" w:cs="Times New Roman" w:eastAsiaTheme="minorEastAsia"/>
          <w:sz w:val="24"/>
          <w:szCs w:val="24"/>
          <w:lang w:bidi="zh-CN"/>
        </w:rPr>
        <w:t>、</w:t>
      </w:r>
      <w:r>
        <w:rPr>
          <w:rFonts w:hint="default" w:ascii="Times New Roman" w:hAnsi="Times New Roman" w:cs="Times New Roman" w:eastAsiaTheme="minorEastAsia"/>
          <w:sz w:val="24"/>
          <w:szCs w:val="24"/>
          <w:lang w:val="en-US" w:eastAsia="zh-CN" w:bidi="zh-CN"/>
        </w:rPr>
        <w:t>玉溪市生态环境局《关于印发玉溪市生态环境分区管控动态更新调整方案（2023年）的通知》（玉市环〔2024〕40号），2024年6月7日</w:t>
      </w:r>
      <w:r>
        <w:rPr>
          <w:rFonts w:hint="default" w:ascii="Times New Roman" w:hAnsi="Times New Roman" w:cs="Times New Roman" w:eastAsiaTheme="minorEastAsia"/>
          <w:sz w:val="24"/>
          <w:szCs w:val="24"/>
          <w:lang w:bidi="zh-CN"/>
        </w:rPr>
        <w:t>；</w:t>
      </w:r>
    </w:p>
    <w:p w14:paraId="78056E2E">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val="en-US" w:bidi="zh-CN"/>
        </w:rPr>
        <w:t>23</w:t>
      </w:r>
      <w:r>
        <w:rPr>
          <w:rFonts w:hint="default" w:ascii="Times New Roman" w:hAnsi="Times New Roman" w:cs="Times New Roman" w:eastAsiaTheme="minorEastAsia"/>
          <w:sz w:val="24"/>
          <w:szCs w:val="24"/>
          <w:lang w:bidi="zh-CN"/>
        </w:rPr>
        <w:t>、《玉溪市“十四五”生态建设和环境保护规划（2021—2025年）》（2022年4月）。</w:t>
      </w:r>
    </w:p>
    <w:p w14:paraId="69D68019">
      <w:pPr>
        <w:pStyle w:val="6"/>
        <w:bidi w:val="0"/>
        <w:rPr>
          <w:rFonts w:hint="default" w:ascii="Times New Roman" w:hAnsi="Times New Roman" w:cs="Times New Roman"/>
        </w:rPr>
      </w:pPr>
      <w:bookmarkStart w:id="121" w:name="_Toc165816697"/>
      <w:bookmarkStart w:id="122" w:name="_Toc27098"/>
      <w:r>
        <w:rPr>
          <w:rFonts w:hint="default" w:ascii="Times New Roman" w:hAnsi="Times New Roman" w:cs="Times New Roman"/>
          <w:lang w:val="en-US" w:eastAsia="zh-CN"/>
        </w:rPr>
        <w:t>2</w:t>
      </w:r>
      <w:r>
        <w:rPr>
          <w:rFonts w:hint="default" w:ascii="Times New Roman" w:hAnsi="Times New Roman" w:cs="Times New Roman"/>
        </w:rPr>
        <w:t>.1.4评价技术导则及规范</w:t>
      </w:r>
      <w:bookmarkEnd w:id="121"/>
      <w:bookmarkEnd w:id="122"/>
    </w:p>
    <w:p w14:paraId="6DD9D727">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1、《建设项目环境影响评价技术导则 总纲》（HJ 2.1-2016）；</w:t>
      </w:r>
    </w:p>
    <w:p w14:paraId="70CC1D5C">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2、《环境影响评价技术导则 大气环境》（HJ 2.2-2018）；</w:t>
      </w:r>
    </w:p>
    <w:p w14:paraId="49234532">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3、《环境影响评价技术导则 地表水环境》（HJ 2.3-2018）；</w:t>
      </w:r>
    </w:p>
    <w:p w14:paraId="39CEE36F">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4、《环境影响评价技术导则 地下水环境》（HJ 610-2016）；</w:t>
      </w:r>
    </w:p>
    <w:p w14:paraId="754FB806">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5、《环境影响评价技术导则 声环境》（HJ 2.4-2021）；</w:t>
      </w:r>
    </w:p>
    <w:p w14:paraId="447F1C7A">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6、《环境影响评价技术导则 生态影响》（HJ 19-2022）；</w:t>
      </w:r>
    </w:p>
    <w:p w14:paraId="79A2C91D">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7、《建设项目环境风险评价技术导则》（HJ 169-2018）；</w:t>
      </w:r>
    </w:p>
    <w:p w14:paraId="0C926FCC">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8、《环境影响评价技术导则 土壤环境（试行）》（HJ 964-2018）；</w:t>
      </w:r>
    </w:p>
    <w:p w14:paraId="16722DFC">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9、《建设项目危险废物环境影响评价指南》（2017年8月29日）；</w:t>
      </w:r>
    </w:p>
    <w:p w14:paraId="4A2F765A">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10、《污染源源强核算技术指南 准则》（HJ 884-2018）；</w:t>
      </w:r>
    </w:p>
    <w:p w14:paraId="0C3C5002">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11、《排放源统计调查产排污核算方法和系数手册》（生态环境部公告2021年第24号，2021年6月9日）；</w:t>
      </w:r>
    </w:p>
    <w:p w14:paraId="45EB3277">
      <w:pPr>
        <w:spacing w:line="360" w:lineRule="auto"/>
        <w:ind w:firstLine="480"/>
        <w:rPr>
          <w:rFonts w:hint="default" w:ascii="Times New Roman" w:hAnsi="Times New Roman" w:cs="Times New Roman" w:eastAsiaTheme="minorEastAsia"/>
          <w:sz w:val="24"/>
          <w:szCs w:val="24"/>
          <w:lang w:bidi="zh-CN"/>
        </w:rPr>
      </w:pPr>
      <w:r>
        <w:rPr>
          <w:rFonts w:hint="default" w:ascii="Times New Roman" w:hAnsi="Times New Roman" w:cs="Times New Roman" w:eastAsiaTheme="minorEastAsia"/>
          <w:sz w:val="24"/>
          <w:szCs w:val="24"/>
          <w:lang w:bidi="zh-CN"/>
        </w:rPr>
        <w:t>12、《工业企业土壤和地下水自行监测 技术指南（试行）》（HJ 1209-2021）。</w:t>
      </w:r>
    </w:p>
    <w:p w14:paraId="5CE7B7DD">
      <w:pPr>
        <w:bidi w:val="0"/>
        <w:spacing w:line="360" w:lineRule="auto"/>
        <w:ind w:firstLine="480" w:firstLineChars="200"/>
        <w:rPr>
          <w:rFonts w:hint="default" w:ascii="Times New Roman" w:hAnsi="Times New Roman" w:cs="Times New Roman"/>
          <w:lang w:val="en-US" w:eastAsia="zh-CN"/>
        </w:rPr>
      </w:pPr>
      <w:bookmarkStart w:id="123" w:name="_Toc18608"/>
      <w:bookmarkStart w:id="124" w:name="_Toc165816698"/>
      <w:r>
        <w:rPr>
          <w:rFonts w:hint="default" w:ascii="Times New Roman" w:hAnsi="Times New Roman" w:cs="Times New Roman"/>
          <w:lang w:val="en-US" w:eastAsia="zh-CN"/>
        </w:rPr>
        <w:t>13、《排污单位环境管理台账及排污许可证执行报告执行技术规范 总则》（HJ944-2018）</w:t>
      </w:r>
    </w:p>
    <w:p w14:paraId="74878214">
      <w:pPr>
        <w:pStyle w:val="6"/>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.1.5项目相关文件</w:t>
      </w:r>
      <w:bookmarkEnd w:id="123"/>
      <w:bookmarkEnd w:id="124"/>
    </w:p>
    <w:p w14:paraId="178033B1">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（1）《云南省生态环境厅关于同意云南新平仙福矿冶有限公司鲁奎山铁矿35万吨/年开采项目环保备案的函》云环函</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2020</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362号；</w:t>
      </w:r>
    </w:p>
    <w:p w14:paraId="36C40AFE">
      <w:pPr>
        <w:spacing w:line="360" w:lineRule="auto"/>
        <w:ind w:firstLine="48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（2）《</w:t>
      </w:r>
      <w:r>
        <w:rPr>
          <w:rFonts w:hint="default" w:ascii="Times New Roman" w:hAnsi="Times New Roman" w:cs="Times New Roman" w:eastAsiaTheme="minorEastAsia"/>
          <w:sz w:val="24"/>
          <w:szCs w:val="24"/>
          <w:lang w:eastAsia="zh-CN"/>
        </w:rPr>
        <w:t>鲁奎山铁矿35万t/a开采项目环境影响现状评价报告</w:t>
      </w:r>
      <w:r>
        <w:rPr>
          <w:rFonts w:hint="default" w:ascii="Times New Roman" w:hAnsi="Times New Roman" w:cs="Times New Roman" w:eastAsiaTheme="minorEastAsia"/>
          <w:sz w:val="24"/>
          <w:szCs w:val="24"/>
        </w:rPr>
        <w:t>》</w:t>
      </w:r>
    </w:p>
    <w:p w14:paraId="118737FC">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《云南新平仙福矿冶有限公司鲁奎山铁矿铁矿35万t/a开采项目竣工环境保护验收意见》（</w:t>
      </w:r>
      <w:r>
        <w:rPr>
          <w:rFonts w:hint="default" w:ascii="Times New Roman" w:hAnsi="Times New Roman" w:cs="Times New Roman" w:eastAsiaTheme="minorEastAsia"/>
          <w:sz w:val="24"/>
          <w:szCs w:val="24"/>
          <w:lang w:val="en-US" w:eastAsia="zh-CN"/>
        </w:rPr>
        <w:t>2018年9月27日</w:t>
      </w:r>
      <w:r>
        <w:rPr>
          <w:rFonts w:hint="default" w:ascii="Times New Roman" w:hAnsi="Times New Roman" w:cs="Times New Roman" w:eastAsiaTheme="minorEastAsia"/>
          <w:sz w:val="24"/>
          <w:szCs w:val="24"/>
        </w:rPr>
        <w:t>）；</w:t>
      </w:r>
    </w:p>
    <w:p w14:paraId="6CBD9B61">
      <w:pPr>
        <w:spacing w:line="360" w:lineRule="auto"/>
        <w:ind w:firstLine="48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环境质量现状监测报告；</w:t>
      </w:r>
    </w:p>
    <w:p w14:paraId="5118D3DC">
      <w:pPr>
        <w:spacing w:line="360" w:lineRule="auto"/>
        <w:ind w:firstLine="48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rPr>
        <w:t>）建设单位提供的其它相关技术资料和基础数据</w:t>
      </w:r>
      <w:r>
        <w:rPr>
          <w:rFonts w:hint="default" w:ascii="Times New Roman" w:hAnsi="Times New Roman" w:cs="Times New Roman" w:eastAsiaTheme="minorEastAsia"/>
          <w:sz w:val="24"/>
          <w:szCs w:val="24"/>
          <w:lang w:eastAsia="zh-CN"/>
        </w:rPr>
        <w:t>；</w:t>
      </w:r>
    </w:p>
    <w:p w14:paraId="2929EB18">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6</w:t>
      </w:r>
      <w:r>
        <w:rPr>
          <w:rFonts w:hint="default" w:ascii="Times New Roman" w:hAnsi="Times New Roman" w:cs="Times New Roman" w:eastAsiaTheme="minorEastAsia"/>
          <w:sz w:val="24"/>
          <w:szCs w:val="24"/>
        </w:rPr>
        <w:t>）建设单位提供的项目公众参与调查表、公示信息、公众参与说明。</w:t>
      </w:r>
    </w:p>
    <w:p w14:paraId="59BAB4CC">
      <w:pPr>
        <w:pStyle w:val="5"/>
        <w:bidi w:val="0"/>
        <w:rPr>
          <w:rFonts w:hint="default" w:ascii="Times New Roman" w:hAnsi="Times New Roman" w:cs="Times New Roman"/>
        </w:rPr>
      </w:pPr>
      <w:bookmarkStart w:id="125" w:name="_Toc16499"/>
      <w:bookmarkStart w:id="126" w:name="_Toc23979"/>
      <w:bookmarkStart w:id="127" w:name="_Toc165816699"/>
      <w:bookmarkStart w:id="128" w:name="_Toc13732"/>
      <w:bookmarkStart w:id="129" w:name="_Toc25449"/>
      <w:bookmarkStart w:id="130" w:name="_Toc7579"/>
      <w:r>
        <w:rPr>
          <w:rFonts w:hint="default" w:ascii="Times New Roman" w:hAnsi="Times New Roman" w:cs="Times New Roman"/>
          <w:lang w:val="en-US" w:eastAsia="zh-CN"/>
        </w:rPr>
        <w:t>2</w:t>
      </w:r>
      <w:r>
        <w:rPr>
          <w:rFonts w:hint="default" w:ascii="Times New Roman" w:hAnsi="Times New Roman" w:cs="Times New Roman"/>
        </w:rPr>
        <w:t>.2评价的目的和原则</w:t>
      </w:r>
      <w:bookmarkEnd w:id="125"/>
      <w:bookmarkEnd w:id="126"/>
      <w:bookmarkEnd w:id="127"/>
      <w:bookmarkEnd w:id="128"/>
      <w:bookmarkEnd w:id="129"/>
      <w:bookmarkEnd w:id="130"/>
    </w:p>
    <w:p w14:paraId="11B1AB64">
      <w:pPr>
        <w:pStyle w:val="6"/>
        <w:bidi w:val="0"/>
        <w:rPr>
          <w:rFonts w:hint="default" w:ascii="Times New Roman" w:hAnsi="Times New Roman" w:cs="Times New Roman"/>
        </w:rPr>
      </w:pPr>
      <w:bookmarkStart w:id="131" w:name="_Toc165816700"/>
      <w:bookmarkStart w:id="132" w:name="_Toc21247"/>
      <w:r>
        <w:rPr>
          <w:rFonts w:hint="default" w:ascii="Times New Roman" w:hAnsi="Times New Roman" w:cs="Times New Roman"/>
          <w:lang w:val="en-US" w:eastAsia="zh-CN"/>
        </w:rPr>
        <w:t>2</w:t>
      </w:r>
      <w:r>
        <w:rPr>
          <w:rFonts w:hint="default" w:ascii="Times New Roman" w:hAnsi="Times New Roman" w:cs="Times New Roman"/>
        </w:rPr>
        <w:t>.2.1评价目的</w:t>
      </w:r>
      <w:bookmarkEnd w:id="131"/>
      <w:bookmarkEnd w:id="132"/>
    </w:p>
    <w:p w14:paraId="09270DF3">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通过现场调查、监测及分析调研资料，通过对项目污染源调查及工程分析，搞清楚该项目建成后废水、废气及固废等污染物的产生、排放情况，并预测分析项目建设后对环境的影响。查清项目周围的自然环境、社会经济、环境现状等情况，掌握其环境特征。</w:t>
      </w:r>
    </w:p>
    <w:p w14:paraId="7E5DD8FD">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（2）按照国家环保法及有关规定，以保护环境</w:t>
      </w:r>
      <w:r>
        <w:rPr>
          <w:rFonts w:hint="default" w:ascii="Times New Roman" w:hAnsi="Times New Roman" w:cs="Times New Roman" w:eastAsiaTheme="minorEastAsia"/>
          <w:color w:val="auto"/>
          <w:sz w:val="24"/>
          <w:szCs w:val="24"/>
        </w:rPr>
        <w:t>为目的和出发点，分析和评价项目存在的主要环境问题，提出</w:t>
      </w:r>
      <w:r>
        <w:rPr>
          <w:rFonts w:hint="default" w:ascii="Times New Roman" w:hAnsi="Times New Roman" w:cs="Times New Roman" w:eastAsiaTheme="minorEastAsia"/>
          <w:color w:val="auto"/>
          <w:sz w:val="24"/>
          <w:szCs w:val="24"/>
          <w:lang w:val="en-US" w:eastAsia="zh-CN"/>
        </w:rPr>
        <w:t>整改</w:t>
      </w:r>
      <w:r>
        <w:rPr>
          <w:rFonts w:hint="default" w:ascii="Times New Roman" w:hAnsi="Times New Roman" w:cs="Times New Roman" w:eastAsiaTheme="minorEastAsia"/>
          <w:color w:val="auto"/>
          <w:sz w:val="24"/>
          <w:szCs w:val="24"/>
        </w:rPr>
        <w:t>措施，实事求是地论述该项目环保措施的可行性。针对项目已建工程存在的环境问题，提出切实可行的污</w:t>
      </w:r>
      <w:r>
        <w:rPr>
          <w:rFonts w:hint="default" w:ascii="Times New Roman" w:hAnsi="Times New Roman" w:cs="Times New Roman" w:eastAsiaTheme="minorEastAsia"/>
          <w:sz w:val="24"/>
          <w:szCs w:val="24"/>
        </w:rPr>
        <w:t>染防治措施，在达标排放的前提下，制定污染物排放的总量控制指标。</w:t>
      </w:r>
    </w:p>
    <w:p w14:paraId="5ED62B34">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（3）从环境保护角度对本项目建设的可行性作出明确结论，为设计部门优化设计，为主管部门决策和环境管理提供依据。</w:t>
      </w:r>
    </w:p>
    <w:p w14:paraId="0A1CC28D">
      <w:pPr>
        <w:pStyle w:val="6"/>
        <w:bidi w:val="0"/>
        <w:rPr>
          <w:rFonts w:hint="default" w:ascii="Times New Roman" w:hAnsi="Times New Roman" w:cs="Times New Roman"/>
        </w:rPr>
      </w:pPr>
      <w:bookmarkStart w:id="133" w:name="_Toc21676"/>
      <w:bookmarkStart w:id="134" w:name="_Toc165816701"/>
      <w:r>
        <w:rPr>
          <w:rFonts w:hint="default" w:ascii="Times New Roman" w:hAnsi="Times New Roman" w:cs="Times New Roman"/>
          <w:lang w:val="en-US" w:eastAsia="zh-CN"/>
        </w:rPr>
        <w:t>2</w:t>
      </w:r>
      <w:r>
        <w:rPr>
          <w:rFonts w:hint="default" w:ascii="Times New Roman" w:hAnsi="Times New Roman" w:cs="Times New Roman"/>
        </w:rPr>
        <w:t>.2.2评价原则</w:t>
      </w:r>
      <w:bookmarkEnd w:id="133"/>
      <w:bookmarkEnd w:id="134"/>
    </w:p>
    <w:p w14:paraId="3F8B26B5">
      <w:pPr>
        <w:spacing w:line="360" w:lineRule="auto"/>
        <w:ind w:firstLine="480"/>
        <w:rPr>
          <w:rFonts w:hint="default" w:ascii="Times New Roman" w:hAnsi="Times New Roman" w:cs="Times New Roman" w:eastAsiaTheme="minorEastAsia"/>
          <w:sz w:val="24"/>
          <w:szCs w:val="24"/>
          <w:shd w:val="clear" w:color="auto" w:fill="FFFFFF"/>
        </w:rPr>
      </w:pPr>
      <w:r>
        <w:rPr>
          <w:rFonts w:hint="default" w:ascii="Times New Roman" w:hAnsi="Times New Roman" w:cs="Times New Roman" w:eastAsiaTheme="minorEastAsia"/>
          <w:sz w:val="24"/>
          <w:szCs w:val="24"/>
          <w:shd w:val="clear" w:color="auto" w:fill="FFFFFF"/>
        </w:rPr>
        <w:t>突出环境影响评价的源头预防作用，坚持保护和改善环境质量。</w:t>
      </w:r>
    </w:p>
    <w:p w14:paraId="5F898FA3">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shd w:val="clear" w:color="auto" w:fill="FFFFFF"/>
        </w:rPr>
        <w:t>依法评价</w:t>
      </w:r>
      <w:r>
        <w:rPr>
          <w:rFonts w:hint="default" w:ascii="Times New Roman" w:hAnsi="Times New Roman" w:cs="Times New Roman" w:eastAsiaTheme="minorEastAsia"/>
          <w:sz w:val="24"/>
          <w:szCs w:val="24"/>
        </w:rPr>
        <w:t>的原则：</w:t>
      </w:r>
      <w:r>
        <w:rPr>
          <w:rFonts w:hint="default" w:ascii="Times New Roman" w:hAnsi="Times New Roman" w:cs="Times New Roman" w:eastAsiaTheme="minorEastAsia"/>
          <w:sz w:val="24"/>
          <w:szCs w:val="24"/>
          <w:shd w:val="clear" w:color="auto" w:fill="FFFFFF"/>
        </w:rPr>
        <w:t>贯彻执行我国环境保护相关法律法规、标准、政策和规划等，优化项目建设，服务环境管理</w:t>
      </w:r>
      <w:r>
        <w:rPr>
          <w:rFonts w:hint="default" w:ascii="Times New Roman" w:hAnsi="Times New Roman" w:cs="Times New Roman" w:eastAsiaTheme="minorEastAsia"/>
          <w:sz w:val="24"/>
          <w:szCs w:val="24"/>
        </w:rPr>
        <w:t>；</w:t>
      </w:r>
    </w:p>
    <w:p w14:paraId="2B1E90E7">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w:t>
      </w:r>
      <w:r>
        <w:rPr>
          <w:rFonts w:hint="default" w:ascii="Times New Roman" w:hAnsi="Times New Roman" w:cs="Times New Roman" w:eastAsiaTheme="minorEastAsia"/>
          <w:sz w:val="24"/>
          <w:szCs w:val="24"/>
          <w:shd w:val="clear" w:color="auto" w:fill="FFFFFF"/>
        </w:rPr>
        <w:t>科学评价</w:t>
      </w:r>
      <w:r>
        <w:rPr>
          <w:rFonts w:hint="default" w:ascii="Times New Roman" w:hAnsi="Times New Roman" w:cs="Times New Roman" w:eastAsiaTheme="minorEastAsia"/>
          <w:sz w:val="24"/>
          <w:szCs w:val="24"/>
        </w:rPr>
        <w:t>的原则：</w:t>
      </w:r>
      <w:r>
        <w:rPr>
          <w:rFonts w:hint="default" w:ascii="Times New Roman" w:hAnsi="Times New Roman" w:cs="Times New Roman" w:eastAsiaTheme="minorEastAsia"/>
          <w:sz w:val="24"/>
          <w:szCs w:val="24"/>
          <w:shd w:val="clear" w:color="auto" w:fill="FFFFFF"/>
        </w:rPr>
        <w:t>规范环境影响评价方法，科学分析项目建设对环境质量的影响</w:t>
      </w:r>
      <w:r>
        <w:rPr>
          <w:rFonts w:hint="default" w:ascii="Times New Roman" w:hAnsi="Times New Roman" w:cs="Times New Roman" w:eastAsiaTheme="minorEastAsia"/>
          <w:sz w:val="24"/>
          <w:szCs w:val="24"/>
        </w:rPr>
        <w:t>；</w:t>
      </w:r>
    </w:p>
    <w:p w14:paraId="7212EA9B">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shd w:val="clear" w:color="auto" w:fill="FFFFFF"/>
        </w:rPr>
        <w:t>突出重点</w:t>
      </w:r>
      <w:r>
        <w:rPr>
          <w:rFonts w:hint="default" w:ascii="Times New Roman" w:hAnsi="Times New Roman" w:cs="Times New Roman" w:eastAsiaTheme="minorEastAsia"/>
          <w:sz w:val="24"/>
          <w:szCs w:val="24"/>
        </w:rPr>
        <w:t>的原则：</w:t>
      </w:r>
      <w:r>
        <w:rPr>
          <w:rFonts w:hint="default" w:ascii="Times New Roman" w:hAnsi="Times New Roman" w:cs="Times New Roman" w:eastAsiaTheme="minorEastAsia"/>
          <w:sz w:val="24"/>
          <w:szCs w:val="24"/>
          <w:shd w:val="clear" w:color="auto" w:fill="FFFFFF"/>
        </w:rPr>
        <w:t>根据建设项目的工程内容及其特点，明确与环境要素间的作用效应关系，根据规划环境影响评价结论和审查意见，充分利用符合时效的数据资料及成果，对建设项目主要环境影响予以重点分析和评价。</w:t>
      </w:r>
    </w:p>
    <w:p w14:paraId="25A9CB17">
      <w:pPr>
        <w:pStyle w:val="5"/>
        <w:bidi w:val="0"/>
        <w:rPr>
          <w:rFonts w:hint="default" w:ascii="Times New Roman" w:hAnsi="Times New Roman" w:cs="Times New Roman"/>
        </w:rPr>
      </w:pPr>
      <w:bookmarkStart w:id="135" w:name="_Toc165816702"/>
      <w:bookmarkStart w:id="136" w:name="_Toc28486"/>
      <w:bookmarkStart w:id="137" w:name="_Toc16462"/>
      <w:bookmarkStart w:id="138" w:name="_Toc15250"/>
      <w:bookmarkStart w:id="139" w:name="_Toc21171"/>
      <w:bookmarkStart w:id="140" w:name="_Toc10450"/>
      <w:r>
        <w:rPr>
          <w:rFonts w:hint="default" w:ascii="Times New Roman" w:hAnsi="Times New Roman" w:cs="Times New Roman"/>
          <w:lang w:val="en-US" w:eastAsia="zh-CN"/>
        </w:rPr>
        <w:t>2</w:t>
      </w:r>
      <w:r>
        <w:rPr>
          <w:rFonts w:hint="default" w:ascii="Times New Roman" w:hAnsi="Times New Roman" w:cs="Times New Roman"/>
        </w:rPr>
        <w:t>.3评价因子与评价重点</w:t>
      </w:r>
      <w:bookmarkEnd w:id="135"/>
      <w:bookmarkEnd w:id="136"/>
      <w:bookmarkEnd w:id="137"/>
      <w:bookmarkEnd w:id="138"/>
      <w:bookmarkEnd w:id="139"/>
      <w:bookmarkEnd w:id="140"/>
    </w:p>
    <w:p w14:paraId="4411AEBE">
      <w:pPr>
        <w:pStyle w:val="6"/>
        <w:bidi w:val="0"/>
        <w:rPr>
          <w:rFonts w:hint="default" w:ascii="Times New Roman" w:hAnsi="Times New Roman" w:cs="Times New Roman"/>
        </w:rPr>
      </w:pPr>
      <w:bookmarkStart w:id="141" w:name="_Toc19910"/>
      <w:bookmarkStart w:id="142" w:name="_Toc165816703"/>
      <w:r>
        <w:rPr>
          <w:rFonts w:hint="default" w:ascii="Times New Roman" w:hAnsi="Times New Roman" w:cs="Times New Roman"/>
          <w:lang w:val="en-US" w:eastAsia="zh-CN"/>
        </w:rPr>
        <w:t>2</w:t>
      </w:r>
      <w:r>
        <w:rPr>
          <w:rFonts w:hint="default" w:ascii="Times New Roman" w:hAnsi="Times New Roman" w:cs="Times New Roman"/>
        </w:rPr>
        <w:t>.3.1环境影响因素识别</w:t>
      </w:r>
      <w:bookmarkEnd w:id="141"/>
      <w:bookmarkEnd w:id="142"/>
    </w:p>
    <w:p w14:paraId="1257F98E">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根据项目工程分析和对周围环境的调查，环境影响发生在施工期和营运期，主要影响在营运期。本项目环境影响因子识别结果见表</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1.3-1。</w:t>
      </w:r>
    </w:p>
    <w:p w14:paraId="4FB90AE2">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.3-1  项目环境影响因素识别表</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744"/>
        <w:gridCol w:w="1232"/>
        <w:gridCol w:w="1034"/>
        <w:gridCol w:w="1132"/>
        <w:gridCol w:w="1132"/>
        <w:gridCol w:w="1201"/>
        <w:gridCol w:w="1240"/>
      </w:tblGrid>
      <w:tr w14:paraId="5E78BB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vMerge w:val="restart"/>
            <w:vAlign w:val="center"/>
          </w:tcPr>
          <w:p w14:paraId="4636B7E2">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工程影响</w:t>
            </w:r>
          </w:p>
        </w:tc>
        <w:tc>
          <w:tcPr>
            <w:tcW w:w="6809" w:type="dxa"/>
            <w:gridSpan w:val="6"/>
            <w:vAlign w:val="center"/>
          </w:tcPr>
          <w:p w14:paraId="77A4EC17">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环境因素</w:t>
            </w:r>
          </w:p>
        </w:tc>
      </w:tr>
      <w:tr w14:paraId="66B997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vMerge w:val="continue"/>
            <w:vAlign w:val="center"/>
          </w:tcPr>
          <w:p w14:paraId="3F5EC0F9">
            <w:pPr>
              <w:spacing w:line="240" w:lineRule="auto"/>
              <w:jc w:val="center"/>
              <w:rPr>
                <w:rFonts w:hint="default" w:ascii="Times New Roman" w:hAnsi="Times New Roman" w:cs="Times New Roman" w:eastAsiaTheme="minorEastAsia"/>
                <w:sz w:val="18"/>
                <w:szCs w:val="18"/>
              </w:rPr>
            </w:pPr>
          </w:p>
        </w:tc>
        <w:tc>
          <w:tcPr>
            <w:tcW w:w="1203" w:type="dxa"/>
            <w:vAlign w:val="center"/>
          </w:tcPr>
          <w:p w14:paraId="226C4C3F">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环境空气</w:t>
            </w:r>
          </w:p>
        </w:tc>
        <w:tc>
          <w:tcPr>
            <w:tcW w:w="1010" w:type="dxa"/>
            <w:vAlign w:val="center"/>
          </w:tcPr>
          <w:p w14:paraId="7C846B8F">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地表水</w:t>
            </w:r>
          </w:p>
        </w:tc>
        <w:tc>
          <w:tcPr>
            <w:tcW w:w="1106" w:type="dxa"/>
            <w:vAlign w:val="center"/>
          </w:tcPr>
          <w:p w14:paraId="5DCAFD7E">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地下水</w:t>
            </w:r>
          </w:p>
        </w:tc>
        <w:tc>
          <w:tcPr>
            <w:tcW w:w="1106" w:type="dxa"/>
            <w:vAlign w:val="center"/>
          </w:tcPr>
          <w:p w14:paraId="1A374A50">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声环境</w:t>
            </w:r>
          </w:p>
        </w:tc>
        <w:tc>
          <w:tcPr>
            <w:tcW w:w="1173" w:type="dxa"/>
            <w:vAlign w:val="center"/>
          </w:tcPr>
          <w:p w14:paraId="1A3A8B7A">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土壤环境</w:t>
            </w:r>
          </w:p>
        </w:tc>
        <w:tc>
          <w:tcPr>
            <w:tcW w:w="1211" w:type="dxa"/>
            <w:vAlign w:val="center"/>
          </w:tcPr>
          <w:p w14:paraId="195930BF">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生态环境</w:t>
            </w:r>
          </w:p>
        </w:tc>
      </w:tr>
      <w:tr w14:paraId="1C3366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vAlign w:val="center"/>
          </w:tcPr>
          <w:p w14:paraId="77D1F715">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施工期</w:t>
            </w:r>
          </w:p>
        </w:tc>
        <w:tc>
          <w:tcPr>
            <w:tcW w:w="1703" w:type="dxa"/>
            <w:vAlign w:val="center"/>
          </w:tcPr>
          <w:p w14:paraId="4A9F1CF5">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工程占地</w:t>
            </w:r>
          </w:p>
        </w:tc>
        <w:tc>
          <w:tcPr>
            <w:tcW w:w="1203" w:type="dxa"/>
            <w:vAlign w:val="center"/>
          </w:tcPr>
          <w:p w14:paraId="6819F5C1">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010" w:type="dxa"/>
            <w:vAlign w:val="center"/>
          </w:tcPr>
          <w:p w14:paraId="62135857">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77872D33">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2F0AB276">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73" w:type="dxa"/>
            <w:vAlign w:val="center"/>
          </w:tcPr>
          <w:p w14:paraId="41D5C335">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-L2</w:t>
            </w:r>
          </w:p>
        </w:tc>
        <w:tc>
          <w:tcPr>
            <w:tcW w:w="1211" w:type="dxa"/>
            <w:vAlign w:val="center"/>
          </w:tcPr>
          <w:p w14:paraId="4470C131">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-S2</w:t>
            </w:r>
          </w:p>
        </w:tc>
      </w:tr>
      <w:tr w14:paraId="713CFD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14:paraId="620BA4CA">
            <w:pPr>
              <w:spacing w:line="240" w:lineRule="auto"/>
              <w:jc w:val="center"/>
              <w:rPr>
                <w:rFonts w:hint="default" w:ascii="Times New Roman" w:hAnsi="Times New Roman" w:cs="Times New Roman" w:eastAsiaTheme="minorEastAsia"/>
                <w:sz w:val="18"/>
                <w:szCs w:val="18"/>
              </w:rPr>
            </w:pPr>
          </w:p>
        </w:tc>
        <w:tc>
          <w:tcPr>
            <w:tcW w:w="1703" w:type="dxa"/>
            <w:vAlign w:val="center"/>
          </w:tcPr>
          <w:p w14:paraId="314EA019">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材料运输、堆存</w:t>
            </w:r>
          </w:p>
        </w:tc>
        <w:tc>
          <w:tcPr>
            <w:tcW w:w="1203" w:type="dxa"/>
            <w:vAlign w:val="center"/>
          </w:tcPr>
          <w:p w14:paraId="40D8656D">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-S1</w:t>
            </w:r>
          </w:p>
        </w:tc>
        <w:tc>
          <w:tcPr>
            <w:tcW w:w="1010" w:type="dxa"/>
            <w:vAlign w:val="center"/>
          </w:tcPr>
          <w:p w14:paraId="5B71173A">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6A6C7A69">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13CDAF5F">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-S1</w:t>
            </w:r>
          </w:p>
        </w:tc>
        <w:tc>
          <w:tcPr>
            <w:tcW w:w="1173" w:type="dxa"/>
            <w:vAlign w:val="center"/>
          </w:tcPr>
          <w:p w14:paraId="7D2882B4">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-S1</w:t>
            </w:r>
          </w:p>
        </w:tc>
        <w:tc>
          <w:tcPr>
            <w:tcW w:w="1211" w:type="dxa"/>
            <w:vAlign w:val="center"/>
          </w:tcPr>
          <w:p w14:paraId="49699CC0">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r>
      <w:tr w14:paraId="7F30EB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14:paraId="22606C67">
            <w:pPr>
              <w:spacing w:line="240" w:lineRule="auto"/>
              <w:jc w:val="center"/>
              <w:rPr>
                <w:rFonts w:hint="default" w:ascii="Times New Roman" w:hAnsi="Times New Roman" w:cs="Times New Roman" w:eastAsiaTheme="minorEastAsia"/>
                <w:sz w:val="18"/>
                <w:szCs w:val="18"/>
              </w:rPr>
            </w:pPr>
          </w:p>
        </w:tc>
        <w:tc>
          <w:tcPr>
            <w:tcW w:w="1703" w:type="dxa"/>
            <w:vAlign w:val="center"/>
          </w:tcPr>
          <w:p w14:paraId="63693C0D">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建筑施工</w:t>
            </w:r>
          </w:p>
        </w:tc>
        <w:tc>
          <w:tcPr>
            <w:tcW w:w="1203" w:type="dxa"/>
            <w:vAlign w:val="center"/>
          </w:tcPr>
          <w:p w14:paraId="2B211837">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-S2</w:t>
            </w:r>
          </w:p>
        </w:tc>
        <w:tc>
          <w:tcPr>
            <w:tcW w:w="1010" w:type="dxa"/>
            <w:vAlign w:val="center"/>
          </w:tcPr>
          <w:p w14:paraId="73BFFA43">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469364B2">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23AE48E5">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-S2</w:t>
            </w:r>
          </w:p>
        </w:tc>
        <w:tc>
          <w:tcPr>
            <w:tcW w:w="1173" w:type="dxa"/>
            <w:vAlign w:val="center"/>
          </w:tcPr>
          <w:p w14:paraId="1E4E4527">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-S2</w:t>
            </w:r>
          </w:p>
        </w:tc>
        <w:tc>
          <w:tcPr>
            <w:tcW w:w="1211" w:type="dxa"/>
            <w:vAlign w:val="center"/>
          </w:tcPr>
          <w:p w14:paraId="02668572">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-S2</w:t>
            </w:r>
          </w:p>
        </w:tc>
      </w:tr>
      <w:tr w14:paraId="7C04C9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14:paraId="4B0DE61C">
            <w:pPr>
              <w:spacing w:line="240" w:lineRule="auto"/>
              <w:jc w:val="center"/>
              <w:rPr>
                <w:rFonts w:hint="default" w:ascii="Times New Roman" w:hAnsi="Times New Roman" w:cs="Times New Roman" w:eastAsiaTheme="minorEastAsia"/>
                <w:sz w:val="18"/>
                <w:szCs w:val="18"/>
              </w:rPr>
            </w:pPr>
          </w:p>
        </w:tc>
        <w:tc>
          <w:tcPr>
            <w:tcW w:w="1703" w:type="dxa"/>
            <w:vAlign w:val="center"/>
          </w:tcPr>
          <w:p w14:paraId="78D9FEE6">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扬尘</w:t>
            </w:r>
          </w:p>
        </w:tc>
        <w:tc>
          <w:tcPr>
            <w:tcW w:w="1203" w:type="dxa"/>
            <w:vAlign w:val="center"/>
          </w:tcPr>
          <w:p w14:paraId="028E085D">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-S1</w:t>
            </w:r>
          </w:p>
        </w:tc>
        <w:tc>
          <w:tcPr>
            <w:tcW w:w="1010" w:type="dxa"/>
            <w:vAlign w:val="center"/>
          </w:tcPr>
          <w:p w14:paraId="026C4CBB">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39461652">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09565462">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73" w:type="dxa"/>
            <w:vAlign w:val="center"/>
          </w:tcPr>
          <w:p w14:paraId="46B81BF5">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211" w:type="dxa"/>
            <w:vAlign w:val="center"/>
          </w:tcPr>
          <w:p w14:paraId="2AA63E89">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r>
      <w:tr w14:paraId="052428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14:paraId="5C5389F5">
            <w:pPr>
              <w:spacing w:line="240" w:lineRule="auto"/>
              <w:jc w:val="center"/>
              <w:rPr>
                <w:rFonts w:hint="default" w:ascii="Times New Roman" w:hAnsi="Times New Roman" w:cs="Times New Roman" w:eastAsiaTheme="minorEastAsia"/>
                <w:sz w:val="18"/>
                <w:szCs w:val="18"/>
              </w:rPr>
            </w:pPr>
          </w:p>
        </w:tc>
        <w:tc>
          <w:tcPr>
            <w:tcW w:w="1703" w:type="dxa"/>
            <w:vAlign w:val="center"/>
          </w:tcPr>
          <w:p w14:paraId="02785B4F">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废水</w:t>
            </w:r>
          </w:p>
        </w:tc>
        <w:tc>
          <w:tcPr>
            <w:tcW w:w="1203" w:type="dxa"/>
            <w:vAlign w:val="center"/>
          </w:tcPr>
          <w:p w14:paraId="76643D46">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010" w:type="dxa"/>
            <w:vAlign w:val="center"/>
          </w:tcPr>
          <w:p w14:paraId="5FE4F3C9">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-S1</w:t>
            </w:r>
          </w:p>
        </w:tc>
        <w:tc>
          <w:tcPr>
            <w:tcW w:w="1106" w:type="dxa"/>
            <w:vAlign w:val="center"/>
          </w:tcPr>
          <w:p w14:paraId="4A0FE913">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-S1</w:t>
            </w:r>
          </w:p>
        </w:tc>
        <w:tc>
          <w:tcPr>
            <w:tcW w:w="1106" w:type="dxa"/>
            <w:vAlign w:val="center"/>
          </w:tcPr>
          <w:p w14:paraId="74CA0F2B">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73" w:type="dxa"/>
            <w:vAlign w:val="center"/>
          </w:tcPr>
          <w:p w14:paraId="5A70E721">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211" w:type="dxa"/>
            <w:vAlign w:val="center"/>
          </w:tcPr>
          <w:p w14:paraId="31608566">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r>
      <w:tr w14:paraId="11291C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14:paraId="4504DCB1">
            <w:pPr>
              <w:spacing w:line="240" w:lineRule="auto"/>
              <w:jc w:val="center"/>
              <w:rPr>
                <w:rFonts w:hint="default" w:ascii="Times New Roman" w:hAnsi="Times New Roman" w:cs="Times New Roman" w:eastAsiaTheme="minorEastAsia"/>
                <w:sz w:val="18"/>
                <w:szCs w:val="18"/>
              </w:rPr>
            </w:pPr>
          </w:p>
        </w:tc>
        <w:tc>
          <w:tcPr>
            <w:tcW w:w="1703" w:type="dxa"/>
            <w:vAlign w:val="center"/>
          </w:tcPr>
          <w:p w14:paraId="67CC4F27">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噪声</w:t>
            </w:r>
          </w:p>
        </w:tc>
        <w:tc>
          <w:tcPr>
            <w:tcW w:w="1203" w:type="dxa"/>
            <w:vAlign w:val="center"/>
          </w:tcPr>
          <w:p w14:paraId="79458CD7">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010" w:type="dxa"/>
            <w:vAlign w:val="center"/>
          </w:tcPr>
          <w:p w14:paraId="462E7DCD">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7752BE5C">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5C494A41">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-S2</w:t>
            </w:r>
          </w:p>
        </w:tc>
        <w:tc>
          <w:tcPr>
            <w:tcW w:w="1173" w:type="dxa"/>
            <w:vAlign w:val="center"/>
          </w:tcPr>
          <w:p w14:paraId="38A5E3EE">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211" w:type="dxa"/>
            <w:vAlign w:val="center"/>
          </w:tcPr>
          <w:p w14:paraId="30998A9A">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r>
      <w:tr w14:paraId="0989B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14:paraId="7861B298">
            <w:pPr>
              <w:spacing w:line="240" w:lineRule="auto"/>
              <w:jc w:val="center"/>
              <w:rPr>
                <w:rFonts w:hint="default" w:ascii="Times New Roman" w:hAnsi="Times New Roman" w:cs="Times New Roman" w:eastAsiaTheme="minorEastAsia"/>
                <w:sz w:val="18"/>
                <w:szCs w:val="18"/>
              </w:rPr>
            </w:pPr>
          </w:p>
        </w:tc>
        <w:tc>
          <w:tcPr>
            <w:tcW w:w="1703" w:type="dxa"/>
            <w:vAlign w:val="center"/>
          </w:tcPr>
          <w:p w14:paraId="667B8B99">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固体废物</w:t>
            </w:r>
          </w:p>
        </w:tc>
        <w:tc>
          <w:tcPr>
            <w:tcW w:w="1203" w:type="dxa"/>
            <w:vAlign w:val="center"/>
          </w:tcPr>
          <w:p w14:paraId="502CF799">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010" w:type="dxa"/>
            <w:vAlign w:val="center"/>
          </w:tcPr>
          <w:p w14:paraId="7B634693">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10CEF152">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01B1AA93">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73" w:type="dxa"/>
            <w:vAlign w:val="center"/>
          </w:tcPr>
          <w:p w14:paraId="5C815E90">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-S1</w:t>
            </w:r>
          </w:p>
        </w:tc>
        <w:tc>
          <w:tcPr>
            <w:tcW w:w="1211" w:type="dxa"/>
            <w:vAlign w:val="center"/>
          </w:tcPr>
          <w:p w14:paraId="51F18395">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r>
      <w:tr w14:paraId="2DBC36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vAlign w:val="center"/>
          </w:tcPr>
          <w:p w14:paraId="4E4909C7">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运营期</w:t>
            </w:r>
          </w:p>
        </w:tc>
        <w:tc>
          <w:tcPr>
            <w:tcW w:w="1703" w:type="dxa"/>
            <w:vAlign w:val="center"/>
          </w:tcPr>
          <w:p w14:paraId="08957E59">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原料产品运输</w:t>
            </w:r>
          </w:p>
        </w:tc>
        <w:tc>
          <w:tcPr>
            <w:tcW w:w="1203" w:type="dxa"/>
            <w:vAlign w:val="center"/>
          </w:tcPr>
          <w:p w14:paraId="6CB97598">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-L1</w:t>
            </w:r>
          </w:p>
        </w:tc>
        <w:tc>
          <w:tcPr>
            <w:tcW w:w="1010" w:type="dxa"/>
            <w:vAlign w:val="center"/>
          </w:tcPr>
          <w:p w14:paraId="5216D6F5">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3247C3A0">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3FFC1492">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-L1</w:t>
            </w:r>
          </w:p>
        </w:tc>
        <w:tc>
          <w:tcPr>
            <w:tcW w:w="1173" w:type="dxa"/>
            <w:vAlign w:val="center"/>
          </w:tcPr>
          <w:p w14:paraId="7B9A0431">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211" w:type="dxa"/>
            <w:vAlign w:val="center"/>
          </w:tcPr>
          <w:p w14:paraId="55A3511F">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r>
      <w:tr w14:paraId="2FAA7D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14:paraId="31D35927">
            <w:pPr>
              <w:spacing w:line="240" w:lineRule="auto"/>
              <w:jc w:val="center"/>
              <w:rPr>
                <w:rFonts w:hint="default" w:ascii="Times New Roman" w:hAnsi="Times New Roman" w:cs="Times New Roman" w:eastAsiaTheme="minorEastAsia"/>
                <w:sz w:val="18"/>
                <w:szCs w:val="18"/>
              </w:rPr>
            </w:pPr>
          </w:p>
        </w:tc>
        <w:tc>
          <w:tcPr>
            <w:tcW w:w="1703" w:type="dxa"/>
            <w:vAlign w:val="center"/>
          </w:tcPr>
          <w:p w14:paraId="11602676">
            <w:pPr>
              <w:spacing w:line="240" w:lineRule="auto"/>
              <w:jc w:val="center"/>
              <w:rPr>
                <w:rFonts w:hint="default" w:ascii="Times New Roman" w:hAnsi="Times New Roman" w:cs="Times New Roman" w:eastAsiaTheme="minorEastAsia"/>
                <w:sz w:val="18"/>
                <w:szCs w:val="18"/>
                <w:lang w:eastAsia="zh-CN"/>
              </w:rPr>
            </w:pPr>
            <w:r>
              <w:rPr>
                <w:rFonts w:hint="default" w:ascii="Times New Roman" w:hAnsi="Times New Roman" w:cs="Times New Roman" w:eastAsiaTheme="minorEastAsia"/>
                <w:sz w:val="18"/>
                <w:szCs w:val="18"/>
              </w:rPr>
              <w:t>原料产品</w:t>
            </w:r>
            <w:r>
              <w:rPr>
                <w:rFonts w:hint="default" w:ascii="Times New Roman" w:hAnsi="Times New Roman" w:cs="Times New Roman" w:eastAsiaTheme="minorEastAsia"/>
                <w:sz w:val="18"/>
                <w:szCs w:val="18"/>
                <w:lang w:val="en-US" w:eastAsia="zh-CN"/>
              </w:rPr>
              <w:t>堆存</w:t>
            </w:r>
          </w:p>
        </w:tc>
        <w:tc>
          <w:tcPr>
            <w:tcW w:w="1203" w:type="dxa"/>
            <w:vAlign w:val="center"/>
          </w:tcPr>
          <w:p w14:paraId="022C97EF">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-L1</w:t>
            </w:r>
          </w:p>
        </w:tc>
        <w:tc>
          <w:tcPr>
            <w:tcW w:w="1010" w:type="dxa"/>
            <w:vAlign w:val="center"/>
          </w:tcPr>
          <w:p w14:paraId="67145A77">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4F348FAA">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-L1</w:t>
            </w:r>
          </w:p>
        </w:tc>
        <w:tc>
          <w:tcPr>
            <w:tcW w:w="1106" w:type="dxa"/>
            <w:vAlign w:val="center"/>
          </w:tcPr>
          <w:p w14:paraId="324069C5">
            <w:pPr>
              <w:spacing w:line="240" w:lineRule="auto"/>
              <w:jc w:val="center"/>
              <w:rPr>
                <w:rFonts w:hint="default" w:ascii="Times New Roman" w:hAnsi="Times New Roman" w:cs="Times New Roman" w:eastAsiaTheme="minorEastAsia"/>
                <w:sz w:val="18"/>
                <w:szCs w:val="18"/>
                <w:lang w:eastAsia="zh-CN"/>
              </w:rPr>
            </w:pPr>
            <w:r>
              <w:rPr>
                <w:rFonts w:hint="default" w:ascii="Times New Roman" w:hAnsi="Times New Roman" w:cs="Times New Roman" w:eastAsiaTheme="minorEastAsia"/>
                <w:sz w:val="18"/>
                <w:szCs w:val="18"/>
                <w:lang w:val="en-US" w:eastAsia="zh-CN"/>
              </w:rPr>
              <w:t>0</w:t>
            </w:r>
          </w:p>
        </w:tc>
        <w:tc>
          <w:tcPr>
            <w:tcW w:w="1173" w:type="dxa"/>
            <w:vAlign w:val="center"/>
          </w:tcPr>
          <w:p w14:paraId="002D75F2">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-L1</w:t>
            </w:r>
          </w:p>
        </w:tc>
        <w:tc>
          <w:tcPr>
            <w:tcW w:w="1211" w:type="dxa"/>
            <w:vAlign w:val="center"/>
          </w:tcPr>
          <w:p w14:paraId="027C1B07">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r>
      <w:tr w14:paraId="730A0D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14:paraId="07D15F16">
            <w:pPr>
              <w:spacing w:line="240" w:lineRule="auto"/>
              <w:jc w:val="center"/>
              <w:rPr>
                <w:rFonts w:hint="default" w:ascii="Times New Roman" w:hAnsi="Times New Roman" w:cs="Times New Roman" w:eastAsiaTheme="minorEastAsia"/>
                <w:sz w:val="18"/>
                <w:szCs w:val="18"/>
              </w:rPr>
            </w:pPr>
          </w:p>
        </w:tc>
        <w:tc>
          <w:tcPr>
            <w:tcW w:w="1703" w:type="dxa"/>
            <w:vAlign w:val="center"/>
          </w:tcPr>
          <w:p w14:paraId="72F98A04">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工艺过程</w:t>
            </w:r>
          </w:p>
        </w:tc>
        <w:tc>
          <w:tcPr>
            <w:tcW w:w="1203" w:type="dxa"/>
            <w:vAlign w:val="center"/>
          </w:tcPr>
          <w:p w14:paraId="7523C5BD">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-L2</w:t>
            </w:r>
          </w:p>
        </w:tc>
        <w:tc>
          <w:tcPr>
            <w:tcW w:w="1010" w:type="dxa"/>
            <w:vAlign w:val="center"/>
          </w:tcPr>
          <w:p w14:paraId="68E45915">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703A63DA">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-L1</w:t>
            </w:r>
          </w:p>
        </w:tc>
        <w:tc>
          <w:tcPr>
            <w:tcW w:w="1106" w:type="dxa"/>
            <w:vAlign w:val="center"/>
          </w:tcPr>
          <w:p w14:paraId="69550E4B">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-L2</w:t>
            </w:r>
          </w:p>
        </w:tc>
        <w:tc>
          <w:tcPr>
            <w:tcW w:w="1173" w:type="dxa"/>
            <w:vAlign w:val="center"/>
          </w:tcPr>
          <w:p w14:paraId="1414B111">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211" w:type="dxa"/>
            <w:vAlign w:val="center"/>
          </w:tcPr>
          <w:p w14:paraId="19C22649">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r>
      <w:tr w14:paraId="53DF6E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14:paraId="769D32F8">
            <w:pPr>
              <w:spacing w:line="240" w:lineRule="auto"/>
              <w:jc w:val="center"/>
              <w:rPr>
                <w:rFonts w:hint="default" w:ascii="Times New Roman" w:hAnsi="Times New Roman" w:cs="Times New Roman" w:eastAsiaTheme="minorEastAsia"/>
                <w:sz w:val="18"/>
                <w:szCs w:val="18"/>
              </w:rPr>
            </w:pPr>
          </w:p>
        </w:tc>
        <w:tc>
          <w:tcPr>
            <w:tcW w:w="1703" w:type="dxa"/>
            <w:vAlign w:val="center"/>
          </w:tcPr>
          <w:p w14:paraId="578E2DDC">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废气</w:t>
            </w:r>
          </w:p>
        </w:tc>
        <w:tc>
          <w:tcPr>
            <w:tcW w:w="1203" w:type="dxa"/>
            <w:vAlign w:val="center"/>
          </w:tcPr>
          <w:p w14:paraId="39DF3E5B">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-L2</w:t>
            </w:r>
          </w:p>
        </w:tc>
        <w:tc>
          <w:tcPr>
            <w:tcW w:w="1010" w:type="dxa"/>
            <w:vAlign w:val="center"/>
          </w:tcPr>
          <w:p w14:paraId="3AEC56D0">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7DB032A8">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5D933348">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73" w:type="dxa"/>
            <w:vAlign w:val="center"/>
          </w:tcPr>
          <w:p w14:paraId="57786375">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-L1</w:t>
            </w:r>
          </w:p>
        </w:tc>
        <w:tc>
          <w:tcPr>
            <w:tcW w:w="1211" w:type="dxa"/>
            <w:vAlign w:val="center"/>
          </w:tcPr>
          <w:p w14:paraId="2ACDBABF">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r>
      <w:tr w14:paraId="7BF851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14:paraId="694B0D9E">
            <w:pPr>
              <w:spacing w:line="240" w:lineRule="auto"/>
              <w:jc w:val="center"/>
              <w:rPr>
                <w:rFonts w:hint="default" w:ascii="Times New Roman" w:hAnsi="Times New Roman" w:cs="Times New Roman" w:eastAsiaTheme="minorEastAsia"/>
                <w:sz w:val="18"/>
                <w:szCs w:val="18"/>
              </w:rPr>
            </w:pPr>
          </w:p>
        </w:tc>
        <w:tc>
          <w:tcPr>
            <w:tcW w:w="1703" w:type="dxa"/>
            <w:vAlign w:val="center"/>
          </w:tcPr>
          <w:p w14:paraId="1D85E954">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废水</w:t>
            </w:r>
          </w:p>
        </w:tc>
        <w:tc>
          <w:tcPr>
            <w:tcW w:w="1203" w:type="dxa"/>
            <w:vAlign w:val="center"/>
          </w:tcPr>
          <w:p w14:paraId="00AFE07F">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-L1</w:t>
            </w:r>
          </w:p>
        </w:tc>
        <w:tc>
          <w:tcPr>
            <w:tcW w:w="1010" w:type="dxa"/>
            <w:vAlign w:val="center"/>
          </w:tcPr>
          <w:p w14:paraId="72482664">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-L1</w:t>
            </w:r>
          </w:p>
        </w:tc>
        <w:tc>
          <w:tcPr>
            <w:tcW w:w="1106" w:type="dxa"/>
            <w:vAlign w:val="center"/>
          </w:tcPr>
          <w:p w14:paraId="05D00914">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-L1</w:t>
            </w:r>
          </w:p>
        </w:tc>
        <w:tc>
          <w:tcPr>
            <w:tcW w:w="1106" w:type="dxa"/>
            <w:vAlign w:val="center"/>
          </w:tcPr>
          <w:p w14:paraId="1D79BDE2">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73" w:type="dxa"/>
            <w:vAlign w:val="center"/>
          </w:tcPr>
          <w:p w14:paraId="121C4596">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-L1</w:t>
            </w:r>
          </w:p>
        </w:tc>
        <w:tc>
          <w:tcPr>
            <w:tcW w:w="1211" w:type="dxa"/>
            <w:vAlign w:val="center"/>
          </w:tcPr>
          <w:p w14:paraId="187FC1A0">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-L1</w:t>
            </w:r>
          </w:p>
        </w:tc>
      </w:tr>
      <w:tr w14:paraId="5596E8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14:paraId="60177EC7">
            <w:pPr>
              <w:spacing w:line="240" w:lineRule="auto"/>
              <w:jc w:val="center"/>
              <w:rPr>
                <w:rFonts w:hint="default" w:ascii="Times New Roman" w:hAnsi="Times New Roman" w:cs="Times New Roman" w:eastAsiaTheme="minorEastAsia"/>
                <w:sz w:val="18"/>
                <w:szCs w:val="18"/>
              </w:rPr>
            </w:pPr>
          </w:p>
        </w:tc>
        <w:tc>
          <w:tcPr>
            <w:tcW w:w="1703" w:type="dxa"/>
            <w:vAlign w:val="center"/>
          </w:tcPr>
          <w:p w14:paraId="034432EA">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噪声</w:t>
            </w:r>
          </w:p>
        </w:tc>
        <w:tc>
          <w:tcPr>
            <w:tcW w:w="1203" w:type="dxa"/>
            <w:vAlign w:val="center"/>
          </w:tcPr>
          <w:p w14:paraId="6E5F6AAB">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010" w:type="dxa"/>
            <w:vAlign w:val="center"/>
          </w:tcPr>
          <w:p w14:paraId="05B444A4">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3D86FF03">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64EF2CCF">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-L2</w:t>
            </w:r>
          </w:p>
        </w:tc>
        <w:tc>
          <w:tcPr>
            <w:tcW w:w="1173" w:type="dxa"/>
            <w:vAlign w:val="center"/>
          </w:tcPr>
          <w:p w14:paraId="219DFAF7">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211" w:type="dxa"/>
            <w:vAlign w:val="center"/>
          </w:tcPr>
          <w:p w14:paraId="262A2021">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r>
      <w:tr w14:paraId="7D84C6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14:paraId="0E046510">
            <w:pPr>
              <w:spacing w:line="240" w:lineRule="auto"/>
              <w:jc w:val="center"/>
              <w:rPr>
                <w:rFonts w:hint="default" w:ascii="Times New Roman" w:hAnsi="Times New Roman" w:cs="Times New Roman" w:eastAsiaTheme="minorEastAsia"/>
                <w:sz w:val="18"/>
                <w:szCs w:val="18"/>
              </w:rPr>
            </w:pPr>
          </w:p>
        </w:tc>
        <w:tc>
          <w:tcPr>
            <w:tcW w:w="1703" w:type="dxa"/>
            <w:vAlign w:val="center"/>
          </w:tcPr>
          <w:p w14:paraId="587E8B5B">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固体废物</w:t>
            </w:r>
          </w:p>
        </w:tc>
        <w:tc>
          <w:tcPr>
            <w:tcW w:w="1203" w:type="dxa"/>
            <w:vAlign w:val="center"/>
          </w:tcPr>
          <w:p w14:paraId="2357FBAB">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010" w:type="dxa"/>
            <w:vAlign w:val="center"/>
          </w:tcPr>
          <w:p w14:paraId="28B6116B">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06" w:type="dxa"/>
            <w:vAlign w:val="center"/>
          </w:tcPr>
          <w:p w14:paraId="141DA37C">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-L1</w:t>
            </w:r>
          </w:p>
        </w:tc>
        <w:tc>
          <w:tcPr>
            <w:tcW w:w="1106" w:type="dxa"/>
            <w:vAlign w:val="center"/>
          </w:tcPr>
          <w:p w14:paraId="1382AB67">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73" w:type="dxa"/>
            <w:vAlign w:val="center"/>
          </w:tcPr>
          <w:p w14:paraId="17221FD4">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-L1</w:t>
            </w:r>
          </w:p>
        </w:tc>
        <w:tc>
          <w:tcPr>
            <w:tcW w:w="1211" w:type="dxa"/>
            <w:vAlign w:val="center"/>
          </w:tcPr>
          <w:p w14:paraId="7D8AEE79">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r>
      <w:tr w14:paraId="2E0BE4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14:paraId="5C5BBE33">
            <w:pPr>
              <w:spacing w:line="240" w:lineRule="auto"/>
              <w:jc w:val="center"/>
              <w:rPr>
                <w:rFonts w:hint="default" w:ascii="Times New Roman" w:hAnsi="Times New Roman" w:cs="Times New Roman" w:eastAsiaTheme="minorEastAsia"/>
                <w:sz w:val="18"/>
                <w:szCs w:val="18"/>
              </w:rPr>
            </w:pPr>
          </w:p>
        </w:tc>
        <w:tc>
          <w:tcPr>
            <w:tcW w:w="1703" w:type="dxa"/>
            <w:vAlign w:val="center"/>
          </w:tcPr>
          <w:p w14:paraId="402DCC2E">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事故风险</w:t>
            </w:r>
          </w:p>
        </w:tc>
        <w:tc>
          <w:tcPr>
            <w:tcW w:w="1203" w:type="dxa"/>
            <w:vAlign w:val="center"/>
          </w:tcPr>
          <w:p w14:paraId="23BFC462">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-S1</w:t>
            </w:r>
          </w:p>
        </w:tc>
        <w:tc>
          <w:tcPr>
            <w:tcW w:w="1010" w:type="dxa"/>
            <w:vAlign w:val="center"/>
          </w:tcPr>
          <w:p w14:paraId="36A7AFEF">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-S1</w:t>
            </w:r>
          </w:p>
        </w:tc>
        <w:tc>
          <w:tcPr>
            <w:tcW w:w="1106" w:type="dxa"/>
            <w:vAlign w:val="center"/>
          </w:tcPr>
          <w:p w14:paraId="58FC092A">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-L2</w:t>
            </w:r>
          </w:p>
        </w:tc>
        <w:tc>
          <w:tcPr>
            <w:tcW w:w="1106" w:type="dxa"/>
            <w:vAlign w:val="center"/>
          </w:tcPr>
          <w:p w14:paraId="73771552">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73" w:type="dxa"/>
            <w:vAlign w:val="center"/>
          </w:tcPr>
          <w:p w14:paraId="60C5F3D4">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-S2</w:t>
            </w:r>
          </w:p>
        </w:tc>
        <w:tc>
          <w:tcPr>
            <w:tcW w:w="1211" w:type="dxa"/>
            <w:vAlign w:val="center"/>
          </w:tcPr>
          <w:p w14:paraId="36ED04C6">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r>
      <w:tr w14:paraId="5F7D25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0" w:type="dxa"/>
            <w:gridSpan w:val="8"/>
            <w:vAlign w:val="center"/>
          </w:tcPr>
          <w:p w14:paraId="72D56D0D">
            <w:pPr>
              <w:adjustRightInd w:val="0"/>
              <w:snapToGri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注：（1）环境影响因素识别包括建设项目对各环境要素可能产生的污染影响与⽣态破坏，包括有利影响与不利影响、长期影响与短期影响等。</w:t>
            </w:r>
          </w:p>
          <w:p w14:paraId="7BD28CA7">
            <w:pPr>
              <w:adjustRightInd w:val="0"/>
              <w:snapToGri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（2）表中不利影响用“</w:t>
            </w:r>
            <w:r>
              <w:rPr>
                <w:rFonts w:hint="default" w:ascii="Times New Roman" w:hAnsi="Times New Roman" w:cs="Times New Roman" w:eastAsiaTheme="minorEastAsia"/>
                <w:sz w:val="18"/>
                <w:szCs w:val="18"/>
                <w:lang w:eastAsia="zh-CN"/>
              </w:rPr>
              <w:t>－</w:t>
            </w:r>
            <w:r>
              <w:rPr>
                <w:rFonts w:hint="default" w:ascii="Times New Roman" w:hAnsi="Times New Roman" w:cs="Times New Roman" w:eastAsiaTheme="minorEastAsia"/>
                <w:sz w:val="18"/>
                <w:szCs w:val="18"/>
              </w:rPr>
              <w:t>”表示，有利影响⽤“+”表示；短期影响用“S”表示，长期影响用“L”表示；无影响用“0”表示，轻影响用“1”表示，中等影响用“2”表示，较影响用“3”表示。</w:t>
            </w:r>
          </w:p>
        </w:tc>
      </w:tr>
    </w:tbl>
    <w:p w14:paraId="7279F7F0">
      <w:pPr>
        <w:pStyle w:val="6"/>
        <w:bidi w:val="0"/>
        <w:rPr>
          <w:rFonts w:hint="default" w:ascii="Times New Roman" w:hAnsi="Times New Roman" w:cs="Times New Roman"/>
        </w:rPr>
      </w:pPr>
      <w:bookmarkStart w:id="143" w:name="_Toc165816704"/>
      <w:bookmarkStart w:id="144" w:name="_Toc16339"/>
      <w:r>
        <w:rPr>
          <w:rFonts w:hint="default" w:ascii="Times New Roman" w:hAnsi="Times New Roman" w:cs="Times New Roman"/>
          <w:lang w:val="en-US" w:eastAsia="zh-CN"/>
        </w:rPr>
        <w:t>2</w:t>
      </w:r>
      <w:r>
        <w:rPr>
          <w:rFonts w:hint="default" w:ascii="Times New Roman" w:hAnsi="Times New Roman" w:cs="Times New Roman"/>
        </w:rPr>
        <w:t>.3.2评价因子筛选</w:t>
      </w:r>
      <w:bookmarkEnd w:id="143"/>
      <w:bookmarkEnd w:id="144"/>
    </w:p>
    <w:p w14:paraId="336537FB">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根据表</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.3-1项目环境影响因素识别表，评价区域内环境现状，项目所用的原辅材料、生产工艺流程以及污染特点，筛选出以下主要环境影响评价因子，见表</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.3-2。</w:t>
      </w:r>
    </w:p>
    <w:p w14:paraId="0CAE0062">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.3-2  现状评价因子和影响预测因子一览表</w:t>
      </w:r>
    </w:p>
    <w:tbl>
      <w:tblPr>
        <w:tblStyle w:val="2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4394"/>
        <w:gridCol w:w="3365"/>
      </w:tblGrid>
      <w:tr w14:paraId="0FAE47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2" w:type="pct"/>
            <w:tcBorders>
              <w:tl2br w:val="nil"/>
              <w:tr2bl w:val="nil"/>
            </w:tcBorders>
            <w:shd w:val="clear" w:color="auto" w:fill="auto"/>
            <w:vAlign w:val="center"/>
          </w:tcPr>
          <w:p w14:paraId="1C1D96B4">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评价项目</w:t>
            </w:r>
          </w:p>
        </w:tc>
        <w:tc>
          <w:tcPr>
            <w:tcW w:w="2366" w:type="pct"/>
            <w:tcBorders>
              <w:tl2br w:val="nil"/>
              <w:tr2bl w:val="nil"/>
            </w:tcBorders>
            <w:vAlign w:val="center"/>
          </w:tcPr>
          <w:p w14:paraId="3FA2DC90">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现状评价因子</w:t>
            </w:r>
          </w:p>
        </w:tc>
        <w:tc>
          <w:tcPr>
            <w:tcW w:w="1812" w:type="pct"/>
            <w:tcBorders>
              <w:tl2br w:val="nil"/>
              <w:tr2bl w:val="nil"/>
            </w:tcBorders>
            <w:shd w:val="clear" w:color="auto" w:fill="auto"/>
            <w:vAlign w:val="center"/>
          </w:tcPr>
          <w:p w14:paraId="338EED67">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影响评价因子</w:t>
            </w:r>
          </w:p>
        </w:tc>
      </w:tr>
      <w:tr w14:paraId="31356D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2" w:type="pct"/>
            <w:tcBorders>
              <w:tl2br w:val="nil"/>
              <w:tr2bl w:val="nil"/>
            </w:tcBorders>
            <w:shd w:val="clear" w:color="auto" w:fill="auto"/>
            <w:vAlign w:val="center"/>
          </w:tcPr>
          <w:p w14:paraId="030FBCFD">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环境空气</w:t>
            </w:r>
          </w:p>
        </w:tc>
        <w:tc>
          <w:tcPr>
            <w:tcW w:w="2366" w:type="pct"/>
            <w:tcBorders>
              <w:tl2br w:val="nil"/>
              <w:tr2bl w:val="nil"/>
            </w:tcBorders>
            <w:vAlign w:val="center"/>
          </w:tcPr>
          <w:p w14:paraId="62E31E30">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SO</w:t>
            </w:r>
            <w:r>
              <w:rPr>
                <w:rFonts w:hint="default" w:ascii="Times New Roman" w:hAnsi="Times New Roman" w:cs="Times New Roman" w:eastAsiaTheme="minorEastAsia"/>
                <w:sz w:val="18"/>
                <w:szCs w:val="18"/>
                <w:vertAlign w:val="subscript"/>
              </w:rPr>
              <w:t>2</w:t>
            </w:r>
            <w:r>
              <w:rPr>
                <w:rFonts w:hint="default" w:ascii="Times New Roman" w:hAnsi="Times New Roman" w:cs="Times New Roman" w:eastAsiaTheme="minorEastAsia"/>
                <w:sz w:val="18"/>
                <w:szCs w:val="18"/>
              </w:rPr>
              <w:t>、NO</w:t>
            </w:r>
            <w:r>
              <w:rPr>
                <w:rFonts w:hint="default" w:ascii="Times New Roman" w:hAnsi="Times New Roman" w:cs="Times New Roman" w:eastAsiaTheme="minorEastAsia"/>
                <w:sz w:val="18"/>
                <w:szCs w:val="18"/>
                <w:vertAlign w:val="subscript"/>
              </w:rPr>
              <w:t>2</w:t>
            </w:r>
            <w:r>
              <w:rPr>
                <w:rFonts w:hint="default" w:ascii="Times New Roman" w:hAnsi="Times New Roman" w:cs="Times New Roman" w:eastAsiaTheme="minorEastAsia"/>
                <w:sz w:val="18"/>
                <w:szCs w:val="18"/>
              </w:rPr>
              <w:t>、PM</w:t>
            </w:r>
            <w:r>
              <w:rPr>
                <w:rFonts w:hint="default" w:ascii="Times New Roman" w:hAnsi="Times New Roman" w:cs="Times New Roman" w:eastAsiaTheme="minorEastAsia"/>
                <w:sz w:val="18"/>
                <w:szCs w:val="18"/>
                <w:vertAlign w:val="subscript"/>
              </w:rPr>
              <w:t>10</w:t>
            </w:r>
            <w:r>
              <w:rPr>
                <w:rFonts w:hint="default" w:ascii="Times New Roman" w:hAnsi="Times New Roman" w:cs="Times New Roman" w:eastAsiaTheme="minorEastAsia"/>
                <w:sz w:val="18"/>
                <w:szCs w:val="18"/>
              </w:rPr>
              <w:t>、PM</w:t>
            </w:r>
            <w:r>
              <w:rPr>
                <w:rFonts w:hint="default" w:ascii="Times New Roman" w:hAnsi="Times New Roman" w:cs="Times New Roman" w:eastAsiaTheme="minorEastAsia"/>
                <w:sz w:val="18"/>
                <w:szCs w:val="18"/>
                <w:vertAlign w:val="subscript"/>
              </w:rPr>
              <w:t>2.5</w:t>
            </w:r>
            <w:r>
              <w:rPr>
                <w:rFonts w:hint="default" w:ascii="Times New Roman" w:hAnsi="Times New Roman" w:cs="Times New Roman" w:eastAsiaTheme="minorEastAsia"/>
                <w:sz w:val="18"/>
                <w:szCs w:val="18"/>
              </w:rPr>
              <w:t>、CO、O</w:t>
            </w:r>
            <w:r>
              <w:rPr>
                <w:rFonts w:hint="default" w:ascii="Times New Roman" w:hAnsi="Times New Roman" w:cs="Times New Roman" w:eastAsiaTheme="minorEastAsia"/>
                <w:sz w:val="18"/>
                <w:szCs w:val="18"/>
                <w:vertAlign w:val="subscript"/>
              </w:rPr>
              <w:t>3</w:t>
            </w:r>
            <w:r>
              <w:rPr>
                <w:rFonts w:hint="default" w:ascii="Times New Roman" w:hAnsi="Times New Roman" w:cs="Times New Roman" w:eastAsiaTheme="minorEastAsia"/>
                <w:sz w:val="18"/>
                <w:szCs w:val="18"/>
              </w:rPr>
              <w:t>、TSP</w:t>
            </w:r>
          </w:p>
        </w:tc>
        <w:tc>
          <w:tcPr>
            <w:tcW w:w="1812" w:type="pct"/>
            <w:tcBorders>
              <w:tl2br w:val="nil"/>
              <w:tr2bl w:val="nil"/>
            </w:tcBorders>
            <w:shd w:val="clear" w:color="auto" w:fill="auto"/>
            <w:vAlign w:val="center"/>
          </w:tcPr>
          <w:p w14:paraId="73633742">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颗粒物（PM</w:t>
            </w:r>
            <w:r>
              <w:rPr>
                <w:rFonts w:hint="default" w:ascii="Times New Roman" w:hAnsi="Times New Roman" w:cs="Times New Roman" w:eastAsiaTheme="minorEastAsia"/>
                <w:sz w:val="18"/>
                <w:szCs w:val="18"/>
                <w:vertAlign w:val="subscript"/>
              </w:rPr>
              <w:t>10</w:t>
            </w:r>
            <w:r>
              <w:rPr>
                <w:rFonts w:hint="default" w:ascii="Times New Roman" w:hAnsi="Times New Roman" w:cs="Times New Roman" w:eastAsiaTheme="minorEastAsia"/>
                <w:sz w:val="18"/>
                <w:szCs w:val="18"/>
              </w:rPr>
              <w:t>、PM</w:t>
            </w:r>
            <w:r>
              <w:rPr>
                <w:rFonts w:hint="default" w:ascii="Times New Roman" w:hAnsi="Times New Roman" w:cs="Times New Roman" w:eastAsiaTheme="minorEastAsia"/>
                <w:sz w:val="18"/>
                <w:szCs w:val="18"/>
                <w:vertAlign w:val="subscript"/>
              </w:rPr>
              <w:t>2.5</w:t>
            </w:r>
            <w:r>
              <w:rPr>
                <w:rFonts w:hint="default" w:ascii="Times New Roman" w:hAnsi="Times New Roman" w:cs="Times New Roman" w:eastAsiaTheme="minorEastAsia"/>
                <w:sz w:val="18"/>
                <w:szCs w:val="18"/>
              </w:rPr>
              <w:t>、TSP）</w:t>
            </w:r>
          </w:p>
        </w:tc>
      </w:tr>
      <w:tr w14:paraId="09386C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2" w:type="pct"/>
            <w:tcBorders>
              <w:tl2br w:val="nil"/>
              <w:tr2bl w:val="nil"/>
            </w:tcBorders>
            <w:shd w:val="clear" w:color="auto" w:fill="auto"/>
            <w:vAlign w:val="center"/>
          </w:tcPr>
          <w:p w14:paraId="3463BC79">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地表水</w:t>
            </w:r>
          </w:p>
        </w:tc>
        <w:tc>
          <w:tcPr>
            <w:tcW w:w="2366" w:type="pct"/>
            <w:tcBorders>
              <w:tl2br w:val="nil"/>
              <w:tr2bl w:val="nil"/>
            </w:tcBorders>
            <w:vAlign w:val="center"/>
          </w:tcPr>
          <w:p w14:paraId="065B569D">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pH、</w:t>
            </w:r>
            <w:r>
              <w:rPr>
                <w:rFonts w:hint="default" w:ascii="Times New Roman" w:hAnsi="Times New Roman" w:eastAsia="宋体" w:cs="Times New Roman"/>
                <w:color w:val="auto"/>
                <w:kern w:val="2"/>
                <w:sz w:val="18"/>
                <w:szCs w:val="18"/>
                <w:lang w:val="en-US" w:eastAsia="zh-CN"/>
              </w:rPr>
              <w:t>DO</w:t>
            </w:r>
            <w:r>
              <w:rPr>
                <w:rFonts w:hint="default" w:ascii="Times New Roman" w:hAnsi="Times New Roman" w:cs="Times New Roman"/>
                <w:color w:val="auto"/>
                <w:kern w:val="2"/>
                <w:sz w:val="18"/>
                <w:szCs w:val="18"/>
                <w:lang w:val="en-US" w:eastAsia="zh-CN"/>
              </w:rPr>
              <w:t>、</w:t>
            </w:r>
            <w:r>
              <w:rPr>
                <w:rFonts w:hint="default" w:ascii="Times New Roman" w:hAnsi="Times New Roman" w:cs="Times New Roman" w:eastAsiaTheme="minorEastAsia"/>
                <w:sz w:val="18"/>
                <w:szCs w:val="18"/>
              </w:rPr>
              <w:t>COD</w:t>
            </w:r>
            <w:r>
              <w:rPr>
                <w:rFonts w:hint="default" w:ascii="Times New Roman" w:hAnsi="Times New Roman" w:cs="Times New Roman" w:eastAsiaTheme="minorEastAsia"/>
                <w:sz w:val="18"/>
                <w:szCs w:val="18"/>
                <w:vertAlign w:val="subscript"/>
              </w:rPr>
              <w:t>Cr</w:t>
            </w:r>
            <w:r>
              <w:rPr>
                <w:rFonts w:hint="default" w:ascii="Times New Roman" w:hAnsi="Times New Roman" w:cs="Times New Roman" w:eastAsiaTheme="minorEastAsia"/>
                <w:sz w:val="18"/>
                <w:szCs w:val="18"/>
              </w:rPr>
              <w:t>、BOD</w:t>
            </w:r>
            <w:r>
              <w:rPr>
                <w:rFonts w:hint="default" w:ascii="Times New Roman" w:hAnsi="Times New Roman" w:cs="Times New Roman" w:eastAsiaTheme="minorEastAsia"/>
                <w:sz w:val="18"/>
                <w:szCs w:val="18"/>
                <w:vertAlign w:val="subscript"/>
              </w:rPr>
              <w:t>5</w:t>
            </w:r>
            <w:r>
              <w:rPr>
                <w:rFonts w:hint="default" w:ascii="Times New Roman" w:hAnsi="Times New Roman" w:cs="Times New Roman" w:eastAsiaTheme="minorEastAsia"/>
                <w:sz w:val="18"/>
                <w:szCs w:val="18"/>
              </w:rPr>
              <w:t>、氨氮、</w:t>
            </w:r>
            <w:r>
              <w:rPr>
                <w:rFonts w:hint="default" w:ascii="Times New Roman" w:hAnsi="Times New Roman" w:cs="Times New Roman" w:eastAsiaTheme="minorEastAsia"/>
                <w:sz w:val="18"/>
                <w:szCs w:val="18"/>
                <w:lang w:val="en-US" w:eastAsia="zh-CN"/>
              </w:rPr>
              <w:t>总磷</w:t>
            </w:r>
            <w:r>
              <w:rPr>
                <w:rFonts w:hint="default" w:ascii="Times New Roman" w:hAnsi="Times New Roman" w:cs="Times New Roman" w:eastAsiaTheme="minorEastAsia"/>
                <w:sz w:val="18"/>
                <w:szCs w:val="18"/>
              </w:rPr>
              <w:t>、石油类、</w:t>
            </w:r>
            <w:r>
              <w:rPr>
                <w:rFonts w:hint="default" w:ascii="Times New Roman" w:hAnsi="Times New Roman" w:eastAsia="宋体" w:cs="Times New Roman"/>
                <w:color w:val="auto"/>
                <w:kern w:val="2"/>
                <w:sz w:val="18"/>
                <w:szCs w:val="18"/>
                <w:lang w:val="en-US" w:eastAsia="zh-CN"/>
              </w:rPr>
              <w:t>铜</w:t>
            </w:r>
            <w:r>
              <w:rPr>
                <w:rFonts w:hint="default" w:ascii="Times New Roman" w:hAnsi="Times New Roman" w:cs="Times New Roman"/>
                <w:color w:val="auto"/>
                <w:kern w:val="2"/>
                <w:sz w:val="18"/>
                <w:szCs w:val="18"/>
                <w:lang w:val="en-US" w:eastAsia="zh-CN"/>
              </w:rPr>
              <w:t>、</w:t>
            </w:r>
            <w:r>
              <w:rPr>
                <w:rFonts w:hint="default" w:ascii="Times New Roman" w:hAnsi="Times New Roman" w:eastAsia="宋体" w:cs="Times New Roman"/>
                <w:color w:val="auto"/>
                <w:kern w:val="2"/>
                <w:sz w:val="18"/>
                <w:szCs w:val="18"/>
                <w:lang w:val="en-US" w:eastAsia="zh-CN"/>
              </w:rPr>
              <w:t>锌</w:t>
            </w:r>
            <w:r>
              <w:rPr>
                <w:rFonts w:hint="default" w:ascii="Times New Roman" w:hAnsi="Times New Roman" w:cs="Times New Roman"/>
                <w:color w:val="auto"/>
                <w:kern w:val="2"/>
                <w:sz w:val="18"/>
                <w:szCs w:val="18"/>
                <w:lang w:val="en-US" w:eastAsia="zh-CN"/>
              </w:rPr>
              <w:t>、</w:t>
            </w:r>
            <w:r>
              <w:rPr>
                <w:rFonts w:hint="default" w:ascii="Times New Roman" w:hAnsi="Times New Roman" w:eastAsia="宋体" w:cs="Times New Roman"/>
                <w:color w:val="auto"/>
                <w:kern w:val="2"/>
                <w:sz w:val="18"/>
                <w:szCs w:val="18"/>
                <w:lang w:val="en-US" w:eastAsia="zh-CN"/>
              </w:rPr>
              <w:t>氟化物</w:t>
            </w:r>
            <w:r>
              <w:rPr>
                <w:rFonts w:hint="default" w:ascii="Times New Roman" w:hAnsi="Times New Roman" w:cs="Times New Roman"/>
                <w:color w:val="auto"/>
                <w:kern w:val="2"/>
                <w:sz w:val="18"/>
                <w:szCs w:val="18"/>
                <w:lang w:val="en-US" w:eastAsia="zh-CN"/>
              </w:rPr>
              <w:t>、</w:t>
            </w:r>
            <w:r>
              <w:rPr>
                <w:rFonts w:hint="default" w:ascii="Times New Roman" w:hAnsi="Times New Roman" w:eastAsia="宋体" w:cs="Times New Roman"/>
                <w:color w:val="auto"/>
                <w:kern w:val="2"/>
                <w:sz w:val="18"/>
                <w:szCs w:val="18"/>
                <w:lang w:val="en-US" w:eastAsia="zh-CN"/>
              </w:rPr>
              <w:t>镉</w:t>
            </w:r>
            <w:r>
              <w:rPr>
                <w:rFonts w:hint="default" w:ascii="Times New Roman" w:hAnsi="Times New Roman" w:cs="Times New Roman"/>
                <w:color w:val="auto"/>
                <w:kern w:val="2"/>
                <w:sz w:val="18"/>
                <w:szCs w:val="18"/>
                <w:lang w:val="en-US" w:eastAsia="zh-CN"/>
              </w:rPr>
              <w:t>、</w:t>
            </w:r>
            <w:r>
              <w:rPr>
                <w:rFonts w:hint="default" w:ascii="Times New Roman" w:hAnsi="Times New Roman" w:eastAsia="宋体" w:cs="Times New Roman"/>
                <w:color w:val="auto"/>
                <w:kern w:val="2"/>
                <w:sz w:val="18"/>
                <w:szCs w:val="18"/>
                <w:lang w:val="en-US" w:eastAsia="zh-CN"/>
              </w:rPr>
              <w:t>六价铬</w:t>
            </w:r>
            <w:r>
              <w:rPr>
                <w:rFonts w:hint="default" w:ascii="Times New Roman" w:hAnsi="Times New Roman" w:cs="Times New Roman"/>
                <w:color w:val="auto"/>
                <w:kern w:val="2"/>
                <w:sz w:val="18"/>
                <w:szCs w:val="18"/>
                <w:lang w:val="en-US" w:eastAsia="zh-CN"/>
              </w:rPr>
              <w:t>、</w:t>
            </w:r>
            <w:r>
              <w:rPr>
                <w:rFonts w:hint="default" w:ascii="Times New Roman" w:hAnsi="Times New Roman" w:eastAsia="宋体" w:cs="Times New Roman"/>
                <w:color w:val="auto"/>
                <w:kern w:val="2"/>
                <w:sz w:val="18"/>
                <w:szCs w:val="18"/>
                <w:lang w:val="en-US" w:eastAsia="zh-CN"/>
              </w:rPr>
              <w:t>铅</w:t>
            </w:r>
            <w:r>
              <w:rPr>
                <w:rFonts w:hint="default" w:ascii="Times New Roman" w:hAnsi="Times New Roman" w:cs="Times New Roman" w:eastAsiaTheme="minorEastAsia"/>
                <w:sz w:val="18"/>
                <w:szCs w:val="18"/>
                <w:lang w:eastAsia="zh-CN"/>
              </w:rPr>
              <w:t>、</w:t>
            </w:r>
            <w:r>
              <w:rPr>
                <w:rFonts w:hint="default" w:ascii="Times New Roman" w:hAnsi="Times New Roman" w:eastAsia="宋体" w:cs="Times New Roman"/>
                <w:color w:val="auto"/>
                <w:kern w:val="2"/>
                <w:sz w:val="18"/>
                <w:szCs w:val="18"/>
                <w:lang w:val="en-US" w:eastAsia="zh-CN"/>
              </w:rPr>
              <w:t>氰化物</w:t>
            </w:r>
            <w:r>
              <w:rPr>
                <w:rFonts w:hint="default" w:ascii="Times New Roman" w:hAnsi="Times New Roman" w:cs="Times New Roman"/>
                <w:color w:val="auto"/>
                <w:kern w:val="2"/>
                <w:sz w:val="18"/>
                <w:szCs w:val="18"/>
                <w:lang w:val="en-US" w:eastAsia="zh-CN"/>
              </w:rPr>
              <w:t>、</w:t>
            </w:r>
            <w:r>
              <w:rPr>
                <w:rFonts w:hint="default" w:ascii="Times New Roman" w:hAnsi="Times New Roman" w:eastAsia="宋体" w:cs="Times New Roman"/>
                <w:color w:val="auto"/>
                <w:kern w:val="2"/>
                <w:sz w:val="18"/>
                <w:szCs w:val="18"/>
                <w:lang w:val="en-US" w:eastAsia="zh-CN"/>
              </w:rPr>
              <w:t>挥发酚</w:t>
            </w:r>
            <w:r>
              <w:rPr>
                <w:rFonts w:hint="default" w:ascii="Times New Roman" w:hAnsi="Times New Roman" w:cs="Times New Roman"/>
                <w:color w:val="auto"/>
                <w:kern w:val="2"/>
                <w:sz w:val="18"/>
                <w:szCs w:val="18"/>
                <w:lang w:val="en-US" w:eastAsia="zh-CN"/>
              </w:rPr>
              <w:t>、</w:t>
            </w:r>
            <w:r>
              <w:rPr>
                <w:rFonts w:hint="default" w:ascii="Times New Roman" w:hAnsi="Times New Roman" w:eastAsia="宋体" w:cs="Times New Roman"/>
                <w:color w:val="auto"/>
                <w:kern w:val="2"/>
                <w:sz w:val="18"/>
                <w:szCs w:val="18"/>
                <w:lang w:val="en-US" w:eastAsia="zh-CN"/>
              </w:rPr>
              <w:t>阴离子表面活性剂</w:t>
            </w:r>
            <w:r>
              <w:rPr>
                <w:rFonts w:hint="default" w:ascii="Times New Roman" w:hAnsi="Times New Roman" w:cs="Times New Roman"/>
                <w:color w:val="auto"/>
                <w:kern w:val="2"/>
                <w:sz w:val="18"/>
                <w:szCs w:val="18"/>
                <w:lang w:val="en-US" w:eastAsia="zh-CN"/>
              </w:rPr>
              <w:t>、</w:t>
            </w:r>
            <w:r>
              <w:rPr>
                <w:rFonts w:hint="default" w:ascii="Times New Roman" w:hAnsi="Times New Roman" w:eastAsia="宋体" w:cs="Times New Roman"/>
                <w:color w:val="auto"/>
                <w:kern w:val="2"/>
                <w:sz w:val="18"/>
                <w:szCs w:val="18"/>
                <w:lang w:val="en-US" w:eastAsia="zh-CN"/>
              </w:rPr>
              <w:t>硫化物</w:t>
            </w:r>
          </w:p>
        </w:tc>
        <w:tc>
          <w:tcPr>
            <w:tcW w:w="1812" w:type="pct"/>
            <w:tcBorders>
              <w:tl2br w:val="nil"/>
              <w:tr2bl w:val="nil"/>
            </w:tcBorders>
            <w:shd w:val="clear" w:color="auto" w:fill="auto"/>
            <w:vAlign w:val="center"/>
          </w:tcPr>
          <w:p w14:paraId="5999F34E">
            <w:pPr>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color w:val="000000" w:themeColor="text1"/>
                <w:sz w:val="18"/>
                <w:szCs w:val="18"/>
                <w14:textFill>
                  <w14:solidFill>
                    <w14:schemeClr w14:val="tx1"/>
                  </w14:solidFill>
                </w14:textFill>
              </w:rPr>
              <w:t>生活污水经</w:t>
            </w: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矿山</w:t>
            </w:r>
            <w:r>
              <w:rPr>
                <w:rFonts w:hint="default" w:ascii="Times New Roman" w:hAnsi="Times New Roman" w:cs="Times New Roman" w:eastAsiaTheme="minorEastAsia"/>
                <w:color w:val="000000" w:themeColor="text1"/>
                <w:sz w:val="18"/>
                <w:szCs w:val="18"/>
                <w14:textFill>
                  <w14:solidFill>
                    <w14:schemeClr w14:val="tx1"/>
                  </w14:solidFill>
                </w14:textFill>
              </w:rPr>
              <w:t>一体化污水处理设备处理后用于绿化，生活废水</w:t>
            </w: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依托及</w:t>
            </w:r>
            <w:r>
              <w:rPr>
                <w:rFonts w:hint="default" w:ascii="Times New Roman" w:hAnsi="Times New Roman" w:cs="Times New Roman" w:eastAsiaTheme="minorEastAsia"/>
                <w:color w:val="000000" w:themeColor="text1"/>
                <w:sz w:val="18"/>
                <w:szCs w:val="18"/>
                <w14:textFill>
                  <w14:solidFill>
                    <w14:schemeClr w14:val="tx1"/>
                  </w14:solidFill>
                </w14:textFill>
              </w:rPr>
              <w:t>回用的可行性</w:t>
            </w:r>
          </w:p>
        </w:tc>
      </w:tr>
      <w:tr w14:paraId="08969D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2" w:type="pct"/>
            <w:tcBorders>
              <w:tl2br w:val="nil"/>
              <w:tr2bl w:val="nil"/>
            </w:tcBorders>
            <w:shd w:val="clear" w:color="auto" w:fill="auto"/>
            <w:vAlign w:val="center"/>
          </w:tcPr>
          <w:p w14:paraId="1E329F1A">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地下水</w:t>
            </w:r>
          </w:p>
        </w:tc>
        <w:tc>
          <w:tcPr>
            <w:tcW w:w="2366" w:type="pct"/>
            <w:tcBorders>
              <w:tl2br w:val="nil"/>
              <w:tr2bl w:val="nil"/>
            </w:tcBorders>
            <w:vAlign w:val="center"/>
          </w:tcPr>
          <w:p w14:paraId="294E99DB">
            <w:pPr>
              <w:pageBreakBefore w:val="0"/>
              <w:widowControl w:val="0"/>
              <w:kinsoku/>
              <w:wordWrap/>
              <w:overflowPunct/>
              <w:topLinePunct w:val="0"/>
              <w:bidi w:val="0"/>
              <w:adjustRightInd/>
              <w:snapToGrid/>
              <w:spacing w:line="360" w:lineRule="auto"/>
              <w:ind w:firstLine="360" w:firstLineChars="200"/>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水质（K</w:t>
            </w:r>
            <w:r>
              <w:rPr>
                <w:rFonts w:hint="default" w:ascii="Times New Roman" w:hAnsi="Times New Roman" w:cs="Times New Roman"/>
                <w:color w:val="auto"/>
                <w:sz w:val="18"/>
                <w:szCs w:val="18"/>
                <w:vertAlign w:val="superscript"/>
              </w:rPr>
              <w:t>+</w:t>
            </w:r>
            <w:r>
              <w:rPr>
                <w:rFonts w:hint="default" w:ascii="Times New Roman" w:hAnsi="Times New Roman" w:cs="Times New Roman"/>
                <w:color w:val="auto"/>
                <w:sz w:val="18"/>
                <w:szCs w:val="18"/>
              </w:rPr>
              <w:t>、Na</w:t>
            </w:r>
            <w:r>
              <w:rPr>
                <w:rFonts w:hint="default" w:ascii="Times New Roman" w:hAnsi="Times New Roman" w:cs="Times New Roman"/>
                <w:color w:val="auto"/>
                <w:sz w:val="18"/>
                <w:szCs w:val="18"/>
                <w:vertAlign w:val="superscript"/>
              </w:rPr>
              <w:t>+</w:t>
            </w:r>
            <w:r>
              <w:rPr>
                <w:rFonts w:hint="default" w:ascii="Times New Roman" w:hAnsi="Times New Roman" w:cs="Times New Roman"/>
                <w:color w:val="auto"/>
                <w:sz w:val="18"/>
                <w:szCs w:val="18"/>
              </w:rPr>
              <w:t>、Ca</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、Mg</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、CO</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、HCO</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、Cl</w:t>
            </w:r>
            <w:r>
              <w:rPr>
                <w:rFonts w:hint="default" w:ascii="Times New Roman" w:hAnsi="Times New Roman" w:cs="Times New Roman"/>
                <w:color w:val="auto"/>
                <w:sz w:val="18"/>
                <w:szCs w:val="18"/>
                <w:vertAlign w:val="superscript"/>
              </w:rPr>
              <w:t>-</w:t>
            </w:r>
            <w:r>
              <w:rPr>
                <w:rFonts w:hint="default" w:ascii="Times New Roman" w:hAnsi="Times New Roman" w:cs="Times New Roman"/>
                <w:color w:val="auto"/>
                <w:sz w:val="18"/>
                <w:szCs w:val="18"/>
              </w:rPr>
              <w:t>、SO</w:t>
            </w:r>
            <w:r>
              <w:rPr>
                <w:rFonts w:hint="default" w:ascii="Times New Roman" w:hAnsi="Times New Roman" w:cs="Times New Roman"/>
                <w:color w:val="auto"/>
                <w:sz w:val="18"/>
                <w:szCs w:val="18"/>
                <w:vertAlign w:val="subscript"/>
              </w:rPr>
              <w:t>4</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vertAlign w:val="baseline"/>
                <w:lang w:eastAsia="zh-CN"/>
              </w:rPr>
              <w:t>）</w:t>
            </w:r>
            <w:r>
              <w:rPr>
                <w:rFonts w:hint="default" w:ascii="Times New Roman" w:hAnsi="Times New Roman" w:cs="Times New Roman"/>
                <w:color w:val="auto"/>
                <w:sz w:val="18"/>
                <w:szCs w:val="18"/>
              </w:rPr>
              <w:t>、pH、氨氮、硝酸盐、亚硝酸盐、挥发性酚类、氰化物、铜、砷、铅、汞、铬</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六价</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、总硬度、氟、镉、铁、锰、</w:t>
            </w:r>
            <w:r>
              <w:rPr>
                <w:rFonts w:hint="default" w:ascii="Times New Roman" w:hAnsi="Times New Roman" w:cs="Times New Roman"/>
                <w:color w:val="auto"/>
                <w:sz w:val="18"/>
                <w:szCs w:val="18"/>
                <w:lang w:val="en-US" w:eastAsia="zh-CN"/>
              </w:rPr>
              <w:t>铊</w:t>
            </w:r>
            <w:r>
              <w:rPr>
                <w:rFonts w:hint="default" w:ascii="Times New Roman" w:hAnsi="Times New Roman" w:cs="Times New Roman"/>
                <w:color w:val="auto"/>
                <w:sz w:val="18"/>
                <w:szCs w:val="18"/>
              </w:rPr>
              <w:t>溶解性总固体、高锰酸盐指数、硫酸盐、氯化物、总大肠菌群、细菌总数</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石油类、镍、铊</w:t>
            </w:r>
          </w:p>
        </w:tc>
        <w:tc>
          <w:tcPr>
            <w:tcW w:w="1812" w:type="pct"/>
            <w:tcBorders>
              <w:tl2br w:val="nil"/>
              <w:tr2bl w:val="nil"/>
            </w:tcBorders>
            <w:shd w:val="clear" w:color="auto" w:fill="auto"/>
            <w:vAlign w:val="center"/>
          </w:tcPr>
          <w:p w14:paraId="7E30BBED">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bCs/>
                <w:color w:val="auto"/>
                <w:sz w:val="18"/>
                <w:szCs w:val="18"/>
              </w:rPr>
              <w:t>COD、</w:t>
            </w:r>
            <w:r>
              <w:rPr>
                <w:rFonts w:hint="default" w:ascii="Times New Roman" w:hAnsi="Times New Roman" w:cs="Times New Roman" w:eastAsiaTheme="minorEastAsia"/>
                <w:color w:val="auto"/>
                <w:sz w:val="18"/>
                <w:szCs w:val="18"/>
              </w:rPr>
              <w:t>Fe、</w:t>
            </w:r>
            <w:r>
              <w:rPr>
                <w:rFonts w:hint="default" w:ascii="Times New Roman" w:hAnsi="Times New Roman" w:cs="Times New Roman" w:eastAsiaTheme="minorEastAsia"/>
                <w:color w:val="auto"/>
                <w:sz w:val="18"/>
                <w:szCs w:val="18"/>
                <w:lang w:val="en-US" w:eastAsia="zh-CN"/>
              </w:rPr>
              <w:t>Mn</w:t>
            </w:r>
          </w:p>
        </w:tc>
      </w:tr>
      <w:tr w14:paraId="777C59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2" w:type="pct"/>
            <w:tcBorders>
              <w:tl2br w:val="nil"/>
              <w:tr2bl w:val="nil"/>
            </w:tcBorders>
            <w:shd w:val="clear" w:color="auto" w:fill="auto"/>
            <w:vAlign w:val="center"/>
          </w:tcPr>
          <w:p w14:paraId="6626DD4A">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声环境</w:t>
            </w:r>
          </w:p>
        </w:tc>
        <w:tc>
          <w:tcPr>
            <w:tcW w:w="2366" w:type="pct"/>
            <w:tcBorders>
              <w:tl2br w:val="nil"/>
              <w:tr2bl w:val="nil"/>
            </w:tcBorders>
            <w:vAlign w:val="center"/>
          </w:tcPr>
          <w:p w14:paraId="3B2FEE19">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昼间等效A声级</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L</w:t>
            </w:r>
            <w:r>
              <w:rPr>
                <w:rFonts w:hint="default" w:ascii="Times New Roman" w:hAnsi="Times New Roman" w:cs="Times New Roman" w:eastAsiaTheme="minorEastAsia"/>
                <w:color w:val="auto"/>
                <w:sz w:val="18"/>
                <w:szCs w:val="18"/>
                <w:vertAlign w:val="subscript"/>
              </w:rPr>
              <w:t>d</w:t>
            </w:r>
            <w:r>
              <w:rPr>
                <w:rFonts w:hint="default" w:ascii="Times New Roman" w:hAnsi="Times New Roman" w:cs="Times New Roman" w:eastAsiaTheme="minorEastAsia"/>
                <w:color w:val="auto"/>
                <w:sz w:val="18"/>
                <w:szCs w:val="18"/>
                <w:vertAlign w:val="baseline"/>
                <w:lang w:eastAsia="zh-CN"/>
              </w:rPr>
              <w:t>）</w:t>
            </w:r>
            <w:r>
              <w:rPr>
                <w:rFonts w:hint="default" w:ascii="Times New Roman" w:hAnsi="Times New Roman" w:cs="Times New Roman" w:eastAsiaTheme="minorEastAsia"/>
                <w:color w:val="auto"/>
                <w:sz w:val="18"/>
                <w:szCs w:val="18"/>
              </w:rPr>
              <w:t>、夜间等效A声级</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L</w:t>
            </w:r>
            <w:r>
              <w:rPr>
                <w:rFonts w:hint="default" w:ascii="Times New Roman" w:hAnsi="Times New Roman" w:cs="Times New Roman" w:eastAsiaTheme="minorEastAsia"/>
                <w:color w:val="auto"/>
                <w:sz w:val="18"/>
                <w:szCs w:val="18"/>
                <w:vertAlign w:val="subscript"/>
              </w:rPr>
              <w:t>n</w:t>
            </w:r>
            <w:r>
              <w:rPr>
                <w:rFonts w:hint="default" w:ascii="Times New Roman" w:hAnsi="Times New Roman" w:cs="Times New Roman" w:eastAsiaTheme="minorEastAsia"/>
                <w:color w:val="auto"/>
                <w:sz w:val="18"/>
                <w:szCs w:val="18"/>
                <w:vertAlign w:val="baseline"/>
                <w:lang w:eastAsia="zh-CN"/>
              </w:rPr>
              <w:t>）</w:t>
            </w:r>
          </w:p>
        </w:tc>
        <w:tc>
          <w:tcPr>
            <w:tcW w:w="1812" w:type="pct"/>
            <w:tcBorders>
              <w:tl2br w:val="nil"/>
              <w:tr2bl w:val="nil"/>
            </w:tcBorders>
            <w:shd w:val="clear" w:color="auto" w:fill="auto"/>
            <w:vAlign w:val="center"/>
          </w:tcPr>
          <w:p w14:paraId="1067A574">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昼间等效A声级</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L</w:t>
            </w:r>
            <w:r>
              <w:rPr>
                <w:rFonts w:hint="default" w:ascii="Times New Roman" w:hAnsi="Times New Roman" w:cs="Times New Roman" w:eastAsiaTheme="minorEastAsia"/>
                <w:color w:val="auto"/>
                <w:sz w:val="18"/>
                <w:szCs w:val="18"/>
                <w:vertAlign w:val="subscript"/>
              </w:rPr>
              <w:t>d</w:t>
            </w:r>
            <w:r>
              <w:rPr>
                <w:rFonts w:hint="default" w:ascii="Times New Roman" w:hAnsi="Times New Roman" w:cs="Times New Roman" w:eastAsiaTheme="minorEastAsia"/>
                <w:color w:val="auto"/>
                <w:sz w:val="18"/>
                <w:szCs w:val="18"/>
                <w:vertAlign w:val="baseline"/>
                <w:lang w:eastAsia="zh-CN"/>
              </w:rPr>
              <w:t>）</w:t>
            </w:r>
            <w:r>
              <w:rPr>
                <w:rFonts w:hint="default" w:ascii="Times New Roman" w:hAnsi="Times New Roman" w:cs="Times New Roman" w:eastAsiaTheme="minorEastAsia"/>
                <w:color w:val="auto"/>
                <w:sz w:val="18"/>
                <w:szCs w:val="18"/>
              </w:rPr>
              <w:t>、夜间等效A声级</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L</w:t>
            </w:r>
            <w:r>
              <w:rPr>
                <w:rFonts w:hint="default" w:ascii="Times New Roman" w:hAnsi="Times New Roman" w:cs="Times New Roman" w:eastAsiaTheme="minorEastAsia"/>
                <w:color w:val="auto"/>
                <w:sz w:val="18"/>
                <w:szCs w:val="18"/>
                <w:vertAlign w:val="subscript"/>
              </w:rPr>
              <w:t>n</w:t>
            </w:r>
            <w:r>
              <w:rPr>
                <w:rFonts w:hint="default" w:ascii="Times New Roman" w:hAnsi="Times New Roman" w:cs="Times New Roman" w:eastAsiaTheme="minorEastAsia"/>
                <w:color w:val="auto"/>
                <w:sz w:val="18"/>
                <w:szCs w:val="18"/>
                <w:vertAlign w:val="baseline"/>
                <w:lang w:eastAsia="zh-CN"/>
              </w:rPr>
              <w:t>）</w:t>
            </w:r>
          </w:p>
        </w:tc>
      </w:tr>
      <w:tr w14:paraId="5CEC94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2" w:type="pct"/>
            <w:tcBorders>
              <w:tl2br w:val="nil"/>
              <w:tr2bl w:val="nil"/>
            </w:tcBorders>
            <w:shd w:val="clear" w:color="auto" w:fill="auto"/>
            <w:vAlign w:val="center"/>
          </w:tcPr>
          <w:p w14:paraId="43EB9CA7">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土壤环境</w:t>
            </w:r>
          </w:p>
        </w:tc>
        <w:tc>
          <w:tcPr>
            <w:tcW w:w="2366" w:type="pct"/>
            <w:tcBorders>
              <w:tl2br w:val="nil"/>
              <w:tr2bl w:val="nil"/>
            </w:tcBorders>
          </w:tcPr>
          <w:p w14:paraId="1EC18649">
            <w:pPr>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重金属和无机物：砷、镉、铬</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六价</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、铜、铅、汞、镍</w:t>
            </w:r>
          </w:p>
          <w:p w14:paraId="31E0885F">
            <w:pPr>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挥发性有机物：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p>
          <w:p w14:paraId="65BA22C5">
            <w:pPr>
              <w:spacing w:line="240" w:lineRule="auto"/>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半挥发性有机物：硝基苯、苯胺、2-氯酚、苯并[a]蒽、苯并[a]芘、苯并[b]荧蒽、苯并[k]荧蒽、䓛、二苯并[a，h]蒽、茚并[1,2,3-cd]芘、萘</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Fe、锰</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石油烃</w:t>
            </w:r>
          </w:p>
        </w:tc>
        <w:tc>
          <w:tcPr>
            <w:tcW w:w="1812" w:type="pct"/>
            <w:tcBorders>
              <w:tl2br w:val="nil"/>
              <w:tr2bl w:val="nil"/>
            </w:tcBorders>
            <w:shd w:val="clear" w:color="auto" w:fill="auto"/>
            <w:vAlign w:val="center"/>
          </w:tcPr>
          <w:p w14:paraId="607452A1">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Fe、</w:t>
            </w:r>
            <w:r>
              <w:rPr>
                <w:rFonts w:hint="default" w:ascii="Times New Roman" w:hAnsi="Times New Roman" w:cs="Times New Roman" w:eastAsiaTheme="minorEastAsia"/>
                <w:color w:val="auto"/>
                <w:sz w:val="18"/>
                <w:szCs w:val="18"/>
                <w:lang w:val="en-US" w:eastAsia="zh-CN"/>
              </w:rPr>
              <w:t>Mn</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color w:val="auto"/>
                <w:sz w:val="18"/>
                <w:szCs w:val="18"/>
                <w:highlight w:val="none"/>
                <w:lang w:val="en-US" w:eastAsia="zh-CN"/>
              </w:rPr>
              <w:t>Pb、Zn、Cu、As</w:t>
            </w:r>
          </w:p>
        </w:tc>
      </w:tr>
      <w:tr w14:paraId="7AFC8A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2" w:type="pct"/>
            <w:tcBorders>
              <w:tl2br w:val="nil"/>
              <w:tr2bl w:val="nil"/>
            </w:tcBorders>
            <w:shd w:val="clear" w:color="auto" w:fill="auto"/>
            <w:vAlign w:val="center"/>
          </w:tcPr>
          <w:p w14:paraId="56AE615A">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生态环境</w:t>
            </w:r>
          </w:p>
        </w:tc>
        <w:tc>
          <w:tcPr>
            <w:tcW w:w="2366" w:type="pct"/>
            <w:tcBorders>
              <w:tl2br w:val="nil"/>
              <w:tr2bl w:val="nil"/>
            </w:tcBorders>
          </w:tcPr>
          <w:p w14:paraId="057F9282">
            <w:pPr>
              <w:spacing w:line="240" w:lineRule="auto"/>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土地利用现状、植被现状、野生动植物现状</w:t>
            </w:r>
          </w:p>
        </w:tc>
        <w:tc>
          <w:tcPr>
            <w:tcW w:w="1812" w:type="pct"/>
            <w:tcBorders>
              <w:tl2br w:val="nil"/>
              <w:tr2bl w:val="nil"/>
            </w:tcBorders>
            <w:shd w:val="clear" w:color="auto" w:fill="auto"/>
            <w:vAlign w:val="center"/>
          </w:tcPr>
          <w:p w14:paraId="3DEC2D48">
            <w:pPr>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土地利用、植被、野生动植物</w:t>
            </w:r>
          </w:p>
        </w:tc>
      </w:tr>
    </w:tbl>
    <w:p w14:paraId="3CDF0E38">
      <w:pPr>
        <w:pStyle w:val="6"/>
        <w:bidi w:val="0"/>
        <w:rPr>
          <w:rFonts w:hint="default" w:ascii="Times New Roman" w:hAnsi="Times New Roman" w:cs="Times New Roman"/>
        </w:rPr>
      </w:pPr>
      <w:bookmarkStart w:id="145" w:name="_Toc14258"/>
      <w:bookmarkStart w:id="146" w:name="_Toc165816705"/>
      <w:r>
        <w:rPr>
          <w:rFonts w:hint="default" w:ascii="Times New Roman" w:hAnsi="Times New Roman" w:cs="Times New Roman"/>
          <w:lang w:val="en-US" w:eastAsia="zh-CN"/>
        </w:rPr>
        <w:t>2</w:t>
      </w:r>
      <w:r>
        <w:rPr>
          <w:rFonts w:hint="default" w:ascii="Times New Roman" w:hAnsi="Times New Roman" w:cs="Times New Roman"/>
        </w:rPr>
        <w:t>.3.3评价内容和评价重点</w:t>
      </w:r>
      <w:bookmarkEnd w:id="145"/>
      <w:bookmarkEnd w:id="146"/>
    </w:p>
    <w:p w14:paraId="5A6CB788">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sz w:val="24"/>
          <w:szCs w:val="24"/>
        </w:rPr>
        <w:t>本项目评价内容为废气、废水、噪声以及固体废物处置。项目运营后对环境影响</w:t>
      </w:r>
      <w:r>
        <w:rPr>
          <w:rFonts w:hint="default" w:ascii="Times New Roman" w:hAnsi="Times New Roman" w:cs="Times New Roman" w:eastAsiaTheme="minorEastAsia"/>
          <w:color w:val="auto"/>
          <w:sz w:val="24"/>
          <w:szCs w:val="24"/>
        </w:rPr>
        <w:t>主要以废气污染为主，主要污染物为颗粒物。因此本次评价重点分析项目运营后废气污染物的产生情况以及防治措施的可行性</w:t>
      </w:r>
      <w:r>
        <w:rPr>
          <w:rFonts w:hint="default" w:ascii="Times New Roman" w:hAnsi="Times New Roman" w:cs="Times New Roman" w:eastAsiaTheme="minorEastAsia"/>
          <w:color w:val="auto"/>
          <w:sz w:val="24"/>
          <w:szCs w:val="24"/>
          <w:lang w:val="en-US" w:eastAsia="zh-CN"/>
        </w:rPr>
        <w:t>以及固废处置合理性、选址合理性。项目已建成环保措施的有效性及合理性，是否达到相关环保要求，通过现场踏勘及措施有效性分析，指出项目存在的主要环境问题，并提出相应的整改措施要求。</w:t>
      </w:r>
    </w:p>
    <w:p w14:paraId="64581979">
      <w:pPr>
        <w:pStyle w:val="5"/>
        <w:bidi w:val="0"/>
        <w:rPr>
          <w:rFonts w:hint="default" w:ascii="Times New Roman" w:hAnsi="Times New Roman" w:cs="Times New Roman"/>
          <w:color w:val="auto"/>
        </w:rPr>
      </w:pPr>
      <w:bookmarkStart w:id="147" w:name="_Toc11382"/>
      <w:bookmarkStart w:id="148" w:name="_Toc17173"/>
      <w:bookmarkStart w:id="149" w:name="_Toc165816706"/>
      <w:bookmarkStart w:id="150" w:name="_Toc18253"/>
      <w:bookmarkStart w:id="151" w:name="_Toc16881"/>
      <w:bookmarkStart w:id="152" w:name="_Toc12064"/>
      <w:r>
        <w:rPr>
          <w:rFonts w:hint="default" w:ascii="Times New Roman" w:hAnsi="Times New Roman" w:cs="Times New Roman"/>
          <w:color w:val="auto"/>
          <w:lang w:val="en-US" w:eastAsia="zh-CN"/>
        </w:rPr>
        <w:t>2</w:t>
      </w:r>
      <w:r>
        <w:rPr>
          <w:rFonts w:hint="default" w:ascii="Times New Roman" w:hAnsi="Times New Roman" w:cs="Times New Roman"/>
          <w:color w:val="auto"/>
        </w:rPr>
        <w:t>.4评价标准</w:t>
      </w:r>
      <w:bookmarkEnd w:id="147"/>
      <w:bookmarkEnd w:id="148"/>
      <w:bookmarkEnd w:id="149"/>
      <w:bookmarkEnd w:id="150"/>
      <w:bookmarkEnd w:id="151"/>
      <w:bookmarkEnd w:id="152"/>
    </w:p>
    <w:p w14:paraId="7814A351">
      <w:pPr>
        <w:pStyle w:val="6"/>
        <w:bidi w:val="0"/>
        <w:rPr>
          <w:rFonts w:hint="default" w:ascii="Times New Roman" w:hAnsi="Times New Roman" w:cs="Times New Roman"/>
        </w:rPr>
      </w:pPr>
      <w:bookmarkStart w:id="153" w:name="_Toc31180"/>
      <w:bookmarkStart w:id="154" w:name="_Toc165816707"/>
      <w:r>
        <w:rPr>
          <w:rFonts w:hint="default" w:ascii="Times New Roman" w:hAnsi="Times New Roman" w:cs="Times New Roman"/>
          <w:lang w:val="en-US" w:eastAsia="zh-CN"/>
        </w:rPr>
        <w:t>2</w:t>
      </w:r>
      <w:r>
        <w:rPr>
          <w:rFonts w:hint="default" w:ascii="Times New Roman" w:hAnsi="Times New Roman" w:cs="Times New Roman"/>
        </w:rPr>
        <w:t>.4.1环境质量标准</w:t>
      </w:r>
      <w:bookmarkEnd w:id="153"/>
      <w:bookmarkEnd w:id="154"/>
    </w:p>
    <w:p w14:paraId="0FC4F2A0">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1、环境空气</w:t>
      </w:r>
    </w:p>
    <w:p w14:paraId="03F7F2D6">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根据环境空气质量功能区划，评价区环境空气执行《环境空气质量标准》（GB3095-2012）及2018年修改单的二级标准。标准值详见表</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.4-1。</w:t>
      </w:r>
    </w:p>
    <w:p w14:paraId="4AF47733">
      <w:pPr>
        <w:spacing w:line="360" w:lineRule="auto"/>
        <w:jc w:val="center"/>
        <w:rPr>
          <w:rFonts w:hint="default" w:ascii="Times New Roman" w:hAnsi="Times New Roman" w:cs="Times New Roman" w:eastAsiaTheme="minorEastAsia"/>
          <w:b/>
          <w:sz w:val="24"/>
          <w:szCs w:val="24"/>
        </w:rPr>
      </w:pPr>
      <w:bookmarkStart w:id="155" w:name="_Toc189109854"/>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.4-1  环境空气质量标准</w:t>
      </w:r>
      <w:bookmarkEnd w:id="155"/>
    </w:p>
    <w:tbl>
      <w:tblPr>
        <w:tblStyle w:val="29"/>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900"/>
        <w:gridCol w:w="1915"/>
        <w:gridCol w:w="1106"/>
        <w:gridCol w:w="985"/>
        <w:gridCol w:w="2964"/>
      </w:tblGrid>
      <w:tr w14:paraId="49FEFE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dxa"/>
            <w:vMerge w:val="restart"/>
            <w:tcBorders>
              <w:tl2br w:val="nil"/>
              <w:tr2bl w:val="nil"/>
            </w:tcBorders>
            <w:vAlign w:val="center"/>
          </w:tcPr>
          <w:p w14:paraId="43370088">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评价因子</w:t>
            </w:r>
          </w:p>
        </w:tc>
        <w:tc>
          <w:tcPr>
            <w:tcW w:w="4906" w:type="dxa"/>
            <w:gridSpan w:val="4"/>
            <w:tcBorders>
              <w:tl2br w:val="nil"/>
              <w:tr2bl w:val="nil"/>
            </w:tcBorders>
            <w:vAlign w:val="center"/>
          </w:tcPr>
          <w:p w14:paraId="2829E841">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浓度限值</w:t>
            </w:r>
          </w:p>
        </w:tc>
        <w:tc>
          <w:tcPr>
            <w:tcW w:w="2964" w:type="dxa"/>
            <w:vMerge w:val="restart"/>
            <w:tcBorders>
              <w:tl2br w:val="nil"/>
              <w:tr2bl w:val="nil"/>
            </w:tcBorders>
            <w:vAlign w:val="center"/>
          </w:tcPr>
          <w:p w14:paraId="4AC21E26">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执行及参考执行标准</w:t>
            </w:r>
          </w:p>
        </w:tc>
      </w:tr>
      <w:tr w14:paraId="784E7A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dxa"/>
            <w:vMerge w:val="continue"/>
            <w:tcBorders>
              <w:tl2br w:val="nil"/>
              <w:tr2bl w:val="nil"/>
            </w:tcBorders>
            <w:vAlign w:val="center"/>
          </w:tcPr>
          <w:p w14:paraId="093ADDB6">
            <w:pPr>
              <w:pStyle w:val="47"/>
              <w:adjustRightInd/>
              <w:snapToGrid/>
              <w:spacing w:line="240" w:lineRule="auto"/>
              <w:rPr>
                <w:rFonts w:hint="default" w:ascii="Times New Roman" w:hAnsi="Times New Roman" w:eastAsia="宋体" w:cs="Times New Roman"/>
                <w:b w:val="0"/>
                <w:bCs/>
                <w:sz w:val="18"/>
                <w:szCs w:val="18"/>
              </w:rPr>
            </w:pPr>
          </w:p>
        </w:tc>
        <w:tc>
          <w:tcPr>
            <w:tcW w:w="900" w:type="dxa"/>
            <w:tcBorders>
              <w:tl2br w:val="nil"/>
              <w:tr2bl w:val="nil"/>
            </w:tcBorders>
            <w:vAlign w:val="center"/>
          </w:tcPr>
          <w:p w14:paraId="2D54250B">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年平均</w:t>
            </w:r>
          </w:p>
        </w:tc>
        <w:tc>
          <w:tcPr>
            <w:tcW w:w="1915" w:type="dxa"/>
            <w:tcBorders>
              <w:tl2br w:val="nil"/>
              <w:tr2bl w:val="nil"/>
            </w:tcBorders>
            <w:vAlign w:val="center"/>
          </w:tcPr>
          <w:p w14:paraId="51C67F93">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24小时平均</w:t>
            </w:r>
          </w:p>
        </w:tc>
        <w:tc>
          <w:tcPr>
            <w:tcW w:w="1106" w:type="dxa"/>
            <w:tcBorders>
              <w:tl2br w:val="nil"/>
              <w:tr2bl w:val="nil"/>
            </w:tcBorders>
            <w:vAlign w:val="center"/>
          </w:tcPr>
          <w:p w14:paraId="1C124D0D">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1小时平均</w:t>
            </w:r>
          </w:p>
        </w:tc>
        <w:tc>
          <w:tcPr>
            <w:tcW w:w="985" w:type="dxa"/>
            <w:tcBorders>
              <w:tl2br w:val="nil"/>
              <w:tr2bl w:val="nil"/>
            </w:tcBorders>
            <w:vAlign w:val="center"/>
          </w:tcPr>
          <w:p w14:paraId="3E8580BC">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单位</w:t>
            </w:r>
          </w:p>
        </w:tc>
        <w:tc>
          <w:tcPr>
            <w:tcW w:w="2964" w:type="dxa"/>
            <w:vMerge w:val="continue"/>
            <w:tcBorders>
              <w:tl2br w:val="nil"/>
              <w:tr2bl w:val="nil"/>
            </w:tcBorders>
            <w:vAlign w:val="center"/>
          </w:tcPr>
          <w:p w14:paraId="3406640F">
            <w:pPr>
              <w:pStyle w:val="47"/>
              <w:adjustRightInd/>
              <w:snapToGrid/>
              <w:spacing w:line="240" w:lineRule="auto"/>
              <w:rPr>
                <w:rFonts w:hint="default" w:ascii="Times New Roman" w:hAnsi="Times New Roman" w:eastAsia="宋体" w:cs="Times New Roman"/>
                <w:b w:val="0"/>
                <w:bCs/>
                <w:sz w:val="18"/>
                <w:szCs w:val="18"/>
              </w:rPr>
            </w:pPr>
          </w:p>
        </w:tc>
      </w:tr>
      <w:tr w14:paraId="5FAF89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dxa"/>
            <w:tcBorders>
              <w:tl2br w:val="nil"/>
              <w:tr2bl w:val="nil"/>
            </w:tcBorders>
            <w:vAlign w:val="center"/>
          </w:tcPr>
          <w:p w14:paraId="37B0DA0C">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SO</w:t>
            </w:r>
            <w:r>
              <w:rPr>
                <w:rFonts w:hint="default" w:ascii="Times New Roman" w:hAnsi="Times New Roman" w:eastAsia="宋体" w:cs="Times New Roman"/>
                <w:b w:val="0"/>
                <w:bCs/>
                <w:sz w:val="18"/>
                <w:szCs w:val="18"/>
                <w:vertAlign w:val="subscript"/>
              </w:rPr>
              <w:t>2</w:t>
            </w:r>
          </w:p>
        </w:tc>
        <w:tc>
          <w:tcPr>
            <w:tcW w:w="900" w:type="dxa"/>
            <w:tcBorders>
              <w:tl2br w:val="nil"/>
              <w:tr2bl w:val="nil"/>
            </w:tcBorders>
            <w:vAlign w:val="center"/>
          </w:tcPr>
          <w:p w14:paraId="4E164539">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60</w:t>
            </w:r>
          </w:p>
        </w:tc>
        <w:tc>
          <w:tcPr>
            <w:tcW w:w="1915" w:type="dxa"/>
            <w:tcBorders>
              <w:tl2br w:val="nil"/>
              <w:tr2bl w:val="nil"/>
            </w:tcBorders>
            <w:vAlign w:val="center"/>
          </w:tcPr>
          <w:p w14:paraId="36C01F7A">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150</w:t>
            </w:r>
          </w:p>
        </w:tc>
        <w:tc>
          <w:tcPr>
            <w:tcW w:w="1106" w:type="dxa"/>
            <w:tcBorders>
              <w:tl2br w:val="nil"/>
              <w:tr2bl w:val="nil"/>
            </w:tcBorders>
            <w:vAlign w:val="center"/>
          </w:tcPr>
          <w:p w14:paraId="6896D55C">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500</w:t>
            </w:r>
          </w:p>
        </w:tc>
        <w:tc>
          <w:tcPr>
            <w:tcW w:w="985" w:type="dxa"/>
            <w:vMerge w:val="restart"/>
            <w:tcBorders>
              <w:tl2br w:val="nil"/>
              <w:tr2bl w:val="nil"/>
            </w:tcBorders>
            <w:vAlign w:val="center"/>
          </w:tcPr>
          <w:p w14:paraId="7548202F">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μg/m</w:t>
            </w:r>
            <w:r>
              <w:rPr>
                <w:rFonts w:hint="default" w:ascii="Times New Roman" w:hAnsi="Times New Roman" w:eastAsia="宋体" w:cs="Times New Roman"/>
                <w:b w:val="0"/>
                <w:bCs/>
                <w:sz w:val="18"/>
                <w:szCs w:val="18"/>
                <w:vertAlign w:val="superscript"/>
              </w:rPr>
              <w:t>3</w:t>
            </w:r>
          </w:p>
        </w:tc>
        <w:tc>
          <w:tcPr>
            <w:tcW w:w="2964" w:type="dxa"/>
            <w:vMerge w:val="restart"/>
            <w:tcBorders>
              <w:tl2br w:val="nil"/>
              <w:tr2bl w:val="nil"/>
            </w:tcBorders>
            <w:vAlign w:val="center"/>
          </w:tcPr>
          <w:p w14:paraId="484439DD">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GB3095-2012</w:t>
            </w:r>
          </w:p>
          <w:p w14:paraId="203F98B1">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《环境空气质量标准》及2018修改单</w:t>
            </w:r>
          </w:p>
          <w:p w14:paraId="66AE110C">
            <w:pPr>
              <w:pStyle w:val="47"/>
              <w:adjustRightInd/>
              <w:snapToGrid/>
              <w:spacing w:line="240" w:lineRule="auto"/>
              <w:rPr>
                <w:rFonts w:hint="default" w:ascii="Times New Roman" w:hAnsi="Times New Roman" w:eastAsia="宋体" w:cs="Times New Roman"/>
                <w:b w:val="0"/>
                <w:bCs/>
                <w:sz w:val="18"/>
                <w:szCs w:val="18"/>
              </w:rPr>
            </w:pPr>
          </w:p>
        </w:tc>
      </w:tr>
      <w:tr w14:paraId="042A36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dxa"/>
            <w:tcBorders>
              <w:tl2br w:val="nil"/>
              <w:tr2bl w:val="nil"/>
            </w:tcBorders>
            <w:vAlign w:val="center"/>
          </w:tcPr>
          <w:p w14:paraId="7465F052">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NO</w:t>
            </w:r>
            <w:r>
              <w:rPr>
                <w:rFonts w:hint="default" w:ascii="Times New Roman" w:hAnsi="Times New Roman" w:eastAsia="宋体" w:cs="Times New Roman"/>
                <w:b w:val="0"/>
                <w:bCs/>
                <w:sz w:val="18"/>
                <w:szCs w:val="18"/>
                <w:vertAlign w:val="subscript"/>
              </w:rPr>
              <w:t>2</w:t>
            </w:r>
          </w:p>
        </w:tc>
        <w:tc>
          <w:tcPr>
            <w:tcW w:w="900" w:type="dxa"/>
            <w:tcBorders>
              <w:tl2br w:val="nil"/>
              <w:tr2bl w:val="nil"/>
            </w:tcBorders>
            <w:vAlign w:val="center"/>
          </w:tcPr>
          <w:p w14:paraId="21A7FD6D">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40</w:t>
            </w:r>
          </w:p>
        </w:tc>
        <w:tc>
          <w:tcPr>
            <w:tcW w:w="1915" w:type="dxa"/>
            <w:tcBorders>
              <w:tl2br w:val="nil"/>
              <w:tr2bl w:val="nil"/>
            </w:tcBorders>
            <w:vAlign w:val="center"/>
          </w:tcPr>
          <w:p w14:paraId="1BFF8762">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80</w:t>
            </w:r>
          </w:p>
        </w:tc>
        <w:tc>
          <w:tcPr>
            <w:tcW w:w="1106" w:type="dxa"/>
            <w:tcBorders>
              <w:tl2br w:val="nil"/>
              <w:tr2bl w:val="nil"/>
            </w:tcBorders>
            <w:vAlign w:val="center"/>
          </w:tcPr>
          <w:p w14:paraId="62363EA2">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200</w:t>
            </w:r>
          </w:p>
        </w:tc>
        <w:tc>
          <w:tcPr>
            <w:tcW w:w="985" w:type="dxa"/>
            <w:vMerge w:val="continue"/>
            <w:tcBorders>
              <w:tl2br w:val="nil"/>
              <w:tr2bl w:val="nil"/>
            </w:tcBorders>
            <w:vAlign w:val="center"/>
          </w:tcPr>
          <w:p w14:paraId="4FC64A78">
            <w:pPr>
              <w:pStyle w:val="47"/>
              <w:adjustRightInd/>
              <w:snapToGrid/>
              <w:spacing w:line="240" w:lineRule="auto"/>
              <w:rPr>
                <w:rFonts w:hint="default" w:ascii="Times New Roman" w:hAnsi="Times New Roman" w:eastAsia="宋体" w:cs="Times New Roman"/>
                <w:b w:val="0"/>
                <w:bCs/>
                <w:sz w:val="18"/>
                <w:szCs w:val="18"/>
              </w:rPr>
            </w:pPr>
          </w:p>
        </w:tc>
        <w:tc>
          <w:tcPr>
            <w:tcW w:w="2964" w:type="dxa"/>
            <w:vMerge w:val="continue"/>
            <w:tcBorders>
              <w:tl2br w:val="nil"/>
              <w:tr2bl w:val="nil"/>
            </w:tcBorders>
            <w:vAlign w:val="center"/>
          </w:tcPr>
          <w:p w14:paraId="7DC597F9">
            <w:pPr>
              <w:pStyle w:val="47"/>
              <w:adjustRightInd/>
              <w:snapToGrid/>
              <w:spacing w:line="240" w:lineRule="auto"/>
              <w:rPr>
                <w:rFonts w:hint="default" w:ascii="Times New Roman" w:hAnsi="Times New Roman" w:eastAsia="宋体" w:cs="Times New Roman"/>
                <w:b w:val="0"/>
                <w:bCs/>
                <w:sz w:val="18"/>
                <w:szCs w:val="18"/>
              </w:rPr>
            </w:pPr>
          </w:p>
        </w:tc>
      </w:tr>
      <w:tr w14:paraId="73516E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dxa"/>
            <w:tcBorders>
              <w:tl2br w:val="nil"/>
              <w:tr2bl w:val="nil"/>
            </w:tcBorders>
            <w:vAlign w:val="center"/>
          </w:tcPr>
          <w:p w14:paraId="43A9B75D">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CO</w:t>
            </w:r>
          </w:p>
        </w:tc>
        <w:tc>
          <w:tcPr>
            <w:tcW w:w="900" w:type="dxa"/>
            <w:tcBorders>
              <w:tl2br w:val="nil"/>
              <w:tr2bl w:val="nil"/>
            </w:tcBorders>
            <w:vAlign w:val="center"/>
          </w:tcPr>
          <w:p w14:paraId="46EE0EC3">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w:t>
            </w:r>
          </w:p>
        </w:tc>
        <w:tc>
          <w:tcPr>
            <w:tcW w:w="1915" w:type="dxa"/>
            <w:tcBorders>
              <w:tl2br w:val="nil"/>
              <w:tr2bl w:val="nil"/>
            </w:tcBorders>
            <w:vAlign w:val="center"/>
          </w:tcPr>
          <w:p w14:paraId="2CDBF27C">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4</w:t>
            </w:r>
          </w:p>
        </w:tc>
        <w:tc>
          <w:tcPr>
            <w:tcW w:w="1106" w:type="dxa"/>
            <w:tcBorders>
              <w:tl2br w:val="nil"/>
              <w:tr2bl w:val="nil"/>
            </w:tcBorders>
            <w:vAlign w:val="center"/>
          </w:tcPr>
          <w:p w14:paraId="697051D6">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10</w:t>
            </w:r>
          </w:p>
        </w:tc>
        <w:tc>
          <w:tcPr>
            <w:tcW w:w="985" w:type="dxa"/>
            <w:tcBorders>
              <w:tl2br w:val="nil"/>
              <w:tr2bl w:val="nil"/>
            </w:tcBorders>
            <w:vAlign w:val="center"/>
          </w:tcPr>
          <w:p w14:paraId="2F07AD9B">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mg/m</w:t>
            </w:r>
            <w:r>
              <w:rPr>
                <w:rFonts w:hint="default" w:ascii="Times New Roman" w:hAnsi="Times New Roman" w:eastAsia="宋体" w:cs="Times New Roman"/>
                <w:b w:val="0"/>
                <w:bCs/>
                <w:sz w:val="18"/>
                <w:szCs w:val="18"/>
                <w:vertAlign w:val="superscript"/>
              </w:rPr>
              <w:t>3</w:t>
            </w:r>
          </w:p>
        </w:tc>
        <w:tc>
          <w:tcPr>
            <w:tcW w:w="2964" w:type="dxa"/>
            <w:vMerge w:val="continue"/>
            <w:tcBorders>
              <w:tl2br w:val="nil"/>
              <w:tr2bl w:val="nil"/>
            </w:tcBorders>
            <w:vAlign w:val="center"/>
          </w:tcPr>
          <w:p w14:paraId="2074E9A7">
            <w:pPr>
              <w:pStyle w:val="47"/>
              <w:adjustRightInd/>
              <w:snapToGrid/>
              <w:spacing w:line="240" w:lineRule="auto"/>
              <w:rPr>
                <w:rFonts w:hint="default" w:ascii="Times New Roman" w:hAnsi="Times New Roman" w:eastAsia="宋体" w:cs="Times New Roman"/>
                <w:b w:val="0"/>
                <w:bCs/>
                <w:sz w:val="18"/>
                <w:szCs w:val="18"/>
              </w:rPr>
            </w:pPr>
          </w:p>
        </w:tc>
      </w:tr>
      <w:tr w14:paraId="797403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dxa"/>
            <w:tcBorders>
              <w:tl2br w:val="nil"/>
              <w:tr2bl w:val="nil"/>
            </w:tcBorders>
            <w:vAlign w:val="center"/>
          </w:tcPr>
          <w:p w14:paraId="6B84CB54">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O</w:t>
            </w:r>
            <w:r>
              <w:rPr>
                <w:rFonts w:hint="default" w:ascii="Times New Roman" w:hAnsi="Times New Roman" w:eastAsia="宋体" w:cs="Times New Roman"/>
                <w:b w:val="0"/>
                <w:bCs/>
                <w:sz w:val="18"/>
                <w:szCs w:val="18"/>
                <w:vertAlign w:val="subscript"/>
              </w:rPr>
              <w:t>3</w:t>
            </w:r>
          </w:p>
        </w:tc>
        <w:tc>
          <w:tcPr>
            <w:tcW w:w="900" w:type="dxa"/>
            <w:tcBorders>
              <w:tl2br w:val="nil"/>
              <w:tr2bl w:val="nil"/>
            </w:tcBorders>
            <w:vAlign w:val="center"/>
          </w:tcPr>
          <w:p w14:paraId="71776577">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w:t>
            </w:r>
          </w:p>
        </w:tc>
        <w:tc>
          <w:tcPr>
            <w:tcW w:w="1915" w:type="dxa"/>
            <w:tcBorders>
              <w:tl2br w:val="nil"/>
              <w:tr2bl w:val="nil"/>
            </w:tcBorders>
            <w:vAlign w:val="center"/>
          </w:tcPr>
          <w:p w14:paraId="131FA4DE">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160</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rPr>
              <w:t>日最大8小时平均</w:t>
            </w:r>
            <w:r>
              <w:rPr>
                <w:rFonts w:hint="default" w:ascii="Times New Roman" w:hAnsi="Times New Roman" w:eastAsia="宋体" w:cs="Times New Roman"/>
                <w:b w:val="0"/>
                <w:bCs/>
                <w:sz w:val="18"/>
                <w:szCs w:val="18"/>
                <w:lang w:eastAsia="zh-CN"/>
              </w:rPr>
              <w:t>）</w:t>
            </w:r>
          </w:p>
        </w:tc>
        <w:tc>
          <w:tcPr>
            <w:tcW w:w="1106" w:type="dxa"/>
            <w:tcBorders>
              <w:tl2br w:val="nil"/>
              <w:tr2bl w:val="nil"/>
            </w:tcBorders>
            <w:vAlign w:val="center"/>
          </w:tcPr>
          <w:p w14:paraId="2BF4B537">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200</w:t>
            </w:r>
          </w:p>
        </w:tc>
        <w:tc>
          <w:tcPr>
            <w:tcW w:w="985" w:type="dxa"/>
            <w:vMerge w:val="restart"/>
            <w:tcBorders>
              <w:tl2br w:val="nil"/>
              <w:tr2bl w:val="nil"/>
            </w:tcBorders>
            <w:vAlign w:val="center"/>
          </w:tcPr>
          <w:p w14:paraId="1A3C3C30">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μg/m</w:t>
            </w:r>
            <w:r>
              <w:rPr>
                <w:rFonts w:hint="default" w:ascii="Times New Roman" w:hAnsi="Times New Roman" w:eastAsia="宋体" w:cs="Times New Roman"/>
                <w:b w:val="0"/>
                <w:bCs/>
                <w:sz w:val="18"/>
                <w:szCs w:val="18"/>
                <w:vertAlign w:val="superscript"/>
              </w:rPr>
              <w:t>3</w:t>
            </w:r>
          </w:p>
        </w:tc>
        <w:tc>
          <w:tcPr>
            <w:tcW w:w="2964" w:type="dxa"/>
            <w:vMerge w:val="continue"/>
            <w:tcBorders>
              <w:tl2br w:val="nil"/>
              <w:tr2bl w:val="nil"/>
            </w:tcBorders>
            <w:vAlign w:val="center"/>
          </w:tcPr>
          <w:p w14:paraId="5D9EA9B5">
            <w:pPr>
              <w:pStyle w:val="47"/>
              <w:adjustRightInd/>
              <w:snapToGrid/>
              <w:spacing w:line="240" w:lineRule="auto"/>
              <w:rPr>
                <w:rFonts w:hint="default" w:ascii="Times New Roman" w:hAnsi="Times New Roman" w:eastAsia="宋体" w:cs="Times New Roman"/>
                <w:b w:val="0"/>
                <w:bCs/>
                <w:sz w:val="18"/>
                <w:szCs w:val="18"/>
              </w:rPr>
            </w:pPr>
          </w:p>
        </w:tc>
      </w:tr>
      <w:tr w14:paraId="4CD450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dxa"/>
            <w:tcBorders>
              <w:tl2br w:val="nil"/>
              <w:tr2bl w:val="nil"/>
            </w:tcBorders>
            <w:vAlign w:val="center"/>
          </w:tcPr>
          <w:p w14:paraId="2E46CC3B">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PM</w:t>
            </w:r>
            <w:r>
              <w:rPr>
                <w:rFonts w:hint="default" w:ascii="Times New Roman" w:hAnsi="Times New Roman" w:eastAsia="宋体" w:cs="Times New Roman"/>
                <w:b w:val="0"/>
                <w:bCs/>
                <w:sz w:val="18"/>
                <w:szCs w:val="18"/>
                <w:vertAlign w:val="subscript"/>
              </w:rPr>
              <w:t>10</w:t>
            </w:r>
          </w:p>
        </w:tc>
        <w:tc>
          <w:tcPr>
            <w:tcW w:w="900" w:type="dxa"/>
            <w:tcBorders>
              <w:tl2br w:val="nil"/>
              <w:tr2bl w:val="nil"/>
            </w:tcBorders>
            <w:vAlign w:val="center"/>
          </w:tcPr>
          <w:p w14:paraId="1F188022">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70</w:t>
            </w:r>
          </w:p>
        </w:tc>
        <w:tc>
          <w:tcPr>
            <w:tcW w:w="1915" w:type="dxa"/>
            <w:tcBorders>
              <w:tl2br w:val="nil"/>
              <w:tr2bl w:val="nil"/>
            </w:tcBorders>
            <w:vAlign w:val="center"/>
          </w:tcPr>
          <w:p w14:paraId="5806C464">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150</w:t>
            </w:r>
          </w:p>
        </w:tc>
        <w:tc>
          <w:tcPr>
            <w:tcW w:w="1106" w:type="dxa"/>
            <w:tcBorders>
              <w:tl2br w:val="nil"/>
              <w:tr2bl w:val="nil"/>
            </w:tcBorders>
            <w:vAlign w:val="center"/>
          </w:tcPr>
          <w:p w14:paraId="662C1557">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w:t>
            </w:r>
          </w:p>
        </w:tc>
        <w:tc>
          <w:tcPr>
            <w:tcW w:w="985" w:type="dxa"/>
            <w:vMerge w:val="continue"/>
            <w:tcBorders>
              <w:tl2br w:val="nil"/>
              <w:tr2bl w:val="nil"/>
            </w:tcBorders>
            <w:vAlign w:val="center"/>
          </w:tcPr>
          <w:p w14:paraId="310C5792">
            <w:pPr>
              <w:pStyle w:val="47"/>
              <w:adjustRightInd/>
              <w:snapToGrid/>
              <w:spacing w:line="240" w:lineRule="auto"/>
              <w:rPr>
                <w:rFonts w:hint="default" w:ascii="Times New Roman" w:hAnsi="Times New Roman" w:eastAsia="宋体" w:cs="Times New Roman"/>
                <w:b w:val="0"/>
                <w:bCs/>
                <w:sz w:val="18"/>
                <w:szCs w:val="18"/>
              </w:rPr>
            </w:pPr>
          </w:p>
        </w:tc>
        <w:tc>
          <w:tcPr>
            <w:tcW w:w="2964" w:type="dxa"/>
            <w:vMerge w:val="continue"/>
            <w:tcBorders>
              <w:tl2br w:val="nil"/>
              <w:tr2bl w:val="nil"/>
            </w:tcBorders>
            <w:vAlign w:val="center"/>
          </w:tcPr>
          <w:p w14:paraId="733DFFA0">
            <w:pPr>
              <w:pStyle w:val="47"/>
              <w:adjustRightInd/>
              <w:snapToGrid/>
              <w:spacing w:line="240" w:lineRule="auto"/>
              <w:rPr>
                <w:rFonts w:hint="default" w:ascii="Times New Roman" w:hAnsi="Times New Roman" w:eastAsia="宋体" w:cs="Times New Roman"/>
                <w:b w:val="0"/>
                <w:bCs/>
                <w:sz w:val="18"/>
                <w:szCs w:val="18"/>
              </w:rPr>
            </w:pPr>
          </w:p>
        </w:tc>
      </w:tr>
      <w:tr w14:paraId="00957C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dxa"/>
            <w:tcBorders>
              <w:tl2br w:val="nil"/>
              <w:tr2bl w:val="nil"/>
            </w:tcBorders>
            <w:vAlign w:val="center"/>
          </w:tcPr>
          <w:p w14:paraId="6E680B0F">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PM</w:t>
            </w:r>
            <w:r>
              <w:rPr>
                <w:rFonts w:hint="default" w:ascii="Times New Roman" w:hAnsi="Times New Roman" w:eastAsia="宋体" w:cs="Times New Roman"/>
                <w:b w:val="0"/>
                <w:bCs/>
                <w:sz w:val="18"/>
                <w:szCs w:val="18"/>
                <w:vertAlign w:val="subscript"/>
              </w:rPr>
              <w:t>2.5</w:t>
            </w:r>
          </w:p>
        </w:tc>
        <w:tc>
          <w:tcPr>
            <w:tcW w:w="900" w:type="dxa"/>
            <w:tcBorders>
              <w:tl2br w:val="nil"/>
              <w:tr2bl w:val="nil"/>
            </w:tcBorders>
            <w:vAlign w:val="center"/>
          </w:tcPr>
          <w:p w14:paraId="2937A836">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35</w:t>
            </w:r>
          </w:p>
        </w:tc>
        <w:tc>
          <w:tcPr>
            <w:tcW w:w="1915" w:type="dxa"/>
            <w:tcBorders>
              <w:tl2br w:val="nil"/>
              <w:tr2bl w:val="nil"/>
            </w:tcBorders>
            <w:vAlign w:val="center"/>
          </w:tcPr>
          <w:p w14:paraId="5C8BD905">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75</w:t>
            </w:r>
          </w:p>
        </w:tc>
        <w:tc>
          <w:tcPr>
            <w:tcW w:w="1106" w:type="dxa"/>
            <w:tcBorders>
              <w:tl2br w:val="nil"/>
              <w:tr2bl w:val="nil"/>
            </w:tcBorders>
            <w:vAlign w:val="center"/>
          </w:tcPr>
          <w:p w14:paraId="4218D905">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w:t>
            </w:r>
          </w:p>
        </w:tc>
        <w:tc>
          <w:tcPr>
            <w:tcW w:w="985" w:type="dxa"/>
            <w:vMerge w:val="continue"/>
            <w:tcBorders>
              <w:tl2br w:val="nil"/>
              <w:tr2bl w:val="nil"/>
            </w:tcBorders>
            <w:vAlign w:val="center"/>
          </w:tcPr>
          <w:p w14:paraId="1621CAC8">
            <w:pPr>
              <w:pStyle w:val="47"/>
              <w:adjustRightInd/>
              <w:snapToGrid/>
              <w:spacing w:line="240" w:lineRule="auto"/>
              <w:rPr>
                <w:rFonts w:hint="default" w:ascii="Times New Roman" w:hAnsi="Times New Roman" w:eastAsia="宋体" w:cs="Times New Roman"/>
                <w:b w:val="0"/>
                <w:bCs/>
                <w:sz w:val="18"/>
                <w:szCs w:val="18"/>
              </w:rPr>
            </w:pPr>
          </w:p>
        </w:tc>
        <w:tc>
          <w:tcPr>
            <w:tcW w:w="2964" w:type="dxa"/>
            <w:vMerge w:val="continue"/>
            <w:tcBorders>
              <w:tl2br w:val="nil"/>
              <w:tr2bl w:val="nil"/>
            </w:tcBorders>
            <w:vAlign w:val="center"/>
          </w:tcPr>
          <w:p w14:paraId="3C3C383F">
            <w:pPr>
              <w:pStyle w:val="47"/>
              <w:adjustRightInd/>
              <w:snapToGrid/>
              <w:spacing w:line="240" w:lineRule="auto"/>
              <w:rPr>
                <w:rFonts w:hint="default" w:ascii="Times New Roman" w:hAnsi="Times New Roman" w:eastAsia="宋体" w:cs="Times New Roman"/>
                <w:b w:val="0"/>
                <w:bCs/>
                <w:sz w:val="18"/>
                <w:szCs w:val="18"/>
              </w:rPr>
            </w:pPr>
          </w:p>
        </w:tc>
      </w:tr>
      <w:tr w14:paraId="736F3A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dxa"/>
            <w:tcBorders>
              <w:tl2br w:val="nil"/>
              <w:tr2bl w:val="nil"/>
            </w:tcBorders>
            <w:vAlign w:val="center"/>
          </w:tcPr>
          <w:p w14:paraId="769A950E">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TSP</w:t>
            </w:r>
          </w:p>
        </w:tc>
        <w:tc>
          <w:tcPr>
            <w:tcW w:w="900" w:type="dxa"/>
            <w:tcBorders>
              <w:tl2br w:val="nil"/>
              <w:tr2bl w:val="nil"/>
            </w:tcBorders>
            <w:vAlign w:val="center"/>
          </w:tcPr>
          <w:p w14:paraId="001FF734">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200</w:t>
            </w:r>
          </w:p>
        </w:tc>
        <w:tc>
          <w:tcPr>
            <w:tcW w:w="1915" w:type="dxa"/>
            <w:tcBorders>
              <w:tl2br w:val="nil"/>
              <w:tr2bl w:val="nil"/>
            </w:tcBorders>
            <w:vAlign w:val="center"/>
          </w:tcPr>
          <w:p w14:paraId="6B66BB4A">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300</w:t>
            </w:r>
          </w:p>
        </w:tc>
        <w:tc>
          <w:tcPr>
            <w:tcW w:w="1106" w:type="dxa"/>
            <w:tcBorders>
              <w:tl2br w:val="nil"/>
              <w:tr2bl w:val="nil"/>
            </w:tcBorders>
            <w:vAlign w:val="center"/>
          </w:tcPr>
          <w:p w14:paraId="33B83B91">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w:t>
            </w:r>
          </w:p>
        </w:tc>
        <w:tc>
          <w:tcPr>
            <w:tcW w:w="985" w:type="dxa"/>
            <w:vMerge w:val="continue"/>
            <w:tcBorders>
              <w:tl2br w:val="nil"/>
              <w:tr2bl w:val="nil"/>
            </w:tcBorders>
            <w:vAlign w:val="center"/>
          </w:tcPr>
          <w:p w14:paraId="3E0B1AD7">
            <w:pPr>
              <w:pStyle w:val="47"/>
              <w:adjustRightInd/>
              <w:snapToGrid/>
              <w:spacing w:line="240" w:lineRule="auto"/>
              <w:rPr>
                <w:rFonts w:hint="default" w:ascii="Times New Roman" w:hAnsi="Times New Roman" w:eastAsia="宋体" w:cs="Times New Roman"/>
                <w:b w:val="0"/>
                <w:bCs/>
                <w:sz w:val="18"/>
                <w:szCs w:val="18"/>
              </w:rPr>
            </w:pPr>
          </w:p>
        </w:tc>
        <w:tc>
          <w:tcPr>
            <w:tcW w:w="2964" w:type="dxa"/>
            <w:vMerge w:val="continue"/>
            <w:tcBorders>
              <w:tl2br w:val="nil"/>
              <w:tr2bl w:val="nil"/>
            </w:tcBorders>
            <w:vAlign w:val="center"/>
          </w:tcPr>
          <w:p w14:paraId="39EFB7C9">
            <w:pPr>
              <w:pStyle w:val="47"/>
              <w:adjustRightInd/>
              <w:snapToGrid/>
              <w:spacing w:line="240" w:lineRule="auto"/>
              <w:rPr>
                <w:rFonts w:hint="default" w:ascii="Times New Roman" w:hAnsi="Times New Roman" w:eastAsia="宋体" w:cs="Times New Roman"/>
                <w:b w:val="0"/>
                <w:bCs/>
                <w:sz w:val="18"/>
                <w:szCs w:val="18"/>
              </w:rPr>
            </w:pPr>
          </w:p>
        </w:tc>
      </w:tr>
      <w:tr w14:paraId="2E3752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dxa"/>
            <w:tcBorders>
              <w:tl2br w:val="nil"/>
              <w:tr2bl w:val="nil"/>
            </w:tcBorders>
            <w:vAlign w:val="center"/>
          </w:tcPr>
          <w:p w14:paraId="610547CC">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NO</w:t>
            </w:r>
            <w:r>
              <w:rPr>
                <w:rFonts w:hint="default" w:ascii="Times New Roman" w:hAnsi="Times New Roman" w:eastAsia="宋体" w:cs="Times New Roman"/>
                <w:b w:val="0"/>
                <w:bCs/>
                <w:sz w:val="18"/>
                <w:szCs w:val="18"/>
                <w:vertAlign w:val="subscript"/>
              </w:rPr>
              <w:t>x</w:t>
            </w:r>
          </w:p>
        </w:tc>
        <w:tc>
          <w:tcPr>
            <w:tcW w:w="900" w:type="dxa"/>
            <w:tcBorders>
              <w:tl2br w:val="nil"/>
              <w:tr2bl w:val="nil"/>
            </w:tcBorders>
            <w:vAlign w:val="center"/>
          </w:tcPr>
          <w:p w14:paraId="0EB11D1B">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50</w:t>
            </w:r>
          </w:p>
        </w:tc>
        <w:tc>
          <w:tcPr>
            <w:tcW w:w="1915" w:type="dxa"/>
            <w:tcBorders>
              <w:tl2br w:val="nil"/>
              <w:tr2bl w:val="nil"/>
            </w:tcBorders>
            <w:vAlign w:val="center"/>
          </w:tcPr>
          <w:p w14:paraId="4D8B6869">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100</w:t>
            </w:r>
          </w:p>
        </w:tc>
        <w:tc>
          <w:tcPr>
            <w:tcW w:w="1106" w:type="dxa"/>
            <w:tcBorders>
              <w:tl2br w:val="nil"/>
              <w:tr2bl w:val="nil"/>
            </w:tcBorders>
            <w:vAlign w:val="center"/>
          </w:tcPr>
          <w:p w14:paraId="778655FC">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250</w:t>
            </w:r>
          </w:p>
        </w:tc>
        <w:tc>
          <w:tcPr>
            <w:tcW w:w="985" w:type="dxa"/>
            <w:vMerge w:val="continue"/>
            <w:tcBorders>
              <w:tl2br w:val="nil"/>
              <w:tr2bl w:val="nil"/>
            </w:tcBorders>
            <w:vAlign w:val="center"/>
          </w:tcPr>
          <w:p w14:paraId="3BF5717D">
            <w:pPr>
              <w:pStyle w:val="47"/>
              <w:adjustRightInd/>
              <w:snapToGrid/>
              <w:spacing w:line="240" w:lineRule="auto"/>
              <w:rPr>
                <w:rFonts w:hint="default" w:ascii="Times New Roman" w:hAnsi="Times New Roman" w:eastAsia="宋体" w:cs="Times New Roman"/>
                <w:b w:val="0"/>
                <w:bCs/>
                <w:sz w:val="18"/>
                <w:szCs w:val="18"/>
              </w:rPr>
            </w:pPr>
          </w:p>
        </w:tc>
        <w:tc>
          <w:tcPr>
            <w:tcW w:w="2964" w:type="dxa"/>
            <w:vMerge w:val="continue"/>
            <w:tcBorders>
              <w:tl2br w:val="nil"/>
              <w:tr2bl w:val="nil"/>
            </w:tcBorders>
            <w:vAlign w:val="center"/>
          </w:tcPr>
          <w:p w14:paraId="235597D8">
            <w:pPr>
              <w:pStyle w:val="47"/>
              <w:adjustRightInd/>
              <w:snapToGrid/>
              <w:spacing w:line="240" w:lineRule="auto"/>
              <w:rPr>
                <w:rFonts w:hint="default" w:ascii="Times New Roman" w:hAnsi="Times New Roman" w:eastAsia="宋体" w:cs="Times New Roman"/>
                <w:b w:val="0"/>
                <w:bCs/>
                <w:sz w:val="18"/>
                <w:szCs w:val="18"/>
              </w:rPr>
            </w:pPr>
          </w:p>
        </w:tc>
      </w:tr>
    </w:tbl>
    <w:p w14:paraId="5204D267">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2、地表水</w:t>
      </w:r>
    </w:p>
    <w:p w14:paraId="713970F5">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eastAsia="宋体" w:cs="Times New Roman"/>
          <w:color w:val="auto"/>
          <w:kern w:val="2"/>
          <w:sz w:val="24"/>
          <w:szCs w:val="24"/>
          <w:lang w:val="en-US" w:eastAsia="zh-CN" w:bidi="ar-SA"/>
        </w:rPr>
        <w:t>项目区最近地表水体为</w:t>
      </w:r>
      <w:r>
        <w:rPr>
          <w:rFonts w:hint="default" w:ascii="Times New Roman" w:hAnsi="Times New Roman" w:cs="Times New Roman"/>
          <w:color w:val="auto"/>
          <w:kern w:val="2"/>
          <w:sz w:val="24"/>
          <w:szCs w:val="24"/>
          <w:lang w:val="en-US" w:eastAsia="zh-CN" w:bidi="ar-SA"/>
        </w:rPr>
        <w:t>西</w:t>
      </w:r>
      <w:r>
        <w:rPr>
          <w:rFonts w:hint="default" w:ascii="Times New Roman" w:hAnsi="Times New Roman" w:eastAsia="宋体" w:cs="Times New Roman"/>
          <w:color w:val="auto"/>
          <w:kern w:val="2"/>
          <w:sz w:val="24"/>
          <w:szCs w:val="24"/>
          <w:lang w:val="en-US" w:eastAsia="zh-CN" w:bidi="ar-SA"/>
        </w:rPr>
        <w:t>侧</w:t>
      </w:r>
      <w:r>
        <w:rPr>
          <w:rFonts w:hint="default" w:ascii="Times New Roman" w:hAnsi="Times New Roman" w:cs="Times New Roman"/>
          <w:color w:val="auto"/>
          <w:kern w:val="2"/>
          <w:sz w:val="24"/>
          <w:szCs w:val="24"/>
          <w:lang w:val="en-US" w:eastAsia="zh-CN" w:bidi="ar-SA"/>
        </w:rPr>
        <w:t>里牌</w:t>
      </w:r>
      <w:r>
        <w:rPr>
          <w:rFonts w:hint="default" w:ascii="Times New Roman" w:hAnsi="Times New Roman" w:eastAsia="宋体" w:cs="Times New Roman"/>
          <w:color w:val="auto"/>
          <w:kern w:val="2"/>
          <w:sz w:val="24"/>
          <w:szCs w:val="24"/>
          <w:lang w:val="en-US" w:eastAsia="zh-CN" w:bidi="ar-SA"/>
        </w:rPr>
        <w:t>河，</w:t>
      </w:r>
      <w:r>
        <w:rPr>
          <w:rFonts w:hint="default" w:ascii="Times New Roman" w:hAnsi="Times New Roman" w:cs="Times New Roman"/>
          <w:color w:val="auto"/>
          <w:kern w:val="2"/>
          <w:sz w:val="24"/>
          <w:szCs w:val="24"/>
          <w:lang w:val="en-US" w:eastAsia="zh-CN" w:bidi="ar-SA"/>
        </w:rPr>
        <w:t>由北侧</w:t>
      </w:r>
      <w:r>
        <w:rPr>
          <w:rFonts w:hint="default" w:ascii="Times New Roman" w:hAnsi="Times New Roman" w:eastAsia="宋体" w:cs="Times New Roman"/>
          <w:color w:val="auto"/>
          <w:kern w:val="2"/>
          <w:sz w:val="24"/>
          <w:szCs w:val="24"/>
          <w:lang w:val="en-US" w:eastAsia="zh-CN" w:bidi="ar-SA"/>
        </w:rPr>
        <w:t>汇入小河底河（龟枢河）。</w:t>
      </w:r>
      <w:r>
        <w:rPr>
          <w:rFonts w:hint="default" w:ascii="Times New Roman" w:hAnsi="Times New Roman" w:cs="Times New Roman" w:eastAsiaTheme="minorEastAsia"/>
          <w:color w:val="auto"/>
          <w:sz w:val="24"/>
          <w:szCs w:val="24"/>
        </w:rPr>
        <w:t>根据云南省水利厅制定的《云南省水功能区划（2014 年修订）》（云政复〔2014〕27 号），小河底河新平-元江保留区执行《地表水环境质量标准》（GB3838-2002）Ⅲ类水质标准。因此</w:t>
      </w:r>
      <w:r>
        <w:rPr>
          <w:rFonts w:hint="default" w:ascii="Times New Roman" w:hAnsi="Times New Roman" w:cs="Times New Roman" w:eastAsiaTheme="minorEastAsia"/>
          <w:color w:val="auto"/>
          <w:sz w:val="24"/>
          <w:szCs w:val="24"/>
          <w:lang w:val="en-US" w:eastAsia="zh-CN"/>
        </w:rPr>
        <w:t>里牌河</w:t>
      </w:r>
      <w:r>
        <w:rPr>
          <w:rFonts w:hint="default" w:ascii="Times New Roman" w:hAnsi="Times New Roman" w:cs="Times New Roman" w:eastAsiaTheme="minorEastAsia"/>
          <w:color w:val="auto"/>
          <w:sz w:val="24"/>
          <w:szCs w:val="24"/>
        </w:rPr>
        <w:t>水质执行《地表水环境质量标准》（GB3838-2002）表1“地表水环境质量标准基本项目标准限值”中Ⅲ类水质标准。</w:t>
      </w:r>
      <w:r>
        <w:rPr>
          <w:rFonts w:hint="default" w:ascii="Times New Roman" w:hAnsi="Times New Roman" w:cs="Times New Roman" w:eastAsiaTheme="minorEastAsia"/>
          <w:sz w:val="24"/>
          <w:szCs w:val="24"/>
        </w:rPr>
        <w:t>其标准值见表</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.4-2。</w:t>
      </w:r>
    </w:p>
    <w:p w14:paraId="7B1A6FE1">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.4-2  地表水环境质量标准    单位：mg/L</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54"/>
        <w:gridCol w:w="1852"/>
        <w:gridCol w:w="2934"/>
        <w:gridCol w:w="1446"/>
      </w:tblGrid>
      <w:tr w14:paraId="35D558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644" w:type="pct"/>
            <w:tcBorders>
              <w:tl2br w:val="nil"/>
              <w:tr2bl w:val="nil"/>
            </w:tcBorders>
            <w:vAlign w:val="center"/>
          </w:tcPr>
          <w:p w14:paraId="68BFE292">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项   目</w:t>
            </w:r>
          </w:p>
        </w:tc>
        <w:tc>
          <w:tcPr>
            <w:tcW w:w="997" w:type="pct"/>
            <w:tcBorders>
              <w:tl2br w:val="nil"/>
              <w:tr2bl w:val="nil"/>
            </w:tcBorders>
            <w:vAlign w:val="center"/>
          </w:tcPr>
          <w:p w14:paraId="7A2D55B6">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fldChar w:fldCharType="begin"/>
            </w:r>
            <w:r>
              <w:rPr>
                <w:rFonts w:hint="default" w:ascii="Times New Roman" w:hAnsi="Times New Roman" w:eastAsia="宋体" w:cs="Times New Roman"/>
                <w:b w:val="0"/>
                <w:bCs/>
                <w:sz w:val="18"/>
                <w:szCs w:val="18"/>
              </w:rPr>
              <w:instrText xml:space="preserve"> = 3 \* ROMAN </w:instrText>
            </w:r>
            <w:r>
              <w:rPr>
                <w:rFonts w:hint="default" w:ascii="Times New Roman" w:hAnsi="Times New Roman" w:eastAsia="宋体" w:cs="Times New Roman"/>
                <w:b w:val="0"/>
                <w:bCs/>
                <w:sz w:val="18"/>
                <w:szCs w:val="18"/>
              </w:rPr>
              <w:fldChar w:fldCharType="separate"/>
            </w:r>
            <w:r>
              <w:rPr>
                <w:rFonts w:hint="default" w:ascii="Times New Roman" w:hAnsi="Times New Roman" w:eastAsia="宋体" w:cs="Times New Roman"/>
                <w:b w:val="0"/>
                <w:bCs/>
                <w:sz w:val="18"/>
                <w:szCs w:val="18"/>
              </w:rPr>
              <w:t>III</w:t>
            </w:r>
            <w:r>
              <w:rPr>
                <w:rFonts w:hint="default" w:ascii="Times New Roman" w:hAnsi="Times New Roman" w:eastAsia="宋体" w:cs="Times New Roman"/>
                <w:b w:val="0"/>
                <w:bCs/>
                <w:sz w:val="18"/>
                <w:szCs w:val="18"/>
              </w:rPr>
              <w:fldChar w:fldCharType="end"/>
            </w:r>
            <w:r>
              <w:rPr>
                <w:rFonts w:hint="default" w:ascii="Times New Roman" w:hAnsi="Times New Roman" w:eastAsia="宋体" w:cs="Times New Roman"/>
                <w:b w:val="0"/>
                <w:bCs/>
                <w:sz w:val="18"/>
                <w:szCs w:val="18"/>
              </w:rPr>
              <w:t>类标准值</w:t>
            </w:r>
          </w:p>
        </w:tc>
        <w:tc>
          <w:tcPr>
            <w:tcW w:w="1579" w:type="pct"/>
            <w:tcBorders>
              <w:tl2br w:val="nil"/>
              <w:tr2bl w:val="nil"/>
            </w:tcBorders>
            <w:vAlign w:val="center"/>
          </w:tcPr>
          <w:p w14:paraId="42540AE3">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项   目</w:t>
            </w:r>
          </w:p>
        </w:tc>
        <w:tc>
          <w:tcPr>
            <w:tcW w:w="778" w:type="pct"/>
            <w:tcBorders>
              <w:tl2br w:val="nil"/>
              <w:tr2bl w:val="nil"/>
            </w:tcBorders>
            <w:vAlign w:val="center"/>
          </w:tcPr>
          <w:p w14:paraId="22469810">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fldChar w:fldCharType="begin"/>
            </w:r>
            <w:r>
              <w:rPr>
                <w:rFonts w:hint="default" w:ascii="Times New Roman" w:hAnsi="Times New Roman" w:eastAsia="宋体" w:cs="Times New Roman"/>
                <w:b w:val="0"/>
                <w:bCs/>
                <w:sz w:val="18"/>
                <w:szCs w:val="18"/>
              </w:rPr>
              <w:instrText xml:space="preserve"> = 3 \* ROMAN </w:instrText>
            </w:r>
            <w:r>
              <w:rPr>
                <w:rFonts w:hint="default" w:ascii="Times New Roman" w:hAnsi="Times New Roman" w:eastAsia="宋体" w:cs="Times New Roman"/>
                <w:b w:val="0"/>
                <w:bCs/>
                <w:sz w:val="18"/>
                <w:szCs w:val="18"/>
              </w:rPr>
              <w:fldChar w:fldCharType="separate"/>
            </w:r>
            <w:r>
              <w:rPr>
                <w:rFonts w:hint="default" w:ascii="Times New Roman" w:hAnsi="Times New Roman" w:eastAsia="宋体" w:cs="Times New Roman"/>
                <w:b w:val="0"/>
                <w:bCs/>
                <w:sz w:val="18"/>
                <w:szCs w:val="18"/>
              </w:rPr>
              <w:t>III</w:t>
            </w:r>
            <w:r>
              <w:rPr>
                <w:rFonts w:hint="default" w:ascii="Times New Roman" w:hAnsi="Times New Roman" w:eastAsia="宋体" w:cs="Times New Roman"/>
                <w:b w:val="0"/>
                <w:bCs/>
                <w:sz w:val="18"/>
                <w:szCs w:val="18"/>
              </w:rPr>
              <w:fldChar w:fldCharType="end"/>
            </w:r>
            <w:r>
              <w:rPr>
                <w:rFonts w:hint="default" w:ascii="Times New Roman" w:hAnsi="Times New Roman" w:eastAsia="宋体" w:cs="Times New Roman"/>
                <w:b w:val="0"/>
                <w:bCs/>
                <w:sz w:val="18"/>
                <w:szCs w:val="18"/>
              </w:rPr>
              <w:t>类标准值</w:t>
            </w:r>
          </w:p>
        </w:tc>
      </w:tr>
      <w:tr w14:paraId="6DD31F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vAlign w:val="center"/>
          </w:tcPr>
          <w:p w14:paraId="7B2409A1">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pH值</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rPr>
              <w:t>无量纲</w:t>
            </w:r>
            <w:r>
              <w:rPr>
                <w:rFonts w:hint="default" w:ascii="Times New Roman" w:hAnsi="Times New Roman" w:eastAsia="宋体" w:cs="Times New Roman"/>
                <w:b w:val="0"/>
                <w:bCs/>
                <w:sz w:val="18"/>
                <w:szCs w:val="18"/>
                <w:lang w:eastAsia="zh-CN"/>
              </w:rPr>
              <w:t>）</w:t>
            </w:r>
          </w:p>
        </w:tc>
        <w:tc>
          <w:tcPr>
            <w:tcW w:w="997" w:type="pct"/>
            <w:tcBorders>
              <w:tl2br w:val="nil"/>
              <w:tr2bl w:val="nil"/>
            </w:tcBorders>
            <w:vAlign w:val="center"/>
          </w:tcPr>
          <w:p w14:paraId="3FB73549">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6-9</w:t>
            </w:r>
          </w:p>
        </w:tc>
        <w:tc>
          <w:tcPr>
            <w:tcW w:w="1579" w:type="pct"/>
            <w:tcBorders>
              <w:tl2br w:val="nil"/>
              <w:tr2bl w:val="nil"/>
            </w:tcBorders>
            <w:vAlign w:val="center"/>
          </w:tcPr>
          <w:p w14:paraId="57EE0FCF">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氰化物  ≤</w:t>
            </w:r>
          </w:p>
        </w:tc>
        <w:tc>
          <w:tcPr>
            <w:tcW w:w="778" w:type="pct"/>
            <w:tcBorders>
              <w:tl2br w:val="nil"/>
              <w:tr2bl w:val="nil"/>
            </w:tcBorders>
            <w:vAlign w:val="center"/>
          </w:tcPr>
          <w:p w14:paraId="1D09F0D0">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0.2</w:t>
            </w:r>
          </w:p>
        </w:tc>
      </w:tr>
      <w:tr w14:paraId="1746D4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vAlign w:val="center"/>
          </w:tcPr>
          <w:p w14:paraId="6C5AA4AB">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溶解氧  ≥</w:t>
            </w:r>
          </w:p>
        </w:tc>
        <w:tc>
          <w:tcPr>
            <w:tcW w:w="997" w:type="pct"/>
            <w:tcBorders>
              <w:tl2br w:val="nil"/>
              <w:tr2bl w:val="nil"/>
            </w:tcBorders>
            <w:vAlign w:val="center"/>
          </w:tcPr>
          <w:p w14:paraId="31C077A5">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5</w:t>
            </w:r>
          </w:p>
        </w:tc>
        <w:tc>
          <w:tcPr>
            <w:tcW w:w="1579" w:type="pct"/>
            <w:tcBorders>
              <w:tl2br w:val="nil"/>
              <w:tr2bl w:val="nil"/>
            </w:tcBorders>
            <w:vAlign w:val="center"/>
          </w:tcPr>
          <w:p w14:paraId="791B299B">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挥发酚  ≤</w:t>
            </w:r>
          </w:p>
        </w:tc>
        <w:tc>
          <w:tcPr>
            <w:tcW w:w="778" w:type="pct"/>
            <w:tcBorders>
              <w:tl2br w:val="nil"/>
              <w:tr2bl w:val="nil"/>
            </w:tcBorders>
            <w:vAlign w:val="center"/>
          </w:tcPr>
          <w:p w14:paraId="2AEC7724">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0.005</w:t>
            </w:r>
          </w:p>
        </w:tc>
      </w:tr>
      <w:tr w14:paraId="0D161A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vAlign w:val="center"/>
          </w:tcPr>
          <w:p w14:paraId="3F9BA4F3">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高锰酸盐指数  ≤</w:t>
            </w:r>
          </w:p>
        </w:tc>
        <w:tc>
          <w:tcPr>
            <w:tcW w:w="997" w:type="pct"/>
            <w:tcBorders>
              <w:tl2br w:val="nil"/>
              <w:tr2bl w:val="nil"/>
            </w:tcBorders>
            <w:vAlign w:val="center"/>
          </w:tcPr>
          <w:p w14:paraId="519F8A2F">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6</w:t>
            </w:r>
          </w:p>
        </w:tc>
        <w:tc>
          <w:tcPr>
            <w:tcW w:w="1579" w:type="pct"/>
            <w:tcBorders>
              <w:tl2br w:val="nil"/>
              <w:tr2bl w:val="nil"/>
            </w:tcBorders>
            <w:vAlign w:val="center"/>
          </w:tcPr>
          <w:p w14:paraId="2FDCF661">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石油类   ≤</w:t>
            </w:r>
          </w:p>
        </w:tc>
        <w:tc>
          <w:tcPr>
            <w:tcW w:w="778" w:type="pct"/>
            <w:tcBorders>
              <w:tl2br w:val="nil"/>
              <w:tr2bl w:val="nil"/>
            </w:tcBorders>
            <w:vAlign w:val="center"/>
          </w:tcPr>
          <w:p w14:paraId="4E386F85">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0.05</w:t>
            </w:r>
          </w:p>
        </w:tc>
      </w:tr>
      <w:tr w14:paraId="1832C9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vAlign w:val="center"/>
          </w:tcPr>
          <w:p w14:paraId="4627E29A">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 xml:space="preserve"> 化学需氧量（COD） ≤</w:t>
            </w:r>
          </w:p>
        </w:tc>
        <w:tc>
          <w:tcPr>
            <w:tcW w:w="997" w:type="pct"/>
            <w:tcBorders>
              <w:tl2br w:val="nil"/>
              <w:tr2bl w:val="nil"/>
            </w:tcBorders>
            <w:vAlign w:val="center"/>
          </w:tcPr>
          <w:p w14:paraId="2AE2ED1C">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20</w:t>
            </w:r>
          </w:p>
        </w:tc>
        <w:tc>
          <w:tcPr>
            <w:tcW w:w="1579" w:type="pct"/>
            <w:tcBorders>
              <w:tl2br w:val="nil"/>
              <w:tr2bl w:val="nil"/>
            </w:tcBorders>
            <w:vAlign w:val="center"/>
          </w:tcPr>
          <w:p w14:paraId="145830C9">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阴离子表面活性剂   ≤</w:t>
            </w:r>
          </w:p>
        </w:tc>
        <w:tc>
          <w:tcPr>
            <w:tcW w:w="778" w:type="pct"/>
            <w:tcBorders>
              <w:tl2br w:val="nil"/>
              <w:tr2bl w:val="nil"/>
            </w:tcBorders>
            <w:vAlign w:val="center"/>
          </w:tcPr>
          <w:p w14:paraId="6E8D9135">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0.2</w:t>
            </w:r>
          </w:p>
        </w:tc>
      </w:tr>
      <w:tr w14:paraId="472499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vAlign w:val="center"/>
          </w:tcPr>
          <w:p w14:paraId="30051C12">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五日生化需氧量（BOD</w:t>
            </w:r>
            <w:r>
              <w:rPr>
                <w:rFonts w:hint="default" w:ascii="Times New Roman" w:hAnsi="Times New Roman" w:eastAsia="宋体" w:cs="Times New Roman"/>
                <w:b w:val="0"/>
                <w:bCs/>
                <w:sz w:val="18"/>
                <w:szCs w:val="18"/>
                <w:vertAlign w:val="subscript"/>
              </w:rPr>
              <w:t>5</w:t>
            </w:r>
            <w:r>
              <w:rPr>
                <w:rFonts w:hint="default" w:ascii="Times New Roman" w:hAnsi="Times New Roman" w:eastAsia="宋体" w:cs="Times New Roman"/>
                <w:b w:val="0"/>
                <w:bCs/>
                <w:sz w:val="18"/>
                <w:szCs w:val="18"/>
              </w:rPr>
              <w:t>）≤</w:t>
            </w:r>
          </w:p>
        </w:tc>
        <w:tc>
          <w:tcPr>
            <w:tcW w:w="997" w:type="pct"/>
            <w:tcBorders>
              <w:tl2br w:val="nil"/>
              <w:tr2bl w:val="nil"/>
            </w:tcBorders>
            <w:vAlign w:val="center"/>
          </w:tcPr>
          <w:p w14:paraId="5CB01383">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4</w:t>
            </w:r>
          </w:p>
        </w:tc>
        <w:tc>
          <w:tcPr>
            <w:tcW w:w="1579" w:type="pct"/>
            <w:tcBorders>
              <w:tl2br w:val="nil"/>
              <w:tr2bl w:val="nil"/>
            </w:tcBorders>
            <w:vAlign w:val="center"/>
          </w:tcPr>
          <w:p w14:paraId="0E1DF848">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硫化物  ≤</w:t>
            </w:r>
          </w:p>
        </w:tc>
        <w:tc>
          <w:tcPr>
            <w:tcW w:w="778" w:type="pct"/>
            <w:tcBorders>
              <w:tl2br w:val="nil"/>
              <w:tr2bl w:val="nil"/>
            </w:tcBorders>
            <w:vAlign w:val="center"/>
          </w:tcPr>
          <w:p w14:paraId="64ECC253">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0.2</w:t>
            </w:r>
          </w:p>
        </w:tc>
      </w:tr>
      <w:tr w14:paraId="140D06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vAlign w:val="center"/>
          </w:tcPr>
          <w:p w14:paraId="28C58B41">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 xml:space="preserve"> 氨氮</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rPr>
              <w:t>NH</w:t>
            </w:r>
            <w:r>
              <w:rPr>
                <w:rFonts w:hint="default" w:ascii="Times New Roman" w:hAnsi="Times New Roman" w:eastAsia="宋体" w:cs="Times New Roman"/>
                <w:b w:val="0"/>
                <w:bCs/>
                <w:sz w:val="18"/>
                <w:szCs w:val="18"/>
                <w:vertAlign w:val="subscript"/>
              </w:rPr>
              <w:t>3</w:t>
            </w:r>
            <w:r>
              <w:rPr>
                <w:rFonts w:hint="default" w:ascii="Times New Roman" w:hAnsi="Times New Roman" w:eastAsia="宋体" w:cs="Times New Roman"/>
                <w:b w:val="0"/>
                <w:bCs/>
                <w:sz w:val="18"/>
                <w:szCs w:val="18"/>
              </w:rPr>
              <w:t>-N</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rPr>
              <w:t xml:space="preserve">  ≤</w:t>
            </w:r>
          </w:p>
        </w:tc>
        <w:tc>
          <w:tcPr>
            <w:tcW w:w="997" w:type="pct"/>
            <w:tcBorders>
              <w:tl2br w:val="nil"/>
              <w:tr2bl w:val="nil"/>
            </w:tcBorders>
            <w:vAlign w:val="center"/>
          </w:tcPr>
          <w:p w14:paraId="67792EF4">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1.0</w:t>
            </w:r>
          </w:p>
        </w:tc>
        <w:tc>
          <w:tcPr>
            <w:tcW w:w="1579" w:type="pct"/>
            <w:tcBorders>
              <w:tl2br w:val="nil"/>
              <w:tr2bl w:val="nil"/>
            </w:tcBorders>
            <w:vAlign w:val="center"/>
          </w:tcPr>
          <w:p w14:paraId="2F2038F2">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 xml:space="preserve">  粪大肠菌群（个／L）  ≤</w:t>
            </w:r>
          </w:p>
        </w:tc>
        <w:tc>
          <w:tcPr>
            <w:tcW w:w="778" w:type="pct"/>
            <w:tcBorders>
              <w:tl2br w:val="nil"/>
              <w:tr2bl w:val="nil"/>
            </w:tcBorders>
            <w:vAlign w:val="center"/>
          </w:tcPr>
          <w:p w14:paraId="2A94AF01">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10000</w:t>
            </w:r>
          </w:p>
        </w:tc>
      </w:tr>
      <w:tr w14:paraId="33BCDC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vAlign w:val="center"/>
          </w:tcPr>
          <w:p w14:paraId="06C12651">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总磷（以 P 计）≤</w:t>
            </w:r>
          </w:p>
        </w:tc>
        <w:tc>
          <w:tcPr>
            <w:tcW w:w="997" w:type="pct"/>
            <w:tcBorders>
              <w:tl2br w:val="nil"/>
              <w:tr2bl w:val="nil"/>
            </w:tcBorders>
            <w:vAlign w:val="center"/>
          </w:tcPr>
          <w:p w14:paraId="30F247C4">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0.2</w:t>
            </w:r>
          </w:p>
        </w:tc>
        <w:tc>
          <w:tcPr>
            <w:tcW w:w="1579" w:type="pct"/>
            <w:tcBorders>
              <w:tl2br w:val="nil"/>
              <w:tr2bl w:val="nil"/>
            </w:tcBorders>
            <w:vAlign w:val="center"/>
          </w:tcPr>
          <w:p w14:paraId="738C9404">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砷   ≤</w:t>
            </w:r>
          </w:p>
        </w:tc>
        <w:tc>
          <w:tcPr>
            <w:tcW w:w="778" w:type="pct"/>
            <w:tcBorders>
              <w:tl2br w:val="nil"/>
              <w:tr2bl w:val="nil"/>
            </w:tcBorders>
            <w:vAlign w:val="center"/>
          </w:tcPr>
          <w:p w14:paraId="6ACF7041">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0.05</w:t>
            </w:r>
          </w:p>
        </w:tc>
      </w:tr>
      <w:tr w14:paraId="4CCA88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vAlign w:val="center"/>
          </w:tcPr>
          <w:p w14:paraId="1082E493">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 xml:space="preserve">          铜   ≤</w:t>
            </w:r>
          </w:p>
        </w:tc>
        <w:tc>
          <w:tcPr>
            <w:tcW w:w="997" w:type="pct"/>
            <w:tcBorders>
              <w:tl2br w:val="nil"/>
              <w:tr2bl w:val="nil"/>
            </w:tcBorders>
            <w:vAlign w:val="center"/>
          </w:tcPr>
          <w:p w14:paraId="453C0F61">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1.0</w:t>
            </w:r>
          </w:p>
        </w:tc>
        <w:tc>
          <w:tcPr>
            <w:tcW w:w="1579" w:type="pct"/>
            <w:tcBorders>
              <w:tl2br w:val="nil"/>
              <w:tr2bl w:val="nil"/>
            </w:tcBorders>
            <w:vAlign w:val="center"/>
          </w:tcPr>
          <w:p w14:paraId="426097C8">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汞  ≤</w:t>
            </w:r>
          </w:p>
        </w:tc>
        <w:tc>
          <w:tcPr>
            <w:tcW w:w="778" w:type="pct"/>
            <w:tcBorders>
              <w:tl2br w:val="nil"/>
              <w:tr2bl w:val="nil"/>
            </w:tcBorders>
            <w:vAlign w:val="center"/>
          </w:tcPr>
          <w:p w14:paraId="267BB9DA">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0.0001</w:t>
            </w:r>
          </w:p>
        </w:tc>
      </w:tr>
      <w:tr w14:paraId="1375A0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vAlign w:val="center"/>
          </w:tcPr>
          <w:p w14:paraId="1B97E261">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 xml:space="preserve">          锌  ≤</w:t>
            </w:r>
          </w:p>
        </w:tc>
        <w:tc>
          <w:tcPr>
            <w:tcW w:w="997" w:type="pct"/>
            <w:tcBorders>
              <w:tl2br w:val="nil"/>
              <w:tr2bl w:val="nil"/>
            </w:tcBorders>
            <w:vAlign w:val="center"/>
          </w:tcPr>
          <w:p w14:paraId="154A4575">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1.0</w:t>
            </w:r>
          </w:p>
        </w:tc>
        <w:tc>
          <w:tcPr>
            <w:tcW w:w="1579" w:type="pct"/>
            <w:tcBorders>
              <w:tl2br w:val="nil"/>
              <w:tr2bl w:val="nil"/>
            </w:tcBorders>
            <w:vAlign w:val="center"/>
          </w:tcPr>
          <w:p w14:paraId="4954F04D">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镉  ≤</w:t>
            </w:r>
          </w:p>
        </w:tc>
        <w:tc>
          <w:tcPr>
            <w:tcW w:w="778" w:type="pct"/>
            <w:tcBorders>
              <w:tl2br w:val="nil"/>
              <w:tr2bl w:val="nil"/>
            </w:tcBorders>
            <w:vAlign w:val="center"/>
          </w:tcPr>
          <w:p w14:paraId="26038C16">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0.005</w:t>
            </w:r>
          </w:p>
        </w:tc>
      </w:tr>
      <w:tr w14:paraId="3A133F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vAlign w:val="center"/>
          </w:tcPr>
          <w:p w14:paraId="6000ED5C">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 xml:space="preserve">  氟化物（以 F- 计）≤</w:t>
            </w:r>
          </w:p>
        </w:tc>
        <w:tc>
          <w:tcPr>
            <w:tcW w:w="997" w:type="pct"/>
            <w:tcBorders>
              <w:tl2br w:val="nil"/>
              <w:tr2bl w:val="nil"/>
            </w:tcBorders>
            <w:vAlign w:val="center"/>
          </w:tcPr>
          <w:p w14:paraId="3130FEA8">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1.0</w:t>
            </w:r>
          </w:p>
        </w:tc>
        <w:tc>
          <w:tcPr>
            <w:tcW w:w="1579" w:type="pct"/>
            <w:tcBorders>
              <w:tl2br w:val="nil"/>
              <w:tr2bl w:val="nil"/>
            </w:tcBorders>
            <w:vAlign w:val="center"/>
          </w:tcPr>
          <w:p w14:paraId="2FFE4431">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铬（六价）≤</w:t>
            </w:r>
          </w:p>
        </w:tc>
        <w:tc>
          <w:tcPr>
            <w:tcW w:w="778" w:type="pct"/>
            <w:tcBorders>
              <w:tl2br w:val="nil"/>
              <w:tr2bl w:val="nil"/>
            </w:tcBorders>
            <w:vAlign w:val="center"/>
          </w:tcPr>
          <w:p w14:paraId="339616CE">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0.05</w:t>
            </w:r>
          </w:p>
        </w:tc>
      </w:tr>
      <w:tr w14:paraId="3B64EF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vAlign w:val="center"/>
          </w:tcPr>
          <w:p w14:paraId="046461FB">
            <w:pPr>
              <w:pStyle w:val="47"/>
              <w:adjustRightInd/>
              <w:snapToGrid/>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 xml:space="preserve">        硒  ≤</w:t>
            </w:r>
          </w:p>
        </w:tc>
        <w:tc>
          <w:tcPr>
            <w:tcW w:w="997" w:type="pct"/>
            <w:tcBorders>
              <w:tl2br w:val="nil"/>
              <w:tr2bl w:val="nil"/>
            </w:tcBorders>
            <w:vAlign w:val="center"/>
          </w:tcPr>
          <w:p w14:paraId="1484CCDD">
            <w:pPr>
              <w:pStyle w:val="47"/>
              <w:adjustRightInd/>
              <w:snapToGrid/>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0.01</w:t>
            </w:r>
          </w:p>
        </w:tc>
        <w:tc>
          <w:tcPr>
            <w:tcW w:w="1579" w:type="pct"/>
            <w:tcBorders>
              <w:tl2br w:val="nil"/>
              <w:tr2bl w:val="nil"/>
            </w:tcBorders>
            <w:vAlign w:val="center"/>
          </w:tcPr>
          <w:p w14:paraId="6285BA48">
            <w:pPr>
              <w:pStyle w:val="47"/>
              <w:adjustRightInd/>
              <w:snapToGrid/>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铅  ≤</w:t>
            </w:r>
          </w:p>
        </w:tc>
        <w:tc>
          <w:tcPr>
            <w:tcW w:w="778" w:type="pct"/>
            <w:tcBorders>
              <w:tl2br w:val="nil"/>
              <w:tr2bl w:val="nil"/>
            </w:tcBorders>
            <w:vAlign w:val="center"/>
          </w:tcPr>
          <w:p w14:paraId="1871A313">
            <w:pPr>
              <w:pStyle w:val="47"/>
              <w:adjustRightInd/>
              <w:snapToGrid/>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0.05</w:t>
            </w:r>
          </w:p>
        </w:tc>
      </w:tr>
    </w:tbl>
    <w:p w14:paraId="4D9ECF81">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3、地下水</w:t>
      </w:r>
    </w:p>
    <w:p w14:paraId="7E83092F">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项目评价区地下水执行《地下水质量标准》（GB/T14848-2017）Ⅲ类标准，其标准值见表</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.4-3。</w:t>
      </w:r>
    </w:p>
    <w:p w14:paraId="7BF06DAF">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.4-3   地下水质量标准   单位：mg/L</w:t>
      </w:r>
    </w:p>
    <w:tbl>
      <w:tblPr>
        <w:tblStyle w:val="2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492"/>
        <w:gridCol w:w="1080"/>
        <w:gridCol w:w="1633"/>
        <w:gridCol w:w="592"/>
        <w:gridCol w:w="1235"/>
        <w:gridCol w:w="1281"/>
        <w:gridCol w:w="1380"/>
      </w:tblGrid>
      <w:tr w14:paraId="5E853A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319" w:type="pct"/>
            <w:tcBorders>
              <w:tl2br w:val="nil"/>
              <w:tr2bl w:val="nil"/>
            </w:tcBorders>
            <w:vAlign w:val="center"/>
          </w:tcPr>
          <w:p w14:paraId="46D120D9">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序号</w:t>
            </w:r>
          </w:p>
        </w:tc>
        <w:tc>
          <w:tcPr>
            <w:tcW w:w="803" w:type="pct"/>
            <w:tcBorders>
              <w:tl2br w:val="nil"/>
              <w:tr2bl w:val="nil"/>
            </w:tcBorders>
            <w:vAlign w:val="center"/>
          </w:tcPr>
          <w:p w14:paraId="4DD51F1E">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w:t>
            </w:r>
          </w:p>
        </w:tc>
        <w:tc>
          <w:tcPr>
            <w:tcW w:w="581" w:type="pct"/>
            <w:tcBorders>
              <w:tl2br w:val="nil"/>
              <w:tr2bl w:val="nil"/>
            </w:tcBorders>
            <w:vAlign w:val="center"/>
          </w:tcPr>
          <w:p w14:paraId="0DAB81B9">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单位</w:t>
            </w:r>
          </w:p>
        </w:tc>
        <w:tc>
          <w:tcPr>
            <w:tcW w:w="879" w:type="pct"/>
            <w:tcBorders>
              <w:tl2br w:val="nil"/>
              <w:tr2bl w:val="nil"/>
            </w:tcBorders>
            <w:vAlign w:val="center"/>
          </w:tcPr>
          <w:p w14:paraId="161A1372">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Ⅲ类标准限值</w:t>
            </w:r>
          </w:p>
        </w:tc>
        <w:tc>
          <w:tcPr>
            <w:tcW w:w="318" w:type="pct"/>
            <w:tcBorders>
              <w:tl2br w:val="nil"/>
              <w:tr2bl w:val="nil"/>
            </w:tcBorders>
            <w:vAlign w:val="center"/>
          </w:tcPr>
          <w:p w14:paraId="3C6998D3">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序号</w:t>
            </w:r>
          </w:p>
        </w:tc>
        <w:tc>
          <w:tcPr>
            <w:tcW w:w="664" w:type="pct"/>
            <w:tcBorders>
              <w:tl2br w:val="nil"/>
              <w:tr2bl w:val="nil"/>
            </w:tcBorders>
            <w:vAlign w:val="center"/>
          </w:tcPr>
          <w:p w14:paraId="396D115A">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w:t>
            </w:r>
          </w:p>
        </w:tc>
        <w:tc>
          <w:tcPr>
            <w:tcW w:w="689" w:type="pct"/>
            <w:tcBorders>
              <w:tl2br w:val="nil"/>
              <w:tr2bl w:val="nil"/>
            </w:tcBorders>
            <w:vAlign w:val="center"/>
          </w:tcPr>
          <w:p w14:paraId="77AE8846">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单位</w:t>
            </w:r>
          </w:p>
        </w:tc>
        <w:tc>
          <w:tcPr>
            <w:tcW w:w="743" w:type="pct"/>
            <w:tcBorders>
              <w:tl2br w:val="nil"/>
              <w:tr2bl w:val="nil"/>
            </w:tcBorders>
            <w:vAlign w:val="center"/>
          </w:tcPr>
          <w:p w14:paraId="77963595">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Ⅲ类标准限值</w:t>
            </w:r>
          </w:p>
        </w:tc>
      </w:tr>
      <w:tr w14:paraId="514DE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19" w:type="pct"/>
            <w:tcBorders>
              <w:tl2br w:val="nil"/>
              <w:tr2bl w:val="nil"/>
            </w:tcBorders>
            <w:vAlign w:val="center"/>
          </w:tcPr>
          <w:p w14:paraId="7D317F0F">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03" w:type="pct"/>
            <w:tcBorders>
              <w:tl2br w:val="nil"/>
              <w:tr2bl w:val="nil"/>
            </w:tcBorders>
            <w:vAlign w:val="center"/>
          </w:tcPr>
          <w:p w14:paraId="5B1249CF">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pH</w:t>
            </w:r>
          </w:p>
        </w:tc>
        <w:tc>
          <w:tcPr>
            <w:tcW w:w="581" w:type="pct"/>
            <w:tcBorders>
              <w:tl2br w:val="nil"/>
              <w:tr2bl w:val="nil"/>
            </w:tcBorders>
            <w:vAlign w:val="center"/>
          </w:tcPr>
          <w:p w14:paraId="6CA5F480">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879" w:type="pct"/>
            <w:tcBorders>
              <w:tl2br w:val="nil"/>
              <w:tr2bl w:val="nil"/>
            </w:tcBorders>
            <w:vAlign w:val="center"/>
          </w:tcPr>
          <w:p w14:paraId="463AC8B8">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6.5-8.5</w:t>
            </w:r>
          </w:p>
        </w:tc>
        <w:tc>
          <w:tcPr>
            <w:tcW w:w="318" w:type="pct"/>
            <w:tcBorders>
              <w:tl2br w:val="nil"/>
              <w:tr2bl w:val="nil"/>
            </w:tcBorders>
            <w:vAlign w:val="center"/>
          </w:tcPr>
          <w:p w14:paraId="1792ACCC">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c>
          <w:tcPr>
            <w:tcW w:w="664" w:type="pct"/>
            <w:tcBorders>
              <w:tl2br w:val="nil"/>
              <w:tr2bl w:val="nil"/>
            </w:tcBorders>
            <w:vAlign w:val="center"/>
          </w:tcPr>
          <w:p w14:paraId="4DE0FD69">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菌落总数</w:t>
            </w:r>
          </w:p>
        </w:tc>
        <w:tc>
          <w:tcPr>
            <w:tcW w:w="689" w:type="pct"/>
            <w:tcBorders>
              <w:tl2br w:val="nil"/>
              <w:tr2bl w:val="nil"/>
            </w:tcBorders>
            <w:vAlign w:val="center"/>
          </w:tcPr>
          <w:p w14:paraId="278FC59D">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CFU/100ml</w:t>
            </w:r>
          </w:p>
        </w:tc>
        <w:tc>
          <w:tcPr>
            <w:tcW w:w="743" w:type="pct"/>
            <w:tcBorders>
              <w:tl2br w:val="nil"/>
              <w:tr2bl w:val="nil"/>
            </w:tcBorders>
            <w:vAlign w:val="center"/>
          </w:tcPr>
          <w:p w14:paraId="77278D2C">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w:t>
            </w:r>
          </w:p>
        </w:tc>
      </w:tr>
      <w:tr w14:paraId="2A3F45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19" w:type="pct"/>
            <w:tcBorders>
              <w:tl2br w:val="nil"/>
              <w:tr2bl w:val="nil"/>
            </w:tcBorders>
            <w:vAlign w:val="center"/>
          </w:tcPr>
          <w:p w14:paraId="0AA6D3E1">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803" w:type="pct"/>
            <w:tcBorders>
              <w:tl2br w:val="nil"/>
              <w:tr2bl w:val="nil"/>
            </w:tcBorders>
            <w:vAlign w:val="center"/>
          </w:tcPr>
          <w:p w14:paraId="1B094A48">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总硬度</w:t>
            </w:r>
          </w:p>
        </w:tc>
        <w:tc>
          <w:tcPr>
            <w:tcW w:w="581" w:type="pct"/>
            <w:tcBorders>
              <w:tl2br w:val="nil"/>
              <w:tr2bl w:val="nil"/>
            </w:tcBorders>
            <w:vAlign w:val="center"/>
          </w:tcPr>
          <w:p w14:paraId="125E55B8">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879" w:type="pct"/>
            <w:tcBorders>
              <w:tl2br w:val="nil"/>
              <w:tr2bl w:val="nil"/>
            </w:tcBorders>
            <w:vAlign w:val="center"/>
          </w:tcPr>
          <w:p w14:paraId="2B096C46">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≤450</w:t>
            </w:r>
          </w:p>
        </w:tc>
        <w:tc>
          <w:tcPr>
            <w:tcW w:w="318" w:type="pct"/>
            <w:tcBorders>
              <w:tl2br w:val="nil"/>
              <w:tr2bl w:val="nil"/>
            </w:tcBorders>
            <w:vAlign w:val="center"/>
          </w:tcPr>
          <w:p w14:paraId="1A83245D">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13</w:t>
            </w:r>
          </w:p>
        </w:tc>
        <w:tc>
          <w:tcPr>
            <w:tcW w:w="664" w:type="pct"/>
            <w:tcBorders>
              <w:tl2br w:val="nil"/>
              <w:tr2bl w:val="nil"/>
            </w:tcBorders>
            <w:vAlign w:val="center"/>
          </w:tcPr>
          <w:p w14:paraId="78E2C825">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亚硝酸盐</w:t>
            </w:r>
          </w:p>
        </w:tc>
        <w:tc>
          <w:tcPr>
            <w:tcW w:w="689" w:type="pct"/>
            <w:tcBorders>
              <w:tl2br w:val="nil"/>
              <w:tr2bl w:val="nil"/>
            </w:tcBorders>
            <w:vAlign w:val="center"/>
          </w:tcPr>
          <w:p w14:paraId="6F84925A">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743" w:type="pct"/>
            <w:tcBorders>
              <w:tl2br w:val="nil"/>
              <w:tr2bl w:val="nil"/>
            </w:tcBorders>
            <w:vAlign w:val="center"/>
          </w:tcPr>
          <w:p w14:paraId="08FCEAF2">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r>
      <w:tr w14:paraId="5B9074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19" w:type="pct"/>
            <w:tcBorders>
              <w:tl2br w:val="nil"/>
              <w:tr2bl w:val="nil"/>
            </w:tcBorders>
            <w:vAlign w:val="center"/>
          </w:tcPr>
          <w:p w14:paraId="07E5A1B5">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803" w:type="pct"/>
            <w:tcBorders>
              <w:tl2br w:val="nil"/>
              <w:tr2bl w:val="nil"/>
            </w:tcBorders>
            <w:vAlign w:val="center"/>
          </w:tcPr>
          <w:p w14:paraId="46010C5C">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溶解性总固体</w:t>
            </w:r>
          </w:p>
        </w:tc>
        <w:tc>
          <w:tcPr>
            <w:tcW w:w="581" w:type="pct"/>
            <w:tcBorders>
              <w:tl2br w:val="nil"/>
              <w:tr2bl w:val="nil"/>
            </w:tcBorders>
            <w:vAlign w:val="center"/>
          </w:tcPr>
          <w:p w14:paraId="529491B9">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879" w:type="pct"/>
            <w:tcBorders>
              <w:tl2br w:val="nil"/>
              <w:tr2bl w:val="nil"/>
            </w:tcBorders>
            <w:vAlign w:val="center"/>
          </w:tcPr>
          <w:p w14:paraId="16D240DC">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≤1000</w:t>
            </w:r>
          </w:p>
        </w:tc>
        <w:tc>
          <w:tcPr>
            <w:tcW w:w="318" w:type="pct"/>
            <w:tcBorders>
              <w:tl2br w:val="nil"/>
              <w:tr2bl w:val="nil"/>
            </w:tcBorders>
            <w:vAlign w:val="center"/>
          </w:tcPr>
          <w:p w14:paraId="1BE9A466">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14</w:t>
            </w:r>
          </w:p>
        </w:tc>
        <w:tc>
          <w:tcPr>
            <w:tcW w:w="664" w:type="pct"/>
            <w:tcBorders>
              <w:tl2br w:val="nil"/>
              <w:tr2bl w:val="nil"/>
            </w:tcBorders>
            <w:vAlign w:val="center"/>
          </w:tcPr>
          <w:p w14:paraId="5FBCAE68">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硝酸盐</w:t>
            </w:r>
          </w:p>
        </w:tc>
        <w:tc>
          <w:tcPr>
            <w:tcW w:w="689" w:type="pct"/>
            <w:tcBorders>
              <w:tl2br w:val="nil"/>
              <w:tr2bl w:val="nil"/>
            </w:tcBorders>
            <w:vAlign w:val="center"/>
          </w:tcPr>
          <w:p w14:paraId="45A0B8FD">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743" w:type="pct"/>
            <w:tcBorders>
              <w:tl2br w:val="nil"/>
              <w:tr2bl w:val="nil"/>
            </w:tcBorders>
            <w:vAlign w:val="center"/>
          </w:tcPr>
          <w:p w14:paraId="237F8FB0">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r>
      <w:tr w14:paraId="47DFF4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 w:type="pct"/>
            <w:tcBorders>
              <w:tl2br w:val="nil"/>
              <w:tr2bl w:val="nil"/>
            </w:tcBorders>
            <w:vAlign w:val="center"/>
          </w:tcPr>
          <w:p w14:paraId="4C3BF01F">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803" w:type="pct"/>
            <w:tcBorders>
              <w:tl2br w:val="nil"/>
              <w:tr2bl w:val="nil"/>
            </w:tcBorders>
            <w:vAlign w:val="center"/>
          </w:tcPr>
          <w:p w14:paraId="423AFB8A">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硫酸盐</w:t>
            </w:r>
          </w:p>
        </w:tc>
        <w:tc>
          <w:tcPr>
            <w:tcW w:w="581" w:type="pct"/>
            <w:tcBorders>
              <w:tl2br w:val="nil"/>
              <w:tr2bl w:val="nil"/>
            </w:tcBorders>
            <w:vAlign w:val="center"/>
          </w:tcPr>
          <w:p w14:paraId="13E9338B">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879" w:type="pct"/>
            <w:tcBorders>
              <w:tl2br w:val="nil"/>
              <w:tr2bl w:val="nil"/>
            </w:tcBorders>
            <w:vAlign w:val="center"/>
          </w:tcPr>
          <w:p w14:paraId="3C2EF51E">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≤250</w:t>
            </w:r>
          </w:p>
        </w:tc>
        <w:tc>
          <w:tcPr>
            <w:tcW w:w="318" w:type="pct"/>
            <w:tcBorders>
              <w:tl2br w:val="nil"/>
              <w:tr2bl w:val="nil"/>
            </w:tcBorders>
            <w:vAlign w:val="center"/>
          </w:tcPr>
          <w:p w14:paraId="0DC111D9">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664" w:type="pct"/>
            <w:tcBorders>
              <w:tl2br w:val="nil"/>
              <w:tr2bl w:val="nil"/>
            </w:tcBorders>
            <w:vAlign w:val="center"/>
          </w:tcPr>
          <w:p w14:paraId="47F4FD8C">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氰化物</w:t>
            </w:r>
          </w:p>
        </w:tc>
        <w:tc>
          <w:tcPr>
            <w:tcW w:w="689" w:type="pct"/>
            <w:tcBorders>
              <w:tl2br w:val="nil"/>
              <w:tr2bl w:val="nil"/>
            </w:tcBorders>
            <w:vAlign w:val="center"/>
          </w:tcPr>
          <w:p w14:paraId="24B3DA72">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743" w:type="pct"/>
            <w:tcBorders>
              <w:tl2br w:val="nil"/>
              <w:tr2bl w:val="nil"/>
            </w:tcBorders>
            <w:vAlign w:val="center"/>
          </w:tcPr>
          <w:p w14:paraId="78CEDAE7">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≤0.05</w:t>
            </w:r>
          </w:p>
        </w:tc>
      </w:tr>
      <w:tr w14:paraId="061BAD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 w:type="pct"/>
            <w:tcBorders>
              <w:tl2br w:val="nil"/>
              <w:tr2bl w:val="nil"/>
            </w:tcBorders>
            <w:vAlign w:val="center"/>
          </w:tcPr>
          <w:p w14:paraId="11736646">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803" w:type="pct"/>
            <w:tcBorders>
              <w:tl2br w:val="nil"/>
              <w:tr2bl w:val="nil"/>
            </w:tcBorders>
            <w:vAlign w:val="center"/>
          </w:tcPr>
          <w:p w14:paraId="7B536BF4">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氯化物</w:t>
            </w:r>
          </w:p>
        </w:tc>
        <w:tc>
          <w:tcPr>
            <w:tcW w:w="581" w:type="pct"/>
            <w:tcBorders>
              <w:tl2br w:val="nil"/>
              <w:tr2bl w:val="nil"/>
            </w:tcBorders>
            <w:vAlign w:val="center"/>
          </w:tcPr>
          <w:p w14:paraId="0294101E">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879" w:type="pct"/>
            <w:tcBorders>
              <w:tl2br w:val="nil"/>
              <w:tr2bl w:val="nil"/>
            </w:tcBorders>
            <w:vAlign w:val="center"/>
          </w:tcPr>
          <w:p w14:paraId="2AEC4601">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≤250</w:t>
            </w:r>
          </w:p>
        </w:tc>
        <w:tc>
          <w:tcPr>
            <w:tcW w:w="318" w:type="pct"/>
            <w:tcBorders>
              <w:tl2br w:val="nil"/>
              <w:tr2bl w:val="nil"/>
            </w:tcBorders>
            <w:vAlign w:val="center"/>
          </w:tcPr>
          <w:p w14:paraId="497FB016">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16</w:t>
            </w:r>
          </w:p>
        </w:tc>
        <w:tc>
          <w:tcPr>
            <w:tcW w:w="664" w:type="pct"/>
            <w:tcBorders>
              <w:tl2br w:val="nil"/>
              <w:tr2bl w:val="nil"/>
            </w:tcBorders>
            <w:vAlign w:val="center"/>
          </w:tcPr>
          <w:p w14:paraId="7D616BB7">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氟化物</w:t>
            </w:r>
          </w:p>
        </w:tc>
        <w:tc>
          <w:tcPr>
            <w:tcW w:w="689" w:type="pct"/>
            <w:tcBorders>
              <w:tl2br w:val="nil"/>
              <w:tr2bl w:val="nil"/>
            </w:tcBorders>
            <w:vAlign w:val="center"/>
          </w:tcPr>
          <w:p w14:paraId="0AA00C21">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743" w:type="pct"/>
            <w:tcBorders>
              <w:tl2br w:val="nil"/>
              <w:tr2bl w:val="nil"/>
            </w:tcBorders>
            <w:vAlign w:val="center"/>
          </w:tcPr>
          <w:p w14:paraId="22715A63">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r>
      <w:tr w14:paraId="19C4CB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19" w:type="pct"/>
            <w:tcBorders>
              <w:tl2br w:val="nil"/>
              <w:tr2bl w:val="nil"/>
            </w:tcBorders>
            <w:vAlign w:val="center"/>
          </w:tcPr>
          <w:p w14:paraId="29488DA4">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803" w:type="pct"/>
            <w:tcBorders>
              <w:tl2br w:val="nil"/>
              <w:tr2bl w:val="nil"/>
            </w:tcBorders>
            <w:vAlign w:val="center"/>
          </w:tcPr>
          <w:p w14:paraId="5BE36D1E">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铁</w:t>
            </w:r>
          </w:p>
        </w:tc>
        <w:tc>
          <w:tcPr>
            <w:tcW w:w="581" w:type="pct"/>
            <w:tcBorders>
              <w:tl2br w:val="nil"/>
              <w:tr2bl w:val="nil"/>
            </w:tcBorders>
            <w:vAlign w:val="center"/>
          </w:tcPr>
          <w:p w14:paraId="08B49CA0">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879" w:type="pct"/>
            <w:tcBorders>
              <w:tl2br w:val="nil"/>
              <w:tr2bl w:val="nil"/>
            </w:tcBorders>
            <w:vAlign w:val="center"/>
          </w:tcPr>
          <w:p w14:paraId="47C2C2B3">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≤0.3</w:t>
            </w:r>
          </w:p>
        </w:tc>
        <w:tc>
          <w:tcPr>
            <w:tcW w:w="318" w:type="pct"/>
            <w:tcBorders>
              <w:tl2br w:val="nil"/>
              <w:tr2bl w:val="nil"/>
            </w:tcBorders>
            <w:vAlign w:val="center"/>
          </w:tcPr>
          <w:p w14:paraId="22C81088">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17</w:t>
            </w:r>
          </w:p>
        </w:tc>
        <w:tc>
          <w:tcPr>
            <w:tcW w:w="664" w:type="pct"/>
            <w:tcBorders>
              <w:tl2br w:val="nil"/>
              <w:tr2bl w:val="nil"/>
            </w:tcBorders>
            <w:vAlign w:val="center"/>
          </w:tcPr>
          <w:p w14:paraId="56B4C691">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汞</w:t>
            </w:r>
          </w:p>
        </w:tc>
        <w:tc>
          <w:tcPr>
            <w:tcW w:w="689" w:type="pct"/>
            <w:tcBorders>
              <w:tl2br w:val="nil"/>
              <w:tr2bl w:val="nil"/>
            </w:tcBorders>
            <w:vAlign w:val="center"/>
          </w:tcPr>
          <w:p w14:paraId="7F98B431">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743" w:type="pct"/>
            <w:tcBorders>
              <w:tl2br w:val="nil"/>
              <w:tr2bl w:val="nil"/>
            </w:tcBorders>
            <w:vAlign w:val="center"/>
          </w:tcPr>
          <w:p w14:paraId="4E1BF577">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≤0.001</w:t>
            </w:r>
          </w:p>
        </w:tc>
      </w:tr>
      <w:tr w14:paraId="68717E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19" w:type="pct"/>
            <w:tcBorders>
              <w:tl2br w:val="nil"/>
              <w:tr2bl w:val="nil"/>
            </w:tcBorders>
            <w:vAlign w:val="center"/>
          </w:tcPr>
          <w:p w14:paraId="630EE5E0">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w:t>
            </w:r>
          </w:p>
        </w:tc>
        <w:tc>
          <w:tcPr>
            <w:tcW w:w="803" w:type="pct"/>
            <w:tcBorders>
              <w:tl2br w:val="nil"/>
              <w:tr2bl w:val="nil"/>
            </w:tcBorders>
            <w:vAlign w:val="center"/>
          </w:tcPr>
          <w:p w14:paraId="799E9C8F">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锰</w:t>
            </w:r>
          </w:p>
        </w:tc>
        <w:tc>
          <w:tcPr>
            <w:tcW w:w="581" w:type="pct"/>
            <w:tcBorders>
              <w:tl2br w:val="nil"/>
              <w:tr2bl w:val="nil"/>
            </w:tcBorders>
            <w:vAlign w:val="center"/>
          </w:tcPr>
          <w:p w14:paraId="3B067FB0">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879" w:type="pct"/>
            <w:tcBorders>
              <w:tl2br w:val="nil"/>
              <w:tr2bl w:val="nil"/>
            </w:tcBorders>
            <w:vAlign w:val="center"/>
          </w:tcPr>
          <w:p w14:paraId="0557FA6E">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≤0.10</w:t>
            </w:r>
          </w:p>
        </w:tc>
        <w:tc>
          <w:tcPr>
            <w:tcW w:w="318" w:type="pct"/>
            <w:tcBorders>
              <w:tl2br w:val="nil"/>
              <w:tr2bl w:val="nil"/>
            </w:tcBorders>
            <w:vAlign w:val="center"/>
          </w:tcPr>
          <w:p w14:paraId="0D4C499D">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664" w:type="pct"/>
            <w:tcBorders>
              <w:tl2br w:val="nil"/>
              <w:tr2bl w:val="nil"/>
            </w:tcBorders>
            <w:vAlign w:val="center"/>
          </w:tcPr>
          <w:p w14:paraId="6E293EFE">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砷</w:t>
            </w:r>
          </w:p>
        </w:tc>
        <w:tc>
          <w:tcPr>
            <w:tcW w:w="689" w:type="pct"/>
            <w:tcBorders>
              <w:tl2br w:val="nil"/>
              <w:tr2bl w:val="nil"/>
            </w:tcBorders>
            <w:vAlign w:val="center"/>
          </w:tcPr>
          <w:p w14:paraId="4BB11663">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743" w:type="pct"/>
            <w:tcBorders>
              <w:tl2br w:val="nil"/>
              <w:tr2bl w:val="nil"/>
            </w:tcBorders>
            <w:vAlign w:val="center"/>
          </w:tcPr>
          <w:p w14:paraId="72462845">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≤0.01</w:t>
            </w:r>
          </w:p>
        </w:tc>
      </w:tr>
      <w:tr w14:paraId="2A8F33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19" w:type="pct"/>
            <w:tcBorders>
              <w:tl2br w:val="nil"/>
              <w:tr2bl w:val="nil"/>
            </w:tcBorders>
            <w:vAlign w:val="center"/>
          </w:tcPr>
          <w:p w14:paraId="770D01CC">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w:t>
            </w:r>
          </w:p>
        </w:tc>
        <w:tc>
          <w:tcPr>
            <w:tcW w:w="803" w:type="pct"/>
            <w:tcBorders>
              <w:tl2br w:val="nil"/>
              <w:tr2bl w:val="nil"/>
            </w:tcBorders>
            <w:vAlign w:val="center"/>
          </w:tcPr>
          <w:p w14:paraId="4D479A37">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挥发性酚类</w:t>
            </w:r>
          </w:p>
        </w:tc>
        <w:tc>
          <w:tcPr>
            <w:tcW w:w="581" w:type="pct"/>
            <w:tcBorders>
              <w:tl2br w:val="nil"/>
              <w:tr2bl w:val="nil"/>
            </w:tcBorders>
            <w:vAlign w:val="center"/>
          </w:tcPr>
          <w:p w14:paraId="37518258">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879" w:type="pct"/>
            <w:tcBorders>
              <w:tl2br w:val="nil"/>
              <w:tr2bl w:val="nil"/>
            </w:tcBorders>
            <w:vAlign w:val="center"/>
          </w:tcPr>
          <w:p w14:paraId="606536D9">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≤0.002</w:t>
            </w:r>
          </w:p>
        </w:tc>
        <w:tc>
          <w:tcPr>
            <w:tcW w:w="318" w:type="pct"/>
            <w:tcBorders>
              <w:tl2br w:val="nil"/>
              <w:tr2bl w:val="nil"/>
            </w:tcBorders>
            <w:vAlign w:val="center"/>
          </w:tcPr>
          <w:p w14:paraId="6DA72128">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664" w:type="pct"/>
            <w:tcBorders>
              <w:tl2br w:val="nil"/>
              <w:tr2bl w:val="nil"/>
            </w:tcBorders>
            <w:vAlign w:val="center"/>
          </w:tcPr>
          <w:p w14:paraId="2C206A2A">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镉</w:t>
            </w:r>
          </w:p>
        </w:tc>
        <w:tc>
          <w:tcPr>
            <w:tcW w:w="689" w:type="pct"/>
            <w:tcBorders>
              <w:tl2br w:val="nil"/>
              <w:tr2bl w:val="nil"/>
            </w:tcBorders>
            <w:vAlign w:val="center"/>
          </w:tcPr>
          <w:p w14:paraId="6815EAE2">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743" w:type="pct"/>
            <w:tcBorders>
              <w:tl2br w:val="nil"/>
              <w:tr2bl w:val="nil"/>
            </w:tcBorders>
            <w:vAlign w:val="center"/>
          </w:tcPr>
          <w:p w14:paraId="7EFDBD42">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≤0.005</w:t>
            </w:r>
          </w:p>
        </w:tc>
      </w:tr>
      <w:tr w14:paraId="7C3136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19" w:type="pct"/>
            <w:tcBorders>
              <w:tl2br w:val="nil"/>
              <w:tr2bl w:val="nil"/>
            </w:tcBorders>
            <w:vAlign w:val="center"/>
          </w:tcPr>
          <w:p w14:paraId="75C38E0A">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w:t>
            </w:r>
          </w:p>
        </w:tc>
        <w:tc>
          <w:tcPr>
            <w:tcW w:w="803" w:type="pct"/>
            <w:tcBorders>
              <w:tl2br w:val="nil"/>
              <w:tr2bl w:val="nil"/>
            </w:tcBorders>
            <w:vAlign w:val="center"/>
          </w:tcPr>
          <w:p w14:paraId="23C8F163">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耗氧量（CODMn）</w:t>
            </w:r>
          </w:p>
        </w:tc>
        <w:tc>
          <w:tcPr>
            <w:tcW w:w="581" w:type="pct"/>
            <w:tcBorders>
              <w:tl2br w:val="nil"/>
              <w:tr2bl w:val="nil"/>
            </w:tcBorders>
            <w:vAlign w:val="center"/>
          </w:tcPr>
          <w:p w14:paraId="0DC5258D">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879" w:type="pct"/>
            <w:tcBorders>
              <w:tl2br w:val="nil"/>
              <w:tr2bl w:val="nil"/>
            </w:tcBorders>
            <w:vAlign w:val="center"/>
          </w:tcPr>
          <w:p w14:paraId="3FA2B123">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w:t>
            </w:r>
          </w:p>
        </w:tc>
        <w:tc>
          <w:tcPr>
            <w:tcW w:w="318" w:type="pct"/>
            <w:tcBorders>
              <w:tl2br w:val="nil"/>
              <w:tr2bl w:val="nil"/>
            </w:tcBorders>
            <w:vAlign w:val="center"/>
          </w:tcPr>
          <w:p w14:paraId="0D79368C">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c>
          <w:tcPr>
            <w:tcW w:w="664" w:type="pct"/>
            <w:tcBorders>
              <w:tl2br w:val="nil"/>
              <w:tr2bl w:val="nil"/>
            </w:tcBorders>
            <w:vAlign w:val="center"/>
          </w:tcPr>
          <w:p w14:paraId="63F549D2">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铅</w:t>
            </w:r>
          </w:p>
        </w:tc>
        <w:tc>
          <w:tcPr>
            <w:tcW w:w="689" w:type="pct"/>
            <w:tcBorders>
              <w:tl2br w:val="nil"/>
              <w:tr2bl w:val="nil"/>
            </w:tcBorders>
            <w:vAlign w:val="center"/>
          </w:tcPr>
          <w:p w14:paraId="07408FDF">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743" w:type="pct"/>
            <w:tcBorders>
              <w:tl2br w:val="nil"/>
              <w:tr2bl w:val="nil"/>
            </w:tcBorders>
            <w:vAlign w:val="center"/>
          </w:tcPr>
          <w:p w14:paraId="5E7C0B57">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≤0.01</w:t>
            </w:r>
          </w:p>
        </w:tc>
      </w:tr>
      <w:tr w14:paraId="315B1A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19" w:type="pct"/>
            <w:tcBorders>
              <w:tl2br w:val="nil"/>
              <w:tr2bl w:val="nil"/>
            </w:tcBorders>
            <w:vAlign w:val="center"/>
          </w:tcPr>
          <w:p w14:paraId="610C82B1">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803" w:type="pct"/>
            <w:tcBorders>
              <w:tl2br w:val="nil"/>
              <w:tr2bl w:val="nil"/>
            </w:tcBorders>
            <w:vAlign w:val="center"/>
          </w:tcPr>
          <w:p w14:paraId="2CB5C9DA">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581" w:type="pct"/>
            <w:tcBorders>
              <w:tl2br w:val="nil"/>
              <w:tr2bl w:val="nil"/>
            </w:tcBorders>
            <w:vAlign w:val="center"/>
          </w:tcPr>
          <w:p w14:paraId="74DC9365">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879" w:type="pct"/>
            <w:tcBorders>
              <w:tl2br w:val="nil"/>
              <w:tr2bl w:val="nil"/>
            </w:tcBorders>
            <w:vAlign w:val="center"/>
          </w:tcPr>
          <w:p w14:paraId="0A0E9035">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≤0.5</w:t>
            </w:r>
          </w:p>
        </w:tc>
        <w:tc>
          <w:tcPr>
            <w:tcW w:w="318" w:type="pct"/>
            <w:tcBorders>
              <w:tl2br w:val="nil"/>
              <w:tr2bl w:val="nil"/>
            </w:tcBorders>
            <w:vAlign w:val="center"/>
          </w:tcPr>
          <w:p w14:paraId="138E2A16">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w:t>
            </w:r>
          </w:p>
        </w:tc>
        <w:tc>
          <w:tcPr>
            <w:tcW w:w="664" w:type="pct"/>
            <w:tcBorders>
              <w:tl2br w:val="nil"/>
              <w:tr2bl w:val="nil"/>
            </w:tcBorders>
            <w:vAlign w:val="center"/>
          </w:tcPr>
          <w:p w14:paraId="7F2F3CC7">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铬</w:t>
            </w:r>
            <w:r>
              <w:rPr>
                <w:rFonts w:hint="default" w:ascii="Times New Roman" w:hAnsi="Times New Roman" w:cs="Times New Roman"/>
                <w:sz w:val="18"/>
                <w:szCs w:val="18"/>
                <w:lang w:eastAsia="zh-CN"/>
              </w:rPr>
              <w:t>（</w:t>
            </w:r>
            <w:r>
              <w:rPr>
                <w:rFonts w:hint="default" w:ascii="Times New Roman" w:hAnsi="Times New Roman" w:eastAsia="宋体" w:cs="Times New Roman"/>
                <w:sz w:val="18"/>
                <w:szCs w:val="18"/>
              </w:rPr>
              <w:t>六价</w:t>
            </w:r>
            <w:r>
              <w:rPr>
                <w:rFonts w:hint="default" w:ascii="Times New Roman" w:hAnsi="Times New Roman" w:cs="Times New Roman"/>
                <w:sz w:val="18"/>
                <w:szCs w:val="18"/>
                <w:lang w:eastAsia="zh-CN"/>
              </w:rPr>
              <w:t>）</w:t>
            </w:r>
          </w:p>
        </w:tc>
        <w:tc>
          <w:tcPr>
            <w:tcW w:w="689" w:type="pct"/>
            <w:tcBorders>
              <w:tl2br w:val="nil"/>
              <w:tr2bl w:val="nil"/>
            </w:tcBorders>
            <w:vAlign w:val="center"/>
          </w:tcPr>
          <w:p w14:paraId="3BF1A228">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743" w:type="pct"/>
            <w:tcBorders>
              <w:tl2br w:val="nil"/>
              <w:tr2bl w:val="nil"/>
            </w:tcBorders>
            <w:vAlign w:val="center"/>
          </w:tcPr>
          <w:p w14:paraId="46B3FFFE">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≤0.05</w:t>
            </w:r>
          </w:p>
        </w:tc>
      </w:tr>
      <w:tr w14:paraId="2E2FB3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19" w:type="pct"/>
            <w:tcBorders>
              <w:tl2br w:val="nil"/>
              <w:tr2bl w:val="nil"/>
            </w:tcBorders>
            <w:vAlign w:val="center"/>
          </w:tcPr>
          <w:p w14:paraId="3D812ACA">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w:t>
            </w:r>
          </w:p>
        </w:tc>
        <w:tc>
          <w:tcPr>
            <w:tcW w:w="803" w:type="pct"/>
            <w:tcBorders>
              <w:tl2br w:val="nil"/>
              <w:tr2bl w:val="nil"/>
            </w:tcBorders>
            <w:vAlign w:val="center"/>
          </w:tcPr>
          <w:p w14:paraId="535AF4FD">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总大肠菌群</w:t>
            </w:r>
          </w:p>
        </w:tc>
        <w:tc>
          <w:tcPr>
            <w:tcW w:w="581" w:type="pct"/>
            <w:tcBorders>
              <w:tl2br w:val="nil"/>
              <w:tr2bl w:val="nil"/>
            </w:tcBorders>
            <w:vAlign w:val="center"/>
          </w:tcPr>
          <w:p w14:paraId="621CEF06">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CFU/100ml</w:t>
            </w:r>
          </w:p>
        </w:tc>
        <w:tc>
          <w:tcPr>
            <w:tcW w:w="879" w:type="pct"/>
            <w:tcBorders>
              <w:tl2br w:val="nil"/>
              <w:tr2bl w:val="nil"/>
            </w:tcBorders>
            <w:vAlign w:val="center"/>
          </w:tcPr>
          <w:p w14:paraId="476C90A3">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w:t>
            </w:r>
          </w:p>
        </w:tc>
        <w:tc>
          <w:tcPr>
            <w:tcW w:w="318" w:type="pct"/>
            <w:tcBorders>
              <w:tl2br w:val="nil"/>
              <w:tr2bl w:val="nil"/>
            </w:tcBorders>
            <w:vAlign w:val="center"/>
          </w:tcPr>
          <w:p w14:paraId="17066657">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22</w:t>
            </w:r>
          </w:p>
        </w:tc>
        <w:tc>
          <w:tcPr>
            <w:tcW w:w="664" w:type="pct"/>
            <w:tcBorders>
              <w:tl2br w:val="nil"/>
              <w:tr2bl w:val="nil"/>
            </w:tcBorders>
            <w:vAlign w:val="center"/>
          </w:tcPr>
          <w:p w14:paraId="5D485A6C">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苯并[a]芘</w:t>
            </w:r>
          </w:p>
        </w:tc>
        <w:tc>
          <w:tcPr>
            <w:tcW w:w="689" w:type="pct"/>
            <w:tcBorders>
              <w:tl2br w:val="nil"/>
              <w:tr2bl w:val="nil"/>
            </w:tcBorders>
            <w:vAlign w:val="center"/>
          </w:tcPr>
          <w:p w14:paraId="5B04EAAA">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μg/L</w:t>
            </w:r>
          </w:p>
        </w:tc>
        <w:tc>
          <w:tcPr>
            <w:tcW w:w="743" w:type="pct"/>
            <w:tcBorders>
              <w:tl2br w:val="nil"/>
              <w:tr2bl w:val="nil"/>
            </w:tcBorders>
            <w:vAlign w:val="center"/>
          </w:tcPr>
          <w:p w14:paraId="453F9EA3">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≤0.01</w:t>
            </w:r>
          </w:p>
        </w:tc>
      </w:tr>
    </w:tbl>
    <w:p w14:paraId="776CD8A5">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4、声环境</w:t>
      </w:r>
    </w:p>
    <w:p w14:paraId="3D9986C8">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项目选址位于玉溪市新平县扬武镇鲁奎山，项目区域属声环境功能2类区，执行《声环境质量标准》（GB3096-2008）2类标准。其标准值见表</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.4-4。</w:t>
      </w:r>
    </w:p>
    <w:p w14:paraId="2409E20E">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.4-4  声环境质量标准</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3685"/>
        <w:gridCol w:w="1842"/>
        <w:gridCol w:w="1807"/>
      </w:tblGrid>
      <w:tr w14:paraId="325E7F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1" w:type="pct"/>
            <w:vMerge w:val="restart"/>
            <w:tcBorders>
              <w:tl2br w:val="nil"/>
              <w:tr2bl w:val="nil"/>
            </w:tcBorders>
            <w:vAlign w:val="center"/>
          </w:tcPr>
          <w:p w14:paraId="7606462B">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声环境功能区类别</w:t>
            </w:r>
          </w:p>
        </w:tc>
        <w:tc>
          <w:tcPr>
            <w:tcW w:w="1984" w:type="pct"/>
            <w:vMerge w:val="restart"/>
            <w:tcBorders>
              <w:tl2br w:val="nil"/>
              <w:tr2bl w:val="nil"/>
            </w:tcBorders>
            <w:vAlign w:val="center"/>
          </w:tcPr>
          <w:p w14:paraId="73F2459E">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适用区域</w:t>
            </w:r>
          </w:p>
        </w:tc>
        <w:tc>
          <w:tcPr>
            <w:tcW w:w="1965" w:type="pct"/>
            <w:gridSpan w:val="2"/>
            <w:tcBorders>
              <w:tl2br w:val="nil"/>
              <w:tr2bl w:val="nil"/>
            </w:tcBorders>
            <w:vAlign w:val="center"/>
          </w:tcPr>
          <w:p w14:paraId="7101F929">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等效声级/dB(A)</w:t>
            </w:r>
          </w:p>
        </w:tc>
      </w:tr>
      <w:tr w14:paraId="2065DE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1" w:type="pct"/>
            <w:vMerge w:val="continue"/>
            <w:tcBorders>
              <w:tl2br w:val="nil"/>
              <w:tr2bl w:val="nil"/>
            </w:tcBorders>
            <w:vAlign w:val="center"/>
          </w:tcPr>
          <w:p w14:paraId="39C15C92">
            <w:pPr>
              <w:pStyle w:val="47"/>
              <w:adjustRightInd/>
              <w:snapToGrid/>
              <w:spacing w:line="240" w:lineRule="auto"/>
              <w:rPr>
                <w:rFonts w:hint="default" w:ascii="Times New Roman" w:hAnsi="Times New Roman" w:eastAsia="宋体" w:cs="Times New Roman"/>
                <w:b w:val="0"/>
                <w:bCs/>
                <w:sz w:val="18"/>
                <w:szCs w:val="18"/>
              </w:rPr>
            </w:pPr>
          </w:p>
        </w:tc>
        <w:tc>
          <w:tcPr>
            <w:tcW w:w="1984" w:type="pct"/>
            <w:vMerge w:val="continue"/>
            <w:tcBorders>
              <w:tl2br w:val="nil"/>
              <w:tr2bl w:val="nil"/>
            </w:tcBorders>
            <w:vAlign w:val="center"/>
          </w:tcPr>
          <w:p w14:paraId="3D8D0FA6">
            <w:pPr>
              <w:pStyle w:val="47"/>
              <w:adjustRightInd/>
              <w:snapToGrid/>
              <w:spacing w:line="240" w:lineRule="auto"/>
              <w:rPr>
                <w:rFonts w:hint="default" w:ascii="Times New Roman" w:hAnsi="Times New Roman" w:eastAsia="宋体" w:cs="Times New Roman"/>
                <w:b w:val="0"/>
                <w:bCs/>
                <w:sz w:val="18"/>
                <w:szCs w:val="18"/>
              </w:rPr>
            </w:pPr>
          </w:p>
        </w:tc>
        <w:tc>
          <w:tcPr>
            <w:tcW w:w="992" w:type="pct"/>
            <w:tcBorders>
              <w:tl2br w:val="nil"/>
              <w:tr2bl w:val="nil"/>
            </w:tcBorders>
            <w:vAlign w:val="center"/>
          </w:tcPr>
          <w:p w14:paraId="718991A5">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昼间</w:t>
            </w:r>
          </w:p>
        </w:tc>
        <w:tc>
          <w:tcPr>
            <w:tcW w:w="973" w:type="pct"/>
            <w:tcBorders>
              <w:tl2br w:val="nil"/>
              <w:tr2bl w:val="nil"/>
            </w:tcBorders>
            <w:vAlign w:val="center"/>
          </w:tcPr>
          <w:p w14:paraId="6B402DCF">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夜间</w:t>
            </w:r>
          </w:p>
        </w:tc>
      </w:tr>
      <w:tr w14:paraId="28CC57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1" w:type="pct"/>
            <w:tcBorders>
              <w:tl2br w:val="nil"/>
              <w:tr2bl w:val="nil"/>
            </w:tcBorders>
            <w:vAlign w:val="center"/>
          </w:tcPr>
          <w:p w14:paraId="125475A8">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2类</w:t>
            </w:r>
          </w:p>
        </w:tc>
        <w:tc>
          <w:tcPr>
            <w:tcW w:w="1984" w:type="pct"/>
            <w:tcBorders>
              <w:tl2br w:val="nil"/>
              <w:tr2bl w:val="nil"/>
            </w:tcBorders>
            <w:vAlign w:val="center"/>
          </w:tcPr>
          <w:p w14:paraId="115F0616">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项目用地范围内及项目周边区域</w:t>
            </w:r>
          </w:p>
        </w:tc>
        <w:tc>
          <w:tcPr>
            <w:tcW w:w="992" w:type="pct"/>
            <w:tcBorders>
              <w:tl2br w:val="nil"/>
              <w:tr2bl w:val="nil"/>
            </w:tcBorders>
            <w:vAlign w:val="center"/>
          </w:tcPr>
          <w:p w14:paraId="4413D063">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60</w:t>
            </w:r>
          </w:p>
        </w:tc>
        <w:tc>
          <w:tcPr>
            <w:tcW w:w="973" w:type="pct"/>
            <w:tcBorders>
              <w:tl2br w:val="nil"/>
              <w:tr2bl w:val="nil"/>
            </w:tcBorders>
            <w:vAlign w:val="center"/>
          </w:tcPr>
          <w:p w14:paraId="130B20C1">
            <w:pPr>
              <w:pStyle w:val="47"/>
              <w:adjustRightInd/>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50</w:t>
            </w:r>
          </w:p>
        </w:tc>
      </w:tr>
    </w:tbl>
    <w:p w14:paraId="338BCD94">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5、土壤环境</w:t>
      </w:r>
    </w:p>
    <w:p w14:paraId="78825E84">
      <w:pPr>
        <w:spacing w:line="360" w:lineRule="auto"/>
        <w:ind w:firstLine="480"/>
        <w:rPr>
          <w:rFonts w:hint="default" w:ascii="Times New Roman" w:hAnsi="Times New Roman" w:eastAsia="宋体" w:cs="Times New Roman"/>
          <w:sz w:val="24"/>
          <w:szCs w:val="24"/>
          <w:lang w:eastAsia="zh-CN"/>
        </w:rPr>
      </w:pPr>
      <w:r>
        <w:rPr>
          <w:rFonts w:hint="default" w:ascii="Times New Roman" w:hAnsi="Times New Roman" w:cs="Times New Roman" w:eastAsiaTheme="minorEastAsia"/>
          <w:sz w:val="24"/>
          <w:szCs w:val="24"/>
        </w:rPr>
        <w:t>项目</w:t>
      </w:r>
      <w:r>
        <w:rPr>
          <w:rFonts w:hint="default" w:ascii="Times New Roman" w:hAnsi="Times New Roman" w:cs="Times New Roman" w:eastAsiaTheme="minorEastAsia"/>
          <w:sz w:val="24"/>
          <w:szCs w:val="24"/>
          <w:lang w:val="en-US" w:eastAsia="zh-CN"/>
        </w:rPr>
        <w:t>占地范围内及项目区外建设用地</w:t>
      </w:r>
      <w:r>
        <w:rPr>
          <w:rFonts w:hint="default" w:ascii="Times New Roman" w:hAnsi="Times New Roman" w:cs="Times New Roman" w:eastAsiaTheme="minorEastAsia"/>
          <w:sz w:val="24"/>
          <w:szCs w:val="24"/>
        </w:rPr>
        <w:t>执行《土壤环境质量 建设用地土壤污染风险管控标准》（GB36600-2018）中表1第二类用地标准</w:t>
      </w:r>
      <w:r>
        <w:rPr>
          <w:rFonts w:hint="default" w:ascii="Times New Roman" w:hAnsi="Times New Roman" w:cs="Times New Roman" w:eastAsiaTheme="minorEastAsia"/>
          <w:color w:val="auto"/>
          <w:sz w:val="24"/>
          <w:szCs w:val="24"/>
        </w:rPr>
        <w:t>。</w:t>
      </w:r>
      <w:r>
        <w:rPr>
          <w:rFonts w:hint="default" w:ascii="Times New Roman" w:hAnsi="Times New Roman" w:cs="Times New Roman"/>
          <w:color w:val="auto"/>
          <w:sz w:val="24"/>
        </w:rPr>
        <w:t>项目区外农用地执行《土壤环境质量  农用地土壤污染风险管控标准（试行）》（GB15618-2018），具体标准值见下表</w:t>
      </w:r>
      <w:r>
        <w:rPr>
          <w:rFonts w:hint="default" w:ascii="Times New Roman" w:hAnsi="Times New Roman" w:cs="Times New Roman"/>
          <w:color w:val="auto"/>
          <w:sz w:val="24"/>
          <w:lang w:eastAsia="zh-CN"/>
        </w:rPr>
        <w:t>。</w:t>
      </w:r>
    </w:p>
    <w:p w14:paraId="0C20CE36">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.4-5  建设用地土壤污染风险筛选值和管制值  单位：mg/kg</w:t>
      </w:r>
    </w:p>
    <w:tbl>
      <w:tblPr>
        <w:tblStyle w:val="2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305"/>
        <w:gridCol w:w="1771"/>
        <w:gridCol w:w="1771"/>
        <w:gridCol w:w="1772"/>
      </w:tblGrid>
      <w:tr w14:paraId="4888BD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2739DA8B">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序号</w:t>
            </w:r>
          </w:p>
        </w:tc>
        <w:tc>
          <w:tcPr>
            <w:tcW w:w="2305" w:type="dxa"/>
            <w:tcBorders>
              <w:tl2br w:val="nil"/>
              <w:tr2bl w:val="nil"/>
            </w:tcBorders>
            <w:shd w:val="clear" w:color="auto" w:fill="auto"/>
            <w:vAlign w:val="center"/>
          </w:tcPr>
          <w:p w14:paraId="545873D2">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污染物项目</w:t>
            </w:r>
          </w:p>
        </w:tc>
        <w:tc>
          <w:tcPr>
            <w:tcW w:w="1771" w:type="dxa"/>
            <w:tcBorders>
              <w:tl2br w:val="nil"/>
              <w:tr2bl w:val="nil"/>
            </w:tcBorders>
            <w:shd w:val="clear" w:color="auto" w:fill="auto"/>
            <w:vAlign w:val="center"/>
          </w:tcPr>
          <w:p w14:paraId="4AEBEE7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CAS编号</w:t>
            </w:r>
          </w:p>
        </w:tc>
        <w:tc>
          <w:tcPr>
            <w:tcW w:w="1771" w:type="dxa"/>
            <w:tcBorders>
              <w:tl2br w:val="nil"/>
              <w:tr2bl w:val="nil"/>
            </w:tcBorders>
            <w:shd w:val="clear" w:color="auto" w:fill="auto"/>
            <w:vAlign w:val="center"/>
          </w:tcPr>
          <w:p w14:paraId="5CDB8DF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筛选值</w:t>
            </w:r>
          </w:p>
        </w:tc>
        <w:tc>
          <w:tcPr>
            <w:tcW w:w="1772" w:type="dxa"/>
            <w:tcBorders>
              <w:tl2br w:val="nil"/>
              <w:tr2bl w:val="nil"/>
            </w:tcBorders>
            <w:shd w:val="clear" w:color="auto" w:fill="auto"/>
            <w:vAlign w:val="center"/>
          </w:tcPr>
          <w:p w14:paraId="5D57656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管制值</w:t>
            </w:r>
          </w:p>
        </w:tc>
      </w:tr>
      <w:tr w14:paraId="07A31B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1" w:type="dxa"/>
            <w:gridSpan w:val="5"/>
            <w:tcBorders>
              <w:tl2br w:val="nil"/>
              <w:tr2bl w:val="nil"/>
            </w:tcBorders>
            <w:shd w:val="clear" w:color="auto" w:fill="auto"/>
            <w:vAlign w:val="center"/>
          </w:tcPr>
          <w:p w14:paraId="7814F3A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重金属和无机物</w:t>
            </w:r>
          </w:p>
        </w:tc>
      </w:tr>
      <w:tr w14:paraId="62C9D8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25D3494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2305" w:type="dxa"/>
            <w:tcBorders>
              <w:tl2br w:val="nil"/>
              <w:tr2bl w:val="nil"/>
            </w:tcBorders>
            <w:shd w:val="clear" w:color="auto" w:fill="auto"/>
            <w:vAlign w:val="center"/>
          </w:tcPr>
          <w:p w14:paraId="10786DF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砷</w:t>
            </w:r>
          </w:p>
        </w:tc>
        <w:tc>
          <w:tcPr>
            <w:tcW w:w="1771" w:type="dxa"/>
            <w:tcBorders>
              <w:tl2br w:val="nil"/>
              <w:tr2bl w:val="nil"/>
            </w:tcBorders>
            <w:shd w:val="clear" w:color="auto" w:fill="auto"/>
            <w:vAlign w:val="center"/>
          </w:tcPr>
          <w:p w14:paraId="6A14ED4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7440-38-2</w:t>
            </w:r>
          </w:p>
        </w:tc>
        <w:tc>
          <w:tcPr>
            <w:tcW w:w="1771" w:type="dxa"/>
            <w:tcBorders>
              <w:tl2br w:val="nil"/>
              <w:tr2bl w:val="nil"/>
            </w:tcBorders>
            <w:shd w:val="clear" w:color="auto" w:fill="auto"/>
            <w:vAlign w:val="center"/>
          </w:tcPr>
          <w:p w14:paraId="58DC695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60</w:t>
            </w:r>
          </w:p>
        </w:tc>
        <w:tc>
          <w:tcPr>
            <w:tcW w:w="1772" w:type="dxa"/>
            <w:tcBorders>
              <w:tl2br w:val="nil"/>
              <w:tr2bl w:val="nil"/>
            </w:tcBorders>
            <w:shd w:val="clear" w:color="auto" w:fill="auto"/>
            <w:vAlign w:val="center"/>
          </w:tcPr>
          <w:p w14:paraId="4713C83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140</w:t>
            </w:r>
          </w:p>
        </w:tc>
      </w:tr>
      <w:tr w14:paraId="2FA9DD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55D5A07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2305" w:type="dxa"/>
            <w:tcBorders>
              <w:tl2br w:val="nil"/>
              <w:tr2bl w:val="nil"/>
            </w:tcBorders>
            <w:shd w:val="clear" w:color="auto" w:fill="auto"/>
            <w:vAlign w:val="center"/>
          </w:tcPr>
          <w:p w14:paraId="30BAB87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镉</w:t>
            </w:r>
          </w:p>
        </w:tc>
        <w:tc>
          <w:tcPr>
            <w:tcW w:w="1771" w:type="dxa"/>
            <w:tcBorders>
              <w:tl2br w:val="nil"/>
              <w:tr2bl w:val="nil"/>
            </w:tcBorders>
            <w:shd w:val="clear" w:color="auto" w:fill="auto"/>
            <w:vAlign w:val="center"/>
          </w:tcPr>
          <w:p w14:paraId="34899A4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7440-43-9</w:t>
            </w:r>
          </w:p>
        </w:tc>
        <w:tc>
          <w:tcPr>
            <w:tcW w:w="1771" w:type="dxa"/>
            <w:tcBorders>
              <w:tl2br w:val="nil"/>
              <w:tr2bl w:val="nil"/>
            </w:tcBorders>
            <w:shd w:val="clear" w:color="auto" w:fill="auto"/>
            <w:vAlign w:val="center"/>
          </w:tcPr>
          <w:p w14:paraId="50E1F07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65</w:t>
            </w:r>
          </w:p>
        </w:tc>
        <w:tc>
          <w:tcPr>
            <w:tcW w:w="1772" w:type="dxa"/>
            <w:tcBorders>
              <w:tl2br w:val="nil"/>
              <w:tr2bl w:val="nil"/>
            </w:tcBorders>
            <w:shd w:val="clear" w:color="auto" w:fill="auto"/>
            <w:vAlign w:val="center"/>
          </w:tcPr>
          <w:p w14:paraId="3F40252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172</w:t>
            </w:r>
          </w:p>
        </w:tc>
      </w:tr>
      <w:tr w14:paraId="76116E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0FEA956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2305" w:type="dxa"/>
            <w:tcBorders>
              <w:tl2br w:val="nil"/>
              <w:tr2bl w:val="nil"/>
            </w:tcBorders>
            <w:shd w:val="clear" w:color="auto" w:fill="auto"/>
            <w:vAlign w:val="center"/>
          </w:tcPr>
          <w:p w14:paraId="665C32AB">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铬（六价）</w:t>
            </w:r>
          </w:p>
        </w:tc>
        <w:tc>
          <w:tcPr>
            <w:tcW w:w="1771" w:type="dxa"/>
            <w:tcBorders>
              <w:tl2br w:val="nil"/>
              <w:tr2bl w:val="nil"/>
            </w:tcBorders>
            <w:shd w:val="clear" w:color="auto" w:fill="auto"/>
            <w:vAlign w:val="center"/>
          </w:tcPr>
          <w:p w14:paraId="4EF9DF3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18540-29-9</w:t>
            </w:r>
          </w:p>
        </w:tc>
        <w:tc>
          <w:tcPr>
            <w:tcW w:w="1771" w:type="dxa"/>
            <w:tcBorders>
              <w:tl2br w:val="nil"/>
              <w:tr2bl w:val="nil"/>
            </w:tcBorders>
            <w:shd w:val="clear" w:color="auto" w:fill="auto"/>
            <w:vAlign w:val="center"/>
          </w:tcPr>
          <w:p w14:paraId="4CEAFA5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5.7</w:t>
            </w:r>
          </w:p>
        </w:tc>
        <w:tc>
          <w:tcPr>
            <w:tcW w:w="1772" w:type="dxa"/>
            <w:tcBorders>
              <w:tl2br w:val="nil"/>
              <w:tr2bl w:val="nil"/>
            </w:tcBorders>
            <w:shd w:val="clear" w:color="auto" w:fill="auto"/>
            <w:vAlign w:val="center"/>
          </w:tcPr>
          <w:p w14:paraId="47299DF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78</w:t>
            </w:r>
          </w:p>
        </w:tc>
      </w:tr>
      <w:tr w14:paraId="227354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5A8B4A93">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2305" w:type="dxa"/>
            <w:tcBorders>
              <w:tl2br w:val="nil"/>
              <w:tr2bl w:val="nil"/>
            </w:tcBorders>
            <w:shd w:val="clear" w:color="auto" w:fill="auto"/>
            <w:vAlign w:val="center"/>
          </w:tcPr>
          <w:p w14:paraId="399BE9E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铜</w:t>
            </w:r>
          </w:p>
        </w:tc>
        <w:tc>
          <w:tcPr>
            <w:tcW w:w="1771" w:type="dxa"/>
            <w:tcBorders>
              <w:tl2br w:val="nil"/>
              <w:tr2bl w:val="nil"/>
            </w:tcBorders>
            <w:shd w:val="clear" w:color="auto" w:fill="auto"/>
            <w:vAlign w:val="center"/>
          </w:tcPr>
          <w:p w14:paraId="6E362B1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7440-50-8</w:t>
            </w:r>
          </w:p>
        </w:tc>
        <w:tc>
          <w:tcPr>
            <w:tcW w:w="1771" w:type="dxa"/>
            <w:tcBorders>
              <w:tl2br w:val="nil"/>
              <w:tr2bl w:val="nil"/>
            </w:tcBorders>
            <w:shd w:val="clear" w:color="auto" w:fill="auto"/>
            <w:vAlign w:val="center"/>
          </w:tcPr>
          <w:p w14:paraId="4E47541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18000</w:t>
            </w:r>
          </w:p>
        </w:tc>
        <w:tc>
          <w:tcPr>
            <w:tcW w:w="1772" w:type="dxa"/>
            <w:tcBorders>
              <w:tl2br w:val="nil"/>
              <w:tr2bl w:val="nil"/>
            </w:tcBorders>
            <w:shd w:val="clear" w:color="auto" w:fill="auto"/>
            <w:vAlign w:val="center"/>
          </w:tcPr>
          <w:p w14:paraId="5005DAA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36000</w:t>
            </w:r>
          </w:p>
        </w:tc>
      </w:tr>
      <w:tr w14:paraId="23F7E0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572B1DF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2305" w:type="dxa"/>
            <w:tcBorders>
              <w:tl2br w:val="nil"/>
              <w:tr2bl w:val="nil"/>
            </w:tcBorders>
            <w:shd w:val="clear" w:color="auto" w:fill="auto"/>
            <w:vAlign w:val="center"/>
          </w:tcPr>
          <w:p w14:paraId="16B3DB70">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铅</w:t>
            </w:r>
          </w:p>
        </w:tc>
        <w:tc>
          <w:tcPr>
            <w:tcW w:w="1771" w:type="dxa"/>
            <w:tcBorders>
              <w:tl2br w:val="nil"/>
              <w:tr2bl w:val="nil"/>
            </w:tcBorders>
            <w:shd w:val="clear" w:color="auto" w:fill="auto"/>
            <w:vAlign w:val="center"/>
          </w:tcPr>
          <w:p w14:paraId="78C76CB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7439-92-1</w:t>
            </w:r>
          </w:p>
        </w:tc>
        <w:tc>
          <w:tcPr>
            <w:tcW w:w="1771" w:type="dxa"/>
            <w:tcBorders>
              <w:tl2br w:val="nil"/>
              <w:tr2bl w:val="nil"/>
            </w:tcBorders>
            <w:shd w:val="clear" w:color="auto" w:fill="auto"/>
            <w:vAlign w:val="center"/>
          </w:tcPr>
          <w:p w14:paraId="754855B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800</w:t>
            </w:r>
          </w:p>
        </w:tc>
        <w:tc>
          <w:tcPr>
            <w:tcW w:w="1772" w:type="dxa"/>
            <w:tcBorders>
              <w:tl2br w:val="nil"/>
              <w:tr2bl w:val="nil"/>
            </w:tcBorders>
            <w:shd w:val="clear" w:color="auto" w:fill="auto"/>
            <w:vAlign w:val="center"/>
          </w:tcPr>
          <w:p w14:paraId="5A2571AB">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2500</w:t>
            </w:r>
          </w:p>
        </w:tc>
      </w:tr>
      <w:tr w14:paraId="7CCD52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6C938C6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2305" w:type="dxa"/>
            <w:tcBorders>
              <w:tl2br w:val="nil"/>
              <w:tr2bl w:val="nil"/>
            </w:tcBorders>
            <w:shd w:val="clear" w:color="auto" w:fill="auto"/>
            <w:vAlign w:val="center"/>
          </w:tcPr>
          <w:p w14:paraId="0FBF181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汞</w:t>
            </w:r>
          </w:p>
        </w:tc>
        <w:tc>
          <w:tcPr>
            <w:tcW w:w="1771" w:type="dxa"/>
            <w:tcBorders>
              <w:tl2br w:val="nil"/>
              <w:tr2bl w:val="nil"/>
            </w:tcBorders>
            <w:shd w:val="clear" w:color="auto" w:fill="auto"/>
            <w:vAlign w:val="center"/>
          </w:tcPr>
          <w:p w14:paraId="0484580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7439-97-6</w:t>
            </w:r>
          </w:p>
        </w:tc>
        <w:tc>
          <w:tcPr>
            <w:tcW w:w="1771" w:type="dxa"/>
            <w:tcBorders>
              <w:tl2br w:val="nil"/>
              <w:tr2bl w:val="nil"/>
            </w:tcBorders>
            <w:shd w:val="clear" w:color="auto" w:fill="auto"/>
            <w:vAlign w:val="center"/>
          </w:tcPr>
          <w:p w14:paraId="4A9E4BD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38</w:t>
            </w:r>
          </w:p>
        </w:tc>
        <w:tc>
          <w:tcPr>
            <w:tcW w:w="1772" w:type="dxa"/>
            <w:tcBorders>
              <w:tl2br w:val="nil"/>
              <w:tr2bl w:val="nil"/>
            </w:tcBorders>
            <w:shd w:val="clear" w:color="auto" w:fill="auto"/>
            <w:vAlign w:val="center"/>
          </w:tcPr>
          <w:p w14:paraId="749ED40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82</w:t>
            </w:r>
          </w:p>
        </w:tc>
      </w:tr>
      <w:tr w14:paraId="504E4A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30683E6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w:t>
            </w:r>
          </w:p>
        </w:tc>
        <w:tc>
          <w:tcPr>
            <w:tcW w:w="2305" w:type="dxa"/>
            <w:tcBorders>
              <w:tl2br w:val="nil"/>
              <w:tr2bl w:val="nil"/>
            </w:tcBorders>
            <w:shd w:val="clear" w:color="auto" w:fill="auto"/>
            <w:vAlign w:val="center"/>
          </w:tcPr>
          <w:p w14:paraId="2E72A35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镍</w:t>
            </w:r>
          </w:p>
        </w:tc>
        <w:tc>
          <w:tcPr>
            <w:tcW w:w="1771" w:type="dxa"/>
            <w:tcBorders>
              <w:tl2br w:val="nil"/>
              <w:tr2bl w:val="nil"/>
            </w:tcBorders>
            <w:shd w:val="clear" w:color="auto" w:fill="auto"/>
            <w:vAlign w:val="center"/>
          </w:tcPr>
          <w:p w14:paraId="2FAB90F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7440-02-0</w:t>
            </w:r>
          </w:p>
        </w:tc>
        <w:tc>
          <w:tcPr>
            <w:tcW w:w="1771" w:type="dxa"/>
            <w:tcBorders>
              <w:tl2br w:val="nil"/>
              <w:tr2bl w:val="nil"/>
            </w:tcBorders>
            <w:shd w:val="clear" w:color="auto" w:fill="auto"/>
            <w:vAlign w:val="center"/>
          </w:tcPr>
          <w:p w14:paraId="446E192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900</w:t>
            </w:r>
          </w:p>
        </w:tc>
        <w:tc>
          <w:tcPr>
            <w:tcW w:w="1772" w:type="dxa"/>
            <w:tcBorders>
              <w:tl2br w:val="nil"/>
              <w:tr2bl w:val="nil"/>
            </w:tcBorders>
            <w:shd w:val="clear" w:color="auto" w:fill="auto"/>
            <w:vAlign w:val="center"/>
          </w:tcPr>
          <w:p w14:paraId="1FC392C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2000</w:t>
            </w:r>
          </w:p>
        </w:tc>
      </w:tr>
      <w:tr w14:paraId="1C70EC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1" w:type="dxa"/>
            <w:gridSpan w:val="5"/>
            <w:tcBorders>
              <w:tl2br w:val="nil"/>
              <w:tr2bl w:val="nil"/>
            </w:tcBorders>
            <w:shd w:val="clear" w:color="auto" w:fill="auto"/>
            <w:vAlign w:val="center"/>
          </w:tcPr>
          <w:p w14:paraId="7FC488D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挥发性有机物</w:t>
            </w:r>
          </w:p>
        </w:tc>
      </w:tr>
      <w:tr w14:paraId="2A8BE8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47848C9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w:t>
            </w:r>
          </w:p>
        </w:tc>
        <w:tc>
          <w:tcPr>
            <w:tcW w:w="2305" w:type="dxa"/>
            <w:tcBorders>
              <w:tl2br w:val="nil"/>
              <w:tr2bl w:val="nil"/>
            </w:tcBorders>
            <w:shd w:val="clear" w:color="auto" w:fill="auto"/>
            <w:vAlign w:val="center"/>
          </w:tcPr>
          <w:p w14:paraId="5DEAD19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四氯化碳</w:t>
            </w:r>
          </w:p>
        </w:tc>
        <w:tc>
          <w:tcPr>
            <w:tcW w:w="1771" w:type="dxa"/>
            <w:tcBorders>
              <w:tl2br w:val="nil"/>
              <w:tr2bl w:val="nil"/>
            </w:tcBorders>
            <w:shd w:val="clear" w:color="auto" w:fill="auto"/>
            <w:vAlign w:val="center"/>
          </w:tcPr>
          <w:p w14:paraId="51D796A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56-23-5</w:t>
            </w:r>
          </w:p>
        </w:tc>
        <w:tc>
          <w:tcPr>
            <w:tcW w:w="1771" w:type="dxa"/>
            <w:tcBorders>
              <w:tl2br w:val="nil"/>
              <w:tr2bl w:val="nil"/>
            </w:tcBorders>
            <w:shd w:val="clear" w:color="auto" w:fill="auto"/>
            <w:vAlign w:val="center"/>
          </w:tcPr>
          <w:p w14:paraId="21AC59F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2.8</w:t>
            </w:r>
          </w:p>
        </w:tc>
        <w:tc>
          <w:tcPr>
            <w:tcW w:w="1772" w:type="dxa"/>
            <w:tcBorders>
              <w:tl2br w:val="nil"/>
              <w:tr2bl w:val="nil"/>
            </w:tcBorders>
            <w:shd w:val="clear" w:color="auto" w:fill="auto"/>
            <w:vAlign w:val="center"/>
          </w:tcPr>
          <w:p w14:paraId="133EDF6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r>
      <w:tr w14:paraId="6BC70F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51E323E0">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w:t>
            </w:r>
          </w:p>
        </w:tc>
        <w:tc>
          <w:tcPr>
            <w:tcW w:w="2305" w:type="dxa"/>
            <w:tcBorders>
              <w:tl2br w:val="nil"/>
              <w:tr2bl w:val="nil"/>
            </w:tcBorders>
            <w:shd w:val="clear" w:color="auto" w:fill="auto"/>
            <w:vAlign w:val="center"/>
          </w:tcPr>
          <w:p w14:paraId="207B35F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氯仿</w:t>
            </w:r>
          </w:p>
        </w:tc>
        <w:tc>
          <w:tcPr>
            <w:tcW w:w="1771" w:type="dxa"/>
            <w:tcBorders>
              <w:tl2br w:val="nil"/>
              <w:tr2bl w:val="nil"/>
            </w:tcBorders>
            <w:shd w:val="clear" w:color="auto" w:fill="auto"/>
            <w:vAlign w:val="center"/>
          </w:tcPr>
          <w:p w14:paraId="47C3E37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67-66-3</w:t>
            </w:r>
          </w:p>
        </w:tc>
        <w:tc>
          <w:tcPr>
            <w:tcW w:w="1771" w:type="dxa"/>
            <w:tcBorders>
              <w:tl2br w:val="nil"/>
              <w:tr2bl w:val="nil"/>
            </w:tcBorders>
            <w:shd w:val="clear" w:color="auto" w:fill="auto"/>
            <w:vAlign w:val="center"/>
          </w:tcPr>
          <w:p w14:paraId="609A0D5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0.9</w:t>
            </w:r>
          </w:p>
        </w:tc>
        <w:tc>
          <w:tcPr>
            <w:tcW w:w="1772" w:type="dxa"/>
            <w:tcBorders>
              <w:tl2br w:val="nil"/>
              <w:tr2bl w:val="nil"/>
            </w:tcBorders>
            <w:shd w:val="clear" w:color="auto" w:fill="auto"/>
            <w:vAlign w:val="center"/>
          </w:tcPr>
          <w:p w14:paraId="0EE2F013">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r>
      <w:tr w14:paraId="6C6FBF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464EC24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305" w:type="dxa"/>
            <w:tcBorders>
              <w:tl2br w:val="nil"/>
              <w:tr2bl w:val="nil"/>
            </w:tcBorders>
            <w:shd w:val="clear" w:color="auto" w:fill="auto"/>
            <w:vAlign w:val="center"/>
          </w:tcPr>
          <w:p w14:paraId="312BBED0">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氯甲烷</w:t>
            </w:r>
          </w:p>
        </w:tc>
        <w:tc>
          <w:tcPr>
            <w:tcW w:w="1771" w:type="dxa"/>
            <w:tcBorders>
              <w:tl2br w:val="nil"/>
              <w:tr2bl w:val="nil"/>
            </w:tcBorders>
            <w:shd w:val="clear" w:color="auto" w:fill="auto"/>
            <w:vAlign w:val="center"/>
          </w:tcPr>
          <w:p w14:paraId="3D886D3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74-87-3</w:t>
            </w:r>
          </w:p>
        </w:tc>
        <w:tc>
          <w:tcPr>
            <w:tcW w:w="1771" w:type="dxa"/>
            <w:tcBorders>
              <w:tl2br w:val="nil"/>
              <w:tr2bl w:val="nil"/>
            </w:tcBorders>
            <w:shd w:val="clear" w:color="auto" w:fill="auto"/>
            <w:vAlign w:val="center"/>
          </w:tcPr>
          <w:p w14:paraId="4A9AE9C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37</w:t>
            </w:r>
          </w:p>
        </w:tc>
        <w:tc>
          <w:tcPr>
            <w:tcW w:w="1772" w:type="dxa"/>
            <w:tcBorders>
              <w:tl2br w:val="nil"/>
              <w:tr2bl w:val="nil"/>
            </w:tcBorders>
            <w:shd w:val="clear" w:color="auto" w:fill="auto"/>
            <w:vAlign w:val="center"/>
          </w:tcPr>
          <w:p w14:paraId="64408C62">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120</w:t>
            </w:r>
          </w:p>
        </w:tc>
      </w:tr>
      <w:tr w14:paraId="3FC5A5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39DF6A3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w:t>
            </w:r>
          </w:p>
        </w:tc>
        <w:tc>
          <w:tcPr>
            <w:tcW w:w="2305" w:type="dxa"/>
            <w:tcBorders>
              <w:tl2br w:val="nil"/>
              <w:tr2bl w:val="nil"/>
            </w:tcBorders>
            <w:shd w:val="clear" w:color="auto" w:fill="auto"/>
            <w:vAlign w:val="center"/>
          </w:tcPr>
          <w:p w14:paraId="0AF35AC2">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1,1-二氯乙烷</w:t>
            </w:r>
          </w:p>
        </w:tc>
        <w:tc>
          <w:tcPr>
            <w:tcW w:w="1771" w:type="dxa"/>
            <w:tcBorders>
              <w:tl2br w:val="nil"/>
              <w:tr2bl w:val="nil"/>
            </w:tcBorders>
            <w:shd w:val="clear" w:color="auto" w:fill="auto"/>
            <w:vAlign w:val="center"/>
          </w:tcPr>
          <w:p w14:paraId="333F48D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75-34-3</w:t>
            </w:r>
          </w:p>
        </w:tc>
        <w:tc>
          <w:tcPr>
            <w:tcW w:w="1771" w:type="dxa"/>
            <w:tcBorders>
              <w:tl2br w:val="nil"/>
              <w:tr2bl w:val="nil"/>
            </w:tcBorders>
            <w:shd w:val="clear" w:color="auto" w:fill="auto"/>
            <w:vAlign w:val="center"/>
          </w:tcPr>
          <w:p w14:paraId="23A9A11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w:t>
            </w:r>
          </w:p>
        </w:tc>
        <w:tc>
          <w:tcPr>
            <w:tcW w:w="1772" w:type="dxa"/>
            <w:tcBorders>
              <w:tl2br w:val="nil"/>
              <w:tr2bl w:val="nil"/>
            </w:tcBorders>
            <w:shd w:val="clear" w:color="auto" w:fill="auto"/>
            <w:vAlign w:val="center"/>
          </w:tcPr>
          <w:p w14:paraId="0F93545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w:t>
            </w:r>
          </w:p>
        </w:tc>
      </w:tr>
      <w:tr w14:paraId="3E7288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6D935C5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c>
          <w:tcPr>
            <w:tcW w:w="2305" w:type="dxa"/>
            <w:tcBorders>
              <w:tl2br w:val="nil"/>
              <w:tr2bl w:val="nil"/>
            </w:tcBorders>
            <w:shd w:val="clear" w:color="auto" w:fill="auto"/>
            <w:vAlign w:val="center"/>
          </w:tcPr>
          <w:p w14:paraId="4735783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1,2-二氯乙烷</w:t>
            </w:r>
          </w:p>
        </w:tc>
        <w:tc>
          <w:tcPr>
            <w:tcW w:w="1771" w:type="dxa"/>
            <w:tcBorders>
              <w:tl2br w:val="nil"/>
              <w:tr2bl w:val="nil"/>
            </w:tcBorders>
            <w:shd w:val="clear" w:color="auto" w:fill="auto"/>
            <w:vAlign w:val="center"/>
          </w:tcPr>
          <w:p w14:paraId="5518432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107-06-2</w:t>
            </w:r>
          </w:p>
        </w:tc>
        <w:tc>
          <w:tcPr>
            <w:tcW w:w="1771" w:type="dxa"/>
            <w:tcBorders>
              <w:tl2br w:val="nil"/>
              <w:tr2bl w:val="nil"/>
            </w:tcBorders>
            <w:shd w:val="clear" w:color="auto" w:fill="auto"/>
            <w:vAlign w:val="center"/>
          </w:tcPr>
          <w:p w14:paraId="5F62FE3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1772" w:type="dxa"/>
            <w:tcBorders>
              <w:tl2br w:val="nil"/>
              <w:tr2bl w:val="nil"/>
            </w:tcBorders>
            <w:shd w:val="clear" w:color="auto" w:fill="auto"/>
            <w:vAlign w:val="center"/>
          </w:tcPr>
          <w:p w14:paraId="736387F3">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w:t>
            </w:r>
          </w:p>
        </w:tc>
      </w:tr>
      <w:tr w14:paraId="6820F4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7DD266E0">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13</w:t>
            </w:r>
          </w:p>
        </w:tc>
        <w:tc>
          <w:tcPr>
            <w:tcW w:w="2305" w:type="dxa"/>
            <w:tcBorders>
              <w:tl2br w:val="nil"/>
              <w:tr2bl w:val="nil"/>
            </w:tcBorders>
            <w:shd w:val="clear" w:color="auto" w:fill="auto"/>
            <w:vAlign w:val="center"/>
          </w:tcPr>
          <w:p w14:paraId="0EE54AC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1,1-二氯乙烯</w:t>
            </w:r>
          </w:p>
        </w:tc>
        <w:tc>
          <w:tcPr>
            <w:tcW w:w="1771" w:type="dxa"/>
            <w:tcBorders>
              <w:tl2br w:val="nil"/>
              <w:tr2bl w:val="nil"/>
            </w:tcBorders>
            <w:shd w:val="clear" w:color="auto" w:fill="auto"/>
            <w:vAlign w:val="center"/>
          </w:tcPr>
          <w:p w14:paraId="05E6547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75-35-4</w:t>
            </w:r>
          </w:p>
        </w:tc>
        <w:tc>
          <w:tcPr>
            <w:tcW w:w="1771" w:type="dxa"/>
            <w:tcBorders>
              <w:tl2br w:val="nil"/>
              <w:tr2bl w:val="nil"/>
            </w:tcBorders>
            <w:shd w:val="clear" w:color="auto" w:fill="auto"/>
            <w:vAlign w:val="center"/>
          </w:tcPr>
          <w:p w14:paraId="074ACEA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66</w:t>
            </w:r>
          </w:p>
        </w:tc>
        <w:tc>
          <w:tcPr>
            <w:tcW w:w="1772" w:type="dxa"/>
            <w:tcBorders>
              <w:tl2br w:val="nil"/>
              <w:tr2bl w:val="nil"/>
            </w:tcBorders>
            <w:shd w:val="clear" w:color="auto" w:fill="auto"/>
            <w:vAlign w:val="center"/>
          </w:tcPr>
          <w:p w14:paraId="62A42AB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200</w:t>
            </w:r>
          </w:p>
        </w:tc>
      </w:tr>
      <w:tr w14:paraId="18883D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1AD38F6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14</w:t>
            </w:r>
          </w:p>
        </w:tc>
        <w:tc>
          <w:tcPr>
            <w:tcW w:w="2305" w:type="dxa"/>
            <w:tcBorders>
              <w:tl2br w:val="nil"/>
              <w:tr2bl w:val="nil"/>
            </w:tcBorders>
            <w:shd w:val="clear" w:color="auto" w:fill="auto"/>
            <w:vAlign w:val="center"/>
          </w:tcPr>
          <w:p w14:paraId="5E6984E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顺-1,2-二氯乙烯</w:t>
            </w:r>
          </w:p>
        </w:tc>
        <w:tc>
          <w:tcPr>
            <w:tcW w:w="1771" w:type="dxa"/>
            <w:tcBorders>
              <w:tl2br w:val="nil"/>
              <w:tr2bl w:val="nil"/>
            </w:tcBorders>
            <w:shd w:val="clear" w:color="auto" w:fill="auto"/>
            <w:vAlign w:val="center"/>
          </w:tcPr>
          <w:p w14:paraId="0CF9738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156-59-2</w:t>
            </w:r>
          </w:p>
        </w:tc>
        <w:tc>
          <w:tcPr>
            <w:tcW w:w="1771" w:type="dxa"/>
            <w:tcBorders>
              <w:tl2br w:val="nil"/>
              <w:tr2bl w:val="nil"/>
            </w:tcBorders>
            <w:shd w:val="clear" w:color="auto" w:fill="auto"/>
            <w:vAlign w:val="center"/>
          </w:tcPr>
          <w:p w14:paraId="7FF21B4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596</w:t>
            </w:r>
          </w:p>
        </w:tc>
        <w:tc>
          <w:tcPr>
            <w:tcW w:w="1772" w:type="dxa"/>
            <w:tcBorders>
              <w:tl2br w:val="nil"/>
              <w:tr2bl w:val="nil"/>
            </w:tcBorders>
            <w:shd w:val="clear" w:color="auto" w:fill="auto"/>
            <w:vAlign w:val="center"/>
          </w:tcPr>
          <w:p w14:paraId="528CF900">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2000</w:t>
            </w:r>
          </w:p>
        </w:tc>
      </w:tr>
      <w:tr w14:paraId="2D0401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2F7C431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2305" w:type="dxa"/>
            <w:tcBorders>
              <w:tl2br w:val="nil"/>
              <w:tr2bl w:val="nil"/>
            </w:tcBorders>
            <w:shd w:val="clear" w:color="auto" w:fill="auto"/>
            <w:vAlign w:val="center"/>
          </w:tcPr>
          <w:p w14:paraId="111A62F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反-1,2-二氯乙烯</w:t>
            </w:r>
          </w:p>
        </w:tc>
        <w:tc>
          <w:tcPr>
            <w:tcW w:w="1771" w:type="dxa"/>
            <w:tcBorders>
              <w:tl2br w:val="nil"/>
              <w:tr2bl w:val="nil"/>
            </w:tcBorders>
            <w:shd w:val="clear" w:color="auto" w:fill="auto"/>
            <w:vAlign w:val="center"/>
          </w:tcPr>
          <w:p w14:paraId="4573C94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156-60-5</w:t>
            </w:r>
          </w:p>
        </w:tc>
        <w:tc>
          <w:tcPr>
            <w:tcW w:w="1771" w:type="dxa"/>
            <w:tcBorders>
              <w:tl2br w:val="nil"/>
              <w:tr2bl w:val="nil"/>
            </w:tcBorders>
            <w:shd w:val="clear" w:color="auto" w:fill="auto"/>
            <w:vAlign w:val="center"/>
          </w:tcPr>
          <w:p w14:paraId="054CCFE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54</w:t>
            </w:r>
          </w:p>
        </w:tc>
        <w:tc>
          <w:tcPr>
            <w:tcW w:w="1772" w:type="dxa"/>
            <w:tcBorders>
              <w:tl2br w:val="nil"/>
              <w:tr2bl w:val="nil"/>
            </w:tcBorders>
            <w:shd w:val="clear" w:color="auto" w:fill="auto"/>
            <w:vAlign w:val="center"/>
          </w:tcPr>
          <w:p w14:paraId="0A861A5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163</w:t>
            </w:r>
          </w:p>
        </w:tc>
      </w:tr>
      <w:tr w14:paraId="014239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19FC074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16</w:t>
            </w:r>
          </w:p>
        </w:tc>
        <w:tc>
          <w:tcPr>
            <w:tcW w:w="2305" w:type="dxa"/>
            <w:tcBorders>
              <w:tl2br w:val="nil"/>
              <w:tr2bl w:val="nil"/>
            </w:tcBorders>
            <w:shd w:val="clear" w:color="auto" w:fill="auto"/>
            <w:vAlign w:val="center"/>
          </w:tcPr>
          <w:p w14:paraId="327C04C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二氯甲烷</w:t>
            </w:r>
          </w:p>
        </w:tc>
        <w:tc>
          <w:tcPr>
            <w:tcW w:w="1771" w:type="dxa"/>
            <w:tcBorders>
              <w:tl2br w:val="nil"/>
              <w:tr2bl w:val="nil"/>
            </w:tcBorders>
            <w:shd w:val="clear" w:color="auto" w:fill="auto"/>
            <w:vAlign w:val="center"/>
          </w:tcPr>
          <w:p w14:paraId="0FC632F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75-09-2</w:t>
            </w:r>
          </w:p>
        </w:tc>
        <w:tc>
          <w:tcPr>
            <w:tcW w:w="1771" w:type="dxa"/>
            <w:tcBorders>
              <w:tl2br w:val="nil"/>
              <w:tr2bl w:val="nil"/>
            </w:tcBorders>
            <w:shd w:val="clear" w:color="auto" w:fill="auto"/>
            <w:vAlign w:val="center"/>
          </w:tcPr>
          <w:p w14:paraId="1EF6BAF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616</w:t>
            </w:r>
          </w:p>
        </w:tc>
        <w:tc>
          <w:tcPr>
            <w:tcW w:w="1772" w:type="dxa"/>
            <w:tcBorders>
              <w:tl2br w:val="nil"/>
              <w:tr2bl w:val="nil"/>
            </w:tcBorders>
            <w:shd w:val="clear" w:color="auto" w:fill="auto"/>
            <w:vAlign w:val="center"/>
          </w:tcPr>
          <w:p w14:paraId="3CA0B13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2000</w:t>
            </w:r>
          </w:p>
        </w:tc>
      </w:tr>
      <w:tr w14:paraId="3B4D40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7B02890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17</w:t>
            </w:r>
          </w:p>
        </w:tc>
        <w:tc>
          <w:tcPr>
            <w:tcW w:w="2305" w:type="dxa"/>
            <w:tcBorders>
              <w:tl2br w:val="nil"/>
              <w:tr2bl w:val="nil"/>
            </w:tcBorders>
            <w:shd w:val="clear" w:color="auto" w:fill="auto"/>
            <w:vAlign w:val="center"/>
          </w:tcPr>
          <w:p w14:paraId="217B080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1,2-二氯丙烷</w:t>
            </w:r>
          </w:p>
        </w:tc>
        <w:tc>
          <w:tcPr>
            <w:tcW w:w="1771" w:type="dxa"/>
            <w:tcBorders>
              <w:tl2br w:val="nil"/>
              <w:tr2bl w:val="nil"/>
            </w:tcBorders>
            <w:shd w:val="clear" w:color="auto" w:fill="auto"/>
            <w:vAlign w:val="center"/>
          </w:tcPr>
          <w:p w14:paraId="6239641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78-87-5</w:t>
            </w:r>
          </w:p>
        </w:tc>
        <w:tc>
          <w:tcPr>
            <w:tcW w:w="1771" w:type="dxa"/>
            <w:tcBorders>
              <w:tl2br w:val="nil"/>
              <w:tr2bl w:val="nil"/>
            </w:tcBorders>
            <w:shd w:val="clear" w:color="auto" w:fill="auto"/>
            <w:vAlign w:val="center"/>
          </w:tcPr>
          <w:p w14:paraId="3807B07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1772" w:type="dxa"/>
            <w:tcBorders>
              <w:tl2br w:val="nil"/>
              <w:tr2bl w:val="nil"/>
            </w:tcBorders>
            <w:shd w:val="clear" w:color="auto" w:fill="auto"/>
            <w:vAlign w:val="center"/>
          </w:tcPr>
          <w:p w14:paraId="2F5B3890">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47</w:t>
            </w:r>
          </w:p>
        </w:tc>
      </w:tr>
      <w:tr w14:paraId="46EF50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21C484E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2305" w:type="dxa"/>
            <w:tcBorders>
              <w:tl2br w:val="nil"/>
              <w:tr2bl w:val="nil"/>
            </w:tcBorders>
            <w:shd w:val="clear" w:color="auto" w:fill="auto"/>
            <w:vAlign w:val="center"/>
          </w:tcPr>
          <w:p w14:paraId="283E2BC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1,1,1,2-四氯乙烷</w:t>
            </w:r>
          </w:p>
        </w:tc>
        <w:tc>
          <w:tcPr>
            <w:tcW w:w="1771" w:type="dxa"/>
            <w:tcBorders>
              <w:tl2br w:val="nil"/>
              <w:tr2bl w:val="nil"/>
            </w:tcBorders>
            <w:shd w:val="clear" w:color="auto" w:fill="auto"/>
            <w:vAlign w:val="center"/>
          </w:tcPr>
          <w:p w14:paraId="28B63C5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630-20-6</w:t>
            </w:r>
          </w:p>
        </w:tc>
        <w:tc>
          <w:tcPr>
            <w:tcW w:w="1771" w:type="dxa"/>
            <w:tcBorders>
              <w:tl2br w:val="nil"/>
              <w:tr2bl w:val="nil"/>
            </w:tcBorders>
            <w:shd w:val="clear" w:color="auto" w:fill="auto"/>
            <w:vAlign w:val="center"/>
          </w:tcPr>
          <w:p w14:paraId="051F413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1772" w:type="dxa"/>
            <w:tcBorders>
              <w:tl2br w:val="nil"/>
              <w:tr2bl w:val="nil"/>
            </w:tcBorders>
            <w:shd w:val="clear" w:color="auto" w:fill="auto"/>
            <w:vAlign w:val="center"/>
          </w:tcPr>
          <w:p w14:paraId="033481F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w:t>
            </w:r>
          </w:p>
        </w:tc>
      </w:tr>
      <w:tr w14:paraId="6934DF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75566BEB">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2305" w:type="dxa"/>
            <w:tcBorders>
              <w:tl2br w:val="nil"/>
              <w:tr2bl w:val="nil"/>
            </w:tcBorders>
            <w:shd w:val="clear" w:color="auto" w:fill="auto"/>
            <w:vAlign w:val="center"/>
          </w:tcPr>
          <w:p w14:paraId="59E8DC1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1,1,2,2-四氯乙烷</w:t>
            </w:r>
          </w:p>
        </w:tc>
        <w:tc>
          <w:tcPr>
            <w:tcW w:w="1771" w:type="dxa"/>
            <w:tcBorders>
              <w:tl2br w:val="nil"/>
              <w:tr2bl w:val="nil"/>
            </w:tcBorders>
            <w:shd w:val="clear" w:color="auto" w:fill="auto"/>
            <w:vAlign w:val="center"/>
          </w:tcPr>
          <w:p w14:paraId="6E33ED7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79-34-5</w:t>
            </w:r>
          </w:p>
        </w:tc>
        <w:tc>
          <w:tcPr>
            <w:tcW w:w="1771" w:type="dxa"/>
            <w:tcBorders>
              <w:tl2br w:val="nil"/>
              <w:tr2bl w:val="nil"/>
            </w:tcBorders>
            <w:shd w:val="clear" w:color="auto" w:fill="auto"/>
            <w:vAlign w:val="center"/>
          </w:tcPr>
          <w:p w14:paraId="2C48A25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6.8</w:t>
            </w:r>
          </w:p>
        </w:tc>
        <w:tc>
          <w:tcPr>
            <w:tcW w:w="1772" w:type="dxa"/>
            <w:tcBorders>
              <w:tl2br w:val="nil"/>
              <w:tr2bl w:val="nil"/>
            </w:tcBorders>
            <w:shd w:val="clear" w:color="auto" w:fill="auto"/>
            <w:vAlign w:val="center"/>
          </w:tcPr>
          <w:p w14:paraId="308C3E8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w:t>
            </w:r>
          </w:p>
        </w:tc>
      </w:tr>
      <w:tr w14:paraId="393FA2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4E59201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c>
          <w:tcPr>
            <w:tcW w:w="2305" w:type="dxa"/>
            <w:tcBorders>
              <w:tl2br w:val="nil"/>
              <w:tr2bl w:val="nil"/>
            </w:tcBorders>
            <w:shd w:val="clear" w:color="auto" w:fill="auto"/>
            <w:vAlign w:val="center"/>
          </w:tcPr>
          <w:p w14:paraId="4A6DCD4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四氯乙烯</w:t>
            </w:r>
          </w:p>
        </w:tc>
        <w:tc>
          <w:tcPr>
            <w:tcW w:w="1771" w:type="dxa"/>
            <w:tcBorders>
              <w:tl2br w:val="nil"/>
              <w:tr2bl w:val="nil"/>
            </w:tcBorders>
            <w:shd w:val="clear" w:color="auto" w:fill="auto"/>
            <w:vAlign w:val="center"/>
          </w:tcPr>
          <w:p w14:paraId="5C5F128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127-18-4</w:t>
            </w:r>
          </w:p>
        </w:tc>
        <w:tc>
          <w:tcPr>
            <w:tcW w:w="1771" w:type="dxa"/>
            <w:tcBorders>
              <w:tl2br w:val="nil"/>
              <w:tr2bl w:val="nil"/>
            </w:tcBorders>
            <w:shd w:val="clear" w:color="auto" w:fill="auto"/>
            <w:vAlign w:val="center"/>
          </w:tcPr>
          <w:p w14:paraId="3DF65CC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53</w:t>
            </w:r>
          </w:p>
        </w:tc>
        <w:tc>
          <w:tcPr>
            <w:tcW w:w="1772" w:type="dxa"/>
            <w:tcBorders>
              <w:tl2br w:val="nil"/>
              <w:tr2bl w:val="nil"/>
            </w:tcBorders>
            <w:shd w:val="clear" w:color="auto" w:fill="auto"/>
            <w:vAlign w:val="center"/>
          </w:tcPr>
          <w:p w14:paraId="62C553D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183</w:t>
            </w:r>
          </w:p>
        </w:tc>
      </w:tr>
      <w:tr w14:paraId="62D038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0A94FDD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w:t>
            </w:r>
          </w:p>
        </w:tc>
        <w:tc>
          <w:tcPr>
            <w:tcW w:w="2305" w:type="dxa"/>
            <w:tcBorders>
              <w:tl2br w:val="nil"/>
              <w:tr2bl w:val="nil"/>
            </w:tcBorders>
            <w:shd w:val="clear" w:color="auto" w:fill="auto"/>
            <w:vAlign w:val="center"/>
          </w:tcPr>
          <w:p w14:paraId="7A0095B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1,1,1-三氯乙烷</w:t>
            </w:r>
          </w:p>
        </w:tc>
        <w:tc>
          <w:tcPr>
            <w:tcW w:w="1771" w:type="dxa"/>
            <w:tcBorders>
              <w:tl2br w:val="nil"/>
              <w:tr2bl w:val="nil"/>
            </w:tcBorders>
            <w:shd w:val="clear" w:color="auto" w:fill="auto"/>
            <w:vAlign w:val="center"/>
          </w:tcPr>
          <w:p w14:paraId="6E981B3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71-55-6</w:t>
            </w:r>
          </w:p>
        </w:tc>
        <w:tc>
          <w:tcPr>
            <w:tcW w:w="1771" w:type="dxa"/>
            <w:tcBorders>
              <w:tl2br w:val="nil"/>
              <w:tr2bl w:val="nil"/>
            </w:tcBorders>
            <w:shd w:val="clear" w:color="auto" w:fill="auto"/>
            <w:vAlign w:val="center"/>
          </w:tcPr>
          <w:p w14:paraId="08C5924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840</w:t>
            </w:r>
          </w:p>
        </w:tc>
        <w:tc>
          <w:tcPr>
            <w:tcW w:w="1772" w:type="dxa"/>
            <w:tcBorders>
              <w:tl2br w:val="nil"/>
              <w:tr2bl w:val="nil"/>
            </w:tcBorders>
            <w:shd w:val="clear" w:color="auto" w:fill="auto"/>
            <w:vAlign w:val="center"/>
          </w:tcPr>
          <w:p w14:paraId="4F191CA3">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840</w:t>
            </w:r>
          </w:p>
        </w:tc>
      </w:tr>
      <w:tr w14:paraId="66B0DC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4E34416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22</w:t>
            </w:r>
          </w:p>
        </w:tc>
        <w:tc>
          <w:tcPr>
            <w:tcW w:w="2305" w:type="dxa"/>
            <w:tcBorders>
              <w:tl2br w:val="nil"/>
              <w:tr2bl w:val="nil"/>
            </w:tcBorders>
            <w:shd w:val="clear" w:color="auto" w:fill="auto"/>
            <w:vAlign w:val="center"/>
          </w:tcPr>
          <w:p w14:paraId="59529EF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1,1,2-三氯乙烷</w:t>
            </w:r>
          </w:p>
        </w:tc>
        <w:tc>
          <w:tcPr>
            <w:tcW w:w="1771" w:type="dxa"/>
            <w:tcBorders>
              <w:tl2br w:val="nil"/>
              <w:tr2bl w:val="nil"/>
            </w:tcBorders>
            <w:shd w:val="clear" w:color="auto" w:fill="auto"/>
            <w:vAlign w:val="center"/>
          </w:tcPr>
          <w:p w14:paraId="1BD1405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79-00-5</w:t>
            </w:r>
          </w:p>
        </w:tc>
        <w:tc>
          <w:tcPr>
            <w:tcW w:w="1771" w:type="dxa"/>
            <w:tcBorders>
              <w:tl2br w:val="nil"/>
              <w:tr2bl w:val="nil"/>
            </w:tcBorders>
            <w:shd w:val="clear" w:color="auto" w:fill="auto"/>
            <w:vAlign w:val="center"/>
          </w:tcPr>
          <w:p w14:paraId="73663273">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2.8</w:t>
            </w:r>
          </w:p>
        </w:tc>
        <w:tc>
          <w:tcPr>
            <w:tcW w:w="1772" w:type="dxa"/>
            <w:tcBorders>
              <w:tl2br w:val="nil"/>
              <w:tr2bl w:val="nil"/>
            </w:tcBorders>
            <w:shd w:val="clear" w:color="auto" w:fill="auto"/>
            <w:vAlign w:val="center"/>
          </w:tcPr>
          <w:p w14:paraId="5D1EED9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r>
      <w:tr w14:paraId="5A2CD5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2711A98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23</w:t>
            </w:r>
          </w:p>
        </w:tc>
        <w:tc>
          <w:tcPr>
            <w:tcW w:w="2305" w:type="dxa"/>
            <w:tcBorders>
              <w:tl2br w:val="nil"/>
              <w:tr2bl w:val="nil"/>
            </w:tcBorders>
            <w:shd w:val="clear" w:color="auto" w:fill="auto"/>
            <w:vAlign w:val="center"/>
          </w:tcPr>
          <w:p w14:paraId="66501C6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三氯乙烯</w:t>
            </w:r>
          </w:p>
        </w:tc>
        <w:tc>
          <w:tcPr>
            <w:tcW w:w="1771" w:type="dxa"/>
            <w:tcBorders>
              <w:tl2br w:val="nil"/>
              <w:tr2bl w:val="nil"/>
            </w:tcBorders>
            <w:shd w:val="clear" w:color="auto" w:fill="auto"/>
            <w:vAlign w:val="center"/>
          </w:tcPr>
          <w:p w14:paraId="3F1C944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79-01-6</w:t>
            </w:r>
          </w:p>
        </w:tc>
        <w:tc>
          <w:tcPr>
            <w:tcW w:w="1771" w:type="dxa"/>
            <w:tcBorders>
              <w:tl2br w:val="nil"/>
              <w:tr2bl w:val="nil"/>
            </w:tcBorders>
            <w:shd w:val="clear" w:color="auto" w:fill="auto"/>
            <w:vAlign w:val="center"/>
          </w:tcPr>
          <w:p w14:paraId="7B04410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2.8</w:t>
            </w:r>
          </w:p>
        </w:tc>
        <w:tc>
          <w:tcPr>
            <w:tcW w:w="1772" w:type="dxa"/>
            <w:tcBorders>
              <w:tl2br w:val="nil"/>
              <w:tr2bl w:val="nil"/>
            </w:tcBorders>
            <w:shd w:val="clear" w:color="auto" w:fill="auto"/>
            <w:vAlign w:val="center"/>
          </w:tcPr>
          <w:p w14:paraId="64E269D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r>
      <w:tr w14:paraId="6DBCAD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7E88C51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24</w:t>
            </w:r>
          </w:p>
        </w:tc>
        <w:tc>
          <w:tcPr>
            <w:tcW w:w="2305" w:type="dxa"/>
            <w:tcBorders>
              <w:tl2br w:val="nil"/>
              <w:tr2bl w:val="nil"/>
            </w:tcBorders>
            <w:shd w:val="clear" w:color="auto" w:fill="auto"/>
            <w:vAlign w:val="center"/>
          </w:tcPr>
          <w:p w14:paraId="330F3AF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1,2,3-三氯丙烷</w:t>
            </w:r>
          </w:p>
        </w:tc>
        <w:tc>
          <w:tcPr>
            <w:tcW w:w="1771" w:type="dxa"/>
            <w:tcBorders>
              <w:tl2br w:val="nil"/>
              <w:tr2bl w:val="nil"/>
            </w:tcBorders>
            <w:shd w:val="clear" w:color="auto" w:fill="auto"/>
            <w:vAlign w:val="center"/>
          </w:tcPr>
          <w:p w14:paraId="6525E5F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96-18-4</w:t>
            </w:r>
          </w:p>
        </w:tc>
        <w:tc>
          <w:tcPr>
            <w:tcW w:w="1771" w:type="dxa"/>
            <w:tcBorders>
              <w:tl2br w:val="nil"/>
              <w:tr2bl w:val="nil"/>
            </w:tcBorders>
            <w:shd w:val="clear" w:color="auto" w:fill="auto"/>
            <w:vAlign w:val="center"/>
          </w:tcPr>
          <w:p w14:paraId="7C1487C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0.5</w:t>
            </w:r>
          </w:p>
        </w:tc>
        <w:tc>
          <w:tcPr>
            <w:tcW w:w="1772" w:type="dxa"/>
            <w:tcBorders>
              <w:tl2br w:val="nil"/>
              <w:tr2bl w:val="nil"/>
            </w:tcBorders>
            <w:shd w:val="clear" w:color="auto" w:fill="auto"/>
            <w:vAlign w:val="center"/>
          </w:tcPr>
          <w:p w14:paraId="3270436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r>
      <w:tr w14:paraId="288680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5D0FE60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w:t>
            </w:r>
          </w:p>
        </w:tc>
        <w:tc>
          <w:tcPr>
            <w:tcW w:w="2305" w:type="dxa"/>
            <w:tcBorders>
              <w:tl2br w:val="nil"/>
              <w:tr2bl w:val="nil"/>
            </w:tcBorders>
            <w:shd w:val="clear" w:color="auto" w:fill="auto"/>
            <w:vAlign w:val="center"/>
          </w:tcPr>
          <w:p w14:paraId="6FF7D43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氯乙烯</w:t>
            </w:r>
          </w:p>
        </w:tc>
        <w:tc>
          <w:tcPr>
            <w:tcW w:w="1771" w:type="dxa"/>
            <w:tcBorders>
              <w:tl2br w:val="nil"/>
              <w:tr2bl w:val="nil"/>
            </w:tcBorders>
            <w:shd w:val="clear" w:color="auto" w:fill="auto"/>
            <w:vAlign w:val="center"/>
          </w:tcPr>
          <w:p w14:paraId="696292B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75-01-4</w:t>
            </w:r>
          </w:p>
        </w:tc>
        <w:tc>
          <w:tcPr>
            <w:tcW w:w="1771" w:type="dxa"/>
            <w:tcBorders>
              <w:tl2br w:val="nil"/>
              <w:tr2bl w:val="nil"/>
            </w:tcBorders>
            <w:shd w:val="clear" w:color="auto" w:fill="auto"/>
            <w:vAlign w:val="center"/>
          </w:tcPr>
          <w:p w14:paraId="43A6FC9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0.43</w:t>
            </w:r>
          </w:p>
        </w:tc>
        <w:tc>
          <w:tcPr>
            <w:tcW w:w="1772" w:type="dxa"/>
            <w:tcBorders>
              <w:tl2br w:val="nil"/>
              <w:tr2bl w:val="nil"/>
            </w:tcBorders>
            <w:shd w:val="clear" w:color="auto" w:fill="auto"/>
            <w:vAlign w:val="center"/>
          </w:tcPr>
          <w:p w14:paraId="1F58AAB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4.3</w:t>
            </w:r>
          </w:p>
        </w:tc>
      </w:tr>
      <w:tr w14:paraId="078376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599FBB4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26</w:t>
            </w:r>
          </w:p>
        </w:tc>
        <w:tc>
          <w:tcPr>
            <w:tcW w:w="2305" w:type="dxa"/>
            <w:tcBorders>
              <w:tl2br w:val="nil"/>
              <w:tr2bl w:val="nil"/>
            </w:tcBorders>
            <w:shd w:val="clear" w:color="auto" w:fill="auto"/>
            <w:vAlign w:val="center"/>
          </w:tcPr>
          <w:p w14:paraId="66F3C2EB">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苯</w:t>
            </w:r>
          </w:p>
        </w:tc>
        <w:tc>
          <w:tcPr>
            <w:tcW w:w="1771" w:type="dxa"/>
            <w:tcBorders>
              <w:tl2br w:val="nil"/>
              <w:tr2bl w:val="nil"/>
            </w:tcBorders>
            <w:shd w:val="clear" w:color="auto" w:fill="auto"/>
            <w:vAlign w:val="center"/>
          </w:tcPr>
          <w:p w14:paraId="0636EBF0">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71-43-2</w:t>
            </w:r>
          </w:p>
        </w:tc>
        <w:tc>
          <w:tcPr>
            <w:tcW w:w="1771" w:type="dxa"/>
            <w:tcBorders>
              <w:tl2br w:val="nil"/>
              <w:tr2bl w:val="nil"/>
            </w:tcBorders>
            <w:shd w:val="clear" w:color="auto" w:fill="auto"/>
            <w:vAlign w:val="center"/>
          </w:tcPr>
          <w:p w14:paraId="08DF4ACB">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772" w:type="dxa"/>
            <w:tcBorders>
              <w:tl2br w:val="nil"/>
              <w:tr2bl w:val="nil"/>
            </w:tcBorders>
            <w:shd w:val="clear" w:color="auto" w:fill="auto"/>
            <w:vAlign w:val="center"/>
          </w:tcPr>
          <w:p w14:paraId="4743E63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w:t>
            </w:r>
          </w:p>
        </w:tc>
      </w:tr>
      <w:tr w14:paraId="672BD8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554B755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27</w:t>
            </w:r>
          </w:p>
        </w:tc>
        <w:tc>
          <w:tcPr>
            <w:tcW w:w="2305" w:type="dxa"/>
            <w:tcBorders>
              <w:tl2br w:val="nil"/>
              <w:tr2bl w:val="nil"/>
            </w:tcBorders>
            <w:shd w:val="clear" w:color="auto" w:fill="auto"/>
            <w:vAlign w:val="center"/>
          </w:tcPr>
          <w:p w14:paraId="16C1AE6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氯苯</w:t>
            </w:r>
          </w:p>
        </w:tc>
        <w:tc>
          <w:tcPr>
            <w:tcW w:w="1771" w:type="dxa"/>
            <w:tcBorders>
              <w:tl2br w:val="nil"/>
              <w:tr2bl w:val="nil"/>
            </w:tcBorders>
            <w:shd w:val="clear" w:color="auto" w:fill="auto"/>
            <w:vAlign w:val="center"/>
          </w:tcPr>
          <w:p w14:paraId="08DD1A5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108-90-7</w:t>
            </w:r>
          </w:p>
        </w:tc>
        <w:tc>
          <w:tcPr>
            <w:tcW w:w="1771" w:type="dxa"/>
            <w:tcBorders>
              <w:tl2br w:val="nil"/>
              <w:tr2bl w:val="nil"/>
            </w:tcBorders>
            <w:shd w:val="clear" w:color="auto" w:fill="auto"/>
            <w:vAlign w:val="center"/>
          </w:tcPr>
          <w:p w14:paraId="27BCE143">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270</w:t>
            </w:r>
          </w:p>
        </w:tc>
        <w:tc>
          <w:tcPr>
            <w:tcW w:w="1772" w:type="dxa"/>
            <w:tcBorders>
              <w:tl2br w:val="nil"/>
              <w:tr2bl w:val="nil"/>
            </w:tcBorders>
            <w:shd w:val="clear" w:color="auto" w:fill="auto"/>
            <w:vAlign w:val="center"/>
          </w:tcPr>
          <w:p w14:paraId="2FE8D15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1000</w:t>
            </w:r>
          </w:p>
        </w:tc>
      </w:tr>
      <w:tr w14:paraId="10466F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073A940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28</w:t>
            </w:r>
          </w:p>
        </w:tc>
        <w:tc>
          <w:tcPr>
            <w:tcW w:w="2305" w:type="dxa"/>
            <w:tcBorders>
              <w:tl2br w:val="nil"/>
              <w:tr2bl w:val="nil"/>
            </w:tcBorders>
            <w:shd w:val="clear" w:color="auto" w:fill="auto"/>
            <w:vAlign w:val="center"/>
          </w:tcPr>
          <w:p w14:paraId="5EDC8960">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1,2-二氯苯</w:t>
            </w:r>
          </w:p>
        </w:tc>
        <w:tc>
          <w:tcPr>
            <w:tcW w:w="1771" w:type="dxa"/>
            <w:tcBorders>
              <w:tl2br w:val="nil"/>
              <w:tr2bl w:val="nil"/>
            </w:tcBorders>
            <w:shd w:val="clear" w:color="auto" w:fill="auto"/>
            <w:vAlign w:val="center"/>
          </w:tcPr>
          <w:p w14:paraId="42EB0DA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95-50-1</w:t>
            </w:r>
          </w:p>
        </w:tc>
        <w:tc>
          <w:tcPr>
            <w:tcW w:w="1771" w:type="dxa"/>
            <w:tcBorders>
              <w:tl2br w:val="nil"/>
              <w:tr2bl w:val="nil"/>
            </w:tcBorders>
            <w:shd w:val="clear" w:color="auto" w:fill="auto"/>
            <w:vAlign w:val="center"/>
          </w:tcPr>
          <w:p w14:paraId="3A846B9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560</w:t>
            </w:r>
          </w:p>
        </w:tc>
        <w:tc>
          <w:tcPr>
            <w:tcW w:w="1772" w:type="dxa"/>
            <w:tcBorders>
              <w:tl2br w:val="nil"/>
              <w:tr2bl w:val="nil"/>
            </w:tcBorders>
            <w:shd w:val="clear" w:color="auto" w:fill="auto"/>
            <w:vAlign w:val="center"/>
          </w:tcPr>
          <w:p w14:paraId="059AC77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560</w:t>
            </w:r>
          </w:p>
        </w:tc>
      </w:tr>
      <w:tr w14:paraId="0A9F6A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1295F33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29</w:t>
            </w:r>
          </w:p>
        </w:tc>
        <w:tc>
          <w:tcPr>
            <w:tcW w:w="2305" w:type="dxa"/>
            <w:tcBorders>
              <w:tl2br w:val="nil"/>
              <w:tr2bl w:val="nil"/>
            </w:tcBorders>
            <w:shd w:val="clear" w:color="auto" w:fill="auto"/>
            <w:vAlign w:val="center"/>
          </w:tcPr>
          <w:p w14:paraId="7080830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1,4-二氯苯</w:t>
            </w:r>
          </w:p>
        </w:tc>
        <w:tc>
          <w:tcPr>
            <w:tcW w:w="1771" w:type="dxa"/>
            <w:tcBorders>
              <w:tl2br w:val="nil"/>
              <w:tr2bl w:val="nil"/>
            </w:tcBorders>
            <w:shd w:val="clear" w:color="auto" w:fill="auto"/>
            <w:vAlign w:val="center"/>
          </w:tcPr>
          <w:p w14:paraId="3DCB6B3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106-46-7</w:t>
            </w:r>
          </w:p>
        </w:tc>
        <w:tc>
          <w:tcPr>
            <w:tcW w:w="1771" w:type="dxa"/>
            <w:tcBorders>
              <w:tl2br w:val="nil"/>
              <w:tr2bl w:val="nil"/>
            </w:tcBorders>
            <w:shd w:val="clear" w:color="auto" w:fill="auto"/>
            <w:vAlign w:val="center"/>
          </w:tcPr>
          <w:p w14:paraId="7D27109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c>
          <w:tcPr>
            <w:tcW w:w="1772" w:type="dxa"/>
            <w:tcBorders>
              <w:tl2br w:val="nil"/>
              <w:tr2bl w:val="nil"/>
            </w:tcBorders>
            <w:shd w:val="clear" w:color="auto" w:fill="auto"/>
            <w:vAlign w:val="center"/>
          </w:tcPr>
          <w:p w14:paraId="6583943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200</w:t>
            </w:r>
          </w:p>
        </w:tc>
      </w:tr>
      <w:tr w14:paraId="765B28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1FC2C02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w:t>
            </w:r>
          </w:p>
        </w:tc>
        <w:tc>
          <w:tcPr>
            <w:tcW w:w="2305" w:type="dxa"/>
            <w:tcBorders>
              <w:tl2br w:val="nil"/>
              <w:tr2bl w:val="nil"/>
            </w:tcBorders>
            <w:shd w:val="clear" w:color="auto" w:fill="auto"/>
            <w:vAlign w:val="center"/>
          </w:tcPr>
          <w:p w14:paraId="047402D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乙苯</w:t>
            </w:r>
          </w:p>
        </w:tc>
        <w:tc>
          <w:tcPr>
            <w:tcW w:w="1771" w:type="dxa"/>
            <w:tcBorders>
              <w:tl2br w:val="nil"/>
              <w:tr2bl w:val="nil"/>
            </w:tcBorders>
            <w:shd w:val="clear" w:color="auto" w:fill="auto"/>
            <w:vAlign w:val="center"/>
          </w:tcPr>
          <w:p w14:paraId="7EC944D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100-41-4</w:t>
            </w:r>
          </w:p>
        </w:tc>
        <w:tc>
          <w:tcPr>
            <w:tcW w:w="1771" w:type="dxa"/>
            <w:tcBorders>
              <w:tl2br w:val="nil"/>
              <w:tr2bl w:val="nil"/>
            </w:tcBorders>
            <w:shd w:val="clear" w:color="auto" w:fill="auto"/>
            <w:vAlign w:val="center"/>
          </w:tcPr>
          <w:p w14:paraId="1B926C9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28</w:t>
            </w:r>
          </w:p>
        </w:tc>
        <w:tc>
          <w:tcPr>
            <w:tcW w:w="1772" w:type="dxa"/>
            <w:tcBorders>
              <w:tl2br w:val="nil"/>
              <w:tr2bl w:val="nil"/>
            </w:tcBorders>
            <w:shd w:val="clear" w:color="auto" w:fill="auto"/>
            <w:vAlign w:val="center"/>
          </w:tcPr>
          <w:p w14:paraId="45FFCF5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280</w:t>
            </w:r>
          </w:p>
        </w:tc>
      </w:tr>
      <w:tr w14:paraId="254AAB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2BCAD31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31</w:t>
            </w:r>
          </w:p>
        </w:tc>
        <w:tc>
          <w:tcPr>
            <w:tcW w:w="2305" w:type="dxa"/>
            <w:tcBorders>
              <w:tl2br w:val="nil"/>
              <w:tr2bl w:val="nil"/>
            </w:tcBorders>
            <w:shd w:val="clear" w:color="auto" w:fill="auto"/>
            <w:vAlign w:val="center"/>
          </w:tcPr>
          <w:p w14:paraId="4D61D44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苯乙烯</w:t>
            </w:r>
          </w:p>
        </w:tc>
        <w:tc>
          <w:tcPr>
            <w:tcW w:w="1771" w:type="dxa"/>
            <w:tcBorders>
              <w:tl2br w:val="nil"/>
              <w:tr2bl w:val="nil"/>
            </w:tcBorders>
            <w:shd w:val="clear" w:color="auto" w:fill="auto"/>
            <w:vAlign w:val="center"/>
          </w:tcPr>
          <w:p w14:paraId="33A030C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100-42-5</w:t>
            </w:r>
          </w:p>
        </w:tc>
        <w:tc>
          <w:tcPr>
            <w:tcW w:w="1771" w:type="dxa"/>
            <w:tcBorders>
              <w:tl2br w:val="nil"/>
              <w:tr2bl w:val="nil"/>
            </w:tcBorders>
            <w:shd w:val="clear" w:color="auto" w:fill="auto"/>
            <w:vAlign w:val="center"/>
          </w:tcPr>
          <w:p w14:paraId="3F75B40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1290</w:t>
            </w:r>
          </w:p>
        </w:tc>
        <w:tc>
          <w:tcPr>
            <w:tcW w:w="1772" w:type="dxa"/>
            <w:tcBorders>
              <w:tl2br w:val="nil"/>
              <w:tr2bl w:val="nil"/>
            </w:tcBorders>
            <w:shd w:val="clear" w:color="auto" w:fill="auto"/>
            <w:vAlign w:val="center"/>
          </w:tcPr>
          <w:p w14:paraId="18DFFF1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1290</w:t>
            </w:r>
          </w:p>
        </w:tc>
      </w:tr>
      <w:tr w14:paraId="2C7271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5B0933F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32</w:t>
            </w:r>
          </w:p>
        </w:tc>
        <w:tc>
          <w:tcPr>
            <w:tcW w:w="2305" w:type="dxa"/>
            <w:tcBorders>
              <w:tl2br w:val="nil"/>
              <w:tr2bl w:val="nil"/>
            </w:tcBorders>
            <w:shd w:val="clear" w:color="auto" w:fill="auto"/>
            <w:vAlign w:val="center"/>
          </w:tcPr>
          <w:p w14:paraId="5A3037F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甲苯</w:t>
            </w:r>
          </w:p>
        </w:tc>
        <w:tc>
          <w:tcPr>
            <w:tcW w:w="1771" w:type="dxa"/>
            <w:tcBorders>
              <w:tl2br w:val="nil"/>
              <w:tr2bl w:val="nil"/>
            </w:tcBorders>
            <w:shd w:val="clear" w:color="auto" w:fill="auto"/>
            <w:vAlign w:val="center"/>
          </w:tcPr>
          <w:p w14:paraId="2D59B7A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108-88-3</w:t>
            </w:r>
          </w:p>
        </w:tc>
        <w:tc>
          <w:tcPr>
            <w:tcW w:w="1771" w:type="dxa"/>
            <w:tcBorders>
              <w:tl2br w:val="nil"/>
              <w:tr2bl w:val="nil"/>
            </w:tcBorders>
            <w:shd w:val="clear" w:color="auto" w:fill="auto"/>
            <w:vAlign w:val="center"/>
          </w:tcPr>
          <w:p w14:paraId="6BD824F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1200</w:t>
            </w:r>
          </w:p>
        </w:tc>
        <w:tc>
          <w:tcPr>
            <w:tcW w:w="1772" w:type="dxa"/>
            <w:tcBorders>
              <w:tl2br w:val="nil"/>
              <w:tr2bl w:val="nil"/>
            </w:tcBorders>
            <w:shd w:val="clear" w:color="auto" w:fill="auto"/>
            <w:vAlign w:val="center"/>
          </w:tcPr>
          <w:p w14:paraId="52AD8E0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1200</w:t>
            </w:r>
          </w:p>
        </w:tc>
      </w:tr>
      <w:tr w14:paraId="485D7F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07A037F3">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33</w:t>
            </w:r>
          </w:p>
        </w:tc>
        <w:tc>
          <w:tcPr>
            <w:tcW w:w="2305" w:type="dxa"/>
            <w:tcBorders>
              <w:tl2br w:val="nil"/>
              <w:tr2bl w:val="nil"/>
            </w:tcBorders>
            <w:shd w:val="clear" w:color="auto" w:fill="auto"/>
            <w:vAlign w:val="center"/>
          </w:tcPr>
          <w:p w14:paraId="0AA568F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间二甲苯+对二甲苯</w:t>
            </w:r>
          </w:p>
        </w:tc>
        <w:tc>
          <w:tcPr>
            <w:tcW w:w="1771" w:type="dxa"/>
            <w:tcBorders>
              <w:tl2br w:val="nil"/>
              <w:tr2bl w:val="nil"/>
            </w:tcBorders>
            <w:shd w:val="clear" w:color="auto" w:fill="auto"/>
            <w:vAlign w:val="center"/>
          </w:tcPr>
          <w:p w14:paraId="129ACB4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108-38-3</w:t>
            </w:r>
          </w:p>
          <w:p w14:paraId="51B642D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106-42-3</w:t>
            </w:r>
          </w:p>
        </w:tc>
        <w:tc>
          <w:tcPr>
            <w:tcW w:w="1771" w:type="dxa"/>
            <w:tcBorders>
              <w:tl2br w:val="nil"/>
              <w:tr2bl w:val="nil"/>
            </w:tcBorders>
            <w:shd w:val="clear" w:color="auto" w:fill="auto"/>
            <w:vAlign w:val="center"/>
          </w:tcPr>
          <w:p w14:paraId="7C0AF04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570</w:t>
            </w:r>
          </w:p>
        </w:tc>
        <w:tc>
          <w:tcPr>
            <w:tcW w:w="1772" w:type="dxa"/>
            <w:tcBorders>
              <w:tl2br w:val="nil"/>
              <w:tr2bl w:val="nil"/>
            </w:tcBorders>
            <w:shd w:val="clear" w:color="auto" w:fill="auto"/>
            <w:vAlign w:val="center"/>
          </w:tcPr>
          <w:p w14:paraId="0DF71F8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570</w:t>
            </w:r>
          </w:p>
        </w:tc>
      </w:tr>
      <w:tr w14:paraId="5E270F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76C0F23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34</w:t>
            </w:r>
          </w:p>
        </w:tc>
        <w:tc>
          <w:tcPr>
            <w:tcW w:w="2305" w:type="dxa"/>
            <w:tcBorders>
              <w:tl2br w:val="nil"/>
              <w:tr2bl w:val="nil"/>
            </w:tcBorders>
            <w:shd w:val="clear" w:color="auto" w:fill="auto"/>
            <w:vAlign w:val="center"/>
          </w:tcPr>
          <w:p w14:paraId="140DFFB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邻二甲苯</w:t>
            </w:r>
          </w:p>
        </w:tc>
        <w:tc>
          <w:tcPr>
            <w:tcW w:w="1771" w:type="dxa"/>
            <w:tcBorders>
              <w:tl2br w:val="nil"/>
              <w:tr2bl w:val="nil"/>
            </w:tcBorders>
            <w:shd w:val="clear" w:color="auto" w:fill="auto"/>
            <w:vAlign w:val="center"/>
          </w:tcPr>
          <w:p w14:paraId="5895884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95-47-6</w:t>
            </w:r>
          </w:p>
        </w:tc>
        <w:tc>
          <w:tcPr>
            <w:tcW w:w="1771" w:type="dxa"/>
            <w:tcBorders>
              <w:tl2br w:val="nil"/>
              <w:tr2bl w:val="nil"/>
            </w:tcBorders>
            <w:shd w:val="clear" w:color="auto" w:fill="auto"/>
            <w:vAlign w:val="center"/>
          </w:tcPr>
          <w:p w14:paraId="254CFD3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640</w:t>
            </w:r>
          </w:p>
        </w:tc>
        <w:tc>
          <w:tcPr>
            <w:tcW w:w="1772" w:type="dxa"/>
            <w:tcBorders>
              <w:tl2br w:val="nil"/>
              <w:tr2bl w:val="nil"/>
            </w:tcBorders>
            <w:shd w:val="clear" w:color="auto" w:fill="auto"/>
            <w:vAlign w:val="center"/>
          </w:tcPr>
          <w:p w14:paraId="6D797E0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640</w:t>
            </w:r>
          </w:p>
        </w:tc>
      </w:tr>
      <w:tr w14:paraId="6E3B37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1" w:type="dxa"/>
            <w:gridSpan w:val="5"/>
            <w:tcBorders>
              <w:tl2br w:val="nil"/>
              <w:tr2bl w:val="nil"/>
            </w:tcBorders>
            <w:shd w:val="clear" w:color="auto" w:fill="auto"/>
            <w:vAlign w:val="center"/>
          </w:tcPr>
          <w:p w14:paraId="46D7C89B">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半挥发性有机物</w:t>
            </w:r>
          </w:p>
        </w:tc>
      </w:tr>
      <w:tr w14:paraId="0F5454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2FC9258B">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35</w:t>
            </w:r>
          </w:p>
        </w:tc>
        <w:tc>
          <w:tcPr>
            <w:tcW w:w="2305" w:type="dxa"/>
            <w:tcBorders>
              <w:tl2br w:val="nil"/>
              <w:tr2bl w:val="nil"/>
            </w:tcBorders>
            <w:shd w:val="clear" w:color="auto" w:fill="auto"/>
            <w:vAlign w:val="center"/>
          </w:tcPr>
          <w:p w14:paraId="4535AD2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硝基苯</w:t>
            </w:r>
          </w:p>
        </w:tc>
        <w:tc>
          <w:tcPr>
            <w:tcW w:w="1771" w:type="dxa"/>
            <w:tcBorders>
              <w:tl2br w:val="nil"/>
              <w:tr2bl w:val="nil"/>
            </w:tcBorders>
            <w:shd w:val="clear" w:color="auto" w:fill="auto"/>
            <w:vAlign w:val="center"/>
          </w:tcPr>
          <w:p w14:paraId="7CE0AA9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98-95-3</w:t>
            </w:r>
          </w:p>
        </w:tc>
        <w:tc>
          <w:tcPr>
            <w:tcW w:w="1771" w:type="dxa"/>
            <w:tcBorders>
              <w:tl2br w:val="nil"/>
              <w:tr2bl w:val="nil"/>
            </w:tcBorders>
            <w:shd w:val="clear" w:color="auto" w:fill="auto"/>
            <w:vAlign w:val="center"/>
          </w:tcPr>
          <w:p w14:paraId="4630E7D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76</w:t>
            </w:r>
          </w:p>
        </w:tc>
        <w:tc>
          <w:tcPr>
            <w:tcW w:w="1772" w:type="dxa"/>
            <w:tcBorders>
              <w:tl2br w:val="nil"/>
              <w:tr2bl w:val="nil"/>
            </w:tcBorders>
            <w:shd w:val="clear" w:color="auto" w:fill="auto"/>
            <w:vAlign w:val="center"/>
          </w:tcPr>
          <w:p w14:paraId="05AE22B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760</w:t>
            </w:r>
          </w:p>
        </w:tc>
      </w:tr>
      <w:tr w14:paraId="4F90B2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6E052432">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2305" w:type="dxa"/>
            <w:tcBorders>
              <w:tl2br w:val="nil"/>
              <w:tr2bl w:val="nil"/>
            </w:tcBorders>
            <w:shd w:val="clear" w:color="auto" w:fill="auto"/>
            <w:vAlign w:val="center"/>
          </w:tcPr>
          <w:p w14:paraId="2D3D37C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苯胺</w:t>
            </w:r>
          </w:p>
        </w:tc>
        <w:tc>
          <w:tcPr>
            <w:tcW w:w="1771" w:type="dxa"/>
            <w:tcBorders>
              <w:tl2br w:val="nil"/>
              <w:tr2bl w:val="nil"/>
            </w:tcBorders>
            <w:shd w:val="clear" w:color="auto" w:fill="auto"/>
            <w:vAlign w:val="center"/>
          </w:tcPr>
          <w:p w14:paraId="1AAB738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62-53-3</w:t>
            </w:r>
          </w:p>
        </w:tc>
        <w:tc>
          <w:tcPr>
            <w:tcW w:w="1771" w:type="dxa"/>
            <w:tcBorders>
              <w:tl2br w:val="nil"/>
              <w:tr2bl w:val="nil"/>
            </w:tcBorders>
            <w:shd w:val="clear" w:color="auto" w:fill="auto"/>
            <w:vAlign w:val="center"/>
          </w:tcPr>
          <w:p w14:paraId="113BAE6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260</w:t>
            </w:r>
          </w:p>
        </w:tc>
        <w:tc>
          <w:tcPr>
            <w:tcW w:w="1772" w:type="dxa"/>
            <w:tcBorders>
              <w:tl2br w:val="nil"/>
              <w:tr2bl w:val="nil"/>
            </w:tcBorders>
            <w:shd w:val="clear" w:color="auto" w:fill="auto"/>
            <w:vAlign w:val="center"/>
          </w:tcPr>
          <w:p w14:paraId="72EAD69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663</w:t>
            </w:r>
          </w:p>
        </w:tc>
      </w:tr>
      <w:tr w14:paraId="3130B1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0A70C922">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37</w:t>
            </w:r>
          </w:p>
        </w:tc>
        <w:tc>
          <w:tcPr>
            <w:tcW w:w="2305" w:type="dxa"/>
            <w:tcBorders>
              <w:tl2br w:val="nil"/>
              <w:tr2bl w:val="nil"/>
            </w:tcBorders>
            <w:shd w:val="clear" w:color="auto" w:fill="auto"/>
            <w:vAlign w:val="center"/>
          </w:tcPr>
          <w:p w14:paraId="354105E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2-氯酚</w:t>
            </w:r>
          </w:p>
        </w:tc>
        <w:tc>
          <w:tcPr>
            <w:tcW w:w="1771" w:type="dxa"/>
            <w:tcBorders>
              <w:tl2br w:val="nil"/>
              <w:tr2bl w:val="nil"/>
            </w:tcBorders>
            <w:shd w:val="clear" w:color="auto" w:fill="auto"/>
            <w:vAlign w:val="center"/>
          </w:tcPr>
          <w:p w14:paraId="68859C42">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95-57-8</w:t>
            </w:r>
          </w:p>
        </w:tc>
        <w:tc>
          <w:tcPr>
            <w:tcW w:w="1771" w:type="dxa"/>
            <w:tcBorders>
              <w:tl2br w:val="nil"/>
              <w:tr2bl w:val="nil"/>
            </w:tcBorders>
            <w:shd w:val="clear" w:color="auto" w:fill="auto"/>
            <w:vAlign w:val="center"/>
          </w:tcPr>
          <w:p w14:paraId="51008D7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2256</w:t>
            </w:r>
          </w:p>
        </w:tc>
        <w:tc>
          <w:tcPr>
            <w:tcW w:w="1772" w:type="dxa"/>
            <w:tcBorders>
              <w:tl2br w:val="nil"/>
              <w:tr2bl w:val="nil"/>
            </w:tcBorders>
            <w:shd w:val="clear" w:color="auto" w:fill="auto"/>
            <w:vAlign w:val="center"/>
          </w:tcPr>
          <w:p w14:paraId="746C94D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4500</w:t>
            </w:r>
          </w:p>
        </w:tc>
      </w:tr>
      <w:tr w14:paraId="376015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5074EF50">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38</w:t>
            </w:r>
          </w:p>
        </w:tc>
        <w:tc>
          <w:tcPr>
            <w:tcW w:w="2305" w:type="dxa"/>
            <w:tcBorders>
              <w:tl2br w:val="nil"/>
              <w:tr2bl w:val="nil"/>
            </w:tcBorders>
            <w:shd w:val="clear" w:color="auto" w:fill="auto"/>
            <w:vAlign w:val="center"/>
          </w:tcPr>
          <w:p w14:paraId="326F6D5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苯并[a]蒽</w:t>
            </w:r>
          </w:p>
        </w:tc>
        <w:tc>
          <w:tcPr>
            <w:tcW w:w="1771" w:type="dxa"/>
            <w:tcBorders>
              <w:tl2br w:val="nil"/>
              <w:tr2bl w:val="nil"/>
            </w:tcBorders>
            <w:shd w:val="clear" w:color="auto" w:fill="auto"/>
            <w:vAlign w:val="center"/>
          </w:tcPr>
          <w:p w14:paraId="20DABD1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56-55-3</w:t>
            </w:r>
          </w:p>
        </w:tc>
        <w:tc>
          <w:tcPr>
            <w:tcW w:w="1771" w:type="dxa"/>
            <w:tcBorders>
              <w:tl2br w:val="nil"/>
              <w:tr2bl w:val="nil"/>
            </w:tcBorders>
            <w:shd w:val="clear" w:color="auto" w:fill="auto"/>
            <w:vAlign w:val="center"/>
          </w:tcPr>
          <w:p w14:paraId="0DB4695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1772" w:type="dxa"/>
            <w:tcBorders>
              <w:tl2br w:val="nil"/>
              <w:tr2bl w:val="nil"/>
            </w:tcBorders>
            <w:shd w:val="clear" w:color="auto" w:fill="auto"/>
            <w:vAlign w:val="center"/>
          </w:tcPr>
          <w:p w14:paraId="65443E2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151</w:t>
            </w:r>
          </w:p>
        </w:tc>
      </w:tr>
      <w:tr w14:paraId="730FA0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47A0895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39</w:t>
            </w:r>
          </w:p>
        </w:tc>
        <w:tc>
          <w:tcPr>
            <w:tcW w:w="2305" w:type="dxa"/>
            <w:tcBorders>
              <w:tl2br w:val="nil"/>
              <w:tr2bl w:val="nil"/>
            </w:tcBorders>
            <w:shd w:val="clear" w:color="auto" w:fill="auto"/>
            <w:vAlign w:val="center"/>
          </w:tcPr>
          <w:p w14:paraId="03A0407B">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苯并[a]芘</w:t>
            </w:r>
          </w:p>
        </w:tc>
        <w:tc>
          <w:tcPr>
            <w:tcW w:w="1771" w:type="dxa"/>
            <w:tcBorders>
              <w:tl2br w:val="nil"/>
              <w:tr2bl w:val="nil"/>
            </w:tcBorders>
            <w:shd w:val="clear" w:color="auto" w:fill="auto"/>
            <w:vAlign w:val="center"/>
          </w:tcPr>
          <w:p w14:paraId="478FB7F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50-32-8</w:t>
            </w:r>
          </w:p>
        </w:tc>
        <w:tc>
          <w:tcPr>
            <w:tcW w:w="1771" w:type="dxa"/>
            <w:tcBorders>
              <w:tl2br w:val="nil"/>
              <w:tr2bl w:val="nil"/>
            </w:tcBorders>
            <w:shd w:val="clear" w:color="auto" w:fill="auto"/>
            <w:vAlign w:val="center"/>
          </w:tcPr>
          <w:p w14:paraId="76A2F8F3">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1772" w:type="dxa"/>
            <w:tcBorders>
              <w:tl2br w:val="nil"/>
              <w:tr2bl w:val="nil"/>
            </w:tcBorders>
            <w:shd w:val="clear" w:color="auto" w:fill="auto"/>
            <w:vAlign w:val="center"/>
          </w:tcPr>
          <w:p w14:paraId="0FB246C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r>
      <w:tr w14:paraId="61F3F1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6481513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w:t>
            </w:r>
          </w:p>
        </w:tc>
        <w:tc>
          <w:tcPr>
            <w:tcW w:w="2305" w:type="dxa"/>
            <w:tcBorders>
              <w:tl2br w:val="nil"/>
              <w:tr2bl w:val="nil"/>
            </w:tcBorders>
            <w:shd w:val="clear" w:color="auto" w:fill="auto"/>
            <w:vAlign w:val="center"/>
          </w:tcPr>
          <w:p w14:paraId="55917ED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苯并[b]荧蒽</w:t>
            </w:r>
          </w:p>
        </w:tc>
        <w:tc>
          <w:tcPr>
            <w:tcW w:w="1771" w:type="dxa"/>
            <w:tcBorders>
              <w:tl2br w:val="nil"/>
              <w:tr2bl w:val="nil"/>
            </w:tcBorders>
            <w:shd w:val="clear" w:color="auto" w:fill="auto"/>
            <w:vAlign w:val="center"/>
          </w:tcPr>
          <w:p w14:paraId="1C1DC8E0">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205-99-2</w:t>
            </w:r>
          </w:p>
        </w:tc>
        <w:tc>
          <w:tcPr>
            <w:tcW w:w="1771" w:type="dxa"/>
            <w:tcBorders>
              <w:tl2br w:val="nil"/>
              <w:tr2bl w:val="nil"/>
            </w:tcBorders>
            <w:shd w:val="clear" w:color="auto" w:fill="auto"/>
            <w:vAlign w:val="center"/>
          </w:tcPr>
          <w:p w14:paraId="5C2B95A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1772" w:type="dxa"/>
            <w:tcBorders>
              <w:tl2br w:val="nil"/>
              <w:tr2bl w:val="nil"/>
            </w:tcBorders>
            <w:shd w:val="clear" w:color="auto" w:fill="auto"/>
            <w:vAlign w:val="center"/>
          </w:tcPr>
          <w:p w14:paraId="58BD9D3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151</w:t>
            </w:r>
          </w:p>
        </w:tc>
      </w:tr>
      <w:tr w14:paraId="6AD7C2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6CCBE340">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41</w:t>
            </w:r>
          </w:p>
        </w:tc>
        <w:tc>
          <w:tcPr>
            <w:tcW w:w="2305" w:type="dxa"/>
            <w:tcBorders>
              <w:tl2br w:val="nil"/>
              <w:tr2bl w:val="nil"/>
            </w:tcBorders>
            <w:shd w:val="clear" w:color="auto" w:fill="auto"/>
            <w:vAlign w:val="center"/>
          </w:tcPr>
          <w:p w14:paraId="324CC12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苯并[k]荧蒽</w:t>
            </w:r>
          </w:p>
        </w:tc>
        <w:tc>
          <w:tcPr>
            <w:tcW w:w="1771" w:type="dxa"/>
            <w:tcBorders>
              <w:tl2br w:val="nil"/>
              <w:tr2bl w:val="nil"/>
            </w:tcBorders>
            <w:shd w:val="clear" w:color="auto" w:fill="auto"/>
            <w:vAlign w:val="center"/>
          </w:tcPr>
          <w:p w14:paraId="07057E5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207-08-9</w:t>
            </w:r>
          </w:p>
        </w:tc>
        <w:tc>
          <w:tcPr>
            <w:tcW w:w="1771" w:type="dxa"/>
            <w:tcBorders>
              <w:tl2br w:val="nil"/>
              <w:tr2bl w:val="nil"/>
            </w:tcBorders>
            <w:shd w:val="clear" w:color="auto" w:fill="auto"/>
            <w:vAlign w:val="center"/>
          </w:tcPr>
          <w:p w14:paraId="35A2D53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151</w:t>
            </w:r>
          </w:p>
        </w:tc>
        <w:tc>
          <w:tcPr>
            <w:tcW w:w="1772" w:type="dxa"/>
            <w:tcBorders>
              <w:tl2br w:val="nil"/>
              <w:tr2bl w:val="nil"/>
            </w:tcBorders>
            <w:shd w:val="clear" w:color="auto" w:fill="auto"/>
            <w:vAlign w:val="center"/>
          </w:tcPr>
          <w:p w14:paraId="2029E56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1500</w:t>
            </w:r>
          </w:p>
        </w:tc>
      </w:tr>
      <w:tr w14:paraId="367235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65DA414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42</w:t>
            </w:r>
          </w:p>
        </w:tc>
        <w:tc>
          <w:tcPr>
            <w:tcW w:w="2305" w:type="dxa"/>
            <w:tcBorders>
              <w:tl2br w:val="nil"/>
              <w:tr2bl w:val="nil"/>
            </w:tcBorders>
            <w:shd w:val="clear" w:color="auto" w:fill="auto"/>
            <w:vAlign w:val="center"/>
          </w:tcPr>
          <w:p w14:paraId="727C1A6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䓛</w:t>
            </w:r>
          </w:p>
        </w:tc>
        <w:tc>
          <w:tcPr>
            <w:tcW w:w="1771" w:type="dxa"/>
            <w:tcBorders>
              <w:tl2br w:val="nil"/>
              <w:tr2bl w:val="nil"/>
            </w:tcBorders>
            <w:shd w:val="clear" w:color="auto" w:fill="auto"/>
            <w:vAlign w:val="center"/>
          </w:tcPr>
          <w:p w14:paraId="62CB3DC2">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218-01-9</w:t>
            </w:r>
          </w:p>
        </w:tc>
        <w:tc>
          <w:tcPr>
            <w:tcW w:w="1771" w:type="dxa"/>
            <w:tcBorders>
              <w:tl2br w:val="nil"/>
              <w:tr2bl w:val="nil"/>
            </w:tcBorders>
            <w:shd w:val="clear" w:color="auto" w:fill="auto"/>
            <w:vAlign w:val="center"/>
          </w:tcPr>
          <w:p w14:paraId="3F7AEB5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1293</w:t>
            </w:r>
          </w:p>
        </w:tc>
        <w:tc>
          <w:tcPr>
            <w:tcW w:w="1772" w:type="dxa"/>
            <w:tcBorders>
              <w:tl2br w:val="nil"/>
              <w:tr2bl w:val="nil"/>
            </w:tcBorders>
            <w:shd w:val="clear" w:color="auto" w:fill="auto"/>
            <w:vAlign w:val="center"/>
          </w:tcPr>
          <w:p w14:paraId="6612B6C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12900</w:t>
            </w:r>
          </w:p>
        </w:tc>
      </w:tr>
      <w:tr w14:paraId="118823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03515F8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43</w:t>
            </w:r>
          </w:p>
        </w:tc>
        <w:tc>
          <w:tcPr>
            <w:tcW w:w="2305" w:type="dxa"/>
            <w:tcBorders>
              <w:tl2br w:val="nil"/>
              <w:tr2bl w:val="nil"/>
            </w:tcBorders>
            <w:shd w:val="clear" w:color="auto" w:fill="auto"/>
            <w:vAlign w:val="center"/>
          </w:tcPr>
          <w:p w14:paraId="2DEFCE0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二苯并[a，h]蒽</w:t>
            </w:r>
          </w:p>
        </w:tc>
        <w:tc>
          <w:tcPr>
            <w:tcW w:w="1771" w:type="dxa"/>
            <w:tcBorders>
              <w:tl2br w:val="nil"/>
              <w:tr2bl w:val="nil"/>
            </w:tcBorders>
            <w:shd w:val="clear" w:color="auto" w:fill="auto"/>
            <w:vAlign w:val="center"/>
          </w:tcPr>
          <w:p w14:paraId="0C6F40AB">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53-70-3</w:t>
            </w:r>
          </w:p>
        </w:tc>
        <w:tc>
          <w:tcPr>
            <w:tcW w:w="1771" w:type="dxa"/>
            <w:tcBorders>
              <w:tl2br w:val="nil"/>
              <w:tr2bl w:val="nil"/>
            </w:tcBorders>
            <w:shd w:val="clear" w:color="auto" w:fill="auto"/>
            <w:vAlign w:val="center"/>
          </w:tcPr>
          <w:p w14:paraId="4D7BCF6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1772" w:type="dxa"/>
            <w:tcBorders>
              <w:tl2br w:val="nil"/>
              <w:tr2bl w:val="nil"/>
            </w:tcBorders>
            <w:shd w:val="clear" w:color="auto" w:fill="auto"/>
            <w:vAlign w:val="center"/>
          </w:tcPr>
          <w:p w14:paraId="77C4420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r>
      <w:tr w14:paraId="159725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0BDE2DB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44</w:t>
            </w:r>
          </w:p>
        </w:tc>
        <w:tc>
          <w:tcPr>
            <w:tcW w:w="2305" w:type="dxa"/>
            <w:tcBorders>
              <w:tl2br w:val="nil"/>
              <w:tr2bl w:val="nil"/>
            </w:tcBorders>
            <w:shd w:val="clear" w:color="auto" w:fill="auto"/>
            <w:vAlign w:val="center"/>
          </w:tcPr>
          <w:p w14:paraId="750DEFE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茚并（1,2,3-cd）芘</w:t>
            </w:r>
          </w:p>
        </w:tc>
        <w:tc>
          <w:tcPr>
            <w:tcW w:w="1771" w:type="dxa"/>
            <w:tcBorders>
              <w:tl2br w:val="nil"/>
              <w:tr2bl w:val="nil"/>
            </w:tcBorders>
            <w:shd w:val="clear" w:color="auto" w:fill="auto"/>
            <w:vAlign w:val="center"/>
          </w:tcPr>
          <w:p w14:paraId="4014EFE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193-39-5</w:t>
            </w:r>
          </w:p>
        </w:tc>
        <w:tc>
          <w:tcPr>
            <w:tcW w:w="1771" w:type="dxa"/>
            <w:tcBorders>
              <w:tl2br w:val="nil"/>
              <w:tr2bl w:val="nil"/>
            </w:tcBorders>
            <w:shd w:val="clear" w:color="auto" w:fill="auto"/>
            <w:vAlign w:val="center"/>
          </w:tcPr>
          <w:p w14:paraId="086E21E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1772" w:type="dxa"/>
            <w:tcBorders>
              <w:tl2br w:val="nil"/>
              <w:tr2bl w:val="nil"/>
            </w:tcBorders>
            <w:shd w:val="clear" w:color="auto" w:fill="auto"/>
            <w:vAlign w:val="center"/>
          </w:tcPr>
          <w:p w14:paraId="38AEEF6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151</w:t>
            </w:r>
          </w:p>
        </w:tc>
      </w:tr>
      <w:tr w14:paraId="027FA7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052C8B2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45</w:t>
            </w:r>
          </w:p>
        </w:tc>
        <w:tc>
          <w:tcPr>
            <w:tcW w:w="2305" w:type="dxa"/>
            <w:tcBorders>
              <w:tl2br w:val="nil"/>
              <w:tr2bl w:val="nil"/>
            </w:tcBorders>
            <w:shd w:val="clear" w:color="auto" w:fill="auto"/>
            <w:vAlign w:val="center"/>
          </w:tcPr>
          <w:p w14:paraId="34C1F5E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萘</w:t>
            </w:r>
          </w:p>
        </w:tc>
        <w:tc>
          <w:tcPr>
            <w:tcW w:w="1771" w:type="dxa"/>
            <w:tcBorders>
              <w:tl2br w:val="nil"/>
              <w:tr2bl w:val="nil"/>
            </w:tcBorders>
            <w:shd w:val="clear" w:color="auto" w:fill="auto"/>
            <w:vAlign w:val="center"/>
          </w:tcPr>
          <w:p w14:paraId="6C7B994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91-20-3</w:t>
            </w:r>
          </w:p>
        </w:tc>
        <w:tc>
          <w:tcPr>
            <w:tcW w:w="1771" w:type="dxa"/>
            <w:tcBorders>
              <w:tl2br w:val="nil"/>
              <w:tr2bl w:val="nil"/>
            </w:tcBorders>
            <w:shd w:val="clear" w:color="auto" w:fill="auto"/>
            <w:vAlign w:val="center"/>
          </w:tcPr>
          <w:p w14:paraId="6C52551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70</w:t>
            </w:r>
          </w:p>
        </w:tc>
        <w:tc>
          <w:tcPr>
            <w:tcW w:w="1772" w:type="dxa"/>
            <w:tcBorders>
              <w:tl2br w:val="nil"/>
              <w:tr2bl w:val="nil"/>
            </w:tcBorders>
            <w:shd w:val="clear" w:color="auto" w:fill="auto"/>
            <w:vAlign w:val="center"/>
          </w:tcPr>
          <w:p w14:paraId="5BC0C3E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700</w:t>
            </w:r>
          </w:p>
        </w:tc>
      </w:tr>
      <w:tr w14:paraId="59B7C0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1" w:type="dxa"/>
            <w:gridSpan w:val="5"/>
            <w:tcBorders>
              <w:tl2br w:val="nil"/>
              <w:tr2bl w:val="nil"/>
            </w:tcBorders>
            <w:shd w:val="clear" w:color="auto" w:fill="auto"/>
            <w:vAlign w:val="center"/>
          </w:tcPr>
          <w:p w14:paraId="3016AF6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石油烃类</w:t>
            </w:r>
          </w:p>
        </w:tc>
      </w:tr>
      <w:tr w14:paraId="2E98E0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nil"/>
              <w:tr2bl w:val="nil"/>
            </w:tcBorders>
            <w:shd w:val="clear" w:color="auto" w:fill="auto"/>
            <w:vAlign w:val="center"/>
          </w:tcPr>
          <w:p w14:paraId="583F7FF2">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46</w:t>
            </w:r>
          </w:p>
        </w:tc>
        <w:tc>
          <w:tcPr>
            <w:tcW w:w="2305" w:type="dxa"/>
            <w:tcBorders>
              <w:tl2br w:val="nil"/>
              <w:tr2bl w:val="nil"/>
            </w:tcBorders>
            <w:shd w:val="clear" w:color="auto" w:fill="auto"/>
            <w:vAlign w:val="center"/>
          </w:tcPr>
          <w:p w14:paraId="767EFE3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石油烃（C10~C40）</w:t>
            </w:r>
          </w:p>
        </w:tc>
        <w:tc>
          <w:tcPr>
            <w:tcW w:w="1771" w:type="dxa"/>
            <w:tcBorders>
              <w:tl2br w:val="nil"/>
              <w:tr2bl w:val="nil"/>
            </w:tcBorders>
            <w:shd w:val="clear" w:color="auto" w:fill="auto"/>
            <w:vAlign w:val="center"/>
          </w:tcPr>
          <w:p w14:paraId="4F7FA62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1771" w:type="dxa"/>
            <w:tcBorders>
              <w:tl2br w:val="nil"/>
              <w:tr2bl w:val="nil"/>
            </w:tcBorders>
            <w:shd w:val="clear" w:color="auto" w:fill="auto"/>
            <w:vAlign w:val="center"/>
          </w:tcPr>
          <w:p w14:paraId="6C27448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4500</w:t>
            </w:r>
          </w:p>
        </w:tc>
        <w:tc>
          <w:tcPr>
            <w:tcW w:w="1772" w:type="dxa"/>
            <w:tcBorders>
              <w:tl2br w:val="nil"/>
              <w:tr2bl w:val="nil"/>
            </w:tcBorders>
            <w:shd w:val="clear" w:color="auto" w:fill="auto"/>
            <w:vAlign w:val="center"/>
          </w:tcPr>
          <w:p w14:paraId="0C908C7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9000</w:t>
            </w:r>
          </w:p>
        </w:tc>
      </w:tr>
    </w:tbl>
    <w:p w14:paraId="3C183C1E">
      <w:pPr>
        <w:adjustRightInd w:val="0"/>
        <w:snapToGrid w:val="0"/>
        <w:spacing w:beforeLines="0" w:line="360" w:lineRule="auto"/>
        <w:ind w:firstLine="420" w:firstLineChars="200"/>
        <w:jc w:val="center"/>
        <w:rPr>
          <w:rFonts w:hint="default" w:ascii="Times New Roman" w:hAnsi="Times New Roman" w:eastAsia="黑体" w:cs="Times New Roman"/>
          <w:color w:val="auto"/>
          <w:spacing w:val="-2"/>
          <w:kern w:val="2"/>
          <w:sz w:val="21"/>
          <w:szCs w:val="22"/>
          <w:lang w:val="en-US" w:eastAsia="zh-CN"/>
        </w:rPr>
      </w:pPr>
      <w:bookmarkStart w:id="156" w:name="_Toc165816708"/>
      <w:bookmarkStart w:id="157" w:name="_Toc2532"/>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.4-</w:t>
      </w:r>
      <w:r>
        <w:rPr>
          <w:rFonts w:hint="default" w:ascii="Times New Roman" w:hAnsi="Times New Roman" w:eastAsia="黑体" w:cs="Times New Roman"/>
          <w:b w:val="0"/>
          <w:bCs/>
          <w:sz w:val="21"/>
          <w:szCs w:val="21"/>
          <w:lang w:val="en-US" w:eastAsia="zh-CN"/>
        </w:rPr>
        <w:t>6</w:t>
      </w:r>
      <w:r>
        <w:rPr>
          <w:rFonts w:hint="default" w:ascii="Times New Roman" w:hAnsi="Times New Roman" w:eastAsia="黑体" w:cs="Times New Roman"/>
          <w:color w:val="auto"/>
          <w:spacing w:val="-2"/>
          <w:kern w:val="2"/>
          <w:sz w:val="21"/>
          <w:szCs w:val="22"/>
          <w:lang w:val="en-US" w:eastAsia="zh-CN"/>
        </w:rPr>
        <w:t xml:space="preserve">  农用地土壤污染风险筛选值（基本项目）   单位：mg/kg</w:t>
      </w:r>
    </w:p>
    <w:tbl>
      <w:tblPr>
        <w:tblStyle w:val="29"/>
        <w:tblW w:w="4772" w:type="pct"/>
        <w:tblInd w:w="196"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1160"/>
        <w:gridCol w:w="1509"/>
        <w:gridCol w:w="1910"/>
        <w:gridCol w:w="1910"/>
        <w:gridCol w:w="1699"/>
      </w:tblGrid>
      <w:tr w14:paraId="56355F4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036" w:type="pct"/>
            <w:gridSpan w:val="2"/>
            <w:vMerge w:val="restart"/>
            <w:tcBorders>
              <w:tl2br w:val="nil"/>
              <w:tr2bl w:val="nil"/>
            </w:tcBorders>
            <w:noWrap w:val="0"/>
            <w:vAlign w:val="center"/>
          </w:tcPr>
          <w:p w14:paraId="4DCC997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污染物项目</w:t>
            </w:r>
          </w:p>
        </w:tc>
        <w:tc>
          <w:tcPr>
            <w:tcW w:w="3963" w:type="pct"/>
            <w:gridSpan w:val="4"/>
            <w:tcBorders>
              <w:tl2br w:val="nil"/>
              <w:tr2bl w:val="nil"/>
            </w:tcBorders>
            <w:noWrap w:val="0"/>
            <w:vAlign w:val="center"/>
          </w:tcPr>
          <w:p w14:paraId="11C921FB">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风险筛选值</w:t>
            </w:r>
          </w:p>
        </w:tc>
      </w:tr>
      <w:tr w14:paraId="595222B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036" w:type="pct"/>
            <w:gridSpan w:val="2"/>
            <w:vMerge w:val="continue"/>
            <w:tcBorders>
              <w:tl2br w:val="nil"/>
              <w:tr2bl w:val="nil"/>
            </w:tcBorders>
            <w:noWrap w:val="0"/>
            <w:vAlign w:val="center"/>
          </w:tcPr>
          <w:p w14:paraId="3DE0A340">
            <w:pPr>
              <w:adjustRightInd w:val="0"/>
              <w:snapToGrid w:val="0"/>
              <w:spacing w:line="240" w:lineRule="auto"/>
              <w:jc w:val="center"/>
              <w:textAlignment w:val="center"/>
              <w:rPr>
                <w:rFonts w:hint="default" w:ascii="Times New Roman" w:hAnsi="Times New Roman" w:eastAsia="宋体" w:cs="Times New Roman"/>
                <w:sz w:val="18"/>
                <w:szCs w:val="18"/>
              </w:rPr>
            </w:pPr>
          </w:p>
        </w:tc>
        <w:tc>
          <w:tcPr>
            <w:tcW w:w="851" w:type="pct"/>
            <w:tcBorders>
              <w:tl2br w:val="nil"/>
              <w:tr2bl w:val="nil"/>
            </w:tcBorders>
            <w:noWrap w:val="0"/>
            <w:vAlign w:val="center"/>
          </w:tcPr>
          <w:p w14:paraId="2122F89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pH≤5.5</w:t>
            </w:r>
          </w:p>
        </w:tc>
        <w:tc>
          <w:tcPr>
            <w:tcW w:w="1077" w:type="pct"/>
            <w:tcBorders>
              <w:tl2br w:val="nil"/>
              <w:tr2bl w:val="nil"/>
            </w:tcBorders>
            <w:noWrap w:val="0"/>
            <w:vAlign w:val="center"/>
          </w:tcPr>
          <w:p w14:paraId="37809C5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5.5＜pH≤6.5</w:t>
            </w:r>
          </w:p>
        </w:tc>
        <w:tc>
          <w:tcPr>
            <w:tcW w:w="1077" w:type="pct"/>
            <w:tcBorders>
              <w:tl2br w:val="nil"/>
              <w:tr2bl w:val="nil"/>
            </w:tcBorders>
            <w:noWrap w:val="0"/>
            <w:vAlign w:val="center"/>
          </w:tcPr>
          <w:p w14:paraId="37D5927B">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6.5＜pH≤7.5</w:t>
            </w:r>
          </w:p>
        </w:tc>
        <w:tc>
          <w:tcPr>
            <w:tcW w:w="956" w:type="pct"/>
            <w:tcBorders>
              <w:tl2br w:val="nil"/>
              <w:tr2bl w:val="nil"/>
            </w:tcBorders>
            <w:noWrap w:val="0"/>
            <w:vAlign w:val="center"/>
          </w:tcPr>
          <w:p w14:paraId="667DADC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pH＞7.5</w:t>
            </w:r>
          </w:p>
        </w:tc>
      </w:tr>
      <w:tr w14:paraId="359F186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81" w:type="pct"/>
            <w:vMerge w:val="restart"/>
            <w:tcBorders>
              <w:tl2br w:val="nil"/>
              <w:tr2bl w:val="nil"/>
            </w:tcBorders>
            <w:noWrap w:val="0"/>
            <w:vAlign w:val="center"/>
          </w:tcPr>
          <w:p w14:paraId="7700697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镉</w:t>
            </w:r>
          </w:p>
        </w:tc>
        <w:tc>
          <w:tcPr>
            <w:tcW w:w="654" w:type="pct"/>
            <w:tcBorders>
              <w:tl2br w:val="nil"/>
              <w:tr2bl w:val="nil"/>
            </w:tcBorders>
            <w:noWrap w:val="0"/>
            <w:vAlign w:val="center"/>
          </w:tcPr>
          <w:p w14:paraId="438CEC12">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水田</w:t>
            </w:r>
          </w:p>
        </w:tc>
        <w:tc>
          <w:tcPr>
            <w:tcW w:w="851" w:type="pct"/>
            <w:tcBorders>
              <w:tl2br w:val="nil"/>
              <w:tr2bl w:val="nil"/>
            </w:tcBorders>
            <w:noWrap w:val="0"/>
            <w:vAlign w:val="center"/>
          </w:tcPr>
          <w:p w14:paraId="1D791E0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0.3</w:t>
            </w:r>
          </w:p>
        </w:tc>
        <w:tc>
          <w:tcPr>
            <w:tcW w:w="1077" w:type="pct"/>
            <w:tcBorders>
              <w:tl2br w:val="nil"/>
              <w:tr2bl w:val="nil"/>
            </w:tcBorders>
            <w:noWrap w:val="0"/>
            <w:vAlign w:val="center"/>
          </w:tcPr>
          <w:p w14:paraId="025E0FC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0.4</w:t>
            </w:r>
          </w:p>
        </w:tc>
        <w:tc>
          <w:tcPr>
            <w:tcW w:w="1077" w:type="pct"/>
            <w:tcBorders>
              <w:tl2br w:val="nil"/>
              <w:tr2bl w:val="nil"/>
            </w:tcBorders>
            <w:noWrap w:val="0"/>
            <w:vAlign w:val="center"/>
          </w:tcPr>
          <w:p w14:paraId="1AAD81E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0.6</w:t>
            </w:r>
          </w:p>
        </w:tc>
        <w:tc>
          <w:tcPr>
            <w:tcW w:w="956" w:type="pct"/>
            <w:tcBorders>
              <w:tl2br w:val="nil"/>
              <w:tr2bl w:val="nil"/>
            </w:tcBorders>
            <w:noWrap w:val="0"/>
            <w:vAlign w:val="center"/>
          </w:tcPr>
          <w:p w14:paraId="6F8644B2">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0.8</w:t>
            </w:r>
          </w:p>
        </w:tc>
      </w:tr>
      <w:tr w14:paraId="479D6FE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81" w:type="pct"/>
            <w:vMerge w:val="continue"/>
            <w:tcBorders>
              <w:tl2br w:val="nil"/>
              <w:tr2bl w:val="nil"/>
            </w:tcBorders>
            <w:noWrap w:val="0"/>
            <w:vAlign w:val="center"/>
          </w:tcPr>
          <w:p w14:paraId="5B59F247">
            <w:pPr>
              <w:adjustRightInd w:val="0"/>
              <w:snapToGrid w:val="0"/>
              <w:spacing w:line="240" w:lineRule="auto"/>
              <w:jc w:val="center"/>
              <w:textAlignment w:val="center"/>
              <w:rPr>
                <w:rFonts w:hint="default" w:ascii="Times New Roman" w:hAnsi="Times New Roman" w:eastAsia="宋体" w:cs="Times New Roman"/>
                <w:sz w:val="18"/>
                <w:szCs w:val="18"/>
              </w:rPr>
            </w:pPr>
          </w:p>
        </w:tc>
        <w:tc>
          <w:tcPr>
            <w:tcW w:w="654" w:type="pct"/>
            <w:tcBorders>
              <w:tl2br w:val="nil"/>
              <w:tr2bl w:val="nil"/>
            </w:tcBorders>
            <w:noWrap w:val="0"/>
            <w:vAlign w:val="center"/>
          </w:tcPr>
          <w:p w14:paraId="47587CE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w:t>
            </w:r>
          </w:p>
        </w:tc>
        <w:tc>
          <w:tcPr>
            <w:tcW w:w="851" w:type="pct"/>
            <w:tcBorders>
              <w:tl2br w:val="nil"/>
              <w:tr2bl w:val="nil"/>
            </w:tcBorders>
            <w:noWrap w:val="0"/>
            <w:vAlign w:val="center"/>
          </w:tcPr>
          <w:p w14:paraId="6EAF382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0.3</w:t>
            </w:r>
          </w:p>
        </w:tc>
        <w:tc>
          <w:tcPr>
            <w:tcW w:w="1077" w:type="pct"/>
            <w:tcBorders>
              <w:tl2br w:val="nil"/>
              <w:tr2bl w:val="nil"/>
            </w:tcBorders>
            <w:noWrap w:val="0"/>
            <w:vAlign w:val="center"/>
          </w:tcPr>
          <w:p w14:paraId="0D01B5B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0.3</w:t>
            </w:r>
          </w:p>
        </w:tc>
        <w:tc>
          <w:tcPr>
            <w:tcW w:w="1077" w:type="pct"/>
            <w:tcBorders>
              <w:tl2br w:val="nil"/>
              <w:tr2bl w:val="nil"/>
            </w:tcBorders>
            <w:noWrap w:val="0"/>
            <w:vAlign w:val="center"/>
          </w:tcPr>
          <w:p w14:paraId="26139F5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0.3</w:t>
            </w:r>
          </w:p>
        </w:tc>
        <w:tc>
          <w:tcPr>
            <w:tcW w:w="956" w:type="pct"/>
            <w:tcBorders>
              <w:tl2br w:val="nil"/>
              <w:tr2bl w:val="nil"/>
            </w:tcBorders>
            <w:noWrap w:val="0"/>
            <w:vAlign w:val="center"/>
          </w:tcPr>
          <w:p w14:paraId="5E1C6AB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0.6</w:t>
            </w:r>
          </w:p>
        </w:tc>
      </w:tr>
      <w:tr w14:paraId="640876B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81" w:type="pct"/>
            <w:vMerge w:val="restart"/>
            <w:tcBorders>
              <w:tl2br w:val="nil"/>
              <w:tr2bl w:val="nil"/>
            </w:tcBorders>
            <w:noWrap w:val="0"/>
            <w:vAlign w:val="center"/>
          </w:tcPr>
          <w:p w14:paraId="488CEF5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汞</w:t>
            </w:r>
          </w:p>
        </w:tc>
        <w:tc>
          <w:tcPr>
            <w:tcW w:w="654" w:type="pct"/>
            <w:tcBorders>
              <w:tl2br w:val="nil"/>
              <w:tr2bl w:val="nil"/>
            </w:tcBorders>
            <w:noWrap w:val="0"/>
            <w:vAlign w:val="center"/>
          </w:tcPr>
          <w:p w14:paraId="14F458F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水田</w:t>
            </w:r>
          </w:p>
        </w:tc>
        <w:tc>
          <w:tcPr>
            <w:tcW w:w="851" w:type="pct"/>
            <w:tcBorders>
              <w:tl2br w:val="nil"/>
              <w:tr2bl w:val="nil"/>
            </w:tcBorders>
            <w:noWrap w:val="0"/>
            <w:vAlign w:val="center"/>
          </w:tcPr>
          <w:p w14:paraId="453CB1B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0.5</w:t>
            </w:r>
          </w:p>
        </w:tc>
        <w:tc>
          <w:tcPr>
            <w:tcW w:w="1077" w:type="pct"/>
            <w:tcBorders>
              <w:tl2br w:val="nil"/>
              <w:tr2bl w:val="nil"/>
            </w:tcBorders>
            <w:noWrap w:val="0"/>
            <w:vAlign w:val="center"/>
          </w:tcPr>
          <w:p w14:paraId="085B1F70">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0.5</w:t>
            </w:r>
          </w:p>
        </w:tc>
        <w:tc>
          <w:tcPr>
            <w:tcW w:w="1077" w:type="pct"/>
            <w:tcBorders>
              <w:tl2br w:val="nil"/>
              <w:tr2bl w:val="nil"/>
            </w:tcBorders>
            <w:noWrap w:val="0"/>
            <w:vAlign w:val="center"/>
          </w:tcPr>
          <w:p w14:paraId="1B83ABE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0.6</w:t>
            </w:r>
          </w:p>
        </w:tc>
        <w:tc>
          <w:tcPr>
            <w:tcW w:w="956" w:type="pct"/>
            <w:tcBorders>
              <w:tl2br w:val="nil"/>
              <w:tr2bl w:val="nil"/>
            </w:tcBorders>
            <w:noWrap w:val="0"/>
            <w:vAlign w:val="center"/>
          </w:tcPr>
          <w:p w14:paraId="375DA7E2">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r>
      <w:tr w14:paraId="02E4CB9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81" w:type="pct"/>
            <w:vMerge w:val="continue"/>
            <w:tcBorders>
              <w:tl2br w:val="nil"/>
              <w:tr2bl w:val="nil"/>
            </w:tcBorders>
            <w:noWrap w:val="0"/>
            <w:vAlign w:val="center"/>
          </w:tcPr>
          <w:p w14:paraId="4286BC7B">
            <w:pPr>
              <w:adjustRightInd w:val="0"/>
              <w:snapToGrid w:val="0"/>
              <w:spacing w:line="240" w:lineRule="auto"/>
              <w:jc w:val="center"/>
              <w:textAlignment w:val="center"/>
              <w:rPr>
                <w:rFonts w:hint="default" w:ascii="Times New Roman" w:hAnsi="Times New Roman" w:eastAsia="宋体" w:cs="Times New Roman"/>
                <w:sz w:val="18"/>
                <w:szCs w:val="18"/>
              </w:rPr>
            </w:pPr>
          </w:p>
        </w:tc>
        <w:tc>
          <w:tcPr>
            <w:tcW w:w="654" w:type="pct"/>
            <w:tcBorders>
              <w:tl2br w:val="nil"/>
              <w:tr2bl w:val="nil"/>
            </w:tcBorders>
            <w:noWrap w:val="0"/>
            <w:vAlign w:val="center"/>
          </w:tcPr>
          <w:p w14:paraId="7B1C2DB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w:t>
            </w:r>
          </w:p>
        </w:tc>
        <w:tc>
          <w:tcPr>
            <w:tcW w:w="851" w:type="pct"/>
            <w:tcBorders>
              <w:tl2br w:val="nil"/>
              <w:tr2bl w:val="nil"/>
            </w:tcBorders>
            <w:noWrap w:val="0"/>
            <w:vAlign w:val="center"/>
          </w:tcPr>
          <w:p w14:paraId="0908ADB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1.3</w:t>
            </w:r>
          </w:p>
        </w:tc>
        <w:tc>
          <w:tcPr>
            <w:tcW w:w="1077" w:type="pct"/>
            <w:tcBorders>
              <w:tl2br w:val="nil"/>
              <w:tr2bl w:val="nil"/>
            </w:tcBorders>
            <w:noWrap w:val="0"/>
            <w:vAlign w:val="center"/>
          </w:tcPr>
          <w:p w14:paraId="0A4B74F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1077" w:type="pct"/>
            <w:tcBorders>
              <w:tl2br w:val="nil"/>
              <w:tr2bl w:val="nil"/>
            </w:tcBorders>
            <w:noWrap w:val="0"/>
            <w:vAlign w:val="center"/>
          </w:tcPr>
          <w:p w14:paraId="4CE81132">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2.4</w:t>
            </w:r>
          </w:p>
        </w:tc>
        <w:tc>
          <w:tcPr>
            <w:tcW w:w="956" w:type="pct"/>
            <w:tcBorders>
              <w:tl2br w:val="nil"/>
              <w:tr2bl w:val="nil"/>
            </w:tcBorders>
            <w:noWrap w:val="0"/>
            <w:vAlign w:val="center"/>
          </w:tcPr>
          <w:p w14:paraId="7001CB42">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3.4</w:t>
            </w:r>
          </w:p>
        </w:tc>
      </w:tr>
      <w:tr w14:paraId="0AFBD85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81" w:type="pct"/>
            <w:vMerge w:val="restart"/>
            <w:tcBorders>
              <w:tl2br w:val="nil"/>
              <w:tr2bl w:val="nil"/>
            </w:tcBorders>
            <w:noWrap w:val="0"/>
            <w:vAlign w:val="center"/>
          </w:tcPr>
          <w:p w14:paraId="251A2A13">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砷</w:t>
            </w:r>
          </w:p>
        </w:tc>
        <w:tc>
          <w:tcPr>
            <w:tcW w:w="654" w:type="pct"/>
            <w:tcBorders>
              <w:tl2br w:val="nil"/>
              <w:tr2bl w:val="nil"/>
            </w:tcBorders>
            <w:noWrap w:val="0"/>
            <w:vAlign w:val="center"/>
          </w:tcPr>
          <w:p w14:paraId="1B52713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水田</w:t>
            </w:r>
          </w:p>
        </w:tc>
        <w:tc>
          <w:tcPr>
            <w:tcW w:w="851" w:type="pct"/>
            <w:tcBorders>
              <w:tl2br w:val="nil"/>
              <w:tr2bl w:val="nil"/>
            </w:tcBorders>
            <w:noWrap w:val="0"/>
            <w:vAlign w:val="center"/>
          </w:tcPr>
          <w:p w14:paraId="2773C4D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w:t>
            </w:r>
          </w:p>
        </w:tc>
        <w:tc>
          <w:tcPr>
            <w:tcW w:w="1077" w:type="pct"/>
            <w:tcBorders>
              <w:tl2br w:val="nil"/>
              <w:tr2bl w:val="nil"/>
            </w:tcBorders>
            <w:noWrap w:val="0"/>
            <w:vAlign w:val="center"/>
          </w:tcPr>
          <w:p w14:paraId="315F7EF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w:t>
            </w:r>
          </w:p>
        </w:tc>
        <w:tc>
          <w:tcPr>
            <w:tcW w:w="1077" w:type="pct"/>
            <w:tcBorders>
              <w:tl2br w:val="nil"/>
              <w:tr2bl w:val="nil"/>
            </w:tcBorders>
            <w:noWrap w:val="0"/>
            <w:vAlign w:val="center"/>
          </w:tcPr>
          <w:p w14:paraId="0E5D66E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w:t>
            </w:r>
          </w:p>
        </w:tc>
        <w:tc>
          <w:tcPr>
            <w:tcW w:w="956" w:type="pct"/>
            <w:tcBorders>
              <w:tl2br w:val="nil"/>
              <w:tr2bl w:val="nil"/>
            </w:tcBorders>
            <w:noWrap w:val="0"/>
            <w:vAlign w:val="center"/>
          </w:tcPr>
          <w:p w14:paraId="2E6B8A7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r>
      <w:tr w14:paraId="296DB68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81" w:type="pct"/>
            <w:vMerge w:val="continue"/>
            <w:tcBorders>
              <w:tl2br w:val="nil"/>
              <w:tr2bl w:val="nil"/>
            </w:tcBorders>
            <w:noWrap w:val="0"/>
            <w:vAlign w:val="center"/>
          </w:tcPr>
          <w:p w14:paraId="1695F625">
            <w:pPr>
              <w:adjustRightInd w:val="0"/>
              <w:snapToGrid w:val="0"/>
              <w:spacing w:line="240" w:lineRule="auto"/>
              <w:jc w:val="center"/>
              <w:textAlignment w:val="center"/>
              <w:rPr>
                <w:rFonts w:hint="default" w:ascii="Times New Roman" w:hAnsi="Times New Roman" w:eastAsia="宋体" w:cs="Times New Roman"/>
                <w:sz w:val="18"/>
                <w:szCs w:val="18"/>
              </w:rPr>
            </w:pPr>
          </w:p>
        </w:tc>
        <w:tc>
          <w:tcPr>
            <w:tcW w:w="654" w:type="pct"/>
            <w:tcBorders>
              <w:tl2br w:val="nil"/>
              <w:tr2bl w:val="nil"/>
            </w:tcBorders>
            <w:noWrap w:val="0"/>
            <w:vAlign w:val="center"/>
          </w:tcPr>
          <w:p w14:paraId="48BD55BB">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w:t>
            </w:r>
          </w:p>
        </w:tc>
        <w:tc>
          <w:tcPr>
            <w:tcW w:w="851" w:type="pct"/>
            <w:tcBorders>
              <w:tl2br w:val="nil"/>
              <w:tr2bl w:val="nil"/>
            </w:tcBorders>
            <w:noWrap w:val="0"/>
            <w:vAlign w:val="center"/>
          </w:tcPr>
          <w:p w14:paraId="27C258B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w:t>
            </w:r>
          </w:p>
        </w:tc>
        <w:tc>
          <w:tcPr>
            <w:tcW w:w="1077" w:type="pct"/>
            <w:tcBorders>
              <w:tl2br w:val="nil"/>
              <w:tr2bl w:val="nil"/>
            </w:tcBorders>
            <w:noWrap w:val="0"/>
            <w:vAlign w:val="center"/>
          </w:tcPr>
          <w:p w14:paraId="26781150">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w:t>
            </w:r>
          </w:p>
        </w:tc>
        <w:tc>
          <w:tcPr>
            <w:tcW w:w="1077" w:type="pct"/>
            <w:tcBorders>
              <w:tl2br w:val="nil"/>
              <w:tr2bl w:val="nil"/>
            </w:tcBorders>
            <w:noWrap w:val="0"/>
            <w:vAlign w:val="center"/>
          </w:tcPr>
          <w:p w14:paraId="03AC00B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w:t>
            </w:r>
          </w:p>
        </w:tc>
        <w:tc>
          <w:tcPr>
            <w:tcW w:w="956" w:type="pct"/>
            <w:tcBorders>
              <w:tl2br w:val="nil"/>
              <w:tr2bl w:val="nil"/>
            </w:tcBorders>
            <w:noWrap w:val="0"/>
            <w:vAlign w:val="center"/>
          </w:tcPr>
          <w:p w14:paraId="369AE62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w:t>
            </w:r>
          </w:p>
        </w:tc>
      </w:tr>
      <w:tr w14:paraId="7CBCE0E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81" w:type="pct"/>
            <w:vMerge w:val="restart"/>
            <w:tcBorders>
              <w:tl2br w:val="nil"/>
              <w:tr2bl w:val="nil"/>
            </w:tcBorders>
            <w:noWrap w:val="0"/>
            <w:vAlign w:val="center"/>
          </w:tcPr>
          <w:p w14:paraId="694F4CB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铅</w:t>
            </w:r>
          </w:p>
        </w:tc>
        <w:tc>
          <w:tcPr>
            <w:tcW w:w="654" w:type="pct"/>
            <w:tcBorders>
              <w:tl2br w:val="nil"/>
              <w:tr2bl w:val="nil"/>
            </w:tcBorders>
            <w:noWrap w:val="0"/>
            <w:vAlign w:val="center"/>
          </w:tcPr>
          <w:p w14:paraId="39EEFC3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水田</w:t>
            </w:r>
          </w:p>
        </w:tc>
        <w:tc>
          <w:tcPr>
            <w:tcW w:w="851" w:type="pct"/>
            <w:tcBorders>
              <w:tl2br w:val="nil"/>
              <w:tr2bl w:val="nil"/>
            </w:tcBorders>
            <w:noWrap w:val="0"/>
            <w:vAlign w:val="center"/>
          </w:tcPr>
          <w:p w14:paraId="1323E812">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80</w:t>
            </w:r>
          </w:p>
        </w:tc>
        <w:tc>
          <w:tcPr>
            <w:tcW w:w="1077" w:type="pct"/>
            <w:tcBorders>
              <w:tl2br w:val="nil"/>
              <w:tr2bl w:val="nil"/>
            </w:tcBorders>
            <w:noWrap w:val="0"/>
            <w:vAlign w:val="center"/>
          </w:tcPr>
          <w:p w14:paraId="683601A3">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w:t>
            </w:r>
          </w:p>
        </w:tc>
        <w:tc>
          <w:tcPr>
            <w:tcW w:w="1077" w:type="pct"/>
            <w:tcBorders>
              <w:tl2br w:val="nil"/>
              <w:tr2bl w:val="nil"/>
            </w:tcBorders>
            <w:noWrap w:val="0"/>
            <w:vAlign w:val="center"/>
          </w:tcPr>
          <w:p w14:paraId="5F429DE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140</w:t>
            </w:r>
          </w:p>
        </w:tc>
        <w:tc>
          <w:tcPr>
            <w:tcW w:w="956" w:type="pct"/>
            <w:tcBorders>
              <w:tl2br w:val="nil"/>
              <w:tr2bl w:val="nil"/>
            </w:tcBorders>
            <w:noWrap w:val="0"/>
            <w:vAlign w:val="center"/>
          </w:tcPr>
          <w:p w14:paraId="07E0AF6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240</w:t>
            </w:r>
          </w:p>
        </w:tc>
      </w:tr>
      <w:tr w14:paraId="11319F0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81" w:type="pct"/>
            <w:vMerge w:val="continue"/>
            <w:tcBorders>
              <w:tl2br w:val="nil"/>
              <w:tr2bl w:val="nil"/>
            </w:tcBorders>
            <w:noWrap w:val="0"/>
            <w:vAlign w:val="center"/>
          </w:tcPr>
          <w:p w14:paraId="66B94BF5">
            <w:pPr>
              <w:adjustRightInd w:val="0"/>
              <w:snapToGrid w:val="0"/>
              <w:spacing w:line="240" w:lineRule="auto"/>
              <w:jc w:val="center"/>
              <w:textAlignment w:val="center"/>
              <w:rPr>
                <w:rFonts w:hint="default" w:ascii="Times New Roman" w:hAnsi="Times New Roman" w:eastAsia="宋体" w:cs="Times New Roman"/>
                <w:sz w:val="18"/>
                <w:szCs w:val="18"/>
              </w:rPr>
            </w:pPr>
          </w:p>
        </w:tc>
        <w:tc>
          <w:tcPr>
            <w:tcW w:w="654" w:type="pct"/>
            <w:tcBorders>
              <w:tl2br w:val="nil"/>
              <w:tr2bl w:val="nil"/>
            </w:tcBorders>
            <w:noWrap w:val="0"/>
            <w:vAlign w:val="center"/>
          </w:tcPr>
          <w:p w14:paraId="3F4CFA93">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w:t>
            </w:r>
          </w:p>
        </w:tc>
        <w:tc>
          <w:tcPr>
            <w:tcW w:w="851" w:type="pct"/>
            <w:tcBorders>
              <w:tl2br w:val="nil"/>
              <w:tr2bl w:val="nil"/>
            </w:tcBorders>
            <w:noWrap w:val="0"/>
            <w:vAlign w:val="center"/>
          </w:tcPr>
          <w:p w14:paraId="3A875CEE">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70</w:t>
            </w:r>
          </w:p>
        </w:tc>
        <w:tc>
          <w:tcPr>
            <w:tcW w:w="1077" w:type="pct"/>
            <w:tcBorders>
              <w:tl2br w:val="nil"/>
              <w:tr2bl w:val="nil"/>
            </w:tcBorders>
            <w:noWrap w:val="0"/>
            <w:vAlign w:val="center"/>
          </w:tcPr>
          <w:p w14:paraId="1C95FF7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90</w:t>
            </w:r>
          </w:p>
        </w:tc>
        <w:tc>
          <w:tcPr>
            <w:tcW w:w="1077" w:type="pct"/>
            <w:tcBorders>
              <w:tl2br w:val="nil"/>
              <w:tr2bl w:val="nil"/>
            </w:tcBorders>
            <w:noWrap w:val="0"/>
            <w:vAlign w:val="center"/>
          </w:tcPr>
          <w:p w14:paraId="331832D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120</w:t>
            </w:r>
          </w:p>
        </w:tc>
        <w:tc>
          <w:tcPr>
            <w:tcW w:w="956" w:type="pct"/>
            <w:tcBorders>
              <w:tl2br w:val="nil"/>
              <w:tr2bl w:val="nil"/>
            </w:tcBorders>
            <w:noWrap w:val="0"/>
            <w:vAlign w:val="center"/>
          </w:tcPr>
          <w:p w14:paraId="69CA11D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170</w:t>
            </w:r>
          </w:p>
        </w:tc>
      </w:tr>
      <w:tr w14:paraId="60DDA45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81" w:type="pct"/>
            <w:vMerge w:val="restart"/>
            <w:tcBorders>
              <w:tl2br w:val="nil"/>
              <w:tr2bl w:val="nil"/>
            </w:tcBorders>
            <w:noWrap w:val="0"/>
            <w:vAlign w:val="center"/>
          </w:tcPr>
          <w:p w14:paraId="452F33E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铬</w:t>
            </w:r>
          </w:p>
        </w:tc>
        <w:tc>
          <w:tcPr>
            <w:tcW w:w="654" w:type="pct"/>
            <w:tcBorders>
              <w:tl2br w:val="nil"/>
              <w:tr2bl w:val="nil"/>
            </w:tcBorders>
            <w:noWrap w:val="0"/>
            <w:vAlign w:val="center"/>
          </w:tcPr>
          <w:p w14:paraId="29127F0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水田</w:t>
            </w:r>
          </w:p>
        </w:tc>
        <w:tc>
          <w:tcPr>
            <w:tcW w:w="851" w:type="pct"/>
            <w:tcBorders>
              <w:tl2br w:val="nil"/>
              <w:tr2bl w:val="nil"/>
            </w:tcBorders>
            <w:noWrap w:val="0"/>
            <w:vAlign w:val="center"/>
          </w:tcPr>
          <w:p w14:paraId="532A3D23">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250</w:t>
            </w:r>
          </w:p>
        </w:tc>
        <w:tc>
          <w:tcPr>
            <w:tcW w:w="1077" w:type="pct"/>
            <w:tcBorders>
              <w:tl2br w:val="nil"/>
              <w:tr2bl w:val="nil"/>
            </w:tcBorders>
            <w:noWrap w:val="0"/>
            <w:vAlign w:val="center"/>
          </w:tcPr>
          <w:p w14:paraId="0DF3829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250</w:t>
            </w:r>
          </w:p>
        </w:tc>
        <w:tc>
          <w:tcPr>
            <w:tcW w:w="1077" w:type="pct"/>
            <w:tcBorders>
              <w:tl2br w:val="nil"/>
              <w:tr2bl w:val="nil"/>
            </w:tcBorders>
            <w:noWrap w:val="0"/>
            <w:vAlign w:val="center"/>
          </w:tcPr>
          <w:p w14:paraId="47B93FD9">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300</w:t>
            </w:r>
          </w:p>
        </w:tc>
        <w:tc>
          <w:tcPr>
            <w:tcW w:w="956" w:type="pct"/>
            <w:tcBorders>
              <w:tl2br w:val="nil"/>
              <w:tr2bl w:val="nil"/>
            </w:tcBorders>
            <w:noWrap w:val="0"/>
            <w:vAlign w:val="center"/>
          </w:tcPr>
          <w:p w14:paraId="22D6371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350</w:t>
            </w:r>
          </w:p>
        </w:tc>
      </w:tr>
      <w:tr w14:paraId="184356D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81" w:type="pct"/>
            <w:vMerge w:val="continue"/>
            <w:tcBorders>
              <w:tl2br w:val="nil"/>
              <w:tr2bl w:val="nil"/>
            </w:tcBorders>
            <w:noWrap w:val="0"/>
            <w:vAlign w:val="center"/>
          </w:tcPr>
          <w:p w14:paraId="7C6CA8E5">
            <w:pPr>
              <w:adjustRightInd w:val="0"/>
              <w:snapToGrid w:val="0"/>
              <w:spacing w:line="240" w:lineRule="auto"/>
              <w:jc w:val="center"/>
              <w:textAlignment w:val="center"/>
              <w:rPr>
                <w:rFonts w:hint="default" w:ascii="Times New Roman" w:hAnsi="Times New Roman" w:eastAsia="宋体" w:cs="Times New Roman"/>
                <w:sz w:val="18"/>
                <w:szCs w:val="18"/>
              </w:rPr>
            </w:pPr>
          </w:p>
        </w:tc>
        <w:tc>
          <w:tcPr>
            <w:tcW w:w="654" w:type="pct"/>
            <w:tcBorders>
              <w:tl2br w:val="nil"/>
              <w:tr2bl w:val="nil"/>
            </w:tcBorders>
            <w:noWrap w:val="0"/>
            <w:vAlign w:val="center"/>
          </w:tcPr>
          <w:p w14:paraId="0928FB6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w:t>
            </w:r>
          </w:p>
        </w:tc>
        <w:tc>
          <w:tcPr>
            <w:tcW w:w="851" w:type="pct"/>
            <w:tcBorders>
              <w:tl2br w:val="nil"/>
              <w:tr2bl w:val="nil"/>
            </w:tcBorders>
            <w:noWrap w:val="0"/>
            <w:vAlign w:val="center"/>
          </w:tcPr>
          <w:p w14:paraId="679F276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150</w:t>
            </w:r>
          </w:p>
        </w:tc>
        <w:tc>
          <w:tcPr>
            <w:tcW w:w="1077" w:type="pct"/>
            <w:tcBorders>
              <w:tl2br w:val="nil"/>
              <w:tr2bl w:val="nil"/>
            </w:tcBorders>
            <w:noWrap w:val="0"/>
            <w:vAlign w:val="center"/>
          </w:tcPr>
          <w:p w14:paraId="6D74828C">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150</w:t>
            </w:r>
          </w:p>
        </w:tc>
        <w:tc>
          <w:tcPr>
            <w:tcW w:w="1077" w:type="pct"/>
            <w:tcBorders>
              <w:tl2br w:val="nil"/>
              <w:tr2bl w:val="nil"/>
            </w:tcBorders>
            <w:noWrap w:val="0"/>
            <w:vAlign w:val="center"/>
          </w:tcPr>
          <w:p w14:paraId="38E8F69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200</w:t>
            </w:r>
          </w:p>
        </w:tc>
        <w:tc>
          <w:tcPr>
            <w:tcW w:w="956" w:type="pct"/>
            <w:tcBorders>
              <w:tl2br w:val="nil"/>
              <w:tr2bl w:val="nil"/>
            </w:tcBorders>
            <w:noWrap w:val="0"/>
            <w:vAlign w:val="center"/>
          </w:tcPr>
          <w:p w14:paraId="406E22F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250</w:t>
            </w:r>
          </w:p>
        </w:tc>
      </w:tr>
      <w:tr w14:paraId="0F05875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81" w:type="pct"/>
            <w:vMerge w:val="restart"/>
            <w:tcBorders>
              <w:tl2br w:val="nil"/>
              <w:tr2bl w:val="nil"/>
            </w:tcBorders>
            <w:noWrap w:val="0"/>
            <w:vAlign w:val="center"/>
          </w:tcPr>
          <w:p w14:paraId="1E6B608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铜</w:t>
            </w:r>
          </w:p>
        </w:tc>
        <w:tc>
          <w:tcPr>
            <w:tcW w:w="654" w:type="pct"/>
            <w:tcBorders>
              <w:tl2br w:val="nil"/>
              <w:tr2bl w:val="nil"/>
            </w:tcBorders>
            <w:noWrap w:val="0"/>
            <w:vAlign w:val="center"/>
          </w:tcPr>
          <w:p w14:paraId="2A10C41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水田</w:t>
            </w:r>
          </w:p>
        </w:tc>
        <w:tc>
          <w:tcPr>
            <w:tcW w:w="851" w:type="pct"/>
            <w:tcBorders>
              <w:tl2br w:val="nil"/>
              <w:tr2bl w:val="nil"/>
            </w:tcBorders>
            <w:noWrap w:val="0"/>
            <w:vAlign w:val="center"/>
          </w:tcPr>
          <w:p w14:paraId="58E49C33">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150</w:t>
            </w:r>
          </w:p>
        </w:tc>
        <w:tc>
          <w:tcPr>
            <w:tcW w:w="1077" w:type="pct"/>
            <w:tcBorders>
              <w:tl2br w:val="nil"/>
              <w:tr2bl w:val="nil"/>
            </w:tcBorders>
            <w:noWrap w:val="0"/>
            <w:vAlign w:val="center"/>
          </w:tcPr>
          <w:p w14:paraId="5F3FFA8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150</w:t>
            </w:r>
          </w:p>
        </w:tc>
        <w:tc>
          <w:tcPr>
            <w:tcW w:w="1077" w:type="pct"/>
            <w:tcBorders>
              <w:tl2br w:val="nil"/>
              <w:tr2bl w:val="nil"/>
            </w:tcBorders>
            <w:noWrap w:val="0"/>
            <w:vAlign w:val="center"/>
          </w:tcPr>
          <w:p w14:paraId="04244F2F">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200</w:t>
            </w:r>
          </w:p>
        </w:tc>
        <w:tc>
          <w:tcPr>
            <w:tcW w:w="956" w:type="pct"/>
            <w:tcBorders>
              <w:tl2br w:val="nil"/>
              <w:tr2bl w:val="nil"/>
            </w:tcBorders>
            <w:noWrap w:val="0"/>
            <w:vAlign w:val="center"/>
          </w:tcPr>
          <w:p w14:paraId="7733A28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200</w:t>
            </w:r>
          </w:p>
        </w:tc>
      </w:tr>
      <w:tr w14:paraId="131717D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81" w:type="pct"/>
            <w:vMerge w:val="continue"/>
            <w:tcBorders>
              <w:tl2br w:val="nil"/>
              <w:tr2bl w:val="nil"/>
            </w:tcBorders>
            <w:noWrap w:val="0"/>
            <w:vAlign w:val="center"/>
          </w:tcPr>
          <w:p w14:paraId="230388A2">
            <w:pPr>
              <w:adjustRightInd w:val="0"/>
              <w:snapToGrid w:val="0"/>
              <w:spacing w:line="240" w:lineRule="auto"/>
              <w:jc w:val="center"/>
              <w:textAlignment w:val="center"/>
              <w:rPr>
                <w:rFonts w:hint="default" w:ascii="Times New Roman" w:hAnsi="Times New Roman" w:eastAsia="宋体" w:cs="Times New Roman"/>
                <w:sz w:val="18"/>
                <w:szCs w:val="18"/>
              </w:rPr>
            </w:pPr>
          </w:p>
        </w:tc>
        <w:tc>
          <w:tcPr>
            <w:tcW w:w="654" w:type="pct"/>
            <w:tcBorders>
              <w:tl2br w:val="nil"/>
              <w:tr2bl w:val="nil"/>
            </w:tcBorders>
            <w:noWrap w:val="0"/>
            <w:vAlign w:val="center"/>
          </w:tcPr>
          <w:p w14:paraId="4E6CF5F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w:t>
            </w:r>
          </w:p>
        </w:tc>
        <w:tc>
          <w:tcPr>
            <w:tcW w:w="851" w:type="pct"/>
            <w:tcBorders>
              <w:tl2br w:val="nil"/>
              <w:tr2bl w:val="nil"/>
            </w:tcBorders>
            <w:noWrap w:val="0"/>
            <w:vAlign w:val="center"/>
          </w:tcPr>
          <w:p w14:paraId="00925C1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w:t>
            </w:r>
          </w:p>
        </w:tc>
        <w:tc>
          <w:tcPr>
            <w:tcW w:w="1077" w:type="pct"/>
            <w:tcBorders>
              <w:tl2br w:val="nil"/>
              <w:tr2bl w:val="nil"/>
            </w:tcBorders>
            <w:noWrap w:val="0"/>
            <w:vAlign w:val="center"/>
          </w:tcPr>
          <w:p w14:paraId="54D2EA7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w:t>
            </w:r>
          </w:p>
        </w:tc>
        <w:tc>
          <w:tcPr>
            <w:tcW w:w="1077" w:type="pct"/>
            <w:tcBorders>
              <w:tl2br w:val="nil"/>
              <w:tr2bl w:val="nil"/>
            </w:tcBorders>
            <w:noWrap w:val="0"/>
            <w:vAlign w:val="center"/>
          </w:tcPr>
          <w:p w14:paraId="0E8DFDA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w:t>
            </w:r>
          </w:p>
        </w:tc>
        <w:tc>
          <w:tcPr>
            <w:tcW w:w="956" w:type="pct"/>
            <w:tcBorders>
              <w:tl2br w:val="nil"/>
              <w:tr2bl w:val="nil"/>
            </w:tcBorders>
            <w:noWrap w:val="0"/>
            <w:vAlign w:val="center"/>
          </w:tcPr>
          <w:p w14:paraId="750FF60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w:t>
            </w:r>
          </w:p>
        </w:tc>
      </w:tr>
      <w:tr w14:paraId="322F95B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036" w:type="pct"/>
            <w:gridSpan w:val="2"/>
            <w:tcBorders>
              <w:tl2br w:val="nil"/>
              <w:tr2bl w:val="nil"/>
            </w:tcBorders>
            <w:noWrap w:val="0"/>
            <w:vAlign w:val="center"/>
          </w:tcPr>
          <w:p w14:paraId="3BB2DAA7">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镍</w:t>
            </w:r>
          </w:p>
        </w:tc>
        <w:tc>
          <w:tcPr>
            <w:tcW w:w="851" w:type="pct"/>
            <w:tcBorders>
              <w:tl2br w:val="nil"/>
              <w:tr2bl w:val="nil"/>
            </w:tcBorders>
            <w:noWrap w:val="0"/>
            <w:vAlign w:val="center"/>
          </w:tcPr>
          <w:p w14:paraId="455DBF6B">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60</w:t>
            </w:r>
          </w:p>
        </w:tc>
        <w:tc>
          <w:tcPr>
            <w:tcW w:w="1077" w:type="pct"/>
            <w:tcBorders>
              <w:tl2br w:val="nil"/>
              <w:tr2bl w:val="nil"/>
            </w:tcBorders>
            <w:noWrap w:val="0"/>
            <w:vAlign w:val="center"/>
          </w:tcPr>
          <w:p w14:paraId="29F7AF36">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70</w:t>
            </w:r>
          </w:p>
        </w:tc>
        <w:tc>
          <w:tcPr>
            <w:tcW w:w="1077" w:type="pct"/>
            <w:tcBorders>
              <w:tl2br w:val="nil"/>
              <w:tr2bl w:val="nil"/>
            </w:tcBorders>
            <w:noWrap w:val="0"/>
            <w:vAlign w:val="center"/>
          </w:tcPr>
          <w:p w14:paraId="26F6AD04">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w:t>
            </w:r>
          </w:p>
        </w:tc>
        <w:tc>
          <w:tcPr>
            <w:tcW w:w="956" w:type="pct"/>
            <w:tcBorders>
              <w:tl2br w:val="nil"/>
              <w:tr2bl w:val="nil"/>
            </w:tcBorders>
            <w:noWrap w:val="0"/>
            <w:vAlign w:val="center"/>
          </w:tcPr>
          <w:p w14:paraId="17620278">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190</w:t>
            </w:r>
          </w:p>
        </w:tc>
      </w:tr>
      <w:tr w14:paraId="5F03F79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036" w:type="pct"/>
            <w:gridSpan w:val="2"/>
            <w:tcBorders>
              <w:tl2br w:val="nil"/>
              <w:tr2bl w:val="nil"/>
            </w:tcBorders>
            <w:noWrap w:val="0"/>
            <w:vAlign w:val="center"/>
          </w:tcPr>
          <w:p w14:paraId="5D9CC52D">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锌</w:t>
            </w:r>
          </w:p>
        </w:tc>
        <w:tc>
          <w:tcPr>
            <w:tcW w:w="851" w:type="pct"/>
            <w:tcBorders>
              <w:tl2br w:val="nil"/>
              <w:tr2bl w:val="nil"/>
            </w:tcBorders>
            <w:noWrap w:val="0"/>
            <w:vAlign w:val="center"/>
          </w:tcPr>
          <w:p w14:paraId="7B5444C0">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200</w:t>
            </w:r>
          </w:p>
        </w:tc>
        <w:tc>
          <w:tcPr>
            <w:tcW w:w="1077" w:type="pct"/>
            <w:tcBorders>
              <w:tl2br w:val="nil"/>
              <w:tr2bl w:val="nil"/>
            </w:tcBorders>
            <w:noWrap w:val="0"/>
            <w:vAlign w:val="center"/>
          </w:tcPr>
          <w:p w14:paraId="68937445">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200</w:t>
            </w:r>
          </w:p>
        </w:tc>
        <w:tc>
          <w:tcPr>
            <w:tcW w:w="1077" w:type="pct"/>
            <w:tcBorders>
              <w:tl2br w:val="nil"/>
              <w:tr2bl w:val="nil"/>
            </w:tcBorders>
            <w:noWrap w:val="0"/>
            <w:vAlign w:val="center"/>
          </w:tcPr>
          <w:p w14:paraId="7C721CCA">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250</w:t>
            </w:r>
          </w:p>
        </w:tc>
        <w:tc>
          <w:tcPr>
            <w:tcW w:w="956" w:type="pct"/>
            <w:tcBorders>
              <w:tl2br w:val="nil"/>
              <w:tr2bl w:val="nil"/>
            </w:tcBorders>
            <w:noWrap w:val="0"/>
            <w:vAlign w:val="center"/>
          </w:tcPr>
          <w:p w14:paraId="2A83C061">
            <w:pPr>
              <w:adjustRightInd w:val="0"/>
              <w:snapToGrid w:val="0"/>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300</w:t>
            </w:r>
          </w:p>
        </w:tc>
      </w:tr>
    </w:tbl>
    <w:p w14:paraId="1BB8D8AD">
      <w:pPr>
        <w:pStyle w:val="6"/>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.4.2污染物排放标准</w:t>
      </w:r>
      <w:bookmarkEnd w:id="156"/>
      <w:bookmarkEnd w:id="157"/>
    </w:p>
    <w:p w14:paraId="378201B2">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1、大气污染物排放标准</w:t>
      </w:r>
    </w:p>
    <w:p w14:paraId="5EBCF254">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（1）施工期</w:t>
      </w:r>
    </w:p>
    <w:p w14:paraId="64158165">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施工扬（粉）尘排放执行《大气污染物综合排放标准》（GB 16297-1996）表2新污染源大气污染物无组织排放浓度限值，即周界外浓度最高点1.0mg/m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w:t>
      </w:r>
    </w:p>
    <w:p w14:paraId="48B86A81">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（2）运营期</w:t>
      </w:r>
    </w:p>
    <w:p w14:paraId="57096B92">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本项目仅涉及选矿，不进行开采，项目运营期生产废气主要为破碎、筛分、磁选粉</w:t>
      </w:r>
      <w:r>
        <w:rPr>
          <w:rFonts w:hint="default" w:ascii="Times New Roman" w:hAnsi="Times New Roman" w:cs="Times New Roman" w:eastAsiaTheme="minorEastAsia"/>
          <w:color w:val="auto"/>
          <w:sz w:val="24"/>
          <w:szCs w:val="24"/>
        </w:rPr>
        <w:t>尘，</w:t>
      </w:r>
      <w:r>
        <w:rPr>
          <w:rFonts w:hint="default" w:ascii="Times New Roman" w:hAnsi="Times New Roman" w:cs="Times New Roman" w:eastAsiaTheme="minorEastAsia"/>
          <w:color w:val="auto"/>
          <w:sz w:val="24"/>
          <w:szCs w:val="24"/>
          <w:lang w:val="en-US" w:eastAsia="zh-CN"/>
        </w:rPr>
        <w:t>参考</w:t>
      </w:r>
      <w:r>
        <w:rPr>
          <w:rFonts w:hint="default" w:ascii="Times New Roman" w:hAnsi="Times New Roman" w:cs="Times New Roman" w:eastAsiaTheme="minorEastAsia"/>
          <w:color w:val="auto"/>
          <w:sz w:val="24"/>
          <w:szCs w:val="24"/>
        </w:rPr>
        <w:t>执行</w:t>
      </w:r>
      <w:bookmarkStart w:id="158" w:name="_Hlk162432379"/>
      <w:bookmarkStart w:id="159" w:name="_Hlk162447737"/>
      <w:r>
        <w:rPr>
          <w:rFonts w:hint="default" w:ascii="Times New Roman" w:hAnsi="Times New Roman" w:cs="Times New Roman" w:eastAsiaTheme="minorEastAsia"/>
          <w:color w:val="auto"/>
          <w:sz w:val="24"/>
          <w:szCs w:val="24"/>
        </w:rPr>
        <w:t>《铁矿采选工业污染物排放标准》（GB28661-2012）表5</w:t>
      </w:r>
      <w:r>
        <w:rPr>
          <w:rFonts w:hint="default" w:ascii="Times New Roman" w:hAnsi="Times New Roman" w:cs="Times New Roman" w:eastAsiaTheme="minorEastAsia"/>
          <w:sz w:val="24"/>
          <w:szCs w:val="24"/>
        </w:rPr>
        <w:t>新建企业大气污染物排放浓度限值</w:t>
      </w:r>
      <w:bookmarkEnd w:id="158"/>
      <w:r>
        <w:rPr>
          <w:rFonts w:hint="default" w:ascii="Times New Roman" w:hAnsi="Times New Roman" w:cs="Times New Roman" w:eastAsiaTheme="minorEastAsia"/>
          <w:sz w:val="24"/>
          <w:szCs w:val="24"/>
        </w:rPr>
        <w:t>和表7现有和新建企业大气污染物无组织排放浓度限值</w:t>
      </w:r>
      <w:bookmarkEnd w:id="159"/>
      <w:r>
        <w:rPr>
          <w:rFonts w:hint="default" w:ascii="Times New Roman" w:hAnsi="Times New Roman" w:cs="Times New Roman" w:eastAsiaTheme="minorEastAsia"/>
          <w:sz w:val="24"/>
          <w:szCs w:val="24"/>
        </w:rPr>
        <w:t>。标准值见表</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bCs/>
          <w:sz w:val="24"/>
          <w:szCs w:val="24"/>
        </w:rPr>
        <w:t>.4-6、</w:t>
      </w:r>
      <w:r>
        <w:rPr>
          <w:rFonts w:hint="default" w:ascii="Times New Roman" w:hAnsi="Times New Roman" w:cs="Times New Roman" w:eastAsiaTheme="minorEastAsia"/>
          <w:bCs/>
          <w:sz w:val="24"/>
          <w:szCs w:val="24"/>
          <w:lang w:val="en-US" w:eastAsia="zh-CN"/>
        </w:rPr>
        <w:t>2</w:t>
      </w:r>
      <w:r>
        <w:rPr>
          <w:rFonts w:hint="default" w:ascii="Times New Roman" w:hAnsi="Times New Roman" w:cs="Times New Roman" w:eastAsiaTheme="minorEastAsia"/>
          <w:bCs/>
          <w:sz w:val="24"/>
          <w:szCs w:val="24"/>
        </w:rPr>
        <w:t>.4-7。</w:t>
      </w:r>
    </w:p>
    <w:p w14:paraId="4CBCCF4A">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.4-6  本项目运营期有组织大气污染物排放浓度限值</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3906"/>
        <w:gridCol w:w="1848"/>
        <w:gridCol w:w="2517"/>
      </w:tblGrid>
      <w:tr w14:paraId="6CC062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000" w:type="pct"/>
            <w:gridSpan w:val="4"/>
            <w:tcBorders>
              <w:tl2br w:val="nil"/>
              <w:tr2bl w:val="nil"/>
            </w:tcBorders>
            <w:vAlign w:val="center"/>
          </w:tcPr>
          <w:p w14:paraId="74198245">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《铁矿采选工业污染物排放标准》（GB28661-2012）表5新建企业大气污染物排放浓度限值</w:t>
            </w:r>
          </w:p>
        </w:tc>
      </w:tr>
      <w:tr w14:paraId="3372C5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47" w:type="pct"/>
            <w:tcBorders>
              <w:tl2br w:val="nil"/>
              <w:tr2bl w:val="nil"/>
            </w:tcBorders>
            <w:vAlign w:val="center"/>
          </w:tcPr>
          <w:p w14:paraId="28E69C38">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污染物项目</w:t>
            </w:r>
          </w:p>
        </w:tc>
        <w:tc>
          <w:tcPr>
            <w:tcW w:w="2103" w:type="pct"/>
            <w:tcBorders>
              <w:tl2br w:val="nil"/>
              <w:tr2bl w:val="nil"/>
            </w:tcBorders>
            <w:vAlign w:val="center"/>
          </w:tcPr>
          <w:p w14:paraId="3A386E03">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生产工序或设施</w:t>
            </w:r>
          </w:p>
        </w:tc>
        <w:tc>
          <w:tcPr>
            <w:tcW w:w="995" w:type="pct"/>
            <w:tcBorders>
              <w:tl2br w:val="nil"/>
              <w:tr2bl w:val="nil"/>
            </w:tcBorders>
            <w:vAlign w:val="center"/>
          </w:tcPr>
          <w:p w14:paraId="302AC934">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限值</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rPr>
              <w:t>mg/m</w:t>
            </w:r>
            <w:r>
              <w:rPr>
                <w:rFonts w:hint="default" w:ascii="Times New Roman" w:hAnsi="Times New Roman" w:eastAsia="宋体" w:cs="Times New Roman"/>
                <w:b w:val="0"/>
                <w:bCs/>
                <w:sz w:val="18"/>
                <w:szCs w:val="18"/>
                <w:vertAlign w:val="superscript"/>
              </w:rPr>
              <w:t>3</w:t>
            </w:r>
            <w:r>
              <w:rPr>
                <w:rFonts w:hint="default" w:ascii="Times New Roman" w:hAnsi="Times New Roman" w:eastAsia="宋体" w:cs="Times New Roman"/>
                <w:b w:val="0"/>
                <w:bCs/>
                <w:sz w:val="18"/>
                <w:szCs w:val="18"/>
              </w:rPr>
              <w:t>)</w:t>
            </w:r>
          </w:p>
        </w:tc>
        <w:tc>
          <w:tcPr>
            <w:tcW w:w="1355" w:type="pct"/>
            <w:tcBorders>
              <w:tl2br w:val="nil"/>
              <w:tr2bl w:val="nil"/>
            </w:tcBorders>
            <w:vAlign w:val="center"/>
          </w:tcPr>
          <w:p w14:paraId="0E18BC40">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污染物排放监控位置</w:t>
            </w:r>
          </w:p>
        </w:tc>
      </w:tr>
      <w:tr w14:paraId="573F33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47" w:type="pct"/>
            <w:tcBorders>
              <w:tl2br w:val="nil"/>
              <w:tr2bl w:val="nil"/>
            </w:tcBorders>
            <w:vAlign w:val="center"/>
          </w:tcPr>
          <w:p w14:paraId="4FD45AFB">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颗粒物</w:t>
            </w:r>
          </w:p>
        </w:tc>
        <w:tc>
          <w:tcPr>
            <w:tcW w:w="2103" w:type="pct"/>
            <w:tcBorders>
              <w:tl2br w:val="nil"/>
              <w:tr2bl w:val="nil"/>
            </w:tcBorders>
            <w:vAlign w:val="center"/>
          </w:tcPr>
          <w:p w14:paraId="55C4E000">
            <w:pPr>
              <w:pStyle w:val="47"/>
              <w:spacing w:line="240" w:lineRule="auto"/>
              <w:rPr>
                <w:rFonts w:hint="default"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lang w:val="en-US" w:eastAsia="zh-CN"/>
              </w:rPr>
              <w:t>DA001</w:t>
            </w:r>
          </w:p>
        </w:tc>
        <w:tc>
          <w:tcPr>
            <w:tcW w:w="995" w:type="pct"/>
            <w:tcBorders>
              <w:tl2br w:val="nil"/>
              <w:tr2bl w:val="nil"/>
            </w:tcBorders>
            <w:vAlign w:val="center"/>
          </w:tcPr>
          <w:p w14:paraId="0AEBBE0E">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20</w:t>
            </w:r>
          </w:p>
        </w:tc>
        <w:tc>
          <w:tcPr>
            <w:tcW w:w="1355" w:type="pct"/>
            <w:tcBorders>
              <w:tl2br w:val="nil"/>
              <w:tr2bl w:val="nil"/>
            </w:tcBorders>
            <w:vAlign w:val="center"/>
          </w:tcPr>
          <w:p w14:paraId="68301BA8">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车间或生产设施排气筒</w:t>
            </w:r>
          </w:p>
        </w:tc>
      </w:tr>
    </w:tbl>
    <w:p w14:paraId="3BFE0368">
      <w:pP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br w:type="page"/>
      </w:r>
    </w:p>
    <w:p w14:paraId="3B6A322B">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.4-7  本项目运营期无组织大气污染物排放浓度限值</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4036"/>
        <w:gridCol w:w="3427"/>
      </w:tblGrid>
      <w:tr w14:paraId="0EBFD4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000" w:type="pct"/>
            <w:gridSpan w:val="3"/>
            <w:tcBorders>
              <w:tl2br w:val="nil"/>
              <w:tr2bl w:val="nil"/>
            </w:tcBorders>
            <w:vAlign w:val="center"/>
          </w:tcPr>
          <w:p w14:paraId="128CAE3C">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《铁矿采选工业污染物排放标准》（GB28661-2012）表7现有和新建企业大气污染物无组织排放浓度限值</w:t>
            </w:r>
          </w:p>
        </w:tc>
      </w:tr>
      <w:tr w14:paraId="7EE621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82" w:type="pct"/>
            <w:tcBorders>
              <w:tl2br w:val="nil"/>
              <w:tr2bl w:val="nil"/>
            </w:tcBorders>
            <w:vAlign w:val="center"/>
          </w:tcPr>
          <w:p w14:paraId="7EF51A0B">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污染物项目</w:t>
            </w:r>
          </w:p>
        </w:tc>
        <w:tc>
          <w:tcPr>
            <w:tcW w:w="2173" w:type="pct"/>
            <w:tcBorders>
              <w:tl2br w:val="nil"/>
              <w:tr2bl w:val="nil"/>
            </w:tcBorders>
            <w:vAlign w:val="center"/>
          </w:tcPr>
          <w:p w14:paraId="47BFD055">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生产工序或设施</w:t>
            </w:r>
          </w:p>
        </w:tc>
        <w:tc>
          <w:tcPr>
            <w:tcW w:w="1844" w:type="pct"/>
            <w:tcBorders>
              <w:tl2br w:val="nil"/>
              <w:tr2bl w:val="nil"/>
            </w:tcBorders>
            <w:vAlign w:val="center"/>
          </w:tcPr>
          <w:p w14:paraId="0F27C049">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限值</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rPr>
              <w:t>mg/m</w:t>
            </w:r>
            <w:r>
              <w:rPr>
                <w:rFonts w:hint="default" w:ascii="Times New Roman" w:hAnsi="Times New Roman" w:eastAsia="宋体" w:cs="Times New Roman"/>
                <w:b w:val="0"/>
                <w:bCs/>
                <w:sz w:val="18"/>
                <w:szCs w:val="18"/>
                <w:vertAlign w:val="superscript"/>
              </w:rPr>
              <w:t>3</w:t>
            </w:r>
            <w:r>
              <w:rPr>
                <w:rFonts w:hint="default" w:ascii="Times New Roman" w:hAnsi="Times New Roman" w:eastAsia="宋体" w:cs="Times New Roman"/>
                <w:b w:val="0"/>
                <w:bCs/>
                <w:sz w:val="18"/>
                <w:szCs w:val="18"/>
                <w:vertAlign w:val="superscript"/>
                <w:lang w:eastAsia="zh-CN"/>
              </w:rPr>
              <w:t>）</w:t>
            </w:r>
          </w:p>
        </w:tc>
      </w:tr>
      <w:tr w14:paraId="4B01E7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82" w:type="pct"/>
            <w:tcBorders>
              <w:tl2br w:val="nil"/>
              <w:tr2bl w:val="nil"/>
            </w:tcBorders>
            <w:vAlign w:val="center"/>
          </w:tcPr>
          <w:p w14:paraId="49D5DEE9">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颗粒物</w:t>
            </w:r>
          </w:p>
        </w:tc>
        <w:tc>
          <w:tcPr>
            <w:tcW w:w="2173" w:type="pct"/>
            <w:tcBorders>
              <w:tl2br w:val="nil"/>
              <w:tr2bl w:val="nil"/>
            </w:tcBorders>
            <w:vAlign w:val="center"/>
          </w:tcPr>
          <w:p w14:paraId="297FFEFC">
            <w:pPr>
              <w:pStyle w:val="47"/>
              <w:spacing w:line="240" w:lineRule="auto"/>
              <w:rPr>
                <w:rFonts w:hint="default"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lang w:val="en-US" w:eastAsia="zh-CN"/>
              </w:rPr>
              <w:t>生产工序、铁矿石堆棚、砂石料堆棚等</w:t>
            </w:r>
          </w:p>
        </w:tc>
        <w:tc>
          <w:tcPr>
            <w:tcW w:w="1844" w:type="pct"/>
            <w:tcBorders>
              <w:tl2br w:val="nil"/>
              <w:tr2bl w:val="nil"/>
            </w:tcBorders>
            <w:vAlign w:val="center"/>
          </w:tcPr>
          <w:p w14:paraId="0D42E9CA">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1.0</w:t>
            </w:r>
          </w:p>
        </w:tc>
      </w:tr>
    </w:tbl>
    <w:p w14:paraId="44306DF1">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2、废水排放标准</w:t>
      </w:r>
    </w:p>
    <w:p w14:paraId="47D60F60">
      <w:pPr>
        <w:spacing w:line="360" w:lineRule="auto"/>
        <w:ind w:firstLine="480" w:firstLineChars="200"/>
        <w:jc w:val="left"/>
        <w:rPr>
          <w:rFonts w:hint="default" w:ascii="Times New Roman" w:hAnsi="Times New Roman" w:cs="Times New Roman" w:eastAsiaTheme="minorEastAsia"/>
          <w:sz w:val="24"/>
          <w:szCs w:val="24"/>
          <w:lang w:val="zh-CN"/>
        </w:rPr>
      </w:pPr>
      <w:r>
        <w:rPr>
          <w:rFonts w:hint="default" w:ascii="Times New Roman" w:hAnsi="Times New Roman" w:cs="Times New Roman" w:eastAsiaTheme="minorEastAsia"/>
          <w:sz w:val="24"/>
          <w:szCs w:val="24"/>
        </w:rPr>
        <w:t>本项目不产生生产废水，生活污水依托</w:t>
      </w:r>
      <w:r>
        <w:rPr>
          <w:rFonts w:hint="default" w:ascii="Times New Roman" w:hAnsi="Times New Roman" w:cs="Times New Roman" w:eastAsiaTheme="minorEastAsia"/>
          <w:sz w:val="24"/>
          <w:szCs w:val="24"/>
          <w:lang w:val="en-US" w:eastAsia="zh-CN"/>
        </w:rPr>
        <w:t>鲁奎山铁矿</w:t>
      </w:r>
      <w:r>
        <w:rPr>
          <w:rFonts w:hint="default" w:ascii="Times New Roman" w:hAnsi="Times New Roman" w:cs="Times New Roman" w:eastAsiaTheme="minorEastAsia"/>
          <w:sz w:val="24"/>
          <w:szCs w:val="24"/>
        </w:rPr>
        <w:t>污水处理设备处理，厨房废水先经隔油池隔油</w:t>
      </w:r>
      <w:r>
        <w:rPr>
          <w:rFonts w:hint="default" w:ascii="Times New Roman" w:hAnsi="Times New Roman" w:cs="Times New Roman" w:eastAsiaTheme="minorEastAsia"/>
          <w:sz w:val="24"/>
          <w:szCs w:val="24"/>
          <w:lang w:val="en-US" w:eastAsia="zh-CN"/>
        </w:rPr>
        <w:t>处理后</w:t>
      </w:r>
      <w:r>
        <w:rPr>
          <w:rFonts w:hint="default" w:ascii="Times New Roman" w:hAnsi="Times New Roman" w:cs="Times New Roman" w:eastAsiaTheme="minorEastAsia"/>
          <w:sz w:val="24"/>
          <w:szCs w:val="24"/>
        </w:rPr>
        <w:t>与生活区废水</w:t>
      </w:r>
      <w:r>
        <w:rPr>
          <w:rFonts w:hint="default" w:ascii="Times New Roman" w:hAnsi="Times New Roman" w:cs="Times New Roman" w:eastAsiaTheme="minorEastAsia"/>
          <w:sz w:val="24"/>
          <w:szCs w:val="24"/>
          <w:lang w:val="en-US" w:eastAsia="zh-CN"/>
        </w:rPr>
        <w:t>一起经化粪池处理后排入</w:t>
      </w:r>
      <w:r>
        <w:rPr>
          <w:rFonts w:hint="default" w:ascii="Times New Roman" w:hAnsi="Times New Roman" w:cs="Times New Roman" w:eastAsiaTheme="minorEastAsia"/>
          <w:sz w:val="24"/>
          <w:szCs w:val="24"/>
        </w:rPr>
        <w:t>一体化污水处理设备</w:t>
      </w:r>
      <w:r>
        <w:rPr>
          <w:rFonts w:hint="default" w:ascii="Times New Roman" w:hAnsi="Times New Roman" w:cs="Times New Roman" w:eastAsiaTheme="minorEastAsia"/>
          <w:sz w:val="24"/>
          <w:szCs w:val="24"/>
          <w:lang w:val="zh-CN"/>
        </w:rPr>
        <w:t>，处理达</w:t>
      </w:r>
      <w:bookmarkStart w:id="160" w:name="_Hlk137909846"/>
      <w:r>
        <w:rPr>
          <w:rFonts w:hint="default" w:ascii="Times New Roman" w:hAnsi="Times New Roman" w:cs="Times New Roman" w:eastAsiaTheme="minorEastAsia"/>
          <w:sz w:val="24"/>
          <w:szCs w:val="24"/>
        </w:rPr>
        <w:t>《城市污水再生利用 城市杂用水水质》</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GB/T 18920-2020</w:t>
      </w:r>
      <w:r>
        <w:rPr>
          <w:rFonts w:hint="default" w:ascii="Times New Roman" w:hAnsi="Times New Roman" w:cs="Times New Roman" w:eastAsiaTheme="minorEastAsia"/>
          <w:sz w:val="24"/>
          <w:szCs w:val="24"/>
          <w:lang w:eastAsia="zh-CN"/>
        </w:rPr>
        <w:t>）</w:t>
      </w:r>
      <w:bookmarkEnd w:id="160"/>
      <w:r>
        <w:rPr>
          <w:rFonts w:hint="default" w:ascii="Times New Roman" w:hAnsi="Times New Roman" w:cs="Times New Roman" w:eastAsiaTheme="minorEastAsia"/>
          <w:sz w:val="24"/>
          <w:szCs w:val="24"/>
        </w:rPr>
        <w:t>中表1城市杂用水水质基本控制项目及限值中的城市绿化、道路清扫标准限值后回用于项目区绿化用水及洒水降尘，不外排</w:t>
      </w:r>
      <w:r>
        <w:rPr>
          <w:rFonts w:hint="default" w:ascii="Times New Roman" w:hAnsi="Times New Roman" w:cs="Times New Roman" w:eastAsiaTheme="minorEastAsia"/>
          <w:sz w:val="24"/>
          <w:szCs w:val="24"/>
          <w:lang w:val="zh-CN"/>
        </w:rPr>
        <w:t>。</w:t>
      </w:r>
    </w:p>
    <w:p w14:paraId="20B0406E">
      <w:pPr>
        <w:spacing w:line="360" w:lineRule="auto"/>
        <w:jc w:val="center"/>
        <w:rPr>
          <w:rFonts w:hint="default" w:ascii="Times New Roman" w:hAnsi="Times New Roman" w:eastAsia="黑体" w:cs="Times New Roman"/>
          <w:b w:val="0"/>
          <w:bCs/>
          <w:sz w:val="21"/>
          <w:szCs w:val="21"/>
          <w:lang w:val="zh-CN"/>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.4-8  本项目废水回用执行标准限值</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197"/>
        <w:gridCol w:w="3442"/>
        <w:gridCol w:w="4643"/>
      </w:tblGrid>
      <w:tr w14:paraId="4D7B49FE">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45" w:type="pct"/>
            <w:vMerge w:val="restart"/>
            <w:tcBorders>
              <w:tl2br w:val="nil"/>
              <w:tr2bl w:val="nil"/>
            </w:tcBorders>
            <w:vAlign w:val="center"/>
          </w:tcPr>
          <w:p w14:paraId="4D611C35">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序号</w:t>
            </w:r>
          </w:p>
        </w:tc>
        <w:tc>
          <w:tcPr>
            <w:tcW w:w="1854" w:type="pct"/>
            <w:vMerge w:val="restart"/>
            <w:tcBorders>
              <w:tl2br w:val="nil"/>
              <w:tr2bl w:val="nil"/>
            </w:tcBorders>
            <w:vAlign w:val="center"/>
          </w:tcPr>
          <w:p w14:paraId="593DF7AE">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污染物项目</w:t>
            </w:r>
          </w:p>
        </w:tc>
        <w:tc>
          <w:tcPr>
            <w:tcW w:w="2499" w:type="pct"/>
            <w:tcBorders>
              <w:tl2br w:val="nil"/>
              <w:tr2bl w:val="nil"/>
            </w:tcBorders>
            <w:vAlign w:val="center"/>
          </w:tcPr>
          <w:p w14:paraId="1075A7D3">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《城市污水再生利用 城市杂用水水质》(GB/T 18920-2020)</w:t>
            </w:r>
          </w:p>
        </w:tc>
      </w:tr>
      <w:tr w14:paraId="136BC6AF">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45" w:type="pct"/>
            <w:vMerge w:val="continue"/>
            <w:tcBorders>
              <w:tl2br w:val="nil"/>
              <w:tr2bl w:val="nil"/>
            </w:tcBorders>
            <w:vAlign w:val="center"/>
          </w:tcPr>
          <w:p w14:paraId="62A44855">
            <w:pPr>
              <w:adjustRightInd w:val="0"/>
              <w:snapToGrid w:val="0"/>
              <w:spacing w:line="240" w:lineRule="auto"/>
              <w:jc w:val="center"/>
              <w:rPr>
                <w:rFonts w:hint="default" w:ascii="Times New Roman" w:hAnsi="Times New Roman" w:eastAsia="宋体" w:cs="Times New Roman"/>
                <w:b w:val="0"/>
                <w:bCs w:val="0"/>
                <w:sz w:val="18"/>
                <w:szCs w:val="18"/>
              </w:rPr>
            </w:pPr>
          </w:p>
        </w:tc>
        <w:tc>
          <w:tcPr>
            <w:tcW w:w="1854" w:type="pct"/>
            <w:vMerge w:val="continue"/>
            <w:tcBorders>
              <w:tl2br w:val="nil"/>
              <w:tr2bl w:val="nil"/>
            </w:tcBorders>
            <w:vAlign w:val="center"/>
          </w:tcPr>
          <w:p w14:paraId="1BC98BD1">
            <w:pPr>
              <w:adjustRightInd w:val="0"/>
              <w:snapToGrid w:val="0"/>
              <w:spacing w:line="240" w:lineRule="auto"/>
              <w:jc w:val="center"/>
              <w:rPr>
                <w:rFonts w:hint="default" w:ascii="Times New Roman" w:hAnsi="Times New Roman" w:eastAsia="宋体" w:cs="Times New Roman"/>
                <w:b w:val="0"/>
                <w:bCs w:val="0"/>
                <w:sz w:val="18"/>
                <w:szCs w:val="18"/>
              </w:rPr>
            </w:pPr>
          </w:p>
        </w:tc>
        <w:tc>
          <w:tcPr>
            <w:tcW w:w="2499" w:type="pct"/>
            <w:tcBorders>
              <w:tl2br w:val="nil"/>
              <w:tr2bl w:val="nil"/>
            </w:tcBorders>
            <w:vAlign w:val="center"/>
          </w:tcPr>
          <w:p w14:paraId="4009B0BB">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城市绿化、道路清扫</w:t>
            </w:r>
          </w:p>
        </w:tc>
      </w:tr>
      <w:tr w14:paraId="31D408DC">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45" w:type="pct"/>
            <w:tcBorders>
              <w:tl2br w:val="nil"/>
              <w:tr2bl w:val="nil"/>
            </w:tcBorders>
            <w:vAlign w:val="center"/>
          </w:tcPr>
          <w:p w14:paraId="486B5B90">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1</w:t>
            </w:r>
          </w:p>
        </w:tc>
        <w:tc>
          <w:tcPr>
            <w:tcW w:w="1854" w:type="pct"/>
            <w:tcBorders>
              <w:tl2br w:val="nil"/>
              <w:tr2bl w:val="nil"/>
            </w:tcBorders>
            <w:vAlign w:val="center"/>
          </w:tcPr>
          <w:p w14:paraId="0DBAFCFF">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pH</w:t>
            </w:r>
          </w:p>
        </w:tc>
        <w:tc>
          <w:tcPr>
            <w:tcW w:w="2499" w:type="pct"/>
            <w:tcBorders>
              <w:tl2br w:val="nil"/>
              <w:tr2bl w:val="nil"/>
            </w:tcBorders>
            <w:vAlign w:val="center"/>
          </w:tcPr>
          <w:p w14:paraId="66F7BF20">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6.0～9.0</w:t>
            </w:r>
          </w:p>
        </w:tc>
      </w:tr>
      <w:tr w14:paraId="2078492A">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45" w:type="pct"/>
            <w:tcBorders>
              <w:tl2br w:val="nil"/>
              <w:tr2bl w:val="nil"/>
            </w:tcBorders>
            <w:vAlign w:val="center"/>
          </w:tcPr>
          <w:p w14:paraId="6485A857">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2</w:t>
            </w:r>
          </w:p>
        </w:tc>
        <w:tc>
          <w:tcPr>
            <w:tcW w:w="1854" w:type="pct"/>
            <w:tcBorders>
              <w:tl2br w:val="nil"/>
              <w:tr2bl w:val="nil"/>
            </w:tcBorders>
            <w:vAlign w:val="center"/>
          </w:tcPr>
          <w:p w14:paraId="16D6AA95">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色度</w:t>
            </w:r>
          </w:p>
        </w:tc>
        <w:tc>
          <w:tcPr>
            <w:tcW w:w="2499" w:type="pct"/>
            <w:tcBorders>
              <w:tl2br w:val="nil"/>
              <w:tr2bl w:val="nil"/>
            </w:tcBorders>
            <w:vAlign w:val="center"/>
          </w:tcPr>
          <w:p w14:paraId="3A61B1B1">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≤30</w:t>
            </w:r>
          </w:p>
        </w:tc>
      </w:tr>
      <w:tr w14:paraId="6E9E54D9">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45" w:type="pct"/>
            <w:tcBorders>
              <w:tl2br w:val="nil"/>
              <w:tr2bl w:val="nil"/>
            </w:tcBorders>
            <w:vAlign w:val="center"/>
          </w:tcPr>
          <w:p w14:paraId="42FE8F10">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3</w:t>
            </w:r>
          </w:p>
        </w:tc>
        <w:tc>
          <w:tcPr>
            <w:tcW w:w="1854" w:type="pct"/>
            <w:tcBorders>
              <w:tl2br w:val="nil"/>
              <w:tr2bl w:val="nil"/>
            </w:tcBorders>
            <w:vAlign w:val="center"/>
          </w:tcPr>
          <w:p w14:paraId="063B63C7">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嗅</w:t>
            </w:r>
          </w:p>
        </w:tc>
        <w:tc>
          <w:tcPr>
            <w:tcW w:w="2499" w:type="pct"/>
            <w:tcBorders>
              <w:tl2br w:val="nil"/>
              <w:tr2bl w:val="nil"/>
            </w:tcBorders>
            <w:vAlign w:val="center"/>
          </w:tcPr>
          <w:p w14:paraId="1B7A03F6">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无不快感觉</w:t>
            </w:r>
          </w:p>
        </w:tc>
      </w:tr>
      <w:tr w14:paraId="29189CC2">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45" w:type="pct"/>
            <w:tcBorders>
              <w:tl2br w:val="nil"/>
              <w:tr2bl w:val="nil"/>
            </w:tcBorders>
            <w:vAlign w:val="center"/>
          </w:tcPr>
          <w:p w14:paraId="3A9EDA1B">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4</w:t>
            </w:r>
          </w:p>
        </w:tc>
        <w:tc>
          <w:tcPr>
            <w:tcW w:w="1854" w:type="pct"/>
            <w:tcBorders>
              <w:tl2br w:val="nil"/>
              <w:tr2bl w:val="nil"/>
            </w:tcBorders>
            <w:vAlign w:val="center"/>
          </w:tcPr>
          <w:p w14:paraId="71C49D97">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浊度 /NTU</w:t>
            </w:r>
          </w:p>
        </w:tc>
        <w:tc>
          <w:tcPr>
            <w:tcW w:w="2499" w:type="pct"/>
            <w:tcBorders>
              <w:tl2br w:val="nil"/>
              <w:tr2bl w:val="nil"/>
            </w:tcBorders>
            <w:vAlign w:val="center"/>
          </w:tcPr>
          <w:p w14:paraId="4C1C0431">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≤10</w:t>
            </w:r>
          </w:p>
        </w:tc>
      </w:tr>
      <w:tr w14:paraId="1A3FF3E8">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45" w:type="pct"/>
            <w:tcBorders>
              <w:tl2br w:val="nil"/>
              <w:tr2bl w:val="nil"/>
            </w:tcBorders>
            <w:vAlign w:val="center"/>
          </w:tcPr>
          <w:p w14:paraId="432C69CD">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5</w:t>
            </w:r>
          </w:p>
        </w:tc>
        <w:tc>
          <w:tcPr>
            <w:tcW w:w="1854" w:type="pct"/>
            <w:tcBorders>
              <w:tl2br w:val="nil"/>
              <w:tr2bl w:val="nil"/>
            </w:tcBorders>
            <w:vAlign w:val="center"/>
          </w:tcPr>
          <w:p w14:paraId="09F0CB67">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BOD</w:t>
            </w:r>
            <w:r>
              <w:rPr>
                <w:rFonts w:hint="default" w:ascii="Times New Roman" w:hAnsi="Times New Roman" w:eastAsia="宋体" w:cs="Times New Roman"/>
                <w:b w:val="0"/>
                <w:bCs w:val="0"/>
                <w:sz w:val="18"/>
                <w:szCs w:val="18"/>
                <w:vertAlign w:val="subscript"/>
              </w:rPr>
              <w:t>5</w:t>
            </w:r>
            <w:r>
              <w:rPr>
                <w:rFonts w:hint="default" w:ascii="Times New Roman" w:hAnsi="Times New Roman" w:eastAsia="宋体" w:cs="Times New Roman"/>
                <w:b w:val="0"/>
                <w:bCs w:val="0"/>
                <w:sz w:val="18"/>
                <w:szCs w:val="18"/>
              </w:rPr>
              <w:t xml:space="preserve"> /mg/L</w:t>
            </w:r>
          </w:p>
        </w:tc>
        <w:tc>
          <w:tcPr>
            <w:tcW w:w="2499" w:type="pct"/>
            <w:tcBorders>
              <w:tl2br w:val="nil"/>
              <w:tr2bl w:val="nil"/>
            </w:tcBorders>
            <w:vAlign w:val="center"/>
          </w:tcPr>
          <w:p w14:paraId="0D5EA439">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≤10</w:t>
            </w:r>
          </w:p>
        </w:tc>
      </w:tr>
      <w:tr w14:paraId="116F7F88">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45" w:type="pct"/>
            <w:tcBorders>
              <w:tl2br w:val="nil"/>
              <w:tr2bl w:val="nil"/>
            </w:tcBorders>
            <w:vAlign w:val="center"/>
          </w:tcPr>
          <w:p w14:paraId="6D075964">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6</w:t>
            </w:r>
          </w:p>
        </w:tc>
        <w:tc>
          <w:tcPr>
            <w:tcW w:w="1854" w:type="pct"/>
            <w:tcBorders>
              <w:tl2br w:val="nil"/>
              <w:tr2bl w:val="nil"/>
            </w:tcBorders>
            <w:vAlign w:val="center"/>
          </w:tcPr>
          <w:p w14:paraId="3A64E274">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氨氮 /mg/L</w:t>
            </w:r>
          </w:p>
        </w:tc>
        <w:tc>
          <w:tcPr>
            <w:tcW w:w="2499" w:type="pct"/>
            <w:tcBorders>
              <w:tl2br w:val="nil"/>
              <w:tr2bl w:val="nil"/>
            </w:tcBorders>
            <w:vAlign w:val="center"/>
          </w:tcPr>
          <w:p w14:paraId="3AA36ADE">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≤8</w:t>
            </w:r>
          </w:p>
        </w:tc>
      </w:tr>
      <w:tr w14:paraId="225E7C88">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45" w:type="pct"/>
            <w:tcBorders>
              <w:tl2br w:val="nil"/>
              <w:tr2bl w:val="nil"/>
            </w:tcBorders>
            <w:vAlign w:val="center"/>
          </w:tcPr>
          <w:p w14:paraId="0263BCB7">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7</w:t>
            </w:r>
          </w:p>
        </w:tc>
        <w:tc>
          <w:tcPr>
            <w:tcW w:w="1854" w:type="pct"/>
            <w:tcBorders>
              <w:tl2br w:val="nil"/>
              <w:tr2bl w:val="nil"/>
            </w:tcBorders>
            <w:vAlign w:val="center"/>
          </w:tcPr>
          <w:p w14:paraId="49E0B543">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阴离子表面活性剂 /mg/L</w:t>
            </w:r>
          </w:p>
        </w:tc>
        <w:tc>
          <w:tcPr>
            <w:tcW w:w="2499" w:type="pct"/>
            <w:tcBorders>
              <w:tl2br w:val="nil"/>
              <w:tr2bl w:val="nil"/>
            </w:tcBorders>
            <w:vAlign w:val="center"/>
          </w:tcPr>
          <w:p w14:paraId="5B20416C">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≤0.5</w:t>
            </w:r>
          </w:p>
        </w:tc>
      </w:tr>
      <w:tr w14:paraId="6B463A94">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45" w:type="pct"/>
            <w:tcBorders>
              <w:tl2br w:val="nil"/>
              <w:tr2bl w:val="nil"/>
            </w:tcBorders>
            <w:vAlign w:val="center"/>
          </w:tcPr>
          <w:p w14:paraId="66C2C913">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8</w:t>
            </w:r>
          </w:p>
        </w:tc>
        <w:tc>
          <w:tcPr>
            <w:tcW w:w="1854" w:type="pct"/>
            <w:tcBorders>
              <w:tl2br w:val="nil"/>
              <w:tr2bl w:val="nil"/>
            </w:tcBorders>
            <w:vAlign w:val="center"/>
          </w:tcPr>
          <w:p w14:paraId="668A11AE">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溶解性总固体/mg/L</w:t>
            </w:r>
          </w:p>
        </w:tc>
        <w:tc>
          <w:tcPr>
            <w:tcW w:w="2499" w:type="pct"/>
            <w:tcBorders>
              <w:tl2br w:val="nil"/>
              <w:tr2bl w:val="nil"/>
            </w:tcBorders>
            <w:vAlign w:val="center"/>
          </w:tcPr>
          <w:p w14:paraId="5186F265">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≤1000(2000)</w:t>
            </w:r>
            <w:r>
              <w:rPr>
                <w:rFonts w:hint="default" w:ascii="Times New Roman" w:hAnsi="Times New Roman" w:eastAsia="宋体" w:cs="Times New Roman"/>
                <w:b w:val="0"/>
                <w:bCs w:val="0"/>
                <w:sz w:val="18"/>
                <w:szCs w:val="18"/>
                <w:vertAlign w:val="superscript"/>
              </w:rPr>
              <w:t>a</w:t>
            </w:r>
          </w:p>
        </w:tc>
      </w:tr>
      <w:tr w14:paraId="797C3FCA">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45" w:type="pct"/>
            <w:tcBorders>
              <w:tl2br w:val="nil"/>
              <w:tr2bl w:val="nil"/>
            </w:tcBorders>
            <w:vAlign w:val="center"/>
          </w:tcPr>
          <w:p w14:paraId="04050379">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9</w:t>
            </w:r>
          </w:p>
        </w:tc>
        <w:tc>
          <w:tcPr>
            <w:tcW w:w="1854" w:type="pct"/>
            <w:tcBorders>
              <w:tl2br w:val="nil"/>
              <w:tr2bl w:val="nil"/>
            </w:tcBorders>
            <w:vAlign w:val="center"/>
          </w:tcPr>
          <w:p w14:paraId="0FDD33C0">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溶解氧 /mg/L</w:t>
            </w:r>
          </w:p>
        </w:tc>
        <w:tc>
          <w:tcPr>
            <w:tcW w:w="2499" w:type="pct"/>
            <w:tcBorders>
              <w:tl2br w:val="nil"/>
              <w:tr2bl w:val="nil"/>
            </w:tcBorders>
            <w:vAlign w:val="center"/>
          </w:tcPr>
          <w:p w14:paraId="7D69398D">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≥2.0</w:t>
            </w:r>
          </w:p>
        </w:tc>
      </w:tr>
      <w:tr w14:paraId="5C90067D">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45" w:type="pct"/>
            <w:tcBorders>
              <w:tl2br w:val="nil"/>
              <w:tr2bl w:val="nil"/>
            </w:tcBorders>
            <w:vAlign w:val="center"/>
          </w:tcPr>
          <w:p w14:paraId="1BB9C719">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10</w:t>
            </w:r>
          </w:p>
        </w:tc>
        <w:tc>
          <w:tcPr>
            <w:tcW w:w="1854" w:type="pct"/>
            <w:tcBorders>
              <w:tl2br w:val="nil"/>
              <w:tr2bl w:val="nil"/>
            </w:tcBorders>
            <w:vAlign w:val="center"/>
          </w:tcPr>
          <w:p w14:paraId="064A5481">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总氯 /mg/L</w:t>
            </w:r>
          </w:p>
        </w:tc>
        <w:tc>
          <w:tcPr>
            <w:tcW w:w="2499" w:type="pct"/>
            <w:tcBorders>
              <w:tl2br w:val="nil"/>
              <w:tr2bl w:val="nil"/>
            </w:tcBorders>
            <w:vAlign w:val="center"/>
          </w:tcPr>
          <w:p w14:paraId="7F270473">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≥1.0（出厂），0.2</w:t>
            </w:r>
            <w:r>
              <w:rPr>
                <w:rFonts w:hint="default" w:ascii="Times New Roman" w:hAnsi="Times New Roman" w:eastAsia="宋体" w:cs="Times New Roman"/>
                <w:b w:val="0"/>
                <w:bCs w:val="0"/>
                <w:sz w:val="18"/>
                <w:szCs w:val="18"/>
                <w:vertAlign w:val="superscript"/>
              </w:rPr>
              <w:t>b</w:t>
            </w:r>
            <w:r>
              <w:rPr>
                <w:rFonts w:hint="default" w:ascii="Times New Roman" w:hAnsi="Times New Roman" w:cs="Times New Roman"/>
                <w:b w:val="0"/>
                <w:bCs w:val="0"/>
                <w:sz w:val="18"/>
                <w:szCs w:val="18"/>
                <w:vertAlign w:val="superscript"/>
                <w:lang w:eastAsia="zh-CN"/>
              </w:rPr>
              <w:t>（</w:t>
            </w:r>
            <w:r>
              <w:rPr>
                <w:rFonts w:hint="default" w:ascii="Times New Roman" w:hAnsi="Times New Roman" w:eastAsia="宋体" w:cs="Times New Roman"/>
                <w:b w:val="0"/>
                <w:bCs w:val="0"/>
                <w:sz w:val="18"/>
                <w:szCs w:val="18"/>
              </w:rPr>
              <w:t>管网末端</w:t>
            </w:r>
            <w:r>
              <w:rPr>
                <w:rFonts w:hint="default" w:ascii="Times New Roman" w:hAnsi="Times New Roman" w:cs="Times New Roman"/>
                <w:b w:val="0"/>
                <w:bCs w:val="0"/>
                <w:sz w:val="18"/>
                <w:szCs w:val="18"/>
                <w:lang w:eastAsia="zh-CN"/>
              </w:rPr>
              <w:t>）</w:t>
            </w:r>
          </w:p>
        </w:tc>
      </w:tr>
      <w:tr w14:paraId="4736CFF9">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45" w:type="pct"/>
            <w:tcBorders>
              <w:tl2br w:val="nil"/>
              <w:tr2bl w:val="nil"/>
            </w:tcBorders>
            <w:vAlign w:val="center"/>
          </w:tcPr>
          <w:p w14:paraId="06AB244B">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11</w:t>
            </w:r>
          </w:p>
        </w:tc>
        <w:tc>
          <w:tcPr>
            <w:tcW w:w="1854" w:type="pct"/>
            <w:tcBorders>
              <w:tl2br w:val="nil"/>
              <w:tr2bl w:val="nil"/>
            </w:tcBorders>
            <w:vAlign w:val="center"/>
          </w:tcPr>
          <w:p w14:paraId="49D3550D">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大肠埃希氏菌/（MPN/100mL或者CFU/100mL）</w:t>
            </w:r>
          </w:p>
        </w:tc>
        <w:tc>
          <w:tcPr>
            <w:tcW w:w="2499" w:type="pct"/>
            <w:tcBorders>
              <w:tl2br w:val="nil"/>
              <w:tr2bl w:val="nil"/>
            </w:tcBorders>
            <w:vAlign w:val="center"/>
          </w:tcPr>
          <w:p w14:paraId="379AB0F3">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无（不应检出）</w:t>
            </w:r>
          </w:p>
        </w:tc>
      </w:tr>
      <w:tr w14:paraId="5A41792E">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14:paraId="6FD90DC9">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注：a括号内指标值为沿海及本地水源中溶解性固体含量较高的区域的指标。</w:t>
            </w:r>
          </w:p>
          <w:p w14:paraId="5F6BF7E4">
            <w:pPr>
              <w:adjustRightInd w:val="0"/>
              <w:snapToGrid w:val="0"/>
              <w:spacing w:line="240" w:lineRule="auto"/>
              <w:jc w:val="center"/>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b用于城市绿化时，不应超过2.5mg/L.</w:t>
            </w:r>
          </w:p>
        </w:tc>
      </w:tr>
    </w:tbl>
    <w:p w14:paraId="3CC5332D">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3、噪声排放标准</w:t>
      </w:r>
    </w:p>
    <w:p w14:paraId="504DED34">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①施工期：施工场界噪声执行《建筑施工场界环境噪声排放限值》（GB12523-2011），标准限值见下表。</w:t>
      </w:r>
    </w:p>
    <w:p w14:paraId="530293C8">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.4-9  建筑施工场界噪声限值  单位：dB(A)</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54"/>
        <w:gridCol w:w="4832"/>
      </w:tblGrid>
      <w:tr w14:paraId="1348CF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98" w:type="pct"/>
            <w:tcBorders>
              <w:tl2br w:val="nil"/>
              <w:tr2bl w:val="nil"/>
            </w:tcBorders>
          </w:tcPr>
          <w:p w14:paraId="3D49D0CE">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昼间</w:t>
            </w:r>
          </w:p>
        </w:tc>
        <w:tc>
          <w:tcPr>
            <w:tcW w:w="2601" w:type="pct"/>
            <w:tcBorders>
              <w:tl2br w:val="nil"/>
              <w:tr2bl w:val="nil"/>
            </w:tcBorders>
          </w:tcPr>
          <w:p w14:paraId="5825AFED">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夜间</w:t>
            </w:r>
          </w:p>
        </w:tc>
      </w:tr>
      <w:tr w14:paraId="22EF1F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98" w:type="pct"/>
            <w:tcBorders>
              <w:tl2br w:val="nil"/>
              <w:tr2bl w:val="nil"/>
            </w:tcBorders>
          </w:tcPr>
          <w:p w14:paraId="732AFDAB">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70</w:t>
            </w:r>
          </w:p>
        </w:tc>
        <w:tc>
          <w:tcPr>
            <w:tcW w:w="2601" w:type="pct"/>
            <w:tcBorders>
              <w:tl2br w:val="nil"/>
              <w:tr2bl w:val="nil"/>
            </w:tcBorders>
          </w:tcPr>
          <w:p w14:paraId="04F7FF75">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55</w:t>
            </w:r>
          </w:p>
        </w:tc>
      </w:tr>
    </w:tbl>
    <w:p w14:paraId="52FE3AC9">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②运营期：</w:t>
      </w:r>
      <w:r>
        <w:rPr>
          <w:rFonts w:hint="default" w:ascii="Times New Roman" w:hAnsi="Times New Roman" w:cs="Times New Roman" w:eastAsiaTheme="minorEastAsia"/>
          <w:kern w:val="24"/>
          <w:sz w:val="24"/>
          <w:szCs w:val="24"/>
        </w:rPr>
        <w:t>项目</w:t>
      </w:r>
      <w:r>
        <w:rPr>
          <w:rFonts w:hint="default" w:ascii="Times New Roman" w:hAnsi="Times New Roman" w:cs="Times New Roman" w:eastAsiaTheme="minorEastAsia"/>
          <w:sz w:val="24"/>
          <w:szCs w:val="24"/>
        </w:rPr>
        <w:t>厂界噪声排放执行《工业企业场界环境噪声排放标准》（GB 12348-2008）2类标准。标准限值见下表。</w:t>
      </w:r>
    </w:p>
    <w:p w14:paraId="5C98F284">
      <w:pP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br w:type="page"/>
      </w:r>
    </w:p>
    <w:p w14:paraId="7558848E">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.4-10   工业企业厂界环境噪声排放标准    单位：dB(A)</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96"/>
        <w:gridCol w:w="2394"/>
        <w:gridCol w:w="2396"/>
      </w:tblGrid>
      <w:tr w14:paraId="60B628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2421" w:type="pct"/>
            <w:vMerge w:val="restart"/>
            <w:tcBorders>
              <w:tl2br w:val="nil"/>
              <w:tr2bl w:val="nil"/>
            </w:tcBorders>
            <w:vAlign w:val="center"/>
          </w:tcPr>
          <w:p w14:paraId="4C41ECB9">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厂界外声环境功能区类别</w:t>
            </w:r>
          </w:p>
        </w:tc>
        <w:tc>
          <w:tcPr>
            <w:tcW w:w="2579" w:type="pct"/>
            <w:gridSpan w:val="2"/>
            <w:tcBorders>
              <w:tl2br w:val="nil"/>
              <w:tr2bl w:val="nil"/>
            </w:tcBorders>
            <w:vAlign w:val="center"/>
          </w:tcPr>
          <w:p w14:paraId="11E2A7EE">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时段</w:t>
            </w:r>
          </w:p>
        </w:tc>
      </w:tr>
      <w:tr w14:paraId="45C80C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421" w:type="pct"/>
            <w:vMerge w:val="continue"/>
            <w:tcBorders>
              <w:tl2br w:val="nil"/>
              <w:tr2bl w:val="nil"/>
            </w:tcBorders>
            <w:vAlign w:val="center"/>
          </w:tcPr>
          <w:p w14:paraId="38D47FA7">
            <w:pPr>
              <w:pStyle w:val="47"/>
              <w:spacing w:line="240" w:lineRule="auto"/>
              <w:rPr>
                <w:rFonts w:hint="default" w:ascii="Times New Roman" w:hAnsi="Times New Roman" w:eastAsia="宋体" w:cs="Times New Roman"/>
                <w:b w:val="0"/>
                <w:bCs/>
                <w:sz w:val="18"/>
                <w:szCs w:val="18"/>
              </w:rPr>
            </w:pPr>
          </w:p>
        </w:tc>
        <w:tc>
          <w:tcPr>
            <w:tcW w:w="1289" w:type="pct"/>
            <w:tcBorders>
              <w:tl2br w:val="nil"/>
              <w:tr2bl w:val="nil"/>
            </w:tcBorders>
            <w:vAlign w:val="center"/>
          </w:tcPr>
          <w:p w14:paraId="27706D62">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昼间</w:t>
            </w:r>
          </w:p>
        </w:tc>
        <w:tc>
          <w:tcPr>
            <w:tcW w:w="1290" w:type="pct"/>
            <w:tcBorders>
              <w:tl2br w:val="nil"/>
              <w:tr2bl w:val="nil"/>
            </w:tcBorders>
            <w:vAlign w:val="center"/>
          </w:tcPr>
          <w:p w14:paraId="5C3745A5">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夜间</w:t>
            </w:r>
          </w:p>
        </w:tc>
      </w:tr>
      <w:tr w14:paraId="2AD9FF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2421" w:type="pct"/>
            <w:tcBorders>
              <w:tl2br w:val="nil"/>
              <w:tr2bl w:val="nil"/>
            </w:tcBorders>
            <w:vAlign w:val="center"/>
          </w:tcPr>
          <w:p w14:paraId="1EF0BE19">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2</w:t>
            </w:r>
          </w:p>
        </w:tc>
        <w:tc>
          <w:tcPr>
            <w:tcW w:w="1289" w:type="pct"/>
            <w:tcBorders>
              <w:tl2br w:val="nil"/>
              <w:tr2bl w:val="nil"/>
            </w:tcBorders>
            <w:vAlign w:val="center"/>
          </w:tcPr>
          <w:p w14:paraId="5F1084FF">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60</w:t>
            </w:r>
          </w:p>
        </w:tc>
        <w:tc>
          <w:tcPr>
            <w:tcW w:w="1290" w:type="pct"/>
            <w:tcBorders>
              <w:tl2br w:val="nil"/>
              <w:tr2bl w:val="nil"/>
            </w:tcBorders>
            <w:vAlign w:val="center"/>
          </w:tcPr>
          <w:p w14:paraId="74F0B5A3">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50</w:t>
            </w:r>
          </w:p>
        </w:tc>
      </w:tr>
    </w:tbl>
    <w:p w14:paraId="09841C5B">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4、固体废物排放标准</w:t>
      </w:r>
    </w:p>
    <w:p w14:paraId="0A7BA090">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①项目一般固体废物</w:t>
      </w:r>
      <w:r>
        <w:rPr>
          <w:rFonts w:hint="default" w:ascii="Times New Roman" w:hAnsi="Times New Roman" w:cs="Times New Roman" w:eastAsiaTheme="minorEastAsia"/>
          <w:kern w:val="24"/>
          <w:sz w:val="24"/>
          <w:szCs w:val="24"/>
        </w:rPr>
        <w:t>暂存参照</w:t>
      </w:r>
      <w:r>
        <w:rPr>
          <w:rFonts w:hint="default" w:ascii="Times New Roman" w:hAnsi="Times New Roman" w:cs="Times New Roman" w:eastAsiaTheme="minorEastAsia"/>
          <w:sz w:val="24"/>
          <w:szCs w:val="24"/>
        </w:rPr>
        <w:t>执行《一般工业固体废物贮存和填埋污染控制标准》（GB 18599-2020）。</w:t>
      </w:r>
    </w:p>
    <w:p w14:paraId="00FD507A">
      <w:pPr>
        <w:spacing w:line="360" w:lineRule="auto"/>
        <w:ind w:firstLine="480" w:firstLineChars="200"/>
        <w:rPr>
          <w:rFonts w:hint="default" w:ascii="Times New Roman" w:hAnsi="Times New Roman" w:cs="Times New Roman" w:eastAsiaTheme="minorEastAsia"/>
          <w:kern w:val="24"/>
          <w:sz w:val="24"/>
          <w:szCs w:val="24"/>
        </w:rPr>
      </w:pPr>
      <w:r>
        <w:rPr>
          <w:rFonts w:hint="default" w:ascii="Times New Roman" w:hAnsi="Times New Roman" w:cs="Times New Roman" w:eastAsiaTheme="minorEastAsia"/>
          <w:kern w:val="24"/>
          <w:sz w:val="24"/>
          <w:szCs w:val="24"/>
        </w:rPr>
        <w:t>②危险废物收集、暂存、转移：危险废物收集按《国家危险废物名录（202</w:t>
      </w:r>
      <w:r>
        <w:rPr>
          <w:rFonts w:hint="eastAsia" w:cs="Times New Roman" w:eastAsiaTheme="minorEastAsia"/>
          <w:kern w:val="24"/>
          <w:sz w:val="24"/>
          <w:szCs w:val="24"/>
          <w:lang w:val="en-US" w:eastAsia="zh-CN"/>
        </w:rPr>
        <w:t>5年</w:t>
      </w:r>
      <w:r>
        <w:rPr>
          <w:rFonts w:hint="default" w:ascii="Times New Roman" w:hAnsi="Times New Roman" w:cs="Times New Roman" w:eastAsiaTheme="minorEastAsia"/>
          <w:kern w:val="24"/>
          <w:sz w:val="24"/>
          <w:szCs w:val="24"/>
        </w:rPr>
        <w:t>版）》进行分类管理；危险废物</w:t>
      </w:r>
      <w:r>
        <w:rPr>
          <w:rFonts w:hint="default" w:ascii="Times New Roman" w:hAnsi="Times New Roman" w:cs="Times New Roman" w:eastAsiaTheme="minorEastAsia"/>
          <w:sz w:val="24"/>
          <w:szCs w:val="24"/>
        </w:rPr>
        <w:t>暂存、管理</w:t>
      </w:r>
      <w:r>
        <w:rPr>
          <w:rFonts w:hint="default" w:ascii="Times New Roman" w:hAnsi="Times New Roman" w:cs="Times New Roman" w:eastAsiaTheme="minorEastAsia"/>
          <w:kern w:val="24"/>
          <w:sz w:val="24"/>
          <w:szCs w:val="24"/>
        </w:rPr>
        <w:t>执行《</w:t>
      </w:r>
      <w:r>
        <w:rPr>
          <w:rFonts w:hint="default" w:ascii="Times New Roman" w:hAnsi="Times New Roman" w:cs="Times New Roman" w:eastAsiaTheme="minorEastAsia"/>
          <w:sz w:val="24"/>
          <w:szCs w:val="24"/>
        </w:rPr>
        <w:t>危险废物贮存污染控制标准》（GB18597-2023）</w:t>
      </w:r>
      <w:r>
        <w:rPr>
          <w:rFonts w:hint="default" w:ascii="Times New Roman" w:hAnsi="Times New Roman" w:cs="Times New Roman" w:eastAsiaTheme="minorEastAsia"/>
          <w:kern w:val="24"/>
          <w:sz w:val="24"/>
          <w:szCs w:val="24"/>
        </w:rPr>
        <w:t>要求；危险废物的转移依照《危险废物转移管理办法》（生态环境部、公安部、交通运输部令第23号）执行。</w:t>
      </w:r>
    </w:p>
    <w:p w14:paraId="54286FB6">
      <w:pPr>
        <w:pStyle w:val="5"/>
        <w:bidi w:val="0"/>
        <w:rPr>
          <w:rFonts w:hint="default" w:ascii="Times New Roman" w:hAnsi="Times New Roman" w:cs="Times New Roman"/>
        </w:rPr>
      </w:pPr>
      <w:bookmarkStart w:id="161" w:name="_Toc165816709"/>
      <w:bookmarkStart w:id="162" w:name="_Toc11872"/>
      <w:bookmarkStart w:id="163" w:name="_Toc16469"/>
      <w:bookmarkStart w:id="164" w:name="_Toc19015"/>
      <w:bookmarkStart w:id="165" w:name="_Toc28848"/>
      <w:bookmarkStart w:id="166" w:name="_Toc3501"/>
      <w:r>
        <w:rPr>
          <w:rFonts w:hint="default" w:ascii="Times New Roman" w:hAnsi="Times New Roman" w:cs="Times New Roman"/>
          <w:lang w:val="en-US" w:eastAsia="zh-CN"/>
        </w:rPr>
        <w:t>2</w:t>
      </w:r>
      <w:r>
        <w:rPr>
          <w:rFonts w:hint="default" w:ascii="Times New Roman" w:hAnsi="Times New Roman" w:cs="Times New Roman"/>
        </w:rPr>
        <w:t>.5评价工作等级和评价范围</w:t>
      </w:r>
      <w:bookmarkEnd w:id="161"/>
      <w:bookmarkEnd w:id="162"/>
      <w:bookmarkEnd w:id="163"/>
      <w:bookmarkEnd w:id="164"/>
      <w:bookmarkEnd w:id="165"/>
      <w:bookmarkEnd w:id="166"/>
    </w:p>
    <w:p w14:paraId="1EB31495">
      <w:pPr>
        <w:pStyle w:val="6"/>
        <w:bidi w:val="0"/>
        <w:rPr>
          <w:rFonts w:hint="default" w:ascii="Times New Roman" w:hAnsi="Times New Roman" w:cs="Times New Roman"/>
        </w:rPr>
      </w:pPr>
      <w:bookmarkStart w:id="167" w:name="_Toc32711"/>
      <w:bookmarkStart w:id="168" w:name="_Toc165816710"/>
      <w:r>
        <w:rPr>
          <w:rFonts w:hint="default" w:ascii="Times New Roman" w:hAnsi="Times New Roman" w:cs="Times New Roman"/>
          <w:lang w:val="en-US" w:eastAsia="zh-CN"/>
        </w:rPr>
        <w:t>2</w:t>
      </w:r>
      <w:r>
        <w:rPr>
          <w:rFonts w:hint="default" w:ascii="Times New Roman" w:hAnsi="Times New Roman" w:cs="Times New Roman"/>
        </w:rPr>
        <w:t>.5.1评价工作等级</w:t>
      </w:r>
      <w:bookmarkEnd w:id="167"/>
      <w:bookmarkEnd w:id="168"/>
    </w:p>
    <w:p w14:paraId="44A0FD33">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1、大气环境</w:t>
      </w:r>
    </w:p>
    <w:p w14:paraId="0DB9B791">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项目产生的主要污染物为颗粒物。</w:t>
      </w:r>
    </w:p>
    <w:p w14:paraId="27D32F46">
      <w:pPr>
        <w:spacing w:line="360" w:lineRule="auto"/>
        <w:ind w:firstLine="422" w:firstLineChars="176"/>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环境影响评价技术导则-大气环境》（HJ2.2-2018）中5.3节工作等级的确定方法，结合项目工程分析结果，选择正常排放的主要污染物及排放参数，采用附录A推荐模型中估算模型分别计算项目主要污染物的最大地面空气质量浓度占标率P</w:t>
      </w:r>
      <w:r>
        <w:rPr>
          <w:rFonts w:hint="default" w:ascii="Times New Roman" w:hAnsi="Times New Roman" w:cs="Times New Roman" w:eastAsiaTheme="minorEastAsia"/>
          <w:sz w:val="24"/>
          <w:szCs w:val="24"/>
          <w:vertAlign w:val="subscript"/>
        </w:rPr>
        <w:t>i</w:t>
      </w:r>
      <w:r>
        <w:rPr>
          <w:rFonts w:hint="default" w:ascii="Times New Roman" w:hAnsi="Times New Roman" w:cs="Times New Roman" w:eastAsiaTheme="minorEastAsia"/>
          <w:sz w:val="24"/>
          <w:szCs w:val="24"/>
        </w:rPr>
        <w:t>及污染物的地面浓度达标准限值10%时所对应的最远距离D</w:t>
      </w:r>
      <w:r>
        <w:rPr>
          <w:rFonts w:hint="default" w:ascii="Times New Roman" w:hAnsi="Times New Roman" w:cs="Times New Roman" w:eastAsiaTheme="minorEastAsia"/>
          <w:sz w:val="24"/>
          <w:szCs w:val="24"/>
          <w:vertAlign w:val="subscript"/>
        </w:rPr>
        <w:t>10%</w:t>
      </w:r>
      <w:r>
        <w:rPr>
          <w:rFonts w:hint="default" w:ascii="Times New Roman" w:hAnsi="Times New Roman" w:cs="Times New Roman" w:eastAsiaTheme="minorEastAsia"/>
          <w:sz w:val="24"/>
          <w:szCs w:val="24"/>
        </w:rPr>
        <w:t>，然后按评价工作分级判据进行分级。</w:t>
      </w:r>
    </w:p>
    <w:p w14:paraId="7B762C2F">
      <w:pPr>
        <w:spacing w:line="360" w:lineRule="auto"/>
        <w:ind w:firstLine="422" w:firstLineChars="176"/>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（1）P</w:t>
      </w:r>
      <w:r>
        <w:rPr>
          <w:rFonts w:hint="default" w:ascii="Times New Roman" w:hAnsi="Times New Roman" w:cs="Times New Roman" w:eastAsiaTheme="minorEastAsia"/>
          <w:sz w:val="24"/>
          <w:szCs w:val="24"/>
          <w:vertAlign w:val="subscript"/>
        </w:rPr>
        <w:t>max</w:t>
      </w:r>
      <w:r>
        <w:rPr>
          <w:rFonts w:hint="default" w:ascii="Times New Roman" w:hAnsi="Times New Roman" w:cs="Times New Roman" w:eastAsiaTheme="minorEastAsia"/>
          <w:sz w:val="24"/>
          <w:szCs w:val="24"/>
        </w:rPr>
        <w:t>及D</w:t>
      </w:r>
      <w:r>
        <w:rPr>
          <w:rFonts w:hint="default" w:ascii="Times New Roman" w:hAnsi="Times New Roman" w:cs="Times New Roman" w:eastAsiaTheme="minorEastAsia"/>
          <w:sz w:val="24"/>
          <w:szCs w:val="24"/>
          <w:vertAlign w:val="subscript"/>
        </w:rPr>
        <w:t>10%</w:t>
      </w:r>
      <w:r>
        <w:rPr>
          <w:rFonts w:hint="default" w:ascii="Times New Roman" w:hAnsi="Times New Roman" w:cs="Times New Roman" w:eastAsiaTheme="minorEastAsia"/>
          <w:sz w:val="24"/>
          <w:szCs w:val="24"/>
        </w:rPr>
        <w:t>的确定</w:t>
      </w:r>
    </w:p>
    <w:p w14:paraId="57DAD6C9">
      <w:pPr>
        <w:spacing w:line="360" w:lineRule="auto"/>
        <w:ind w:firstLine="422" w:firstLineChars="176"/>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根据《环境影响评价技术导则 大气环境》</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HJ2.2-2018</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中最大地面浓度占标率P</w:t>
      </w:r>
      <w:r>
        <w:rPr>
          <w:rFonts w:hint="default" w:ascii="Times New Roman" w:hAnsi="Times New Roman" w:cs="Times New Roman" w:eastAsiaTheme="minorEastAsia"/>
          <w:sz w:val="24"/>
          <w:szCs w:val="24"/>
          <w:vertAlign w:val="subscript"/>
        </w:rPr>
        <w:t>i</w:t>
      </w:r>
      <w:r>
        <w:rPr>
          <w:rFonts w:hint="default" w:ascii="Times New Roman" w:hAnsi="Times New Roman" w:cs="Times New Roman" w:eastAsiaTheme="minorEastAsia"/>
          <w:sz w:val="24"/>
          <w:szCs w:val="24"/>
        </w:rPr>
        <w:t xml:space="preserve"> 的计算公式为：</w:t>
      </w:r>
    </w:p>
    <w:p w14:paraId="124C60E8">
      <w:pPr>
        <w:spacing w:line="360" w:lineRule="auto"/>
        <w:jc w:val="center"/>
        <w:rPr>
          <w:rFonts w:hint="default" w:ascii="Times New Roman" w:hAnsi="Times New Roman" w:cs="Times New Roman" w:eastAsiaTheme="minorEastAsia"/>
          <w:sz w:val="24"/>
          <w:szCs w:val="24"/>
        </w:rPr>
      </w:pPr>
      <m:oMathPara>
        <m:oMath>
          <m:sSub>
            <m:sSubPr>
              <m:ctrlPr>
                <w:rPr>
                  <w:rFonts w:hint="default" w:ascii="Cambria Math" w:hAnsi="Cambria Math" w:cs="Times New Roman" w:eastAsiaTheme="minorEastAsia"/>
                  <w:sz w:val="24"/>
                  <w:szCs w:val="24"/>
                </w:rPr>
              </m:ctrlPr>
            </m:sSubPr>
            <m:e>
              <m:r>
                <m:rPr/>
                <w:rPr>
                  <w:rFonts w:hint="default" w:ascii="Cambria Math" w:hAnsi="Cambria Math" w:cs="Times New Roman" w:eastAsiaTheme="minorEastAsia"/>
                  <w:sz w:val="24"/>
                  <w:szCs w:val="24"/>
                </w:rPr>
                <m:t>P</m:t>
              </m:r>
              <m:ctrlPr>
                <w:rPr>
                  <w:rFonts w:hint="default" w:ascii="Cambria Math" w:hAnsi="Cambria Math" w:cs="Times New Roman" w:eastAsiaTheme="minorEastAsia"/>
                  <w:sz w:val="24"/>
                  <w:szCs w:val="24"/>
                </w:rPr>
              </m:ctrlPr>
            </m:e>
            <m:sub>
              <m:r>
                <m:rPr/>
                <w:rPr>
                  <w:rFonts w:hint="default" w:ascii="Cambria Math" w:hAnsi="Cambria Math" w:cs="Times New Roman" w:eastAsiaTheme="minorEastAsia"/>
                  <w:sz w:val="24"/>
                  <w:szCs w:val="24"/>
                </w:rPr>
                <m:t>i</m:t>
              </m:r>
              <m:ctrlPr>
                <w:rPr>
                  <w:rFonts w:hint="default" w:ascii="Cambria Math" w:hAnsi="Cambria Math" w:cs="Times New Roman" w:eastAsiaTheme="minorEastAsia"/>
                  <w:sz w:val="24"/>
                  <w:szCs w:val="24"/>
                </w:rPr>
              </m:ctrlPr>
            </m:sub>
          </m:sSub>
          <m:r>
            <m:rPr>
              <m:sty m:val="p"/>
            </m:rPr>
            <w:rPr>
              <w:rFonts w:hint="default" w:ascii="Cambria Math" w:hAnsi="Cambria Math" w:cs="Times New Roman" w:eastAsiaTheme="minorEastAsia"/>
              <w:sz w:val="24"/>
              <w:szCs w:val="24"/>
            </w:rPr>
            <m:t>=</m:t>
          </m:r>
          <m:f>
            <m:fPr>
              <m:ctrlPr>
                <w:rPr>
                  <w:rFonts w:hint="default" w:ascii="Cambria Math" w:hAnsi="Cambria Math" w:cs="Times New Roman" w:eastAsiaTheme="minorEastAsia"/>
                  <w:sz w:val="24"/>
                  <w:szCs w:val="24"/>
                </w:rPr>
              </m:ctrlPr>
            </m:fPr>
            <m:num>
              <m:sSub>
                <m:sSubPr>
                  <m:ctrlPr>
                    <w:rPr>
                      <w:rFonts w:hint="default" w:ascii="Cambria Math" w:hAnsi="Cambria Math" w:cs="Times New Roman" w:eastAsiaTheme="minorEastAsia"/>
                      <w:i/>
                      <w:sz w:val="24"/>
                      <w:szCs w:val="24"/>
                    </w:rPr>
                  </m:ctrlPr>
                </m:sSubPr>
                <m:e>
                  <m:r>
                    <m:rPr/>
                    <w:rPr>
                      <w:rFonts w:hint="default" w:ascii="Cambria Math" w:hAnsi="Cambria Math" w:cs="Times New Roman" w:eastAsiaTheme="minorEastAsia"/>
                      <w:sz w:val="24"/>
                      <w:szCs w:val="24"/>
                    </w:rPr>
                    <m:t>C</m:t>
                  </m:r>
                  <m:ctrlPr>
                    <w:rPr>
                      <w:rFonts w:hint="default" w:ascii="Cambria Math" w:hAnsi="Cambria Math" w:cs="Times New Roman" w:eastAsiaTheme="minorEastAsia"/>
                      <w:i/>
                      <w:sz w:val="24"/>
                      <w:szCs w:val="24"/>
                    </w:rPr>
                  </m:ctrlPr>
                </m:e>
                <m:sub>
                  <m:r>
                    <m:rPr/>
                    <w:rPr>
                      <w:rFonts w:hint="default" w:ascii="Cambria Math" w:hAnsi="Cambria Math" w:cs="Times New Roman" w:eastAsiaTheme="minorEastAsia"/>
                      <w:sz w:val="24"/>
                      <w:szCs w:val="24"/>
                    </w:rPr>
                    <m:t>i</m:t>
                  </m:r>
                  <m:ctrlPr>
                    <w:rPr>
                      <w:rFonts w:hint="default" w:ascii="Cambria Math" w:hAnsi="Cambria Math" w:cs="Times New Roman" w:eastAsiaTheme="minorEastAsia"/>
                      <w:i/>
                      <w:sz w:val="24"/>
                      <w:szCs w:val="24"/>
                    </w:rPr>
                  </m:ctrlPr>
                </m:sub>
              </m:sSub>
              <m:ctrlPr>
                <w:rPr>
                  <w:rFonts w:hint="default" w:ascii="Cambria Math" w:hAnsi="Cambria Math" w:cs="Times New Roman" w:eastAsiaTheme="minorEastAsia"/>
                  <w:sz w:val="24"/>
                  <w:szCs w:val="24"/>
                </w:rPr>
              </m:ctrlPr>
            </m:num>
            <m:den>
              <m:sSub>
                <m:sSubPr>
                  <m:ctrlPr>
                    <w:rPr>
                      <w:rFonts w:hint="default" w:ascii="Cambria Math" w:hAnsi="Cambria Math" w:cs="Times New Roman" w:eastAsiaTheme="minorEastAsia"/>
                      <w:i/>
                      <w:sz w:val="24"/>
                      <w:szCs w:val="24"/>
                    </w:rPr>
                  </m:ctrlPr>
                </m:sSubPr>
                <m:e>
                  <m:r>
                    <m:rPr/>
                    <w:rPr>
                      <w:rFonts w:hint="default" w:ascii="Cambria Math" w:hAnsi="Cambria Math" w:cs="Times New Roman" w:eastAsiaTheme="minorEastAsia"/>
                      <w:sz w:val="24"/>
                      <w:szCs w:val="24"/>
                    </w:rPr>
                    <m:t>C</m:t>
                  </m:r>
                  <m:ctrlPr>
                    <w:rPr>
                      <w:rFonts w:hint="default" w:ascii="Cambria Math" w:hAnsi="Cambria Math" w:cs="Times New Roman" w:eastAsiaTheme="minorEastAsia"/>
                      <w:i/>
                      <w:sz w:val="24"/>
                      <w:szCs w:val="24"/>
                    </w:rPr>
                  </m:ctrlPr>
                </m:e>
                <m:sub>
                  <m:r>
                    <m:rPr/>
                    <w:rPr>
                      <w:rFonts w:hint="default" w:ascii="Cambria Math" w:hAnsi="Cambria Math" w:cs="Times New Roman" w:eastAsiaTheme="minorEastAsia"/>
                      <w:sz w:val="24"/>
                      <w:szCs w:val="24"/>
                    </w:rPr>
                    <m:t>0i</m:t>
                  </m:r>
                  <m:ctrlPr>
                    <w:rPr>
                      <w:rFonts w:hint="default" w:ascii="Cambria Math" w:hAnsi="Cambria Math" w:cs="Times New Roman" w:eastAsiaTheme="minorEastAsia"/>
                      <w:i/>
                      <w:sz w:val="24"/>
                      <w:szCs w:val="24"/>
                    </w:rPr>
                  </m:ctrlPr>
                </m:sub>
              </m:sSub>
              <m:ctrlPr>
                <w:rPr>
                  <w:rFonts w:hint="default" w:ascii="Cambria Math" w:hAnsi="Cambria Math" w:cs="Times New Roman" w:eastAsiaTheme="minorEastAsia"/>
                  <w:sz w:val="24"/>
                  <w:szCs w:val="24"/>
                </w:rPr>
              </m:ctrlPr>
            </m:den>
          </m:f>
          <m:r>
            <m:rPr/>
            <w:rPr>
              <w:rFonts w:hint="default" w:ascii="Cambria Math" w:hAnsi="Cambria Math" w:cs="Times New Roman" w:eastAsiaTheme="minorEastAsia"/>
              <w:sz w:val="24"/>
              <w:szCs w:val="24"/>
            </w:rPr>
            <m:t>×100%</m:t>
          </m:r>
        </m:oMath>
      </m:oMathPara>
    </w:p>
    <w:p w14:paraId="2108FABB">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式中：</w:t>
      </w:r>
      <m:oMath>
        <m:r>
          <m:rPr>
            <m:sty m:val="p"/>
          </m:rPr>
          <w:rPr>
            <w:rFonts w:hint="default" w:ascii="Cambria Math" w:hAnsi="Cambria Math" w:cs="Times New Roman" w:eastAsiaTheme="minorEastAsia"/>
            <w:sz w:val="24"/>
            <w:szCs w:val="24"/>
          </w:rPr>
          <m:t xml:space="preserve"> </m:t>
        </m:r>
        <m:sSub>
          <m:sSubPr>
            <m:ctrlPr>
              <w:rPr>
                <w:rFonts w:hint="default" w:ascii="Cambria Math" w:hAnsi="Cambria Math" w:cs="Times New Roman" w:eastAsiaTheme="minorEastAsia"/>
                <w:sz w:val="24"/>
                <w:szCs w:val="24"/>
              </w:rPr>
            </m:ctrlPr>
          </m:sSubPr>
          <m:e>
            <m:r>
              <m:rPr/>
              <w:rPr>
                <w:rFonts w:hint="default" w:ascii="Cambria Math" w:hAnsi="Cambria Math" w:cs="Times New Roman" w:eastAsiaTheme="minorEastAsia"/>
                <w:sz w:val="24"/>
                <w:szCs w:val="24"/>
              </w:rPr>
              <m:t>P</m:t>
            </m:r>
            <m:ctrlPr>
              <w:rPr>
                <w:rFonts w:hint="default" w:ascii="Cambria Math" w:hAnsi="Cambria Math" w:cs="Times New Roman" w:eastAsiaTheme="minorEastAsia"/>
                <w:sz w:val="24"/>
                <w:szCs w:val="24"/>
              </w:rPr>
            </m:ctrlPr>
          </m:e>
          <m:sub>
            <m:r>
              <m:rPr/>
              <w:rPr>
                <w:rFonts w:hint="default" w:ascii="Cambria Math" w:hAnsi="Cambria Math" w:cs="Times New Roman" w:eastAsiaTheme="minorEastAsia"/>
                <w:sz w:val="24"/>
                <w:szCs w:val="24"/>
              </w:rPr>
              <m:t>i</m:t>
            </m:r>
            <m:ctrlPr>
              <w:rPr>
                <w:rFonts w:hint="default" w:ascii="Cambria Math" w:hAnsi="Cambria Math" w:cs="Times New Roman" w:eastAsiaTheme="minorEastAsia"/>
                <w:sz w:val="24"/>
                <w:szCs w:val="24"/>
              </w:rPr>
            </m:ctrlPr>
          </m:sub>
        </m:sSub>
      </m:oMath>
      <w:r>
        <w:rPr>
          <w:rFonts w:hint="default" w:ascii="Times New Roman" w:hAnsi="Times New Roman" w:cs="Times New Roman" w:eastAsiaTheme="minorEastAsia"/>
          <w:sz w:val="24"/>
          <w:szCs w:val="24"/>
        </w:rPr>
        <w:t xml:space="preserve"> ——第i个污染物的最大地面空气质量浓度 占标率，%；</w:t>
      </w:r>
    </w:p>
    <w:p w14:paraId="3814B310">
      <w:pPr>
        <w:spacing w:line="360" w:lineRule="auto"/>
        <w:ind w:firstLine="422" w:firstLineChars="176"/>
        <w:jc w:val="left"/>
        <w:rPr>
          <w:rFonts w:hint="default" w:ascii="Times New Roman" w:hAnsi="Times New Roman" w:cs="Times New Roman" w:eastAsiaTheme="minorEastAsia"/>
          <w:sz w:val="24"/>
          <w:szCs w:val="24"/>
        </w:rPr>
      </w:pPr>
      <m:oMath>
        <m:sSub>
          <m:sSubPr>
            <m:ctrlPr>
              <w:rPr>
                <w:rFonts w:hint="default" w:ascii="Cambria Math" w:hAnsi="Cambria Math" w:cs="Times New Roman" w:eastAsiaTheme="minorEastAsia"/>
                <w:i/>
                <w:sz w:val="24"/>
                <w:szCs w:val="24"/>
              </w:rPr>
            </m:ctrlPr>
          </m:sSubPr>
          <m:e>
            <m:r>
              <m:rPr/>
              <w:rPr>
                <w:rFonts w:hint="default" w:ascii="Cambria Math" w:hAnsi="Cambria Math" w:cs="Times New Roman" w:eastAsiaTheme="minorEastAsia"/>
                <w:sz w:val="24"/>
                <w:szCs w:val="24"/>
              </w:rPr>
              <m:t>C</m:t>
            </m:r>
            <m:ctrlPr>
              <w:rPr>
                <w:rFonts w:hint="default" w:ascii="Cambria Math" w:hAnsi="Cambria Math" w:cs="Times New Roman" w:eastAsiaTheme="minorEastAsia"/>
                <w:i/>
                <w:sz w:val="24"/>
                <w:szCs w:val="24"/>
              </w:rPr>
            </m:ctrlPr>
          </m:e>
          <m:sub>
            <m:r>
              <m:rPr/>
              <w:rPr>
                <w:rFonts w:hint="default" w:ascii="Cambria Math" w:hAnsi="Cambria Math" w:cs="Times New Roman" w:eastAsiaTheme="minorEastAsia"/>
                <w:sz w:val="24"/>
                <w:szCs w:val="24"/>
              </w:rPr>
              <m:t>i</m:t>
            </m:r>
            <m:ctrlPr>
              <w:rPr>
                <w:rFonts w:hint="default" w:ascii="Cambria Math" w:hAnsi="Cambria Math" w:cs="Times New Roman" w:eastAsiaTheme="minorEastAsia"/>
                <w:i/>
                <w:sz w:val="24"/>
                <w:szCs w:val="24"/>
              </w:rPr>
            </m:ctrlPr>
          </m:sub>
        </m:sSub>
      </m:oMath>
      <w:r>
        <w:rPr>
          <w:rFonts w:hint="default" w:ascii="Times New Roman" w:hAnsi="Times New Roman" w:cs="Times New Roman" w:eastAsiaTheme="minorEastAsia"/>
          <w:sz w:val="24"/>
          <w:szCs w:val="24"/>
        </w:rPr>
        <w:t>——采用估算模型计算出的第i个污染物的最大1h地面空气质量浓度，μg/m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w:t>
      </w:r>
    </w:p>
    <w:p w14:paraId="2F7356CA">
      <w:pPr>
        <w:spacing w:line="360" w:lineRule="auto"/>
        <w:ind w:firstLine="422" w:firstLineChars="176"/>
        <w:jc w:val="left"/>
        <w:rPr>
          <w:rFonts w:hint="default" w:ascii="Times New Roman" w:hAnsi="Times New Roman" w:cs="Times New Roman" w:eastAsiaTheme="minorEastAsia"/>
          <w:sz w:val="24"/>
          <w:szCs w:val="24"/>
        </w:rPr>
      </w:pPr>
      <m:oMath>
        <m:sSub>
          <m:sSubPr>
            <m:ctrlPr>
              <w:rPr>
                <w:rFonts w:hint="default" w:ascii="Cambria Math" w:hAnsi="Cambria Math" w:cs="Times New Roman" w:eastAsiaTheme="minorEastAsia"/>
                <w:i/>
                <w:sz w:val="24"/>
                <w:szCs w:val="24"/>
              </w:rPr>
            </m:ctrlPr>
          </m:sSubPr>
          <m:e>
            <m:r>
              <m:rPr/>
              <w:rPr>
                <w:rFonts w:hint="default" w:ascii="Cambria Math" w:hAnsi="Cambria Math" w:cs="Times New Roman" w:eastAsiaTheme="minorEastAsia"/>
                <w:sz w:val="24"/>
                <w:szCs w:val="24"/>
              </w:rPr>
              <m:t>C</m:t>
            </m:r>
            <m:ctrlPr>
              <w:rPr>
                <w:rFonts w:hint="default" w:ascii="Cambria Math" w:hAnsi="Cambria Math" w:cs="Times New Roman" w:eastAsiaTheme="minorEastAsia"/>
                <w:i/>
                <w:sz w:val="24"/>
                <w:szCs w:val="24"/>
              </w:rPr>
            </m:ctrlPr>
          </m:e>
          <m:sub>
            <m:r>
              <m:rPr/>
              <w:rPr>
                <w:rFonts w:hint="default" w:ascii="Cambria Math" w:hAnsi="Cambria Math" w:cs="Times New Roman" w:eastAsiaTheme="minorEastAsia"/>
                <w:sz w:val="24"/>
                <w:szCs w:val="24"/>
              </w:rPr>
              <m:t>0i</m:t>
            </m:r>
            <m:ctrlPr>
              <w:rPr>
                <w:rFonts w:hint="default" w:ascii="Cambria Math" w:hAnsi="Cambria Math" w:cs="Times New Roman" w:eastAsiaTheme="minorEastAsia"/>
                <w:i/>
                <w:sz w:val="24"/>
                <w:szCs w:val="24"/>
              </w:rPr>
            </m:ctrlPr>
          </m:sub>
        </m:sSub>
      </m:oMath>
      <w:r>
        <w:rPr>
          <w:rFonts w:hint="default" w:ascii="Times New Roman" w:hAnsi="Times New Roman" w:cs="Times New Roman" w:eastAsiaTheme="minorEastAsia"/>
          <w:sz w:val="24"/>
          <w:szCs w:val="24"/>
        </w:rPr>
        <w:t>——第i个污染物的环境空气质量浓度标准，μg/m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一般选用GB3095中1h平均质量浓度的二级浓度限值；对该标准中未包含的污染物，使用确定的各评价因子1h平均质量浓度限值。对仅有8h平均质量浓度限值、日平均质量浓度限值或年平均质量浓度限值的，可分别按2倍、3倍、6倍折算1h平均质量浓度限值。</w:t>
      </w:r>
    </w:p>
    <w:p w14:paraId="6F35AD7C">
      <w:pPr>
        <w:spacing w:line="360" w:lineRule="auto"/>
        <w:ind w:firstLine="422" w:firstLineChars="176"/>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（2）评价等级判别表</w:t>
      </w:r>
    </w:p>
    <w:p w14:paraId="004602E1">
      <w:pPr>
        <w:spacing w:line="360" w:lineRule="auto"/>
        <w:ind w:firstLine="422" w:firstLineChars="176"/>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评价等级按下表的分级判据进行划分。</w:t>
      </w:r>
    </w:p>
    <w:p w14:paraId="770C710B">
      <w:pPr>
        <w:spacing w:line="24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.5-1   评价等级判别表</w:t>
      </w:r>
    </w:p>
    <w:tbl>
      <w:tblPr>
        <w:tblStyle w:val="2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0"/>
        <w:gridCol w:w="4666"/>
      </w:tblGrid>
      <w:tr w14:paraId="2CAEA1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5" w:hRule="atLeast"/>
        </w:trPr>
        <w:tc>
          <w:tcPr>
            <w:tcW w:w="4406" w:type="dxa"/>
            <w:tcBorders>
              <w:tl2br w:val="nil"/>
              <w:tr2bl w:val="nil"/>
            </w:tcBorders>
            <w:vAlign w:val="center"/>
          </w:tcPr>
          <w:p w14:paraId="0172F65D">
            <w:pPr>
              <w:widowControl/>
              <w:adjustRightInd w:val="0"/>
              <w:spacing w:line="36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kern w:val="0"/>
                <w:sz w:val="18"/>
                <w:szCs w:val="18"/>
              </w:rPr>
              <w:t>评价工作等级</w:t>
            </w:r>
          </w:p>
        </w:tc>
        <w:tc>
          <w:tcPr>
            <w:tcW w:w="4450" w:type="dxa"/>
            <w:tcBorders>
              <w:tl2br w:val="nil"/>
              <w:tr2bl w:val="nil"/>
            </w:tcBorders>
            <w:vAlign w:val="center"/>
          </w:tcPr>
          <w:p w14:paraId="426B4746">
            <w:pPr>
              <w:widowControl/>
              <w:adjustRightInd w:val="0"/>
              <w:spacing w:line="36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kern w:val="0"/>
                <w:sz w:val="18"/>
                <w:szCs w:val="18"/>
              </w:rPr>
              <w:t>评价工作分级判据</w:t>
            </w:r>
          </w:p>
        </w:tc>
      </w:tr>
      <w:tr w14:paraId="610C69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406" w:type="dxa"/>
            <w:tcBorders>
              <w:tl2br w:val="nil"/>
              <w:tr2bl w:val="nil"/>
            </w:tcBorders>
            <w:vAlign w:val="center"/>
          </w:tcPr>
          <w:p w14:paraId="4CB86DA0">
            <w:pPr>
              <w:widowControl/>
              <w:adjustRightInd w:val="0"/>
              <w:spacing w:line="36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kern w:val="0"/>
                <w:sz w:val="18"/>
                <w:szCs w:val="18"/>
              </w:rPr>
              <w:t>一级评价</w:t>
            </w:r>
          </w:p>
        </w:tc>
        <w:tc>
          <w:tcPr>
            <w:tcW w:w="4450" w:type="dxa"/>
            <w:tcBorders>
              <w:tl2br w:val="nil"/>
              <w:tr2bl w:val="nil"/>
            </w:tcBorders>
            <w:vAlign w:val="center"/>
          </w:tcPr>
          <w:p w14:paraId="245C4EB7">
            <w:pPr>
              <w:widowControl/>
              <w:adjustRightInd w:val="0"/>
              <w:spacing w:line="36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kern w:val="0"/>
                <w:sz w:val="18"/>
                <w:szCs w:val="18"/>
              </w:rPr>
              <w:t>Pmax≥10%</w:t>
            </w:r>
          </w:p>
        </w:tc>
      </w:tr>
      <w:tr w14:paraId="554A27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406" w:type="dxa"/>
            <w:tcBorders>
              <w:tl2br w:val="nil"/>
              <w:tr2bl w:val="nil"/>
            </w:tcBorders>
            <w:vAlign w:val="center"/>
          </w:tcPr>
          <w:p w14:paraId="04DF0385">
            <w:pPr>
              <w:widowControl/>
              <w:adjustRightInd w:val="0"/>
              <w:spacing w:line="36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kern w:val="0"/>
                <w:sz w:val="18"/>
                <w:szCs w:val="18"/>
              </w:rPr>
              <w:t>二级评价</w:t>
            </w:r>
          </w:p>
        </w:tc>
        <w:tc>
          <w:tcPr>
            <w:tcW w:w="4450" w:type="dxa"/>
            <w:tcBorders>
              <w:tl2br w:val="nil"/>
              <w:tr2bl w:val="nil"/>
            </w:tcBorders>
            <w:vAlign w:val="center"/>
          </w:tcPr>
          <w:p w14:paraId="1232EDA8">
            <w:pPr>
              <w:widowControl/>
              <w:adjustRightInd w:val="0"/>
              <w:spacing w:line="36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kern w:val="0"/>
                <w:sz w:val="18"/>
                <w:szCs w:val="18"/>
              </w:rPr>
              <w:t>1%≤Pmax＜10%</w:t>
            </w:r>
          </w:p>
        </w:tc>
      </w:tr>
      <w:tr w14:paraId="3F671B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406" w:type="dxa"/>
            <w:tcBorders>
              <w:tl2br w:val="nil"/>
              <w:tr2bl w:val="nil"/>
            </w:tcBorders>
            <w:vAlign w:val="center"/>
          </w:tcPr>
          <w:p w14:paraId="1383384F">
            <w:pPr>
              <w:widowControl/>
              <w:adjustRightInd w:val="0"/>
              <w:spacing w:line="36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kern w:val="0"/>
                <w:sz w:val="18"/>
                <w:szCs w:val="18"/>
              </w:rPr>
              <w:t>三级评价</w:t>
            </w:r>
          </w:p>
        </w:tc>
        <w:tc>
          <w:tcPr>
            <w:tcW w:w="4450" w:type="dxa"/>
            <w:tcBorders>
              <w:tl2br w:val="nil"/>
              <w:tr2bl w:val="nil"/>
            </w:tcBorders>
            <w:vAlign w:val="center"/>
          </w:tcPr>
          <w:p w14:paraId="1466449E">
            <w:pPr>
              <w:widowControl/>
              <w:adjustRightInd w:val="0"/>
              <w:spacing w:line="36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kern w:val="0"/>
                <w:sz w:val="18"/>
                <w:szCs w:val="18"/>
              </w:rPr>
              <w:t>Pmax＜1%</w:t>
            </w:r>
          </w:p>
        </w:tc>
      </w:tr>
    </w:tbl>
    <w:p w14:paraId="0D456C27">
      <w:pPr>
        <w:spacing w:line="360" w:lineRule="auto"/>
        <w:jc w:val="center"/>
        <w:rPr>
          <w:rFonts w:hint="default" w:ascii="Times New Roman" w:hAnsi="Times New Roman" w:eastAsia="黑体" w:cs="Times New Roman"/>
          <w:b w:val="0"/>
          <w:bCs w:val="0"/>
          <w:color w:val="auto"/>
          <w:sz w:val="21"/>
          <w:szCs w:val="21"/>
          <w:highlight w:val="none"/>
        </w:rPr>
      </w:pPr>
      <w:r>
        <w:rPr>
          <w:rFonts w:hint="default" w:ascii="Times New Roman" w:hAnsi="Times New Roman" w:eastAsia="黑体" w:cs="Times New Roman"/>
          <w:b w:val="0"/>
          <w:bCs w:val="0"/>
          <w:color w:val="auto"/>
          <w:sz w:val="21"/>
          <w:szCs w:val="21"/>
          <w:highlight w:val="none"/>
        </w:rPr>
        <w:t>表</w:t>
      </w:r>
      <w:r>
        <w:rPr>
          <w:rFonts w:hint="default" w:ascii="Times New Roman" w:hAnsi="Times New Roman" w:eastAsia="黑体" w:cs="Times New Roman"/>
          <w:b w:val="0"/>
          <w:bCs w:val="0"/>
          <w:color w:val="auto"/>
          <w:sz w:val="21"/>
          <w:szCs w:val="21"/>
          <w:highlight w:val="none"/>
          <w:lang w:val="en-US" w:eastAsia="zh-CN"/>
        </w:rPr>
        <w:t>2.5-2</w:t>
      </w:r>
      <w:r>
        <w:rPr>
          <w:rFonts w:hint="default" w:ascii="Times New Roman" w:hAnsi="Times New Roman" w:eastAsia="黑体" w:cs="Times New Roman"/>
          <w:b w:val="0"/>
          <w:bCs w:val="0"/>
          <w:color w:val="auto"/>
          <w:sz w:val="21"/>
          <w:szCs w:val="21"/>
          <w:highlight w:val="none"/>
        </w:rPr>
        <w:t xml:space="preserve">  估算模型参数表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584"/>
        <w:gridCol w:w="3153"/>
        <w:gridCol w:w="3549"/>
      </w:tblGrid>
      <w:tr w14:paraId="2B21CEB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 w:hRule="atLeast"/>
          <w:jc w:val="center"/>
        </w:trPr>
        <w:tc>
          <w:tcPr>
            <w:tcW w:w="5604" w:type="dxa"/>
            <w:gridSpan w:val="2"/>
            <w:tcBorders>
              <w:tl2br w:val="nil"/>
              <w:tr2bl w:val="nil"/>
            </w:tcBorders>
            <w:vAlign w:val="center"/>
          </w:tcPr>
          <w:p w14:paraId="500504FF">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参数</w:t>
            </w:r>
          </w:p>
        </w:tc>
        <w:tc>
          <w:tcPr>
            <w:tcW w:w="3466" w:type="dxa"/>
            <w:tcBorders>
              <w:tl2br w:val="nil"/>
              <w:tr2bl w:val="nil"/>
            </w:tcBorders>
            <w:vAlign w:val="center"/>
          </w:tcPr>
          <w:p w14:paraId="42475E0E">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取值</w:t>
            </w:r>
          </w:p>
        </w:tc>
      </w:tr>
      <w:tr w14:paraId="6455B71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524" w:type="dxa"/>
            <w:vMerge w:val="restart"/>
            <w:tcBorders>
              <w:tl2br w:val="nil"/>
              <w:tr2bl w:val="nil"/>
            </w:tcBorders>
            <w:vAlign w:val="center"/>
          </w:tcPr>
          <w:p w14:paraId="100BFD42">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城市/农村选项</w:t>
            </w:r>
          </w:p>
        </w:tc>
        <w:tc>
          <w:tcPr>
            <w:tcW w:w="3080" w:type="dxa"/>
            <w:tcBorders>
              <w:tl2br w:val="nil"/>
              <w:tr2bl w:val="nil"/>
            </w:tcBorders>
          </w:tcPr>
          <w:p w14:paraId="7402D489">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农村</w:t>
            </w:r>
          </w:p>
        </w:tc>
        <w:tc>
          <w:tcPr>
            <w:tcW w:w="3466" w:type="dxa"/>
            <w:tcBorders>
              <w:tl2br w:val="nil"/>
              <w:tr2bl w:val="nil"/>
            </w:tcBorders>
          </w:tcPr>
          <w:p w14:paraId="38FFFE23">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农村</w:t>
            </w:r>
          </w:p>
        </w:tc>
      </w:tr>
      <w:tr w14:paraId="5083FBA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524" w:type="dxa"/>
            <w:vMerge w:val="continue"/>
            <w:tcBorders>
              <w:tl2br w:val="nil"/>
              <w:tr2bl w:val="nil"/>
            </w:tcBorders>
            <w:vAlign w:val="center"/>
          </w:tcPr>
          <w:p w14:paraId="1C679A40">
            <w:pPr>
              <w:adjustRightInd w:val="0"/>
              <w:snapToGrid w:val="0"/>
              <w:spacing w:line="240" w:lineRule="auto"/>
              <w:jc w:val="center"/>
              <w:textAlignment w:val="center"/>
              <w:rPr>
                <w:rFonts w:hint="default" w:ascii="Times New Roman" w:hAnsi="Times New Roman" w:cs="Times New Roman"/>
                <w:sz w:val="21"/>
                <w:szCs w:val="21"/>
              </w:rPr>
            </w:pPr>
          </w:p>
        </w:tc>
        <w:tc>
          <w:tcPr>
            <w:tcW w:w="3080" w:type="dxa"/>
            <w:tcBorders>
              <w:tl2br w:val="nil"/>
              <w:tr2bl w:val="nil"/>
            </w:tcBorders>
          </w:tcPr>
          <w:p w14:paraId="4F3CD88F">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3466" w:type="dxa"/>
            <w:tcBorders>
              <w:tl2br w:val="nil"/>
              <w:tr2bl w:val="nil"/>
            </w:tcBorders>
          </w:tcPr>
          <w:p w14:paraId="491ED711">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14:paraId="285626A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5604" w:type="dxa"/>
            <w:gridSpan w:val="2"/>
            <w:tcBorders>
              <w:tl2br w:val="nil"/>
              <w:tr2bl w:val="nil"/>
            </w:tcBorders>
            <w:vAlign w:val="center"/>
          </w:tcPr>
          <w:p w14:paraId="7AD11179">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最高环境温度</w:t>
            </w:r>
          </w:p>
        </w:tc>
        <w:tc>
          <w:tcPr>
            <w:tcW w:w="3466" w:type="dxa"/>
            <w:tcBorders>
              <w:tl2br w:val="nil"/>
              <w:tr2bl w:val="nil"/>
            </w:tcBorders>
          </w:tcPr>
          <w:p w14:paraId="72E11C3A">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35.8</w:t>
            </w:r>
          </w:p>
        </w:tc>
      </w:tr>
      <w:tr w14:paraId="03C6D99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5604" w:type="dxa"/>
            <w:gridSpan w:val="2"/>
            <w:tcBorders>
              <w:tl2br w:val="nil"/>
              <w:tr2bl w:val="nil"/>
            </w:tcBorders>
            <w:vAlign w:val="center"/>
          </w:tcPr>
          <w:p w14:paraId="0FAD23B6">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最低环境温度</w:t>
            </w:r>
          </w:p>
        </w:tc>
        <w:tc>
          <w:tcPr>
            <w:tcW w:w="3466" w:type="dxa"/>
            <w:tcBorders>
              <w:tl2br w:val="nil"/>
              <w:tr2bl w:val="nil"/>
            </w:tcBorders>
          </w:tcPr>
          <w:p w14:paraId="56E93EC2">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-2.1</w:t>
            </w:r>
          </w:p>
        </w:tc>
      </w:tr>
      <w:tr w14:paraId="2F25361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5604" w:type="dxa"/>
            <w:gridSpan w:val="2"/>
            <w:tcBorders>
              <w:tl2br w:val="nil"/>
              <w:tr2bl w:val="nil"/>
            </w:tcBorders>
            <w:vAlign w:val="center"/>
          </w:tcPr>
          <w:p w14:paraId="729019E3">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土地利用类型</w:t>
            </w:r>
          </w:p>
        </w:tc>
        <w:tc>
          <w:tcPr>
            <w:tcW w:w="3466" w:type="dxa"/>
            <w:tcBorders>
              <w:tl2br w:val="nil"/>
              <w:tr2bl w:val="nil"/>
            </w:tcBorders>
          </w:tcPr>
          <w:p w14:paraId="530F9CA6">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针</w:t>
            </w:r>
            <w:r>
              <w:rPr>
                <w:rFonts w:hint="default" w:ascii="Times New Roman" w:hAnsi="Times New Roman" w:cs="Times New Roman"/>
                <w:sz w:val="21"/>
                <w:szCs w:val="21"/>
              </w:rPr>
              <w:t>叶林</w:t>
            </w:r>
          </w:p>
        </w:tc>
      </w:tr>
      <w:tr w14:paraId="17FFCD2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5604" w:type="dxa"/>
            <w:gridSpan w:val="2"/>
            <w:tcBorders>
              <w:tl2br w:val="nil"/>
              <w:tr2bl w:val="nil"/>
            </w:tcBorders>
            <w:vAlign w:val="center"/>
          </w:tcPr>
          <w:p w14:paraId="0FBDB0F4">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区域湿度条件</w:t>
            </w:r>
          </w:p>
        </w:tc>
        <w:tc>
          <w:tcPr>
            <w:tcW w:w="3466" w:type="dxa"/>
            <w:tcBorders>
              <w:tl2br w:val="nil"/>
              <w:tr2bl w:val="nil"/>
            </w:tcBorders>
          </w:tcPr>
          <w:p w14:paraId="170534B1">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潮湿</w:t>
            </w:r>
          </w:p>
        </w:tc>
      </w:tr>
      <w:tr w14:paraId="60BCD991">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524" w:type="dxa"/>
            <w:vMerge w:val="restart"/>
            <w:tcBorders>
              <w:tl2br w:val="nil"/>
              <w:tr2bl w:val="nil"/>
            </w:tcBorders>
            <w:vAlign w:val="center"/>
          </w:tcPr>
          <w:p w14:paraId="4BA34AB1">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是否考虑地形</w:t>
            </w:r>
          </w:p>
        </w:tc>
        <w:tc>
          <w:tcPr>
            <w:tcW w:w="3080" w:type="dxa"/>
            <w:tcBorders>
              <w:tl2br w:val="nil"/>
              <w:tr2bl w:val="nil"/>
            </w:tcBorders>
            <w:vAlign w:val="center"/>
          </w:tcPr>
          <w:p w14:paraId="32F4F008">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考虑地形</w:t>
            </w:r>
          </w:p>
        </w:tc>
        <w:tc>
          <w:tcPr>
            <w:tcW w:w="3466" w:type="dxa"/>
            <w:tcBorders>
              <w:tl2br w:val="nil"/>
              <w:tr2bl w:val="nil"/>
            </w:tcBorders>
            <w:vAlign w:val="center"/>
          </w:tcPr>
          <w:p w14:paraId="542E5076">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是</w:t>
            </w:r>
          </w:p>
        </w:tc>
      </w:tr>
      <w:tr w14:paraId="5C06710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524" w:type="dxa"/>
            <w:vMerge w:val="continue"/>
            <w:tcBorders>
              <w:tl2br w:val="nil"/>
              <w:tr2bl w:val="nil"/>
            </w:tcBorders>
            <w:vAlign w:val="center"/>
          </w:tcPr>
          <w:p w14:paraId="1E283971">
            <w:pPr>
              <w:adjustRightInd w:val="0"/>
              <w:snapToGrid w:val="0"/>
              <w:spacing w:line="240" w:lineRule="auto"/>
              <w:jc w:val="center"/>
              <w:textAlignment w:val="center"/>
              <w:rPr>
                <w:rFonts w:hint="default" w:ascii="Times New Roman" w:hAnsi="Times New Roman" w:cs="Times New Roman"/>
                <w:sz w:val="21"/>
                <w:szCs w:val="21"/>
              </w:rPr>
            </w:pPr>
          </w:p>
        </w:tc>
        <w:tc>
          <w:tcPr>
            <w:tcW w:w="3080" w:type="dxa"/>
            <w:tcBorders>
              <w:tl2br w:val="nil"/>
              <w:tr2bl w:val="nil"/>
            </w:tcBorders>
            <w:vAlign w:val="center"/>
          </w:tcPr>
          <w:p w14:paraId="633EF221">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地形数据分辨率</w:t>
            </w:r>
            <w:r>
              <w:rPr>
                <w:rFonts w:hint="default" w:ascii="Times New Roman" w:hAnsi="Times New Roman" w:cs="Times New Roman"/>
                <w:sz w:val="21"/>
                <w:szCs w:val="21"/>
                <w:lang w:eastAsia="zh-CN"/>
              </w:rPr>
              <w:t>（</w:t>
            </w:r>
            <w:r>
              <w:rPr>
                <w:rFonts w:hint="default" w:ascii="Times New Roman" w:hAnsi="Times New Roman" w:cs="Times New Roman"/>
                <w:sz w:val="21"/>
                <w:szCs w:val="21"/>
              </w:rPr>
              <w:t>m</w:t>
            </w:r>
            <w:r>
              <w:rPr>
                <w:rFonts w:hint="default" w:ascii="Times New Roman" w:hAnsi="Times New Roman" w:cs="Times New Roman"/>
                <w:sz w:val="21"/>
                <w:szCs w:val="21"/>
                <w:lang w:eastAsia="zh-CN"/>
              </w:rPr>
              <w:t>）</w:t>
            </w:r>
          </w:p>
        </w:tc>
        <w:tc>
          <w:tcPr>
            <w:tcW w:w="3466" w:type="dxa"/>
            <w:tcBorders>
              <w:tl2br w:val="nil"/>
              <w:tr2bl w:val="nil"/>
            </w:tcBorders>
            <w:vAlign w:val="center"/>
          </w:tcPr>
          <w:p w14:paraId="72100A0C">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90</w:t>
            </w:r>
          </w:p>
        </w:tc>
      </w:tr>
      <w:tr w14:paraId="0BEDE8F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524" w:type="dxa"/>
            <w:vMerge w:val="restart"/>
            <w:tcBorders>
              <w:tl2br w:val="nil"/>
              <w:tr2bl w:val="nil"/>
            </w:tcBorders>
            <w:vAlign w:val="center"/>
          </w:tcPr>
          <w:p w14:paraId="46B22942">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是否考虑岸线熏烟</w:t>
            </w:r>
          </w:p>
        </w:tc>
        <w:tc>
          <w:tcPr>
            <w:tcW w:w="3080" w:type="dxa"/>
            <w:tcBorders>
              <w:tl2br w:val="nil"/>
              <w:tr2bl w:val="nil"/>
            </w:tcBorders>
            <w:vAlign w:val="center"/>
          </w:tcPr>
          <w:p w14:paraId="695CE14A">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考虑岸线熏烟</w:t>
            </w:r>
          </w:p>
        </w:tc>
        <w:tc>
          <w:tcPr>
            <w:tcW w:w="3466" w:type="dxa"/>
            <w:tcBorders>
              <w:tl2br w:val="nil"/>
              <w:tr2bl w:val="nil"/>
            </w:tcBorders>
            <w:vAlign w:val="center"/>
          </w:tcPr>
          <w:p w14:paraId="371FA45B">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否</w:t>
            </w:r>
          </w:p>
        </w:tc>
      </w:tr>
      <w:tr w14:paraId="570CF23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524" w:type="dxa"/>
            <w:vMerge w:val="continue"/>
            <w:tcBorders>
              <w:tl2br w:val="nil"/>
              <w:tr2bl w:val="nil"/>
            </w:tcBorders>
            <w:vAlign w:val="center"/>
          </w:tcPr>
          <w:p w14:paraId="5A0A8057">
            <w:pPr>
              <w:adjustRightInd w:val="0"/>
              <w:snapToGrid w:val="0"/>
              <w:spacing w:line="240" w:lineRule="auto"/>
              <w:jc w:val="center"/>
              <w:textAlignment w:val="center"/>
              <w:rPr>
                <w:rFonts w:hint="default" w:ascii="Times New Roman" w:hAnsi="Times New Roman" w:cs="Times New Roman"/>
                <w:sz w:val="21"/>
                <w:szCs w:val="21"/>
              </w:rPr>
            </w:pPr>
          </w:p>
        </w:tc>
        <w:tc>
          <w:tcPr>
            <w:tcW w:w="3080" w:type="dxa"/>
            <w:tcBorders>
              <w:tl2br w:val="nil"/>
              <w:tr2bl w:val="nil"/>
            </w:tcBorders>
            <w:vAlign w:val="center"/>
          </w:tcPr>
          <w:p w14:paraId="1F78AF4D">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岸线距离/m</w:t>
            </w:r>
          </w:p>
        </w:tc>
        <w:tc>
          <w:tcPr>
            <w:tcW w:w="3466" w:type="dxa"/>
            <w:tcBorders>
              <w:tl2br w:val="nil"/>
              <w:tr2bl w:val="nil"/>
            </w:tcBorders>
            <w:vAlign w:val="center"/>
          </w:tcPr>
          <w:p w14:paraId="7C39AE81">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14:paraId="2B9D578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524" w:type="dxa"/>
            <w:vMerge w:val="continue"/>
            <w:tcBorders>
              <w:tl2br w:val="nil"/>
              <w:tr2bl w:val="nil"/>
            </w:tcBorders>
            <w:vAlign w:val="center"/>
          </w:tcPr>
          <w:p w14:paraId="0C5D3672">
            <w:pPr>
              <w:adjustRightInd w:val="0"/>
              <w:snapToGrid w:val="0"/>
              <w:spacing w:line="240" w:lineRule="auto"/>
              <w:jc w:val="center"/>
              <w:textAlignment w:val="center"/>
              <w:rPr>
                <w:rFonts w:hint="default" w:ascii="Times New Roman" w:hAnsi="Times New Roman" w:cs="Times New Roman"/>
                <w:sz w:val="21"/>
                <w:szCs w:val="21"/>
              </w:rPr>
            </w:pPr>
          </w:p>
        </w:tc>
        <w:tc>
          <w:tcPr>
            <w:tcW w:w="3080" w:type="dxa"/>
            <w:tcBorders>
              <w:tl2br w:val="nil"/>
              <w:tr2bl w:val="nil"/>
            </w:tcBorders>
            <w:vAlign w:val="center"/>
          </w:tcPr>
          <w:p w14:paraId="6A790B04">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岸线方向/°</w:t>
            </w:r>
          </w:p>
        </w:tc>
        <w:tc>
          <w:tcPr>
            <w:tcW w:w="3466" w:type="dxa"/>
            <w:tcBorders>
              <w:tl2br w:val="nil"/>
              <w:tr2bl w:val="nil"/>
            </w:tcBorders>
            <w:vAlign w:val="center"/>
          </w:tcPr>
          <w:p w14:paraId="460506D7">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14:paraId="459D77A4">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（3）污染物评价标准</w:t>
      </w:r>
    </w:p>
    <w:p w14:paraId="0B46ABAD">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污染物评价标准和来源见下表。</w:t>
      </w:r>
    </w:p>
    <w:p w14:paraId="10EDB6EB">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.5-</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 xml:space="preserve">  污染物评价标准表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848"/>
        <w:gridCol w:w="1985"/>
        <w:gridCol w:w="3791"/>
      </w:tblGrid>
      <w:tr w14:paraId="1AA6E9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tcBorders>
              <w:tl2br w:val="nil"/>
              <w:tr2bl w:val="nil"/>
            </w:tcBorders>
            <w:shd w:val="clear" w:color="auto" w:fill="auto"/>
            <w:vAlign w:val="center"/>
          </w:tcPr>
          <w:p w14:paraId="3EACA93B">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污染物名称</w:t>
            </w:r>
          </w:p>
        </w:tc>
        <w:tc>
          <w:tcPr>
            <w:tcW w:w="995" w:type="pct"/>
            <w:tcBorders>
              <w:tl2br w:val="nil"/>
              <w:tr2bl w:val="nil"/>
            </w:tcBorders>
            <w:shd w:val="clear" w:color="auto" w:fill="auto"/>
            <w:vAlign w:val="center"/>
          </w:tcPr>
          <w:p w14:paraId="182B0E65">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平均时段</w:t>
            </w:r>
          </w:p>
        </w:tc>
        <w:tc>
          <w:tcPr>
            <w:tcW w:w="1069" w:type="pct"/>
            <w:tcBorders>
              <w:tl2br w:val="nil"/>
              <w:tr2bl w:val="nil"/>
            </w:tcBorders>
            <w:shd w:val="clear" w:color="auto" w:fill="auto"/>
            <w:vAlign w:val="center"/>
          </w:tcPr>
          <w:p w14:paraId="260DFAB8">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标准值</w:t>
            </w:r>
            <w:r>
              <w:rPr>
                <w:rFonts w:hint="default" w:ascii="Times New Roman" w:hAnsi="Times New Roman" w:cs="Times New Roman" w:eastAsiaTheme="minorEastAsia"/>
                <w:sz w:val="18"/>
                <w:szCs w:val="18"/>
                <w:lang w:eastAsia="zh-CN"/>
              </w:rPr>
              <w:t>（</w:t>
            </w:r>
            <w:r>
              <w:rPr>
                <w:rFonts w:hint="default" w:ascii="Times New Roman" w:hAnsi="Times New Roman" w:cs="Times New Roman" w:eastAsiaTheme="minorEastAsia"/>
                <w:sz w:val="18"/>
                <w:szCs w:val="18"/>
              </w:rPr>
              <w:t>μg/m</w:t>
            </w:r>
            <w:r>
              <w:rPr>
                <w:rFonts w:hint="default" w:ascii="Times New Roman" w:hAnsi="Times New Roman" w:cs="Times New Roman" w:eastAsiaTheme="minorEastAsia"/>
                <w:sz w:val="18"/>
                <w:szCs w:val="18"/>
                <w:vertAlign w:val="superscript"/>
              </w:rPr>
              <w:t>3</w:t>
            </w:r>
            <w:r>
              <w:rPr>
                <w:rFonts w:hint="default" w:ascii="Times New Roman" w:hAnsi="Times New Roman" w:cs="Times New Roman" w:eastAsiaTheme="minorEastAsia"/>
                <w:sz w:val="18"/>
                <w:szCs w:val="18"/>
              </w:rPr>
              <w:t>)</w:t>
            </w:r>
          </w:p>
        </w:tc>
        <w:tc>
          <w:tcPr>
            <w:tcW w:w="2041" w:type="pct"/>
            <w:tcBorders>
              <w:tl2br w:val="nil"/>
              <w:tr2bl w:val="nil"/>
            </w:tcBorders>
            <w:shd w:val="clear" w:color="auto" w:fill="auto"/>
            <w:vAlign w:val="center"/>
          </w:tcPr>
          <w:p w14:paraId="4E2DF357">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标准来源</w:t>
            </w:r>
          </w:p>
        </w:tc>
      </w:tr>
      <w:tr w14:paraId="290192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tcBorders>
              <w:tl2br w:val="nil"/>
              <w:tr2bl w:val="nil"/>
            </w:tcBorders>
            <w:shd w:val="clear" w:color="auto" w:fill="auto"/>
            <w:vAlign w:val="center"/>
          </w:tcPr>
          <w:p w14:paraId="47FA0231">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颗粒物（PM</w:t>
            </w:r>
            <w:r>
              <w:rPr>
                <w:rFonts w:hint="default" w:ascii="Times New Roman" w:hAnsi="Times New Roman" w:cs="Times New Roman" w:eastAsiaTheme="minorEastAsia"/>
                <w:sz w:val="18"/>
                <w:szCs w:val="18"/>
                <w:vertAlign w:val="subscript"/>
              </w:rPr>
              <w:t>10</w:t>
            </w:r>
            <w:r>
              <w:rPr>
                <w:rFonts w:hint="default" w:ascii="Times New Roman" w:hAnsi="Times New Roman" w:cs="Times New Roman" w:eastAsiaTheme="minorEastAsia"/>
                <w:sz w:val="18"/>
                <w:szCs w:val="18"/>
              </w:rPr>
              <w:t>）</w:t>
            </w:r>
          </w:p>
        </w:tc>
        <w:tc>
          <w:tcPr>
            <w:tcW w:w="995" w:type="pct"/>
            <w:tcBorders>
              <w:tl2br w:val="nil"/>
              <w:tr2bl w:val="nil"/>
            </w:tcBorders>
            <w:shd w:val="clear" w:color="auto" w:fill="auto"/>
            <w:vAlign w:val="center"/>
          </w:tcPr>
          <w:p w14:paraId="1A547F3E">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24小时平均折算1h平均</w:t>
            </w:r>
          </w:p>
        </w:tc>
        <w:tc>
          <w:tcPr>
            <w:tcW w:w="1069" w:type="pct"/>
            <w:tcBorders>
              <w:tl2br w:val="nil"/>
              <w:tr2bl w:val="nil"/>
            </w:tcBorders>
            <w:shd w:val="clear" w:color="auto" w:fill="auto"/>
            <w:vAlign w:val="center"/>
          </w:tcPr>
          <w:p w14:paraId="072651BB">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450</w:t>
            </w:r>
          </w:p>
        </w:tc>
        <w:tc>
          <w:tcPr>
            <w:tcW w:w="2041" w:type="pct"/>
            <w:tcBorders>
              <w:tl2br w:val="nil"/>
              <w:tr2bl w:val="nil"/>
            </w:tcBorders>
            <w:shd w:val="clear" w:color="auto" w:fill="auto"/>
            <w:vAlign w:val="center"/>
          </w:tcPr>
          <w:p w14:paraId="121358F0">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《环境空气质量标准》(GB 3095-2012)</w:t>
            </w:r>
          </w:p>
        </w:tc>
      </w:tr>
      <w:tr w14:paraId="12D989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tcBorders>
              <w:tl2br w:val="nil"/>
              <w:tr2bl w:val="nil"/>
            </w:tcBorders>
            <w:shd w:val="clear" w:color="auto" w:fill="auto"/>
            <w:vAlign w:val="center"/>
          </w:tcPr>
          <w:p w14:paraId="64BD6E8B">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颗粒物（PM</w:t>
            </w:r>
            <w:r>
              <w:rPr>
                <w:rFonts w:hint="default" w:ascii="Times New Roman" w:hAnsi="Times New Roman" w:cs="Times New Roman" w:eastAsiaTheme="minorEastAsia"/>
                <w:sz w:val="18"/>
                <w:szCs w:val="18"/>
                <w:vertAlign w:val="subscript"/>
              </w:rPr>
              <w:t>2.5</w:t>
            </w:r>
            <w:r>
              <w:rPr>
                <w:rFonts w:hint="default" w:ascii="Times New Roman" w:hAnsi="Times New Roman" w:cs="Times New Roman" w:eastAsiaTheme="minorEastAsia"/>
                <w:sz w:val="18"/>
                <w:szCs w:val="18"/>
              </w:rPr>
              <w:t>）</w:t>
            </w:r>
          </w:p>
        </w:tc>
        <w:tc>
          <w:tcPr>
            <w:tcW w:w="995" w:type="pct"/>
            <w:tcBorders>
              <w:tl2br w:val="nil"/>
              <w:tr2bl w:val="nil"/>
            </w:tcBorders>
            <w:shd w:val="clear" w:color="auto" w:fill="auto"/>
            <w:vAlign w:val="center"/>
          </w:tcPr>
          <w:p w14:paraId="6B3A89E6">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24小时平均折算1h平均</w:t>
            </w:r>
          </w:p>
        </w:tc>
        <w:tc>
          <w:tcPr>
            <w:tcW w:w="1069" w:type="pct"/>
            <w:tcBorders>
              <w:tl2br w:val="nil"/>
              <w:tr2bl w:val="nil"/>
            </w:tcBorders>
            <w:shd w:val="clear" w:color="auto" w:fill="auto"/>
            <w:vAlign w:val="center"/>
          </w:tcPr>
          <w:p w14:paraId="1710F047">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225</w:t>
            </w:r>
          </w:p>
        </w:tc>
        <w:tc>
          <w:tcPr>
            <w:tcW w:w="2041" w:type="pct"/>
            <w:tcBorders>
              <w:tl2br w:val="nil"/>
              <w:tr2bl w:val="nil"/>
            </w:tcBorders>
            <w:shd w:val="clear" w:color="auto" w:fill="auto"/>
            <w:vAlign w:val="center"/>
          </w:tcPr>
          <w:p w14:paraId="47AD21CA">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《环境空气质量标准》(GB 3095-2012)</w:t>
            </w:r>
          </w:p>
        </w:tc>
      </w:tr>
      <w:tr w14:paraId="137A21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tcBorders>
              <w:tl2br w:val="nil"/>
              <w:tr2bl w:val="nil"/>
            </w:tcBorders>
            <w:shd w:val="clear" w:color="auto" w:fill="auto"/>
            <w:vAlign w:val="center"/>
          </w:tcPr>
          <w:p w14:paraId="27AE595D">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颗粒物（TSP）</w:t>
            </w:r>
          </w:p>
        </w:tc>
        <w:tc>
          <w:tcPr>
            <w:tcW w:w="995" w:type="pct"/>
            <w:tcBorders>
              <w:tl2br w:val="nil"/>
              <w:tr2bl w:val="nil"/>
            </w:tcBorders>
            <w:shd w:val="clear" w:color="auto" w:fill="auto"/>
            <w:vAlign w:val="center"/>
          </w:tcPr>
          <w:p w14:paraId="1B89264C">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24小时平均折算1h平均</w:t>
            </w:r>
          </w:p>
        </w:tc>
        <w:tc>
          <w:tcPr>
            <w:tcW w:w="1069" w:type="pct"/>
            <w:tcBorders>
              <w:tl2br w:val="nil"/>
              <w:tr2bl w:val="nil"/>
            </w:tcBorders>
            <w:shd w:val="clear" w:color="auto" w:fill="auto"/>
            <w:vAlign w:val="center"/>
          </w:tcPr>
          <w:p w14:paraId="5122D90A">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900</w:t>
            </w:r>
          </w:p>
        </w:tc>
        <w:tc>
          <w:tcPr>
            <w:tcW w:w="2041" w:type="pct"/>
            <w:tcBorders>
              <w:tl2br w:val="nil"/>
              <w:tr2bl w:val="nil"/>
            </w:tcBorders>
            <w:shd w:val="clear" w:color="auto" w:fill="auto"/>
            <w:vAlign w:val="center"/>
          </w:tcPr>
          <w:p w14:paraId="6A22991D">
            <w:pPr>
              <w:adjustRightInd w:val="0"/>
              <w:spacing w:line="240" w:lineRule="auto"/>
              <w:jc w:val="center"/>
              <w:textAlignment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《环境空气质量标准》(GB 3095-2012)</w:t>
            </w:r>
          </w:p>
        </w:tc>
      </w:tr>
    </w:tbl>
    <w:p w14:paraId="15C3FD4B">
      <w:pPr>
        <w:spacing w:line="360" w:lineRule="auto"/>
        <w:ind w:firstLine="422" w:firstLineChars="176"/>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（4）评级工作等级确定</w:t>
      </w:r>
    </w:p>
    <w:p w14:paraId="23E459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kern w:val="2"/>
          <w:sz w:val="24"/>
          <w:szCs w:val="24"/>
          <w:highlight w:val="none"/>
          <w:lang w:val="en-US" w:eastAsia="zh-CN" w:bidi="ar-SA"/>
        </w:rPr>
      </w:pPr>
      <w:bookmarkStart w:id="169" w:name="_Hlk162445425"/>
      <w:r>
        <w:rPr>
          <w:rFonts w:hint="default" w:ascii="Times New Roman" w:hAnsi="Times New Roman" w:cs="Times New Roman" w:eastAsiaTheme="minorEastAsia"/>
          <w:color w:val="auto"/>
          <w:sz w:val="24"/>
          <w:szCs w:val="24"/>
        </w:rPr>
        <w:t>经估算模式计算</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b w:val="0"/>
          <w:bCs/>
          <w:color w:val="auto"/>
          <w:kern w:val="2"/>
          <w:sz w:val="24"/>
          <w:szCs w:val="24"/>
          <w:highlight w:val="none"/>
          <w:lang w:val="en-US" w:eastAsia="zh-CN" w:bidi="ar-SA"/>
        </w:rPr>
        <w:t>本项目正常工况下各污染物的最大落地浓度占标率均小于10%，占标率最高的污染物为生产线无组织排放的TSP，占标率为8.79%。</w:t>
      </w:r>
    </w:p>
    <w:p w14:paraId="0DF75D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kern w:val="2"/>
          <w:sz w:val="24"/>
          <w:szCs w:val="24"/>
          <w:highlight w:val="none"/>
          <w:lang w:val="en-US" w:eastAsia="zh-CN" w:bidi="ar-SA"/>
        </w:rPr>
      </w:pPr>
      <w:r>
        <w:rPr>
          <w:rFonts w:hint="default" w:ascii="Times New Roman" w:hAnsi="Times New Roman" w:cs="Times New Roman"/>
          <w:b w:val="0"/>
          <w:bCs/>
          <w:color w:val="auto"/>
          <w:kern w:val="2"/>
          <w:sz w:val="24"/>
          <w:szCs w:val="24"/>
          <w:highlight w:val="none"/>
          <w:lang w:val="en-US" w:eastAsia="zh-CN" w:bidi="ar-SA"/>
        </w:rPr>
        <w:t>依据</w:t>
      </w:r>
      <w:r>
        <w:rPr>
          <w:rFonts w:hint="default" w:ascii="Times New Roman" w:hAnsi="Times New Roman" w:eastAsia="宋体" w:cs="Times New Roman"/>
          <w:color w:val="auto"/>
          <w:sz w:val="24"/>
          <w:szCs w:val="24"/>
          <w:highlight w:val="none"/>
        </w:rPr>
        <w:t>《环境影响评价技术导则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大气环境》（HJ2.2-2018）</w:t>
      </w:r>
      <w:r>
        <w:rPr>
          <w:rFonts w:hint="default" w:ascii="Times New Roman" w:hAnsi="Times New Roman" w:cs="Times New Roman"/>
          <w:b w:val="0"/>
          <w:bCs/>
          <w:color w:val="auto"/>
          <w:kern w:val="2"/>
          <w:sz w:val="24"/>
          <w:szCs w:val="24"/>
          <w:highlight w:val="none"/>
          <w:lang w:val="en-US" w:eastAsia="zh-CN" w:bidi="ar-SA"/>
        </w:rPr>
        <w:t>评价工作的分级判据，本项目大气评价等级定为二级，不进行进一步预测和评价。</w:t>
      </w:r>
    </w:p>
    <w:bookmarkEnd w:id="169"/>
    <w:p w14:paraId="05977E6C">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2、地表水</w:t>
      </w:r>
    </w:p>
    <w:p w14:paraId="0A364A1E">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按《环境影响评价技术导则 地表水环境》（HJ 2.3-2018）的规定，本项目属于水污染影响型，根据项目废水排放方式和废水排放量确定地表水环境影响评价工作等级。</w:t>
      </w:r>
    </w:p>
    <w:p w14:paraId="5076D285">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根据《环境影响评价技术导则</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地面水环境》（HJ/T2.3-2018）中水污染影响型建设项目评价等级判断划分情况，具体见下表：</w:t>
      </w:r>
    </w:p>
    <w:p w14:paraId="73E1E999">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.5-</w:t>
      </w:r>
      <w:r>
        <w:rPr>
          <w:rFonts w:hint="default" w:ascii="Times New Roman" w:hAnsi="Times New Roman" w:eastAsia="黑体" w:cs="Times New Roman"/>
          <w:b w:val="0"/>
          <w:bCs/>
          <w:sz w:val="21"/>
          <w:szCs w:val="21"/>
          <w:lang w:val="en-US" w:eastAsia="zh-CN"/>
        </w:rPr>
        <w:t>4</w:t>
      </w:r>
      <w:r>
        <w:rPr>
          <w:rFonts w:hint="default" w:ascii="Times New Roman" w:hAnsi="Times New Roman" w:eastAsia="黑体" w:cs="Times New Roman"/>
          <w:b w:val="0"/>
          <w:bCs/>
          <w:sz w:val="21"/>
          <w:szCs w:val="21"/>
        </w:rPr>
        <w:t xml:space="preserve">  水污染影响型建设项目评价等级判定表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1337"/>
        <w:gridCol w:w="6200"/>
      </w:tblGrid>
      <w:tr w14:paraId="194770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49" w:type="dxa"/>
            <w:vMerge w:val="restart"/>
            <w:tcBorders>
              <w:tl2br w:val="nil"/>
              <w:tr2bl w:val="nil"/>
            </w:tcBorders>
            <w:shd w:val="clear" w:color="auto" w:fill="auto"/>
            <w:vAlign w:val="center"/>
          </w:tcPr>
          <w:p w14:paraId="40A17D18">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评价等级</w:t>
            </w:r>
          </w:p>
        </w:tc>
        <w:tc>
          <w:tcPr>
            <w:tcW w:w="7537" w:type="dxa"/>
            <w:gridSpan w:val="2"/>
            <w:tcBorders>
              <w:tl2br w:val="nil"/>
              <w:tr2bl w:val="nil"/>
            </w:tcBorders>
            <w:shd w:val="clear" w:color="auto" w:fill="auto"/>
            <w:vAlign w:val="center"/>
          </w:tcPr>
          <w:p w14:paraId="4A1A7E1C">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判定依据</w:t>
            </w:r>
          </w:p>
        </w:tc>
      </w:tr>
      <w:tr w14:paraId="1464D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49" w:type="dxa"/>
            <w:vMerge w:val="continue"/>
            <w:tcBorders>
              <w:tl2br w:val="nil"/>
              <w:tr2bl w:val="nil"/>
            </w:tcBorders>
            <w:shd w:val="clear" w:color="auto" w:fill="auto"/>
            <w:vAlign w:val="center"/>
          </w:tcPr>
          <w:p w14:paraId="7DEC06D7">
            <w:pPr>
              <w:pStyle w:val="47"/>
              <w:snapToGrid/>
              <w:spacing w:line="240" w:lineRule="auto"/>
              <w:rPr>
                <w:rFonts w:hint="default" w:ascii="Times New Roman" w:hAnsi="Times New Roman" w:cs="Times New Roman" w:eastAsiaTheme="minorEastAsia"/>
                <w:b w:val="0"/>
                <w:bCs/>
                <w:sz w:val="18"/>
                <w:szCs w:val="18"/>
              </w:rPr>
            </w:pPr>
          </w:p>
        </w:tc>
        <w:tc>
          <w:tcPr>
            <w:tcW w:w="1337" w:type="dxa"/>
            <w:tcBorders>
              <w:tl2br w:val="nil"/>
              <w:tr2bl w:val="nil"/>
            </w:tcBorders>
            <w:shd w:val="clear" w:color="auto" w:fill="auto"/>
            <w:vAlign w:val="center"/>
          </w:tcPr>
          <w:p w14:paraId="70E82E0D">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排放方式</w:t>
            </w:r>
          </w:p>
        </w:tc>
        <w:tc>
          <w:tcPr>
            <w:tcW w:w="6200" w:type="dxa"/>
            <w:tcBorders>
              <w:tl2br w:val="nil"/>
              <w:tr2bl w:val="nil"/>
            </w:tcBorders>
            <w:shd w:val="clear" w:color="auto" w:fill="auto"/>
            <w:vAlign w:val="center"/>
          </w:tcPr>
          <w:p w14:paraId="69104ADC">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废水排放量Q/（m</w:t>
            </w:r>
            <w:r>
              <w:rPr>
                <w:rFonts w:hint="default" w:ascii="Times New Roman" w:hAnsi="Times New Roman" w:cs="Times New Roman" w:eastAsiaTheme="minorEastAsia"/>
                <w:b w:val="0"/>
                <w:bCs/>
                <w:sz w:val="18"/>
                <w:szCs w:val="18"/>
                <w:vertAlign w:val="superscript"/>
              </w:rPr>
              <w:t>3</w:t>
            </w:r>
            <w:r>
              <w:rPr>
                <w:rFonts w:hint="default" w:ascii="Times New Roman" w:hAnsi="Times New Roman" w:cs="Times New Roman" w:eastAsiaTheme="minorEastAsia"/>
                <w:b w:val="0"/>
                <w:bCs/>
                <w:sz w:val="18"/>
                <w:szCs w:val="18"/>
              </w:rPr>
              <w:t>/d）；水污染物当量数W/（无量纲）</w:t>
            </w:r>
          </w:p>
        </w:tc>
      </w:tr>
      <w:tr w14:paraId="27EFBF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49" w:type="dxa"/>
            <w:tcBorders>
              <w:tl2br w:val="nil"/>
              <w:tr2bl w:val="nil"/>
            </w:tcBorders>
            <w:shd w:val="clear" w:color="auto" w:fill="auto"/>
            <w:vAlign w:val="center"/>
          </w:tcPr>
          <w:p w14:paraId="654B5953">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一级</w:t>
            </w:r>
          </w:p>
        </w:tc>
        <w:tc>
          <w:tcPr>
            <w:tcW w:w="1337" w:type="dxa"/>
            <w:tcBorders>
              <w:tl2br w:val="nil"/>
              <w:tr2bl w:val="nil"/>
            </w:tcBorders>
            <w:shd w:val="clear" w:color="auto" w:fill="auto"/>
            <w:vAlign w:val="center"/>
          </w:tcPr>
          <w:p w14:paraId="1D0940D1">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直接排放</w:t>
            </w:r>
          </w:p>
        </w:tc>
        <w:tc>
          <w:tcPr>
            <w:tcW w:w="6200" w:type="dxa"/>
            <w:tcBorders>
              <w:tl2br w:val="nil"/>
              <w:tr2bl w:val="nil"/>
            </w:tcBorders>
            <w:shd w:val="clear" w:color="auto" w:fill="auto"/>
            <w:vAlign w:val="center"/>
          </w:tcPr>
          <w:p w14:paraId="533C0E0A">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Q≥20000或W≥600000</w:t>
            </w:r>
          </w:p>
        </w:tc>
      </w:tr>
      <w:tr w14:paraId="4113A7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49" w:type="dxa"/>
            <w:tcBorders>
              <w:tl2br w:val="nil"/>
              <w:tr2bl w:val="nil"/>
            </w:tcBorders>
            <w:shd w:val="clear" w:color="auto" w:fill="auto"/>
            <w:vAlign w:val="center"/>
          </w:tcPr>
          <w:p w14:paraId="6C2A4811">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二级</w:t>
            </w:r>
          </w:p>
        </w:tc>
        <w:tc>
          <w:tcPr>
            <w:tcW w:w="1337" w:type="dxa"/>
            <w:tcBorders>
              <w:tl2br w:val="nil"/>
              <w:tr2bl w:val="nil"/>
            </w:tcBorders>
            <w:shd w:val="clear" w:color="auto" w:fill="auto"/>
            <w:vAlign w:val="center"/>
          </w:tcPr>
          <w:p w14:paraId="7AD30EAF">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直接排放</w:t>
            </w:r>
          </w:p>
        </w:tc>
        <w:tc>
          <w:tcPr>
            <w:tcW w:w="6200" w:type="dxa"/>
            <w:tcBorders>
              <w:tl2br w:val="nil"/>
              <w:tr2bl w:val="nil"/>
            </w:tcBorders>
            <w:shd w:val="clear" w:color="auto" w:fill="auto"/>
            <w:vAlign w:val="center"/>
          </w:tcPr>
          <w:p w14:paraId="2CC91DFA">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其他</w:t>
            </w:r>
          </w:p>
        </w:tc>
      </w:tr>
      <w:tr w14:paraId="47170F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49" w:type="dxa"/>
            <w:tcBorders>
              <w:tl2br w:val="nil"/>
              <w:tr2bl w:val="nil"/>
            </w:tcBorders>
            <w:shd w:val="clear" w:color="auto" w:fill="auto"/>
            <w:vAlign w:val="center"/>
          </w:tcPr>
          <w:p w14:paraId="3DBCDA38">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三级A</w:t>
            </w:r>
          </w:p>
        </w:tc>
        <w:tc>
          <w:tcPr>
            <w:tcW w:w="1337" w:type="dxa"/>
            <w:tcBorders>
              <w:tl2br w:val="nil"/>
              <w:tr2bl w:val="nil"/>
            </w:tcBorders>
            <w:shd w:val="clear" w:color="auto" w:fill="auto"/>
            <w:vAlign w:val="center"/>
          </w:tcPr>
          <w:p w14:paraId="3655AA93">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直接排放</w:t>
            </w:r>
          </w:p>
        </w:tc>
        <w:tc>
          <w:tcPr>
            <w:tcW w:w="6200" w:type="dxa"/>
            <w:tcBorders>
              <w:tl2br w:val="nil"/>
              <w:tr2bl w:val="nil"/>
            </w:tcBorders>
            <w:shd w:val="clear" w:color="auto" w:fill="auto"/>
            <w:vAlign w:val="center"/>
          </w:tcPr>
          <w:p w14:paraId="13B5470E">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Q＜200且W＜6000</w:t>
            </w:r>
          </w:p>
        </w:tc>
      </w:tr>
      <w:tr w14:paraId="07EE9F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49" w:type="dxa"/>
            <w:tcBorders>
              <w:tl2br w:val="nil"/>
              <w:tr2bl w:val="nil"/>
            </w:tcBorders>
            <w:shd w:val="clear" w:color="auto" w:fill="auto"/>
            <w:vAlign w:val="center"/>
          </w:tcPr>
          <w:p w14:paraId="2C9A1BB1">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三级B</w:t>
            </w:r>
          </w:p>
        </w:tc>
        <w:tc>
          <w:tcPr>
            <w:tcW w:w="1337" w:type="dxa"/>
            <w:tcBorders>
              <w:tl2br w:val="nil"/>
              <w:tr2bl w:val="nil"/>
            </w:tcBorders>
            <w:shd w:val="clear" w:color="auto" w:fill="auto"/>
            <w:vAlign w:val="center"/>
          </w:tcPr>
          <w:p w14:paraId="47C6B886">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间接排放</w:t>
            </w:r>
          </w:p>
        </w:tc>
        <w:tc>
          <w:tcPr>
            <w:tcW w:w="6200" w:type="dxa"/>
            <w:tcBorders>
              <w:tl2br w:val="nil"/>
              <w:tr2bl w:val="nil"/>
            </w:tcBorders>
            <w:shd w:val="clear" w:color="auto" w:fill="auto"/>
            <w:vAlign w:val="center"/>
          </w:tcPr>
          <w:p w14:paraId="431BBC28">
            <w:pPr>
              <w:pStyle w:val="47"/>
              <w:snapToGrid/>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w:t>
            </w:r>
          </w:p>
        </w:tc>
      </w:tr>
      <w:tr w14:paraId="340E87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3"/>
            <w:tcBorders>
              <w:tl2br w:val="nil"/>
              <w:tr2bl w:val="nil"/>
            </w:tcBorders>
            <w:shd w:val="clear" w:color="auto" w:fill="auto"/>
            <w:vAlign w:val="center"/>
          </w:tcPr>
          <w:p w14:paraId="0280D46D">
            <w:pPr>
              <w:ind w:firstLine="0" w:firstLineChars="0"/>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5A77C6F9">
            <w:pPr>
              <w:ind w:firstLine="0" w:firstLineChars="0"/>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注2：废水排放量按行业排放标准中规定的废水种类统计，没有相关行业排放标准要求的通过工程分析合理确定，应统计含热量大的冷却水的排放量，可不统计间接冷却水、循环水及其他含污染物极少的清净下水的排放量。</w:t>
            </w:r>
          </w:p>
          <w:p w14:paraId="7952B3AB">
            <w:pPr>
              <w:ind w:firstLine="0" w:firstLineChars="0"/>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注3：厂区存在堆积物（露天堆放的原料、燃料、废渣等以及垃圾堆放场）、降尘污染的，应将初期雨污水纳入废水排放量，相应的主要污染物纳入水污染当量计算。</w:t>
            </w:r>
          </w:p>
          <w:p w14:paraId="16FC6DFC">
            <w:pPr>
              <w:ind w:firstLine="0" w:firstLineChars="0"/>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注4：建设项目直接排放第一类污染物的，其评价等级为一级；建设项目直接排放的污染物为受纳水体超标因子的，评价等级不低于二级。</w:t>
            </w:r>
          </w:p>
          <w:p w14:paraId="00667BA5">
            <w:pPr>
              <w:ind w:firstLine="0" w:firstLineChars="0"/>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注5：直接排放受纳水体影响范围涉及饮用水水源保护区、饮用水取水口、重点保护与珍稀水生生物的栖息地、重要水生生物的自然产卵场等保护目标时，评价等级不低于二级。</w:t>
            </w:r>
          </w:p>
          <w:p w14:paraId="7E5F0D9D">
            <w:pPr>
              <w:ind w:firstLine="0" w:firstLineChars="0"/>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注6：建设项目向河流、湖库排放温排水引起受纳水体水温变化超过水环境质量标准要求，且评价范围有水温敏感目标时，评价等级为一级。</w:t>
            </w:r>
          </w:p>
          <w:p w14:paraId="2C7D00A3">
            <w:pPr>
              <w:ind w:firstLine="0" w:firstLineChars="0"/>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注7：建设项目利用海水作为调节温度介质，排水量≥500万m</w:t>
            </w:r>
            <w:r>
              <w:rPr>
                <w:rFonts w:hint="default" w:ascii="Times New Roman" w:hAnsi="Times New Roman" w:cs="Times New Roman" w:eastAsiaTheme="minorEastAsia"/>
                <w:color w:val="000000" w:themeColor="text1"/>
                <w:sz w:val="18"/>
                <w:szCs w:val="18"/>
                <w:vertAlign w:val="superscript"/>
                <w14:textFill>
                  <w14:solidFill>
                    <w14:schemeClr w14:val="tx1"/>
                  </w14:solidFill>
                </w14:textFill>
              </w:rPr>
              <w:t>3</w:t>
            </w:r>
            <w:r>
              <w:rPr>
                <w:rFonts w:hint="default" w:ascii="Times New Roman" w:hAnsi="Times New Roman" w:cs="Times New Roman" w:eastAsiaTheme="minorEastAsia"/>
                <w:color w:val="000000" w:themeColor="text1"/>
                <w:sz w:val="18"/>
                <w:szCs w:val="18"/>
                <w14:textFill>
                  <w14:solidFill>
                    <w14:schemeClr w14:val="tx1"/>
                  </w14:solidFill>
                </w14:textFill>
              </w:rPr>
              <w:t>/d，评价等级为一级；排水量＜500万m</w:t>
            </w:r>
            <w:r>
              <w:rPr>
                <w:rFonts w:hint="default" w:ascii="Times New Roman" w:hAnsi="Times New Roman" w:cs="Times New Roman" w:eastAsiaTheme="minorEastAsia"/>
                <w:color w:val="000000" w:themeColor="text1"/>
                <w:sz w:val="18"/>
                <w:szCs w:val="18"/>
                <w:vertAlign w:val="superscript"/>
                <w14:textFill>
                  <w14:solidFill>
                    <w14:schemeClr w14:val="tx1"/>
                  </w14:solidFill>
                </w14:textFill>
              </w:rPr>
              <w:t>3</w:t>
            </w:r>
            <w:r>
              <w:rPr>
                <w:rFonts w:hint="default" w:ascii="Times New Roman" w:hAnsi="Times New Roman" w:cs="Times New Roman" w:eastAsiaTheme="minorEastAsia"/>
                <w:color w:val="000000" w:themeColor="text1"/>
                <w:sz w:val="18"/>
                <w:szCs w:val="18"/>
                <w14:textFill>
                  <w14:solidFill>
                    <w14:schemeClr w14:val="tx1"/>
                  </w14:solidFill>
                </w14:textFill>
              </w:rPr>
              <w:t>/d，评价等级为二级。</w:t>
            </w:r>
          </w:p>
          <w:p w14:paraId="6627213D">
            <w:pPr>
              <w:ind w:firstLine="0" w:firstLineChars="0"/>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注8：仅涉及清净下水排放的，如其排放水质满足受纳水体水环境质量标准要求的，评价等级为三级A。</w:t>
            </w:r>
          </w:p>
          <w:p w14:paraId="02888894">
            <w:pPr>
              <w:ind w:firstLine="0" w:firstLineChars="0"/>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注9：依托现有排放口，且对外环境未新增排放污染物的直接排放建设项目，评价等级参照间接排放，定为三级B。</w:t>
            </w:r>
          </w:p>
          <w:p w14:paraId="18718929">
            <w:pPr>
              <w:pStyle w:val="47"/>
              <w:snapToGrid/>
              <w:spacing w:line="240" w:lineRule="auto"/>
              <w:jc w:val="both"/>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color w:val="000000" w:themeColor="text1"/>
                <w:kern w:val="2"/>
                <w:sz w:val="18"/>
                <w:szCs w:val="18"/>
                <w:lang w:val="en-US" w:eastAsia="zh-CN" w:bidi="ar-SA"/>
                <w14:textFill>
                  <w14:solidFill>
                    <w14:schemeClr w14:val="tx1"/>
                  </w14:solidFill>
                </w14:textFill>
              </w:rPr>
              <w:t>注10：建设项目生产工艺中有废水产生，但作为回水利用，不排放到外环境的，按三级B评价。</w:t>
            </w:r>
          </w:p>
        </w:tc>
      </w:tr>
    </w:tbl>
    <w:p w14:paraId="23E96DD0">
      <w:pPr>
        <w:spacing w:line="360" w:lineRule="auto"/>
        <w:ind w:firstLine="480" w:firstLineChars="200"/>
        <w:jc w:val="left"/>
        <w:rPr>
          <w:rFonts w:hint="default" w:ascii="Times New Roman" w:hAnsi="Times New Roman" w:cs="Times New Roman" w:eastAsiaTheme="minorEastAsia"/>
          <w:sz w:val="24"/>
          <w:szCs w:val="24"/>
          <w:lang w:val="zh-CN"/>
        </w:rPr>
      </w:pPr>
      <w:r>
        <w:rPr>
          <w:rFonts w:hint="default" w:ascii="Times New Roman" w:hAnsi="Times New Roman" w:cs="Times New Roman" w:eastAsiaTheme="minorEastAsia"/>
          <w:sz w:val="24"/>
          <w:szCs w:val="24"/>
        </w:rPr>
        <w:t>根据工程分析，本项目不产生生产废水，生活污水依托</w:t>
      </w:r>
      <w:r>
        <w:rPr>
          <w:rFonts w:hint="default" w:ascii="Times New Roman" w:hAnsi="Times New Roman" w:cs="Times New Roman" w:eastAsiaTheme="minorEastAsia"/>
          <w:sz w:val="24"/>
          <w:szCs w:val="24"/>
          <w:lang w:val="en-US" w:eastAsia="zh-CN"/>
        </w:rPr>
        <w:t>鲁奎山铁矿</w:t>
      </w:r>
      <w:r>
        <w:rPr>
          <w:rFonts w:hint="default" w:ascii="Times New Roman" w:hAnsi="Times New Roman" w:cs="Times New Roman" w:eastAsiaTheme="minorEastAsia"/>
          <w:sz w:val="24"/>
          <w:szCs w:val="24"/>
        </w:rPr>
        <w:t>污水处理设备处理</w:t>
      </w:r>
      <w:r>
        <w:rPr>
          <w:rFonts w:hint="default" w:ascii="Times New Roman" w:hAnsi="Times New Roman" w:cs="Times New Roman" w:eastAsiaTheme="minorEastAsia"/>
          <w:sz w:val="24"/>
          <w:szCs w:val="24"/>
          <w:lang w:val="zh-CN"/>
        </w:rPr>
        <w:t>，处理达</w:t>
      </w:r>
      <w:r>
        <w:rPr>
          <w:rFonts w:hint="default" w:ascii="Times New Roman" w:hAnsi="Times New Roman" w:cs="Times New Roman" w:eastAsiaTheme="minorEastAsia"/>
          <w:sz w:val="24"/>
          <w:szCs w:val="24"/>
        </w:rPr>
        <w:t>《城市污水再生利用 城市杂用水水质》</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GB/T 18920-2020</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中表1城市杂用水水质基本控制项目及限值中的城市绿化、道路清扫标准限值后回用于</w:t>
      </w:r>
      <w:r>
        <w:rPr>
          <w:rFonts w:hint="default" w:ascii="Times New Roman" w:hAnsi="Times New Roman" w:cs="Times New Roman" w:eastAsiaTheme="minorEastAsia"/>
          <w:sz w:val="24"/>
          <w:szCs w:val="24"/>
          <w:lang w:val="en-US" w:eastAsia="zh-CN"/>
        </w:rPr>
        <w:t>矿山</w:t>
      </w:r>
      <w:r>
        <w:rPr>
          <w:rFonts w:hint="default" w:ascii="Times New Roman" w:hAnsi="Times New Roman" w:cs="Times New Roman" w:eastAsiaTheme="minorEastAsia"/>
          <w:sz w:val="24"/>
          <w:szCs w:val="24"/>
        </w:rPr>
        <w:t>绿化用水及洒水降尘，不外排</w:t>
      </w:r>
      <w:r>
        <w:rPr>
          <w:rFonts w:hint="default" w:ascii="Times New Roman" w:hAnsi="Times New Roman" w:cs="Times New Roman" w:eastAsiaTheme="minorEastAsia"/>
          <w:sz w:val="24"/>
          <w:szCs w:val="24"/>
          <w:lang w:val="zh-CN"/>
        </w:rPr>
        <w:t>。</w:t>
      </w:r>
      <w:r>
        <w:rPr>
          <w:rFonts w:hint="default" w:ascii="Times New Roman" w:hAnsi="Times New Roman" w:cs="Times New Roman" w:eastAsiaTheme="minorEastAsia"/>
          <w:sz w:val="24"/>
          <w:szCs w:val="24"/>
        </w:rPr>
        <w:t>项目初期雨水经收集沉淀后回用于绿化，不外排。</w:t>
      </w:r>
    </w:p>
    <w:p w14:paraId="5E4DE918">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根据《环境影响评价技术导则 地表水环境》（HJ2.3-2018）规定，地表水环境影响评价等级为三级B。</w:t>
      </w:r>
    </w:p>
    <w:p w14:paraId="67A2992F">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3、地下水</w:t>
      </w:r>
    </w:p>
    <w:p w14:paraId="16E0326F">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根据《环境影响评价技术导则—地下水环境》</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HJ610-2016</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附录 A—地下水环境影响评价行业分类表中的</w:t>
      </w:r>
      <w:bookmarkStart w:id="170" w:name="_Hlk136960733"/>
      <w:r>
        <w:rPr>
          <w:rFonts w:hint="default" w:ascii="Times New Roman" w:hAnsi="Times New Roman" w:cs="Times New Roman" w:eastAsiaTheme="minorEastAsia"/>
          <w:sz w:val="24"/>
          <w:szCs w:val="24"/>
        </w:rPr>
        <w:t xml:space="preserve"> “G黑色金属42、采选（含单独尾矿库）”</w:t>
      </w:r>
      <w:bookmarkEnd w:id="170"/>
      <w:r>
        <w:rPr>
          <w:rFonts w:hint="default" w:ascii="Times New Roman" w:hAnsi="Times New Roman" w:cs="Times New Roman" w:eastAsiaTheme="minorEastAsia"/>
          <w:sz w:val="24"/>
          <w:szCs w:val="24"/>
        </w:rPr>
        <w:t>，本项目选矿厂（报告书）属于地下水环境影响评价</w:t>
      </w:r>
      <w:r>
        <w:rPr>
          <w:rFonts w:hint="default" w:ascii="Times New Roman" w:hAnsi="Times New Roman" w:cs="Times New Roman" w:eastAsiaTheme="minorEastAsia"/>
          <w:sz w:val="24"/>
          <w:szCs w:val="24"/>
          <w:lang w:eastAsia="zh-CN"/>
        </w:rPr>
        <w:t>Ⅱ类</w:t>
      </w:r>
      <w:r>
        <w:rPr>
          <w:rFonts w:hint="default" w:ascii="Times New Roman" w:hAnsi="Times New Roman" w:cs="Times New Roman" w:eastAsiaTheme="minorEastAsia"/>
          <w:sz w:val="24"/>
          <w:szCs w:val="24"/>
        </w:rPr>
        <w:t>项目。本项目评价范围内不属于敏感、较敏感的地区，地下水环境敏感程度为不敏感。根据建设项目地下水环境影响评价工作等级划分表，本项目地下水评价等级为三级。评价工作等级的判定依据见下表。</w:t>
      </w:r>
    </w:p>
    <w:p w14:paraId="61E17904">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.5-</w:t>
      </w:r>
      <w:r>
        <w:rPr>
          <w:rFonts w:hint="default" w:ascii="Times New Roman" w:hAnsi="Times New Roman" w:eastAsia="黑体" w:cs="Times New Roman"/>
          <w:b w:val="0"/>
          <w:bCs/>
          <w:sz w:val="21"/>
          <w:szCs w:val="21"/>
          <w:lang w:val="en-US" w:eastAsia="zh-CN"/>
        </w:rPr>
        <w:t>5</w:t>
      </w:r>
      <w:r>
        <w:rPr>
          <w:rFonts w:hint="default" w:ascii="Times New Roman" w:hAnsi="Times New Roman" w:eastAsia="黑体" w:cs="Times New Roman"/>
          <w:b w:val="0"/>
          <w:bCs/>
          <w:sz w:val="21"/>
          <w:szCs w:val="21"/>
        </w:rPr>
        <w:t xml:space="preserve">  项目地下水评价工作等级划分表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319"/>
        <w:gridCol w:w="2322"/>
        <w:gridCol w:w="2322"/>
        <w:gridCol w:w="2323"/>
      </w:tblGrid>
      <w:tr w14:paraId="55E178B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 w:hRule="atLeast"/>
          <w:tblHeader/>
          <w:jc w:val="center"/>
        </w:trPr>
        <w:tc>
          <w:tcPr>
            <w:tcW w:w="1249" w:type="pct"/>
            <w:tcBorders>
              <w:tl2br w:val="nil"/>
              <w:tr2bl w:val="nil"/>
            </w:tcBorders>
            <w:vAlign w:val="center"/>
          </w:tcPr>
          <w:p w14:paraId="1FDE5656">
            <w:pPr>
              <w:pStyle w:val="50"/>
              <w:spacing w:beforeLines="0" w:line="240" w:lineRule="auto"/>
              <w:ind w:firstLine="422"/>
              <w:jc w:val="center"/>
              <w:rPr>
                <w:rFonts w:hint="default" w:ascii="Times New Roman" w:hAnsi="Times New Roman" w:cs="Times New Roman" w:eastAsiaTheme="minorEastAsia"/>
                <w:b/>
                <w:snapToGrid w:val="0"/>
                <w:sz w:val="18"/>
                <w:szCs w:val="18"/>
              </w:rPr>
            </w:pPr>
            <w:r>
              <w:rPr>
                <w:rFonts w:hint="default" w:ascii="Times New Roman" w:hAnsi="Times New Roman" w:cs="Times New Roman" w:eastAsiaTheme="minorEastAsia"/>
                <w:b/>
                <w:snapToGrid w:val="0"/>
                <w:sz w:val="18"/>
                <w:szCs w:val="18"/>
              </w:rPr>
              <w:t>项目类别</w:t>
            </w:r>
          </w:p>
          <w:p w14:paraId="53D386BD">
            <w:pPr>
              <w:pStyle w:val="50"/>
              <w:spacing w:beforeLines="0" w:line="240" w:lineRule="auto"/>
              <w:ind w:firstLine="0" w:firstLineChars="0"/>
              <w:rPr>
                <w:rFonts w:hint="default" w:ascii="Times New Roman" w:hAnsi="Times New Roman" w:cs="Times New Roman" w:eastAsiaTheme="minorEastAsia"/>
                <w:b/>
                <w:snapToGrid w:val="0"/>
                <w:sz w:val="18"/>
                <w:szCs w:val="18"/>
              </w:rPr>
            </w:pPr>
            <w:r>
              <w:rPr>
                <w:rFonts w:hint="default" w:ascii="Times New Roman" w:hAnsi="Times New Roman" w:cs="Times New Roman" w:eastAsiaTheme="minorEastAsia"/>
                <w:b/>
                <w:snapToGrid w:val="0"/>
                <w:sz w:val="18"/>
                <w:szCs w:val="18"/>
              </w:rPr>
              <w:t>环境敏感程度</w:t>
            </w:r>
          </w:p>
        </w:tc>
        <w:tc>
          <w:tcPr>
            <w:tcW w:w="1250" w:type="pct"/>
            <w:tcBorders>
              <w:tl2br w:val="nil"/>
              <w:tr2bl w:val="nil"/>
            </w:tcBorders>
            <w:vAlign w:val="center"/>
          </w:tcPr>
          <w:p w14:paraId="3065EE37">
            <w:pPr>
              <w:pStyle w:val="50"/>
              <w:spacing w:beforeLines="0" w:line="240" w:lineRule="auto"/>
              <w:ind w:firstLine="422"/>
              <w:jc w:val="center"/>
              <w:rPr>
                <w:rFonts w:hint="default" w:ascii="Times New Roman" w:hAnsi="Times New Roman" w:cs="Times New Roman" w:eastAsiaTheme="minorEastAsia"/>
                <w:b/>
                <w:snapToGrid w:val="0"/>
                <w:sz w:val="18"/>
                <w:szCs w:val="18"/>
              </w:rPr>
            </w:pPr>
            <w:r>
              <w:rPr>
                <w:rFonts w:hint="default" w:ascii="Times New Roman" w:hAnsi="Times New Roman" w:cs="Times New Roman" w:eastAsiaTheme="minorEastAsia"/>
                <w:b/>
                <w:snapToGrid w:val="0"/>
                <w:sz w:val="18"/>
                <w:szCs w:val="18"/>
              </w:rPr>
              <w:t>I类项目</w:t>
            </w:r>
          </w:p>
        </w:tc>
        <w:tc>
          <w:tcPr>
            <w:tcW w:w="1250" w:type="pct"/>
            <w:tcBorders>
              <w:tl2br w:val="nil"/>
              <w:tr2bl w:val="nil"/>
            </w:tcBorders>
            <w:vAlign w:val="center"/>
          </w:tcPr>
          <w:p w14:paraId="33A2E726">
            <w:pPr>
              <w:pStyle w:val="50"/>
              <w:spacing w:beforeLines="0" w:line="240" w:lineRule="auto"/>
              <w:ind w:firstLine="422"/>
              <w:jc w:val="center"/>
              <w:rPr>
                <w:rFonts w:hint="default" w:ascii="Times New Roman" w:hAnsi="Times New Roman" w:cs="Times New Roman" w:eastAsiaTheme="minorEastAsia"/>
                <w:b/>
                <w:snapToGrid w:val="0"/>
                <w:sz w:val="18"/>
                <w:szCs w:val="18"/>
              </w:rPr>
            </w:pPr>
            <w:r>
              <w:rPr>
                <w:rFonts w:hint="default" w:ascii="Times New Roman" w:hAnsi="Times New Roman" w:cs="Times New Roman" w:eastAsiaTheme="minorEastAsia"/>
                <w:b/>
                <w:snapToGrid w:val="0"/>
                <w:sz w:val="18"/>
                <w:szCs w:val="18"/>
              </w:rPr>
              <w:t>Ⅱ类项目</w:t>
            </w:r>
          </w:p>
        </w:tc>
        <w:tc>
          <w:tcPr>
            <w:tcW w:w="1251" w:type="pct"/>
            <w:tcBorders>
              <w:tl2br w:val="nil"/>
              <w:tr2bl w:val="nil"/>
            </w:tcBorders>
            <w:vAlign w:val="center"/>
          </w:tcPr>
          <w:p w14:paraId="75797438">
            <w:pPr>
              <w:pStyle w:val="50"/>
              <w:spacing w:beforeLines="0" w:line="240" w:lineRule="auto"/>
              <w:ind w:firstLine="422"/>
              <w:jc w:val="center"/>
              <w:rPr>
                <w:rFonts w:hint="default" w:ascii="Times New Roman" w:hAnsi="Times New Roman" w:cs="Times New Roman" w:eastAsiaTheme="minorEastAsia"/>
                <w:b/>
                <w:snapToGrid w:val="0"/>
                <w:sz w:val="18"/>
                <w:szCs w:val="18"/>
              </w:rPr>
            </w:pPr>
            <w:r>
              <w:rPr>
                <w:rFonts w:hint="default" w:ascii="Times New Roman" w:hAnsi="Times New Roman" w:cs="Times New Roman" w:eastAsiaTheme="minorEastAsia"/>
                <w:b/>
                <w:snapToGrid w:val="0"/>
                <w:sz w:val="18"/>
                <w:szCs w:val="18"/>
              </w:rPr>
              <w:t>Ⅲ类项目</w:t>
            </w:r>
          </w:p>
        </w:tc>
      </w:tr>
      <w:tr w14:paraId="1B58772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49" w:type="pct"/>
            <w:tcBorders>
              <w:tl2br w:val="nil"/>
              <w:tr2bl w:val="nil"/>
            </w:tcBorders>
            <w:vAlign w:val="center"/>
          </w:tcPr>
          <w:p w14:paraId="062BFEC1">
            <w:pPr>
              <w:pStyle w:val="17"/>
              <w:spacing w:before="0" w:beforeAutospacing="0" w:after="0" w:afterAutospacing="0" w:line="240" w:lineRule="auto"/>
              <w:ind w:firstLine="0" w:firstLineChars="0"/>
              <w:jc w:val="center"/>
              <w:rPr>
                <w:rFonts w:hint="default" w:ascii="Times New Roman" w:hAnsi="Times New Roman" w:cs="Times New Roman" w:eastAsiaTheme="minorEastAsia"/>
                <w:snapToGrid w:val="0"/>
                <w:kern w:val="2"/>
                <w:sz w:val="18"/>
                <w:szCs w:val="18"/>
              </w:rPr>
            </w:pPr>
            <w:r>
              <w:rPr>
                <w:rFonts w:hint="default" w:ascii="Times New Roman" w:hAnsi="Times New Roman" w:cs="Times New Roman" w:eastAsiaTheme="minorEastAsia"/>
                <w:snapToGrid w:val="0"/>
                <w:kern w:val="2"/>
                <w:sz w:val="18"/>
                <w:szCs w:val="18"/>
              </w:rPr>
              <w:t>敏感</w:t>
            </w:r>
          </w:p>
        </w:tc>
        <w:tc>
          <w:tcPr>
            <w:tcW w:w="1250" w:type="pct"/>
            <w:tcBorders>
              <w:tl2br w:val="nil"/>
              <w:tr2bl w:val="nil"/>
            </w:tcBorders>
            <w:vAlign w:val="center"/>
          </w:tcPr>
          <w:p w14:paraId="262758F8">
            <w:pPr>
              <w:pStyle w:val="17"/>
              <w:spacing w:before="0" w:beforeAutospacing="0" w:after="0" w:afterAutospacing="0" w:line="240" w:lineRule="auto"/>
              <w:ind w:firstLine="0" w:firstLineChars="0"/>
              <w:jc w:val="center"/>
              <w:rPr>
                <w:rFonts w:hint="default" w:ascii="Times New Roman" w:hAnsi="Times New Roman" w:cs="Times New Roman" w:eastAsiaTheme="minorEastAsia"/>
                <w:snapToGrid w:val="0"/>
                <w:kern w:val="2"/>
                <w:sz w:val="18"/>
                <w:szCs w:val="18"/>
              </w:rPr>
            </w:pPr>
            <w:r>
              <w:rPr>
                <w:rFonts w:hint="default" w:ascii="Times New Roman" w:hAnsi="Times New Roman" w:cs="Times New Roman" w:eastAsiaTheme="minorEastAsia"/>
                <w:snapToGrid w:val="0"/>
                <w:kern w:val="2"/>
                <w:sz w:val="18"/>
                <w:szCs w:val="18"/>
              </w:rPr>
              <w:t>一</w:t>
            </w:r>
          </w:p>
        </w:tc>
        <w:tc>
          <w:tcPr>
            <w:tcW w:w="1250" w:type="pct"/>
            <w:tcBorders>
              <w:tl2br w:val="nil"/>
              <w:tr2bl w:val="nil"/>
            </w:tcBorders>
            <w:vAlign w:val="center"/>
          </w:tcPr>
          <w:p w14:paraId="35BD4177">
            <w:pPr>
              <w:pStyle w:val="17"/>
              <w:spacing w:before="0" w:beforeAutospacing="0" w:after="0" w:afterAutospacing="0" w:line="240" w:lineRule="auto"/>
              <w:ind w:firstLine="0" w:firstLineChars="0"/>
              <w:jc w:val="center"/>
              <w:rPr>
                <w:rFonts w:hint="default" w:ascii="Times New Roman" w:hAnsi="Times New Roman" w:cs="Times New Roman" w:eastAsiaTheme="minorEastAsia"/>
                <w:snapToGrid w:val="0"/>
                <w:kern w:val="2"/>
                <w:sz w:val="18"/>
                <w:szCs w:val="18"/>
              </w:rPr>
            </w:pPr>
            <w:r>
              <w:rPr>
                <w:rFonts w:hint="default" w:ascii="Times New Roman" w:hAnsi="Times New Roman" w:cs="Times New Roman" w:eastAsiaTheme="minorEastAsia"/>
                <w:snapToGrid w:val="0"/>
                <w:kern w:val="2"/>
                <w:sz w:val="18"/>
                <w:szCs w:val="18"/>
              </w:rPr>
              <w:t>一</w:t>
            </w:r>
          </w:p>
        </w:tc>
        <w:tc>
          <w:tcPr>
            <w:tcW w:w="1251" w:type="pct"/>
            <w:tcBorders>
              <w:tl2br w:val="nil"/>
              <w:tr2bl w:val="nil"/>
            </w:tcBorders>
            <w:vAlign w:val="center"/>
          </w:tcPr>
          <w:p w14:paraId="2BE4D41B">
            <w:pPr>
              <w:pStyle w:val="17"/>
              <w:spacing w:before="0" w:beforeAutospacing="0" w:after="0" w:afterAutospacing="0" w:line="240" w:lineRule="auto"/>
              <w:ind w:firstLine="0" w:firstLineChars="0"/>
              <w:jc w:val="center"/>
              <w:rPr>
                <w:rFonts w:hint="default" w:ascii="Times New Roman" w:hAnsi="Times New Roman" w:cs="Times New Roman" w:eastAsiaTheme="minorEastAsia"/>
                <w:snapToGrid w:val="0"/>
                <w:kern w:val="2"/>
                <w:sz w:val="18"/>
                <w:szCs w:val="18"/>
              </w:rPr>
            </w:pPr>
            <w:r>
              <w:rPr>
                <w:rFonts w:hint="default" w:ascii="Times New Roman" w:hAnsi="Times New Roman" w:cs="Times New Roman" w:eastAsiaTheme="minorEastAsia"/>
                <w:snapToGrid w:val="0"/>
                <w:kern w:val="2"/>
                <w:sz w:val="18"/>
                <w:szCs w:val="18"/>
              </w:rPr>
              <w:t>二</w:t>
            </w:r>
          </w:p>
        </w:tc>
      </w:tr>
      <w:tr w14:paraId="58A20FA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49" w:type="pct"/>
            <w:tcBorders>
              <w:tl2br w:val="nil"/>
              <w:tr2bl w:val="nil"/>
            </w:tcBorders>
            <w:vAlign w:val="center"/>
          </w:tcPr>
          <w:p w14:paraId="67ED9C02">
            <w:pPr>
              <w:pStyle w:val="17"/>
              <w:spacing w:before="0" w:beforeAutospacing="0" w:after="0" w:afterAutospacing="0" w:line="240" w:lineRule="auto"/>
              <w:ind w:firstLine="0" w:firstLineChars="0"/>
              <w:jc w:val="center"/>
              <w:rPr>
                <w:rFonts w:hint="default" w:ascii="Times New Roman" w:hAnsi="Times New Roman" w:cs="Times New Roman" w:eastAsiaTheme="minorEastAsia"/>
                <w:snapToGrid w:val="0"/>
                <w:kern w:val="2"/>
                <w:sz w:val="18"/>
                <w:szCs w:val="18"/>
              </w:rPr>
            </w:pPr>
            <w:r>
              <w:rPr>
                <w:rFonts w:hint="default" w:ascii="Times New Roman" w:hAnsi="Times New Roman" w:cs="Times New Roman" w:eastAsiaTheme="minorEastAsia"/>
                <w:snapToGrid w:val="0"/>
                <w:kern w:val="2"/>
                <w:sz w:val="18"/>
                <w:szCs w:val="18"/>
              </w:rPr>
              <w:t>较敏感</w:t>
            </w:r>
          </w:p>
        </w:tc>
        <w:tc>
          <w:tcPr>
            <w:tcW w:w="1250" w:type="pct"/>
            <w:tcBorders>
              <w:tl2br w:val="nil"/>
              <w:tr2bl w:val="nil"/>
            </w:tcBorders>
            <w:vAlign w:val="center"/>
          </w:tcPr>
          <w:p w14:paraId="4A0726A0">
            <w:pPr>
              <w:pStyle w:val="17"/>
              <w:spacing w:before="0" w:beforeAutospacing="0" w:after="0" w:afterAutospacing="0" w:line="240" w:lineRule="auto"/>
              <w:ind w:firstLine="0" w:firstLineChars="0"/>
              <w:jc w:val="center"/>
              <w:rPr>
                <w:rFonts w:hint="default" w:ascii="Times New Roman" w:hAnsi="Times New Roman" w:cs="Times New Roman" w:eastAsiaTheme="minorEastAsia"/>
                <w:snapToGrid w:val="0"/>
                <w:kern w:val="2"/>
                <w:sz w:val="18"/>
                <w:szCs w:val="18"/>
              </w:rPr>
            </w:pPr>
            <w:r>
              <w:rPr>
                <w:rFonts w:hint="default" w:ascii="Times New Roman" w:hAnsi="Times New Roman" w:cs="Times New Roman" w:eastAsiaTheme="minorEastAsia"/>
                <w:snapToGrid w:val="0"/>
                <w:kern w:val="2"/>
                <w:sz w:val="18"/>
                <w:szCs w:val="18"/>
              </w:rPr>
              <w:t>一</w:t>
            </w:r>
          </w:p>
        </w:tc>
        <w:tc>
          <w:tcPr>
            <w:tcW w:w="1250" w:type="pct"/>
            <w:tcBorders>
              <w:tl2br w:val="nil"/>
              <w:tr2bl w:val="nil"/>
            </w:tcBorders>
            <w:vAlign w:val="center"/>
          </w:tcPr>
          <w:p w14:paraId="729785BE">
            <w:pPr>
              <w:pStyle w:val="17"/>
              <w:spacing w:before="0" w:beforeAutospacing="0" w:after="0" w:afterAutospacing="0" w:line="240" w:lineRule="auto"/>
              <w:ind w:firstLine="0" w:firstLineChars="0"/>
              <w:jc w:val="center"/>
              <w:rPr>
                <w:rFonts w:hint="default" w:ascii="Times New Roman" w:hAnsi="Times New Roman" w:cs="Times New Roman" w:eastAsiaTheme="minorEastAsia"/>
                <w:snapToGrid w:val="0"/>
                <w:kern w:val="2"/>
                <w:sz w:val="18"/>
                <w:szCs w:val="18"/>
              </w:rPr>
            </w:pPr>
            <w:r>
              <w:rPr>
                <w:rFonts w:hint="default" w:ascii="Times New Roman" w:hAnsi="Times New Roman" w:cs="Times New Roman" w:eastAsiaTheme="minorEastAsia"/>
                <w:snapToGrid w:val="0"/>
                <w:kern w:val="2"/>
                <w:sz w:val="18"/>
                <w:szCs w:val="18"/>
              </w:rPr>
              <w:t>二</w:t>
            </w:r>
          </w:p>
        </w:tc>
        <w:tc>
          <w:tcPr>
            <w:tcW w:w="1251" w:type="pct"/>
            <w:tcBorders>
              <w:tl2br w:val="nil"/>
              <w:tr2bl w:val="nil"/>
            </w:tcBorders>
            <w:vAlign w:val="center"/>
          </w:tcPr>
          <w:p w14:paraId="4C3D7EEC">
            <w:pPr>
              <w:pStyle w:val="17"/>
              <w:spacing w:before="0" w:beforeAutospacing="0" w:after="0" w:afterAutospacing="0" w:line="240" w:lineRule="auto"/>
              <w:ind w:firstLine="0" w:firstLineChars="0"/>
              <w:jc w:val="center"/>
              <w:rPr>
                <w:rFonts w:hint="default" w:ascii="Times New Roman" w:hAnsi="Times New Roman" w:cs="Times New Roman" w:eastAsiaTheme="minorEastAsia"/>
                <w:snapToGrid w:val="0"/>
                <w:kern w:val="2"/>
                <w:sz w:val="18"/>
                <w:szCs w:val="18"/>
                <w:shd w:val="clear" w:color="FFFFFF" w:fill="D9D9D9"/>
              </w:rPr>
            </w:pPr>
            <w:r>
              <w:rPr>
                <w:rFonts w:hint="default" w:ascii="Times New Roman" w:hAnsi="Times New Roman" w:cs="Times New Roman" w:eastAsiaTheme="minorEastAsia"/>
                <w:snapToGrid w:val="0"/>
                <w:kern w:val="2"/>
                <w:sz w:val="18"/>
                <w:szCs w:val="18"/>
              </w:rPr>
              <w:t>三</w:t>
            </w:r>
          </w:p>
        </w:tc>
      </w:tr>
      <w:tr w14:paraId="202DC83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49" w:type="pct"/>
            <w:tcBorders>
              <w:tl2br w:val="nil"/>
              <w:tr2bl w:val="nil"/>
            </w:tcBorders>
            <w:vAlign w:val="center"/>
          </w:tcPr>
          <w:p w14:paraId="05E33869">
            <w:pPr>
              <w:pStyle w:val="17"/>
              <w:spacing w:before="0" w:beforeAutospacing="0" w:after="0" w:afterAutospacing="0" w:line="240" w:lineRule="auto"/>
              <w:ind w:firstLine="0" w:firstLineChars="0"/>
              <w:jc w:val="center"/>
              <w:rPr>
                <w:rFonts w:hint="default" w:ascii="Times New Roman" w:hAnsi="Times New Roman" w:cs="Times New Roman" w:eastAsiaTheme="minorEastAsia"/>
                <w:snapToGrid w:val="0"/>
                <w:kern w:val="2"/>
                <w:sz w:val="18"/>
                <w:szCs w:val="18"/>
              </w:rPr>
            </w:pPr>
            <w:r>
              <w:rPr>
                <w:rFonts w:hint="default" w:ascii="Times New Roman" w:hAnsi="Times New Roman" w:cs="Times New Roman" w:eastAsiaTheme="minorEastAsia"/>
                <w:snapToGrid w:val="0"/>
                <w:kern w:val="2"/>
                <w:sz w:val="18"/>
                <w:szCs w:val="18"/>
              </w:rPr>
              <w:t>不敏感</w:t>
            </w:r>
          </w:p>
        </w:tc>
        <w:tc>
          <w:tcPr>
            <w:tcW w:w="1250" w:type="pct"/>
            <w:tcBorders>
              <w:tl2br w:val="nil"/>
              <w:tr2bl w:val="nil"/>
            </w:tcBorders>
            <w:vAlign w:val="center"/>
          </w:tcPr>
          <w:p w14:paraId="582DBF05">
            <w:pPr>
              <w:pStyle w:val="17"/>
              <w:spacing w:before="0" w:beforeAutospacing="0" w:after="0" w:afterAutospacing="0" w:line="240" w:lineRule="auto"/>
              <w:ind w:firstLine="0" w:firstLineChars="0"/>
              <w:jc w:val="center"/>
              <w:rPr>
                <w:rFonts w:hint="default" w:ascii="Times New Roman" w:hAnsi="Times New Roman" w:cs="Times New Roman" w:eastAsiaTheme="minorEastAsia"/>
                <w:snapToGrid w:val="0"/>
                <w:kern w:val="2"/>
                <w:sz w:val="18"/>
                <w:szCs w:val="18"/>
              </w:rPr>
            </w:pPr>
            <w:r>
              <w:rPr>
                <w:rFonts w:hint="default" w:ascii="Times New Roman" w:hAnsi="Times New Roman" w:cs="Times New Roman" w:eastAsiaTheme="minorEastAsia"/>
                <w:snapToGrid w:val="0"/>
                <w:kern w:val="2"/>
                <w:sz w:val="18"/>
                <w:szCs w:val="18"/>
              </w:rPr>
              <w:t>二</w:t>
            </w:r>
          </w:p>
        </w:tc>
        <w:tc>
          <w:tcPr>
            <w:tcW w:w="1250" w:type="pct"/>
            <w:tcBorders>
              <w:tl2br w:val="nil"/>
              <w:tr2bl w:val="nil"/>
            </w:tcBorders>
            <w:shd w:val="clear" w:color="auto" w:fill="D8D8D8" w:themeFill="background1" w:themeFillShade="D9"/>
            <w:vAlign w:val="center"/>
          </w:tcPr>
          <w:p w14:paraId="45D561E9">
            <w:pPr>
              <w:pStyle w:val="17"/>
              <w:spacing w:before="0" w:beforeAutospacing="0" w:after="0" w:afterAutospacing="0" w:line="240" w:lineRule="auto"/>
              <w:ind w:firstLine="0" w:firstLineChars="0"/>
              <w:jc w:val="center"/>
              <w:rPr>
                <w:rFonts w:hint="default" w:ascii="Times New Roman" w:hAnsi="Times New Roman" w:cs="Times New Roman" w:eastAsiaTheme="minorEastAsia"/>
                <w:snapToGrid w:val="0"/>
                <w:kern w:val="2"/>
                <w:sz w:val="18"/>
                <w:szCs w:val="18"/>
              </w:rPr>
            </w:pPr>
            <w:r>
              <w:rPr>
                <w:rFonts w:hint="default" w:ascii="Times New Roman" w:hAnsi="Times New Roman" w:cs="Times New Roman" w:eastAsiaTheme="minorEastAsia"/>
                <w:snapToGrid w:val="0"/>
                <w:kern w:val="2"/>
                <w:sz w:val="18"/>
                <w:szCs w:val="18"/>
              </w:rPr>
              <w:t>三</w:t>
            </w:r>
          </w:p>
        </w:tc>
        <w:tc>
          <w:tcPr>
            <w:tcW w:w="1251" w:type="pct"/>
            <w:tcBorders>
              <w:tl2br w:val="nil"/>
              <w:tr2bl w:val="nil"/>
            </w:tcBorders>
            <w:shd w:val="clear" w:color="auto" w:fill="auto"/>
            <w:vAlign w:val="center"/>
          </w:tcPr>
          <w:p w14:paraId="10B2EA9D">
            <w:pPr>
              <w:pStyle w:val="17"/>
              <w:spacing w:before="0" w:beforeAutospacing="0" w:after="0" w:afterAutospacing="0" w:line="240" w:lineRule="auto"/>
              <w:ind w:firstLine="0" w:firstLineChars="0"/>
              <w:jc w:val="center"/>
              <w:rPr>
                <w:rFonts w:hint="default" w:ascii="Times New Roman" w:hAnsi="Times New Roman" w:cs="Times New Roman" w:eastAsiaTheme="minorEastAsia"/>
                <w:snapToGrid w:val="0"/>
                <w:kern w:val="2"/>
                <w:sz w:val="18"/>
                <w:szCs w:val="18"/>
              </w:rPr>
            </w:pPr>
            <w:r>
              <w:rPr>
                <w:rFonts w:hint="default" w:ascii="Times New Roman" w:hAnsi="Times New Roman" w:cs="Times New Roman" w:eastAsiaTheme="minorEastAsia"/>
                <w:b/>
                <w:bCs/>
                <w:sz w:val="18"/>
                <w:szCs w:val="18"/>
              </w:rPr>
              <w:t>三</w:t>
            </w:r>
          </w:p>
        </w:tc>
      </w:tr>
    </w:tbl>
    <w:p w14:paraId="0E7C631E">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4、土壤环境</w:t>
      </w:r>
    </w:p>
    <w:p w14:paraId="646368C9">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本项目为污染影响型项目，根据《环境影响评价技术导则 土壤环境（试行）》（HJ964-2018）中“污染影响型”进行判定工作等级。</w:t>
      </w:r>
    </w:p>
    <w:p w14:paraId="73960D36">
      <w:pPr>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根据《环境影响评价技术导则 土壤环境（试行）》（HJ964-2018）附录A土壤环境影响评价项目类别，本项目为铁矿选矿工程，根据“采矿业”中“金属矿开采”类别，项目行业类别属于</w:t>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 1 \* ROMAN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I</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rPr>
        <w:t>类。项目占地面积</w:t>
      </w:r>
      <w:r>
        <w:rPr>
          <w:rFonts w:hint="default" w:ascii="Times New Roman" w:hAnsi="Times New Roman" w:cs="Times New Roman" w:eastAsiaTheme="minorEastAsia"/>
          <w:color w:val="auto"/>
          <w:sz w:val="24"/>
          <w:szCs w:val="24"/>
          <w:lang w:val="en-US" w:eastAsia="zh-CN"/>
        </w:rPr>
        <w:t>3000㎡</w:t>
      </w:r>
      <w:r>
        <w:rPr>
          <w:rFonts w:hint="default" w:ascii="Times New Roman" w:hAnsi="Times New Roman" w:cs="Times New Roman" w:eastAsiaTheme="minorEastAsia"/>
          <w:color w:val="auto"/>
          <w:sz w:val="24"/>
          <w:szCs w:val="24"/>
        </w:rPr>
        <w:t>，为“小型”项目。根据对项目评价范围内土地调查，其主要为</w:t>
      </w:r>
      <w:r>
        <w:rPr>
          <w:rFonts w:hint="default" w:ascii="Times New Roman" w:hAnsi="Times New Roman" w:cs="Times New Roman" w:eastAsiaTheme="minorEastAsia"/>
          <w:color w:val="auto"/>
          <w:sz w:val="24"/>
          <w:szCs w:val="24"/>
          <w:lang w:val="en-US" w:eastAsia="zh-CN"/>
        </w:rPr>
        <w:t>乔木</w:t>
      </w:r>
      <w:r>
        <w:rPr>
          <w:rFonts w:hint="default" w:ascii="Times New Roman" w:hAnsi="Times New Roman" w:cs="Times New Roman" w:eastAsiaTheme="minorEastAsia"/>
          <w:color w:val="auto"/>
          <w:sz w:val="24"/>
          <w:szCs w:val="24"/>
        </w:rPr>
        <w:t>林地和</w:t>
      </w:r>
      <w:r>
        <w:rPr>
          <w:rFonts w:hint="default" w:ascii="Times New Roman" w:hAnsi="Times New Roman" w:cs="Times New Roman" w:eastAsiaTheme="minorEastAsia"/>
          <w:color w:val="auto"/>
          <w:sz w:val="24"/>
          <w:szCs w:val="24"/>
          <w:lang w:val="en-US" w:eastAsia="zh-CN"/>
        </w:rPr>
        <w:t>采矿</w:t>
      </w:r>
      <w:r>
        <w:rPr>
          <w:rFonts w:hint="default" w:ascii="Times New Roman" w:hAnsi="Times New Roman" w:cs="Times New Roman" w:eastAsiaTheme="minorEastAsia"/>
          <w:color w:val="auto"/>
          <w:sz w:val="24"/>
          <w:szCs w:val="24"/>
        </w:rPr>
        <w:t>用地，</w:t>
      </w:r>
      <w:r>
        <w:rPr>
          <w:rFonts w:hint="default" w:ascii="Times New Roman" w:hAnsi="Times New Roman" w:cs="Times New Roman" w:eastAsiaTheme="minorEastAsia"/>
          <w:color w:val="auto"/>
          <w:sz w:val="24"/>
          <w:szCs w:val="24"/>
          <w:lang w:val="en-US" w:eastAsia="zh-CN"/>
        </w:rPr>
        <w:t>项目东北侧约800米存在耕地。</w:t>
      </w:r>
      <w:r>
        <w:rPr>
          <w:rFonts w:hint="default" w:ascii="Times New Roman" w:hAnsi="Times New Roman" w:cs="Times New Roman" w:eastAsiaTheme="minorEastAsia"/>
          <w:color w:val="auto"/>
          <w:sz w:val="24"/>
          <w:szCs w:val="24"/>
        </w:rPr>
        <w:t>本项目土壤环境敏感程度确定为“敏感”。</w:t>
      </w:r>
    </w:p>
    <w:p w14:paraId="6BEB5651">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.5-</w:t>
      </w:r>
      <w:r>
        <w:rPr>
          <w:rFonts w:hint="default" w:ascii="Times New Roman" w:hAnsi="Times New Roman" w:eastAsia="黑体" w:cs="Times New Roman"/>
          <w:b w:val="0"/>
          <w:bCs/>
          <w:sz w:val="21"/>
          <w:szCs w:val="21"/>
          <w:lang w:val="en-US" w:eastAsia="zh-CN"/>
        </w:rPr>
        <w:t>6</w:t>
      </w:r>
      <w:r>
        <w:rPr>
          <w:rFonts w:hint="default" w:ascii="Times New Roman" w:hAnsi="Times New Roman" w:eastAsia="黑体" w:cs="Times New Roman"/>
          <w:b w:val="0"/>
          <w:bCs/>
          <w:sz w:val="21"/>
          <w:szCs w:val="21"/>
        </w:rPr>
        <w:t xml:space="preserve">  污染影响型评价工作等级划分表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724"/>
        <w:gridCol w:w="725"/>
        <w:gridCol w:w="725"/>
        <w:gridCol w:w="820"/>
        <w:gridCol w:w="820"/>
        <w:gridCol w:w="821"/>
        <w:gridCol w:w="820"/>
        <w:gridCol w:w="820"/>
        <w:gridCol w:w="821"/>
      </w:tblGrid>
      <w:tr w14:paraId="15288B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43" w:type="dxa"/>
            <w:vMerge w:val="restart"/>
            <w:tcBorders>
              <w:tl2br w:val="nil"/>
              <w:tr2bl w:val="nil"/>
            </w:tcBorders>
            <w:shd w:val="clear" w:color="auto" w:fill="auto"/>
            <w:vAlign w:val="center"/>
          </w:tcPr>
          <w:p w14:paraId="4B78E371">
            <w:pPr>
              <w:spacing w:line="240" w:lineRule="auto"/>
              <w:jc w:val="right"/>
              <w:rPr>
                <w:rFonts w:hint="default" w:ascii="Times New Roman" w:hAnsi="Times New Roman" w:cs="Times New Roman"/>
                <w:bCs/>
                <w:sz w:val="18"/>
                <w:szCs w:val="18"/>
              </w:rPr>
            </w:pPr>
            <w:r>
              <w:rPr>
                <w:rFonts w:hint="default" w:ascii="Times New Roman" w:hAnsi="Times New Roman" w:cs="Times New Roman"/>
                <w:sz w:val="18"/>
                <w:szCs w:val="18"/>
              </w:rPr>
              <mc:AlternateContent>
                <mc:Choice Requires="wps">
                  <w:drawing>
                    <wp:anchor distT="0" distB="0" distL="114300" distR="114300" simplePos="0" relativeHeight="251661312" behindDoc="0" locked="0" layoutInCell="1" allowOverlap="1">
                      <wp:simplePos x="0" y="0"/>
                      <wp:positionH relativeFrom="column">
                        <wp:posOffset>180975</wp:posOffset>
                      </wp:positionH>
                      <wp:positionV relativeFrom="paragraph">
                        <wp:posOffset>5080</wp:posOffset>
                      </wp:positionV>
                      <wp:extent cx="1142365" cy="612140"/>
                      <wp:effectExtent l="2540" t="4445" r="17145" b="12065"/>
                      <wp:wrapNone/>
                      <wp:docPr id="5" name="直接连接符 5"/>
                      <wp:cNvGraphicFramePr/>
                      <a:graphic xmlns:a="http://schemas.openxmlformats.org/drawingml/2006/main">
                        <a:graphicData uri="http://schemas.microsoft.com/office/word/2010/wordprocessingShape">
                          <wps:wsp>
                            <wps:cNvCnPr/>
                            <wps:spPr>
                              <a:xfrm flipH="1" flipV="1">
                                <a:off x="0" y="0"/>
                                <a:ext cx="1142365" cy="612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14.25pt;margin-top:0.4pt;height:48.2pt;width:89.95pt;z-index:251661312;mso-width-relative:page;mso-height-relative:page;" filled="f" stroked="t" coordsize="21600,21600" o:gfxdata="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OKXivRAAAABgEAAA8AAAAAAAAAAQAgAAAAIgAAAGRycy9kb3du&#10;cmV2LnhtbFBLAQIUABQAAAAIAIdO4kAVRaPsBgIAAP0DAAAOAAAAAAAAAAEAIAAAACABAABkcnMv&#10;ZTJvRG9jLnhtbFBLBQYAAAAABgAGAFkBAACYBQAAAAA=&#10;">
                      <v:fill on="f" focussize="0,0"/>
                      <v:stroke color="#000000" joinstyle="round"/>
                      <v:imagedata o:title=""/>
                      <o:lock v:ext="edit" aspectratio="f"/>
                    </v:line>
                  </w:pict>
                </mc:Fallback>
              </mc:AlternateContent>
            </w:r>
            <w:r>
              <w:rPr>
                <w:rFonts w:hint="default" w:ascii="Times New Roman" w:hAnsi="Times New Roman" w:cs="Times New Roman"/>
                <w:bCs/>
                <w:sz w:val="18"/>
                <w:szCs w:val="18"/>
              </w:rPr>
              <w:t>占地规模</w:t>
            </w:r>
          </w:p>
          <w:p w14:paraId="73535C87">
            <w:pPr>
              <w:spacing w:line="240" w:lineRule="auto"/>
              <w:rPr>
                <w:rFonts w:hint="default" w:ascii="Times New Roman" w:hAnsi="Times New Roman" w:cs="Times New Roman"/>
                <w:bCs/>
                <w:sz w:val="18"/>
                <w:szCs w:val="18"/>
              </w:rPr>
            </w:pPr>
            <w:r>
              <w:rPr>
                <w:rFonts w:hint="default" w:ascii="Times New Roman" w:hAnsi="Times New Roman" w:cs="Times New Roman"/>
                <w:sz w:val="18"/>
                <w:szCs w:val="18"/>
              </w:rPr>
              <mc:AlternateContent>
                <mc:Choice Requires="wps">
                  <w:drawing>
                    <wp:anchor distT="0" distB="0" distL="114300" distR="114300" simplePos="0" relativeHeight="251660288" behindDoc="0" locked="0" layoutInCell="1" allowOverlap="1">
                      <wp:simplePos x="0" y="0"/>
                      <wp:positionH relativeFrom="column">
                        <wp:posOffset>-85090</wp:posOffset>
                      </wp:positionH>
                      <wp:positionV relativeFrom="paragraph">
                        <wp:posOffset>186690</wp:posOffset>
                      </wp:positionV>
                      <wp:extent cx="1423035" cy="224790"/>
                      <wp:effectExtent l="635" t="4445" r="5080" b="18415"/>
                      <wp:wrapNone/>
                      <wp:docPr id="6" name="直接连接符 6"/>
                      <wp:cNvGraphicFramePr/>
                      <a:graphic xmlns:a="http://schemas.openxmlformats.org/drawingml/2006/main">
                        <a:graphicData uri="http://schemas.microsoft.com/office/word/2010/wordprocessingShape">
                          <wps:wsp>
                            <wps:cNvCnPr/>
                            <wps:spPr>
                              <a:xfrm flipH="1" flipV="1">
                                <a:off x="0" y="0"/>
                                <a:ext cx="1423035" cy="2247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6.7pt;margin-top:14.7pt;height:17.7pt;width:112.05pt;z-index:251660288;mso-width-relative:page;mso-height-relative:page;" filled="f" stroked="t" coordsize="21600,21600" o:gfxdata="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cnyZ3WAAAACQEAAA8AAAAAAAAAAQAgAAAAIgAAAGRy&#10;cy9kb3ducmV2LnhtbFBLAQIUABQAAAAIAIdO4kALout8BwIAAP0DAAAOAAAAAAAAAAEAIAAAACUB&#10;AABkcnMvZTJvRG9jLnhtbFBLBQYAAAAABgAGAFkBAACeBQAAAAA=&#10;">
                      <v:fill on="f" focussize="0,0"/>
                      <v:stroke color="#000000" joinstyle="round"/>
                      <v:imagedata o:title=""/>
                      <o:lock v:ext="edit" aspectratio="f"/>
                    </v:line>
                  </w:pict>
                </mc:Fallback>
              </mc:AlternateContent>
            </w:r>
            <w:r>
              <w:rPr>
                <w:rFonts w:hint="default" w:ascii="Times New Roman" w:hAnsi="Times New Roman" w:cs="Times New Roman"/>
                <w:bCs/>
                <w:sz w:val="18"/>
                <w:szCs w:val="18"/>
              </w:rPr>
              <w:t>评价工作等级</w:t>
            </w:r>
          </w:p>
          <w:p w14:paraId="4184167D">
            <w:pPr>
              <w:spacing w:line="240" w:lineRule="auto"/>
              <w:rPr>
                <w:rFonts w:hint="default" w:ascii="Times New Roman" w:hAnsi="Times New Roman" w:cs="Times New Roman"/>
                <w:bCs/>
                <w:sz w:val="18"/>
                <w:szCs w:val="18"/>
              </w:rPr>
            </w:pPr>
            <w:r>
              <w:rPr>
                <w:rFonts w:hint="default" w:ascii="Times New Roman" w:hAnsi="Times New Roman" w:cs="Times New Roman"/>
                <w:bCs/>
                <w:sz w:val="18"/>
                <w:szCs w:val="18"/>
              </w:rPr>
              <w:t>敏感程度</w:t>
            </w:r>
          </w:p>
        </w:tc>
        <w:tc>
          <w:tcPr>
            <w:tcW w:w="2126" w:type="dxa"/>
            <w:gridSpan w:val="3"/>
            <w:tcBorders>
              <w:tl2br w:val="nil"/>
              <w:tr2bl w:val="nil"/>
            </w:tcBorders>
            <w:shd w:val="clear" w:color="auto" w:fill="auto"/>
            <w:vAlign w:val="center"/>
          </w:tcPr>
          <w:p w14:paraId="7F2BCAA7">
            <w:pPr>
              <w:spacing w:line="240" w:lineRule="auto"/>
              <w:jc w:val="center"/>
              <w:rPr>
                <w:rFonts w:hint="default" w:ascii="Times New Roman" w:hAnsi="Times New Roman" w:cs="Times New Roman"/>
                <w:bCs/>
                <w:sz w:val="18"/>
                <w:szCs w:val="18"/>
              </w:rPr>
            </w:pPr>
            <w:r>
              <w:rPr>
                <w:rFonts w:hint="default" w:ascii="Times New Roman" w:hAnsi="Times New Roman" w:cs="Times New Roman"/>
                <w:bCs/>
                <w:sz w:val="18"/>
                <w:szCs w:val="18"/>
              </w:rPr>
              <w:t>I类</w:t>
            </w:r>
          </w:p>
        </w:tc>
        <w:tc>
          <w:tcPr>
            <w:tcW w:w="2410" w:type="dxa"/>
            <w:gridSpan w:val="3"/>
            <w:tcBorders>
              <w:tl2br w:val="nil"/>
              <w:tr2bl w:val="nil"/>
            </w:tcBorders>
            <w:shd w:val="clear" w:color="auto" w:fill="auto"/>
            <w:vAlign w:val="center"/>
          </w:tcPr>
          <w:p w14:paraId="6A2E2A37">
            <w:pPr>
              <w:spacing w:line="240" w:lineRule="auto"/>
              <w:jc w:val="center"/>
              <w:rPr>
                <w:rFonts w:hint="default" w:ascii="Times New Roman" w:hAnsi="Times New Roman" w:cs="Times New Roman"/>
                <w:bCs/>
                <w:sz w:val="18"/>
                <w:szCs w:val="18"/>
              </w:rPr>
            </w:pPr>
            <w:r>
              <w:rPr>
                <w:rFonts w:hint="default" w:ascii="Times New Roman" w:hAnsi="Times New Roman" w:cs="Times New Roman"/>
                <w:bCs/>
                <w:sz w:val="18"/>
                <w:szCs w:val="18"/>
              </w:rPr>
              <w:t>Ⅱ类</w:t>
            </w:r>
          </w:p>
        </w:tc>
        <w:tc>
          <w:tcPr>
            <w:tcW w:w="2410" w:type="dxa"/>
            <w:gridSpan w:val="3"/>
            <w:tcBorders>
              <w:tl2br w:val="nil"/>
              <w:tr2bl w:val="nil"/>
            </w:tcBorders>
            <w:shd w:val="clear" w:color="auto" w:fill="auto"/>
            <w:vAlign w:val="center"/>
          </w:tcPr>
          <w:p w14:paraId="787514A2">
            <w:pPr>
              <w:spacing w:line="240" w:lineRule="auto"/>
              <w:jc w:val="center"/>
              <w:rPr>
                <w:rFonts w:hint="default" w:ascii="Times New Roman" w:hAnsi="Times New Roman" w:cs="Times New Roman"/>
                <w:bCs/>
                <w:sz w:val="18"/>
                <w:szCs w:val="18"/>
              </w:rPr>
            </w:pPr>
            <w:r>
              <w:rPr>
                <w:rFonts w:hint="default" w:ascii="Times New Roman" w:hAnsi="Times New Roman" w:cs="Times New Roman"/>
                <w:bCs/>
                <w:sz w:val="18"/>
                <w:szCs w:val="18"/>
              </w:rPr>
              <w:t>Ⅲ类</w:t>
            </w:r>
          </w:p>
        </w:tc>
      </w:tr>
      <w:tr w14:paraId="781A15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vMerge w:val="continue"/>
            <w:tcBorders>
              <w:tl2br w:val="nil"/>
              <w:tr2bl w:val="nil"/>
            </w:tcBorders>
            <w:shd w:val="clear" w:color="auto" w:fill="auto"/>
            <w:vAlign w:val="center"/>
          </w:tcPr>
          <w:p w14:paraId="6F925C83">
            <w:pPr>
              <w:spacing w:line="240" w:lineRule="auto"/>
              <w:jc w:val="right"/>
              <w:rPr>
                <w:rFonts w:hint="default" w:ascii="Times New Roman" w:hAnsi="Times New Roman" w:cs="Times New Roman"/>
                <w:bCs/>
                <w:sz w:val="18"/>
                <w:szCs w:val="18"/>
              </w:rPr>
            </w:pPr>
          </w:p>
        </w:tc>
        <w:tc>
          <w:tcPr>
            <w:tcW w:w="708" w:type="dxa"/>
            <w:tcBorders>
              <w:tl2br w:val="nil"/>
              <w:tr2bl w:val="nil"/>
            </w:tcBorders>
            <w:shd w:val="clear" w:color="auto" w:fill="auto"/>
            <w:vAlign w:val="center"/>
          </w:tcPr>
          <w:p w14:paraId="1A86FC3D">
            <w:pPr>
              <w:spacing w:line="240" w:lineRule="auto"/>
              <w:jc w:val="center"/>
              <w:rPr>
                <w:rFonts w:hint="default" w:ascii="Times New Roman" w:hAnsi="Times New Roman" w:cs="Times New Roman"/>
                <w:bCs/>
                <w:sz w:val="18"/>
                <w:szCs w:val="18"/>
              </w:rPr>
            </w:pPr>
            <w:r>
              <w:rPr>
                <w:rFonts w:hint="default" w:ascii="Times New Roman" w:hAnsi="Times New Roman" w:cs="Times New Roman"/>
                <w:bCs/>
                <w:sz w:val="18"/>
                <w:szCs w:val="18"/>
              </w:rPr>
              <w:t>大</w:t>
            </w:r>
          </w:p>
        </w:tc>
        <w:tc>
          <w:tcPr>
            <w:tcW w:w="709" w:type="dxa"/>
            <w:tcBorders>
              <w:tl2br w:val="nil"/>
              <w:tr2bl w:val="nil"/>
            </w:tcBorders>
            <w:shd w:val="clear" w:color="auto" w:fill="auto"/>
            <w:vAlign w:val="center"/>
          </w:tcPr>
          <w:p w14:paraId="01085B63">
            <w:pPr>
              <w:spacing w:line="240" w:lineRule="auto"/>
              <w:jc w:val="center"/>
              <w:rPr>
                <w:rFonts w:hint="default" w:ascii="Times New Roman" w:hAnsi="Times New Roman" w:cs="Times New Roman"/>
                <w:bCs/>
                <w:sz w:val="18"/>
                <w:szCs w:val="18"/>
              </w:rPr>
            </w:pPr>
            <w:r>
              <w:rPr>
                <w:rFonts w:hint="default" w:ascii="Times New Roman" w:hAnsi="Times New Roman" w:cs="Times New Roman"/>
                <w:bCs/>
                <w:sz w:val="18"/>
                <w:szCs w:val="18"/>
              </w:rPr>
              <w:t>中</w:t>
            </w:r>
          </w:p>
        </w:tc>
        <w:tc>
          <w:tcPr>
            <w:tcW w:w="709" w:type="dxa"/>
            <w:tcBorders>
              <w:tl2br w:val="nil"/>
              <w:tr2bl w:val="nil"/>
            </w:tcBorders>
            <w:shd w:val="clear" w:color="auto" w:fill="auto"/>
            <w:vAlign w:val="center"/>
          </w:tcPr>
          <w:p w14:paraId="51B146DD">
            <w:pPr>
              <w:spacing w:line="240" w:lineRule="auto"/>
              <w:jc w:val="center"/>
              <w:rPr>
                <w:rFonts w:hint="default" w:ascii="Times New Roman" w:hAnsi="Times New Roman" w:cs="Times New Roman"/>
                <w:bCs/>
                <w:sz w:val="18"/>
                <w:szCs w:val="18"/>
              </w:rPr>
            </w:pPr>
            <w:r>
              <w:rPr>
                <w:rFonts w:hint="default" w:ascii="Times New Roman" w:hAnsi="Times New Roman" w:cs="Times New Roman"/>
                <w:bCs/>
                <w:sz w:val="18"/>
                <w:szCs w:val="18"/>
              </w:rPr>
              <w:t>小</w:t>
            </w:r>
          </w:p>
        </w:tc>
        <w:tc>
          <w:tcPr>
            <w:tcW w:w="803" w:type="dxa"/>
            <w:tcBorders>
              <w:tl2br w:val="nil"/>
              <w:tr2bl w:val="nil"/>
            </w:tcBorders>
            <w:shd w:val="clear" w:color="auto" w:fill="auto"/>
            <w:vAlign w:val="center"/>
          </w:tcPr>
          <w:p w14:paraId="085AF1B8">
            <w:pPr>
              <w:spacing w:line="240" w:lineRule="auto"/>
              <w:jc w:val="center"/>
              <w:rPr>
                <w:rFonts w:hint="default" w:ascii="Times New Roman" w:hAnsi="Times New Roman" w:cs="Times New Roman"/>
                <w:bCs/>
                <w:sz w:val="18"/>
                <w:szCs w:val="18"/>
              </w:rPr>
            </w:pPr>
            <w:r>
              <w:rPr>
                <w:rFonts w:hint="default" w:ascii="Times New Roman" w:hAnsi="Times New Roman" w:cs="Times New Roman"/>
                <w:bCs/>
                <w:sz w:val="18"/>
                <w:szCs w:val="18"/>
              </w:rPr>
              <w:t>大</w:t>
            </w:r>
          </w:p>
        </w:tc>
        <w:tc>
          <w:tcPr>
            <w:tcW w:w="803" w:type="dxa"/>
            <w:tcBorders>
              <w:tl2br w:val="nil"/>
              <w:tr2bl w:val="nil"/>
            </w:tcBorders>
            <w:shd w:val="clear" w:color="auto" w:fill="auto"/>
            <w:vAlign w:val="center"/>
          </w:tcPr>
          <w:p w14:paraId="1E304DD9">
            <w:pPr>
              <w:spacing w:line="240" w:lineRule="auto"/>
              <w:jc w:val="center"/>
              <w:rPr>
                <w:rFonts w:hint="default" w:ascii="Times New Roman" w:hAnsi="Times New Roman" w:cs="Times New Roman"/>
                <w:bCs/>
                <w:sz w:val="18"/>
                <w:szCs w:val="18"/>
              </w:rPr>
            </w:pPr>
            <w:r>
              <w:rPr>
                <w:rFonts w:hint="default" w:ascii="Times New Roman" w:hAnsi="Times New Roman" w:cs="Times New Roman"/>
                <w:bCs/>
                <w:sz w:val="18"/>
                <w:szCs w:val="18"/>
              </w:rPr>
              <w:t>中</w:t>
            </w:r>
          </w:p>
        </w:tc>
        <w:tc>
          <w:tcPr>
            <w:tcW w:w="804" w:type="dxa"/>
            <w:tcBorders>
              <w:tl2br w:val="nil"/>
              <w:tr2bl w:val="nil"/>
            </w:tcBorders>
            <w:shd w:val="clear" w:color="auto" w:fill="auto"/>
            <w:vAlign w:val="center"/>
          </w:tcPr>
          <w:p w14:paraId="791F4137">
            <w:pPr>
              <w:spacing w:line="240" w:lineRule="auto"/>
              <w:jc w:val="center"/>
              <w:rPr>
                <w:rFonts w:hint="default" w:ascii="Times New Roman" w:hAnsi="Times New Roman" w:cs="Times New Roman"/>
                <w:bCs/>
                <w:sz w:val="18"/>
                <w:szCs w:val="18"/>
              </w:rPr>
            </w:pPr>
            <w:r>
              <w:rPr>
                <w:rFonts w:hint="default" w:ascii="Times New Roman" w:hAnsi="Times New Roman" w:cs="Times New Roman"/>
                <w:bCs/>
                <w:sz w:val="18"/>
                <w:szCs w:val="18"/>
              </w:rPr>
              <w:t>小</w:t>
            </w:r>
          </w:p>
        </w:tc>
        <w:tc>
          <w:tcPr>
            <w:tcW w:w="803" w:type="dxa"/>
            <w:tcBorders>
              <w:tl2br w:val="nil"/>
              <w:tr2bl w:val="nil"/>
            </w:tcBorders>
            <w:shd w:val="clear" w:color="auto" w:fill="auto"/>
            <w:vAlign w:val="center"/>
          </w:tcPr>
          <w:p w14:paraId="675AF05C">
            <w:pPr>
              <w:spacing w:line="240" w:lineRule="auto"/>
              <w:jc w:val="center"/>
              <w:rPr>
                <w:rFonts w:hint="default" w:ascii="Times New Roman" w:hAnsi="Times New Roman" w:cs="Times New Roman"/>
                <w:bCs/>
                <w:sz w:val="18"/>
                <w:szCs w:val="18"/>
              </w:rPr>
            </w:pPr>
            <w:r>
              <w:rPr>
                <w:rFonts w:hint="default" w:ascii="Times New Roman" w:hAnsi="Times New Roman" w:cs="Times New Roman"/>
                <w:bCs/>
                <w:sz w:val="18"/>
                <w:szCs w:val="18"/>
              </w:rPr>
              <w:t>大</w:t>
            </w:r>
          </w:p>
        </w:tc>
        <w:tc>
          <w:tcPr>
            <w:tcW w:w="803" w:type="dxa"/>
            <w:tcBorders>
              <w:tl2br w:val="nil"/>
              <w:tr2bl w:val="nil"/>
            </w:tcBorders>
            <w:shd w:val="clear" w:color="auto" w:fill="auto"/>
            <w:vAlign w:val="center"/>
          </w:tcPr>
          <w:p w14:paraId="3E39B8FF">
            <w:pPr>
              <w:spacing w:line="240" w:lineRule="auto"/>
              <w:jc w:val="center"/>
              <w:rPr>
                <w:rFonts w:hint="default" w:ascii="Times New Roman" w:hAnsi="Times New Roman" w:cs="Times New Roman"/>
                <w:bCs/>
                <w:sz w:val="18"/>
                <w:szCs w:val="18"/>
              </w:rPr>
            </w:pPr>
            <w:r>
              <w:rPr>
                <w:rFonts w:hint="default" w:ascii="Times New Roman" w:hAnsi="Times New Roman" w:cs="Times New Roman"/>
                <w:bCs/>
                <w:sz w:val="18"/>
                <w:szCs w:val="18"/>
              </w:rPr>
              <w:t>中</w:t>
            </w:r>
          </w:p>
        </w:tc>
        <w:tc>
          <w:tcPr>
            <w:tcW w:w="804" w:type="dxa"/>
            <w:tcBorders>
              <w:tl2br w:val="nil"/>
              <w:tr2bl w:val="nil"/>
            </w:tcBorders>
            <w:shd w:val="clear" w:color="auto" w:fill="auto"/>
            <w:vAlign w:val="center"/>
          </w:tcPr>
          <w:p w14:paraId="5B619A17">
            <w:pPr>
              <w:spacing w:line="240" w:lineRule="auto"/>
              <w:jc w:val="center"/>
              <w:rPr>
                <w:rFonts w:hint="default" w:ascii="Times New Roman" w:hAnsi="Times New Roman" w:cs="Times New Roman"/>
                <w:bCs/>
                <w:sz w:val="18"/>
                <w:szCs w:val="18"/>
              </w:rPr>
            </w:pPr>
            <w:r>
              <w:rPr>
                <w:rFonts w:hint="default" w:ascii="Times New Roman" w:hAnsi="Times New Roman" w:cs="Times New Roman"/>
                <w:bCs/>
                <w:sz w:val="18"/>
                <w:szCs w:val="18"/>
              </w:rPr>
              <w:t>小</w:t>
            </w:r>
          </w:p>
        </w:tc>
      </w:tr>
      <w:tr w14:paraId="03D030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tcBorders>
              <w:tl2br w:val="nil"/>
              <w:tr2bl w:val="nil"/>
            </w:tcBorders>
            <w:shd w:val="clear" w:color="auto" w:fill="auto"/>
            <w:vAlign w:val="center"/>
          </w:tcPr>
          <w:p w14:paraId="0E75EE7C">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敏感</w:t>
            </w:r>
          </w:p>
        </w:tc>
        <w:tc>
          <w:tcPr>
            <w:tcW w:w="708" w:type="dxa"/>
            <w:tcBorders>
              <w:tl2br w:val="nil"/>
              <w:tr2bl w:val="nil"/>
            </w:tcBorders>
            <w:shd w:val="clear" w:color="auto" w:fill="auto"/>
            <w:vAlign w:val="center"/>
          </w:tcPr>
          <w:p w14:paraId="024F0C25">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一级</w:t>
            </w:r>
          </w:p>
        </w:tc>
        <w:tc>
          <w:tcPr>
            <w:tcW w:w="709" w:type="dxa"/>
            <w:tcBorders>
              <w:tl2br w:val="nil"/>
              <w:tr2bl w:val="nil"/>
            </w:tcBorders>
            <w:shd w:val="clear" w:color="auto" w:fill="auto"/>
            <w:vAlign w:val="center"/>
          </w:tcPr>
          <w:p w14:paraId="3FA9ABAA">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一级</w:t>
            </w:r>
          </w:p>
        </w:tc>
        <w:tc>
          <w:tcPr>
            <w:tcW w:w="709" w:type="dxa"/>
            <w:tcBorders>
              <w:tl2br w:val="nil"/>
              <w:tr2bl w:val="nil"/>
            </w:tcBorders>
            <w:shd w:val="clear" w:color="auto" w:fill="E7E6E6" w:themeFill="background2"/>
            <w:vAlign w:val="center"/>
          </w:tcPr>
          <w:p w14:paraId="272CCBD9">
            <w:pPr>
              <w:spacing w:line="240" w:lineRule="auto"/>
              <w:jc w:val="center"/>
              <w:rPr>
                <w:rFonts w:hint="default" w:ascii="Times New Roman" w:hAnsi="Times New Roman" w:cs="Times New Roman"/>
                <w:sz w:val="18"/>
                <w:szCs w:val="18"/>
                <w:shd w:val="pct10" w:color="auto" w:fill="FFFFFF"/>
              </w:rPr>
            </w:pPr>
            <w:r>
              <w:rPr>
                <w:rFonts w:hint="default" w:ascii="Times New Roman" w:hAnsi="Times New Roman" w:cs="Times New Roman"/>
                <w:sz w:val="18"/>
                <w:szCs w:val="18"/>
              </w:rPr>
              <w:t>一级</w:t>
            </w:r>
          </w:p>
        </w:tc>
        <w:tc>
          <w:tcPr>
            <w:tcW w:w="803" w:type="dxa"/>
            <w:tcBorders>
              <w:tl2br w:val="nil"/>
              <w:tr2bl w:val="nil"/>
            </w:tcBorders>
            <w:shd w:val="clear" w:color="auto" w:fill="auto"/>
            <w:vAlign w:val="center"/>
          </w:tcPr>
          <w:p w14:paraId="4CC89490">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803" w:type="dxa"/>
            <w:tcBorders>
              <w:tl2br w:val="nil"/>
              <w:tr2bl w:val="nil"/>
            </w:tcBorders>
            <w:shd w:val="clear" w:color="auto" w:fill="auto"/>
            <w:vAlign w:val="center"/>
          </w:tcPr>
          <w:p w14:paraId="742A5FEF">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804" w:type="dxa"/>
            <w:tcBorders>
              <w:tl2br w:val="nil"/>
              <w:tr2bl w:val="nil"/>
            </w:tcBorders>
            <w:shd w:val="clear" w:color="auto" w:fill="auto"/>
            <w:vAlign w:val="center"/>
          </w:tcPr>
          <w:p w14:paraId="4384746B">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803" w:type="dxa"/>
            <w:tcBorders>
              <w:tl2br w:val="nil"/>
              <w:tr2bl w:val="nil"/>
            </w:tcBorders>
            <w:shd w:val="clear" w:color="auto" w:fill="auto"/>
            <w:vAlign w:val="center"/>
          </w:tcPr>
          <w:p w14:paraId="7097DA6A">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三级</w:t>
            </w:r>
          </w:p>
        </w:tc>
        <w:tc>
          <w:tcPr>
            <w:tcW w:w="803" w:type="dxa"/>
            <w:tcBorders>
              <w:tl2br w:val="nil"/>
              <w:tr2bl w:val="nil"/>
            </w:tcBorders>
            <w:shd w:val="clear" w:color="auto" w:fill="auto"/>
            <w:vAlign w:val="center"/>
          </w:tcPr>
          <w:p w14:paraId="5ABC9E7A">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三级</w:t>
            </w:r>
          </w:p>
        </w:tc>
        <w:tc>
          <w:tcPr>
            <w:tcW w:w="804" w:type="dxa"/>
            <w:tcBorders>
              <w:tl2br w:val="nil"/>
              <w:tr2bl w:val="nil"/>
            </w:tcBorders>
            <w:shd w:val="clear" w:color="auto" w:fill="auto"/>
            <w:vAlign w:val="center"/>
          </w:tcPr>
          <w:p w14:paraId="2FC7DC43">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三级</w:t>
            </w:r>
          </w:p>
        </w:tc>
      </w:tr>
      <w:tr w14:paraId="509816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tcBorders>
              <w:tl2br w:val="nil"/>
              <w:tr2bl w:val="nil"/>
            </w:tcBorders>
            <w:shd w:val="clear" w:color="auto" w:fill="auto"/>
            <w:vAlign w:val="center"/>
          </w:tcPr>
          <w:p w14:paraId="46464CFF">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较敏感</w:t>
            </w:r>
          </w:p>
        </w:tc>
        <w:tc>
          <w:tcPr>
            <w:tcW w:w="708" w:type="dxa"/>
            <w:tcBorders>
              <w:tl2br w:val="nil"/>
              <w:tr2bl w:val="nil"/>
            </w:tcBorders>
            <w:shd w:val="clear" w:color="auto" w:fill="auto"/>
            <w:vAlign w:val="center"/>
          </w:tcPr>
          <w:p w14:paraId="474AB7A0">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一级</w:t>
            </w:r>
          </w:p>
        </w:tc>
        <w:tc>
          <w:tcPr>
            <w:tcW w:w="709" w:type="dxa"/>
            <w:tcBorders>
              <w:tl2br w:val="nil"/>
              <w:tr2bl w:val="nil"/>
            </w:tcBorders>
            <w:shd w:val="clear" w:color="auto" w:fill="auto"/>
            <w:vAlign w:val="center"/>
          </w:tcPr>
          <w:p w14:paraId="75A6CEBA">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一级</w:t>
            </w:r>
          </w:p>
        </w:tc>
        <w:tc>
          <w:tcPr>
            <w:tcW w:w="709" w:type="dxa"/>
            <w:tcBorders>
              <w:tl2br w:val="nil"/>
              <w:tr2bl w:val="nil"/>
            </w:tcBorders>
            <w:shd w:val="clear" w:color="auto" w:fill="auto"/>
            <w:vAlign w:val="center"/>
          </w:tcPr>
          <w:p w14:paraId="15A6BE40">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shd w:val="clear"/>
              </w:rPr>
              <w:t>二级</w:t>
            </w:r>
          </w:p>
        </w:tc>
        <w:tc>
          <w:tcPr>
            <w:tcW w:w="803" w:type="dxa"/>
            <w:tcBorders>
              <w:tl2br w:val="nil"/>
              <w:tr2bl w:val="nil"/>
            </w:tcBorders>
            <w:shd w:val="clear" w:color="auto" w:fill="auto"/>
            <w:vAlign w:val="center"/>
          </w:tcPr>
          <w:p w14:paraId="6FEB1E29">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803" w:type="dxa"/>
            <w:tcBorders>
              <w:tl2br w:val="nil"/>
              <w:tr2bl w:val="nil"/>
            </w:tcBorders>
            <w:shd w:val="clear" w:color="auto" w:fill="auto"/>
            <w:vAlign w:val="center"/>
          </w:tcPr>
          <w:p w14:paraId="107599DE">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804" w:type="dxa"/>
            <w:tcBorders>
              <w:tl2br w:val="nil"/>
              <w:tr2bl w:val="nil"/>
            </w:tcBorders>
            <w:shd w:val="clear" w:color="auto" w:fill="auto"/>
            <w:vAlign w:val="center"/>
          </w:tcPr>
          <w:p w14:paraId="0BB2D3C6">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三级</w:t>
            </w:r>
          </w:p>
        </w:tc>
        <w:tc>
          <w:tcPr>
            <w:tcW w:w="803" w:type="dxa"/>
            <w:tcBorders>
              <w:tl2br w:val="nil"/>
              <w:tr2bl w:val="nil"/>
            </w:tcBorders>
            <w:shd w:val="clear" w:color="auto" w:fill="auto"/>
            <w:vAlign w:val="center"/>
          </w:tcPr>
          <w:p w14:paraId="12D146E0">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三级</w:t>
            </w:r>
          </w:p>
        </w:tc>
        <w:tc>
          <w:tcPr>
            <w:tcW w:w="803" w:type="dxa"/>
            <w:tcBorders>
              <w:tl2br w:val="nil"/>
              <w:tr2bl w:val="nil"/>
            </w:tcBorders>
            <w:shd w:val="clear" w:color="auto" w:fill="auto"/>
            <w:vAlign w:val="center"/>
          </w:tcPr>
          <w:p w14:paraId="4C43A1FE">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三级</w:t>
            </w:r>
          </w:p>
        </w:tc>
        <w:tc>
          <w:tcPr>
            <w:tcW w:w="804" w:type="dxa"/>
            <w:tcBorders>
              <w:tl2br w:val="nil"/>
              <w:tr2bl w:val="nil"/>
            </w:tcBorders>
            <w:shd w:val="clear" w:color="auto" w:fill="auto"/>
            <w:vAlign w:val="center"/>
          </w:tcPr>
          <w:p w14:paraId="52C89DB1">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14:paraId="139410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tcBorders>
              <w:tl2br w:val="nil"/>
              <w:tr2bl w:val="nil"/>
            </w:tcBorders>
            <w:shd w:val="clear" w:color="auto" w:fill="auto"/>
            <w:vAlign w:val="center"/>
          </w:tcPr>
          <w:p w14:paraId="7048A281">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不敏感</w:t>
            </w:r>
          </w:p>
        </w:tc>
        <w:tc>
          <w:tcPr>
            <w:tcW w:w="708" w:type="dxa"/>
            <w:tcBorders>
              <w:tl2br w:val="nil"/>
              <w:tr2bl w:val="nil"/>
            </w:tcBorders>
            <w:shd w:val="clear" w:color="auto" w:fill="auto"/>
            <w:vAlign w:val="center"/>
          </w:tcPr>
          <w:p w14:paraId="46497765">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一级</w:t>
            </w:r>
          </w:p>
        </w:tc>
        <w:tc>
          <w:tcPr>
            <w:tcW w:w="709" w:type="dxa"/>
            <w:tcBorders>
              <w:tl2br w:val="nil"/>
              <w:tr2bl w:val="nil"/>
            </w:tcBorders>
            <w:shd w:val="clear" w:color="auto" w:fill="auto"/>
            <w:vAlign w:val="center"/>
          </w:tcPr>
          <w:p w14:paraId="320EC6E2">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709" w:type="dxa"/>
            <w:tcBorders>
              <w:tl2br w:val="nil"/>
              <w:tr2bl w:val="nil"/>
            </w:tcBorders>
            <w:shd w:val="clear" w:color="auto" w:fill="auto"/>
            <w:vAlign w:val="center"/>
          </w:tcPr>
          <w:p w14:paraId="415377BB">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803" w:type="dxa"/>
            <w:tcBorders>
              <w:tl2br w:val="nil"/>
              <w:tr2bl w:val="nil"/>
            </w:tcBorders>
            <w:shd w:val="clear" w:color="auto" w:fill="auto"/>
            <w:vAlign w:val="center"/>
          </w:tcPr>
          <w:p w14:paraId="3B18D72C">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803" w:type="dxa"/>
            <w:tcBorders>
              <w:tl2br w:val="nil"/>
              <w:tr2bl w:val="nil"/>
            </w:tcBorders>
            <w:shd w:val="clear" w:color="auto" w:fill="auto"/>
            <w:vAlign w:val="center"/>
          </w:tcPr>
          <w:p w14:paraId="593A1AE3">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三级</w:t>
            </w:r>
          </w:p>
        </w:tc>
        <w:tc>
          <w:tcPr>
            <w:tcW w:w="804" w:type="dxa"/>
            <w:tcBorders>
              <w:tl2br w:val="nil"/>
              <w:tr2bl w:val="nil"/>
            </w:tcBorders>
            <w:shd w:val="clear" w:color="auto" w:fill="auto"/>
            <w:vAlign w:val="center"/>
          </w:tcPr>
          <w:p w14:paraId="7B3399D7">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三级</w:t>
            </w:r>
          </w:p>
        </w:tc>
        <w:tc>
          <w:tcPr>
            <w:tcW w:w="803" w:type="dxa"/>
            <w:tcBorders>
              <w:tl2br w:val="nil"/>
              <w:tr2bl w:val="nil"/>
            </w:tcBorders>
            <w:shd w:val="clear" w:color="auto" w:fill="auto"/>
            <w:vAlign w:val="center"/>
          </w:tcPr>
          <w:p w14:paraId="486DB86F">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三级</w:t>
            </w:r>
          </w:p>
        </w:tc>
        <w:tc>
          <w:tcPr>
            <w:tcW w:w="803" w:type="dxa"/>
            <w:tcBorders>
              <w:tl2br w:val="nil"/>
              <w:tr2bl w:val="nil"/>
            </w:tcBorders>
            <w:shd w:val="clear" w:color="auto" w:fill="auto"/>
            <w:vAlign w:val="center"/>
          </w:tcPr>
          <w:p w14:paraId="0AFE3BE2">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804" w:type="dxa"/>
            <w:tcBorders>
              <w:tl2br w:val="nil"/>
              <w:tr2bl w:val="nil"/>
            </w:tcBorders>
            <w:shd w:val="clear" w:color="auto" w:fill="auto"/>
            <w:vAlign w:val="center"/>
          </w:tcPr>
          <w:p w14:paraId="2E0DB41D">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14:paraId="26CD3E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89" w:type="dxa"/>
            <w:gridSpan w:val="10"/>
            <w:tcBorders>
              <w:tl2br w:val="nil"/>
              <w:tr2bl w:val="nil"/>
            </w:tcBorders>
            <w:shd w:val="clear" w:color="auto" w:fill="auto"/>
            <w:vAlign w:val="center"/>
          </w:tcPr>
          <w:p w14:paraId="53B836BF">
            <w:pPr>
              <w:spacing w:line="240" w:lineRule="auto"/>
              <w:ind w:firstLine="420"/>
              <w:rPr>
                <w:rFonts w:hint="default" w:ascii="Times New Roman" w:hAnsi="Times New Roman" w:cs="Times New Roman"/>
                <w:sz w:val="18"/>
                <w:szCs w:val="18"/>
              </w:rPr>
            </w:pPr>
            <w:r>
              <w:rPr>
                <w:rFonts w:hint="default" w:ascii="Times New Roman" w:hAnsi="Times New Roman" w:cs="Times New Roman"/>
                <w:sz w:val="18"/>
                <w:szCs w:val="18"/>
              </w:rPr>
              <w:t>注：“—”表示可不开展土壤环境影响评价工作</w:t>
            </w:r>
          </w:p>
        </w:tc>
      </w:tr>
    </w:tbl>
    <w:p w14:paraId="5FAD489D">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因此，本项目土壤环境影响评价工作等级为“</w:t>
      </w:r>
      <w:r>
        <w:rPr>
          <w:rFonts w:hint="default" w:ascii="Times New Roman" w:hAnsi="Times New Roman" w:cs="Times New Roman" w:eastAsiaTheme="minorEastAsia"/>
          <w:bCs/>
          <w:color w:val="auto"/>
          <w:sz w:val="24"/>
          <w:szCs w:val="24"/>
        </w:rPr>
        <w:fldChar w:fldCharType="begin"/>
      </w:r>
      <w:r>
        <w:rPr>
          <w:rFonts w:hint="default" w:ascii="Times New Roman" w:hAnsi="Times New Roman" w:cs="Times New Roman" w:eastAsiaTheme="minorEastAsia"/>
          <w:bCs/>
          <w:color w:val="auto"/>
          <w:sz w:val="24"/>
          <w:szCs w:val="24"/>
        </w:rPr>
        <w:instrText xml:space="preserve"> = 1 \* ROMAN </w:instrText>
      </w:r>
      <w:r>
        <w:rPr>
          <w:rFonts w:hint="default" w:ascii="Times New Roman" w:hAnsi="Times New Roman" w:cs="Times New Roman" w:eastAsiaTheme="minorEastAsia"/>
          <w:bCs/>
          <w:color w:val="auto"/>
          <w:sz w:val="24"/>
          <w:szCs w:val="24"/>
        </w:rPr>
        <w:fldChar w:fldCharType="separate"/>
      </w:r>
      <w:r>
        <w:rPr>
          <w:rFonts w:hint="default" w:ascii="Times New Roman" w:hAnsi="Times New Roman" w:cs="Times New Roman" w:eastAsiaTheme="minorEastAsia"/>
          <w:bCs/>
          <w:color w:val="auto"/>
          <w:sz w:val="24"/>
          <w:szCs w:val="24"/>
        </w:rPr>
        <w:t>I</w:t>
      </w:r>
      <w:r>
        <w:rPr>
          <w:rFonts w:hint="default" w:ascii="Times New Roman" w:hAnsi="Times New Roman" w:cs="Times New Roman" w:eastAsiaTheme="minorEastAsia"/>
          <w:bCs/>
          <w:color w:val="auto"/>
          <w:sz w:val="24"/>
          <w:szCs w:val="24"/>
        </w:rPr>
        <w:fldChar w:fldCharType="end"/>
      </w:r>
      <w:r>
        <w:rPr>
          <w:rFonts w:hint="default" w:ascii="Times New Roman" w:hAnsi="Times New Roman" w:cs="Times New Roman" w:eastAsiaTheme="minorEastAsia"/>
          <w:bCs/>
          <w:color w:val="auto"/>
          <w:sz w:val="24"/>
          <w:szCs w:val="24"/>
        </w:rPr>
        <w:t>类</w:t>
      </w:r>
      <w:r>
        <w:rPr>
          <w:rFonts w:hint="default" w:ascii="Times New Roman" w:hAnsi="Times New Roman" w:cs="Times New Roman" w:eastAsiaTheme="minorEastAsia"/>
          <w:bCs/>
          <w:color w:val="auto"/>
          <w:sz w:val="24"/>
          <w:szCs w:val="24"/>
          <w:lang w:eastAsia="zh-CN"/>
        </w:rPr>
        <w:t>－</w:t>
      </w:r>
      <w:r>
        <w:rPr>
          <w:rFonts w:hint="default" w:ascii="Times New Roman" w:hAnsi="Times New Roman" w:cs="Times New Roman" w:eastAsiaTheme="minorEastAsia"/>
          <w:color w:val="auto"/>
          <w:sz w:val="24"/>
          <w:szCs w:val="24"/>
        </w:rPr>
        <w:t>小型</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敏感”，土壤环境影响评价等级为</w:t>
      </w:r>
      <w:r>
        <w:rPr>
          <w:rFonts w:hint="default" w:ascii="Times New Roman" w:hAnsi="Times New Roman" w:cs="Times New Roman" w:eastAsiaTheme="minorEastAsia"/>
          <w:color w:val="auto"/>
          <w:sz w:val="24"/>
          <w:szCs w:val="24"/>
          <w:lang w:val="en-US" w:eastAsia="zh-CN"/>
        </w:rPr>
        <w:t>一</w:t>
      </w:r>
      <w:r>
        <w:rPr>
          <w:rFonts w:hint="default" w:ascii="Times New Roman" w:hAnsi="Times New Roman" w:cs="Times New Roman" w:eastAsiaTheme="minorEastAsia"/>
          <w:color w:val="auto"/>
          <w:sz w:val="24"/>
          <w:szCs w:val="24"/>
        </w:rPr>
        <w:t>级评价。</w:t>
      </w:r>
    </w:p>
    <w:p w14:paraId="24C8F7D9">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5、声环境</w:t>
      </w:r>
    </w:p>
    <w:p w14:paraId="7A1F70B8">
      <w:pPr>
        <w:autoSpaceDE w:val="0"/>
        <w:autoSpaceDN w:val="0"/>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cs="Times New Roman" w:eastAsiaTheme="minorEastAsia"/>
          <w:sz w:val="24"/>
          <w:szCs w:val="24"/>
        </w:rPr>
        <w:t>本项目所在地区为声环境质量2类功能区，根据《环境影响评价技术导则 声环境》（HJ2.4-2021）</w:t>
      </w:r>
      <w:r>
        <w:rPr>
          <w:rFonts w:hint="default" w:ascii="Times New Roman" w:hAnsi="Times New Roman" w:eastAsia="宋体" w:cs="Times New Roman"/>
          <w:b w:val="0"/>
          <w:bCs w:val="0"/>
          <w:color w:val="auto"/>
          <w:sz w:val="24"/>
          <w:szCs w:val="24"/>
        </w:rPr>
        <w:t>噪声评价工作等级应主要依据项目所在区域的声环境功能区类别、项目建设前后所在区域的声环境质量变化程度以及受项目影响人口的数量来划分，划分依据见表2.5-</w:t>
      </w:r>
      <w:r>
        <w:rPr>
          <w:rFonts w:hint="default" w:ascii="Times New Roman" w:hAnsi="Times New Roman" w:cs="Times New Roman"/>
          <w:b w:val="0"/>
          <w:bCs w:val="0"/>
          <w:color w:val="auto"/>
          <w:sz w:val="24"/>
          <w:szCs w:val="24"/>
          <w:lang w:val="en-US" w:eastAsia="zh-CN"/>
        </w:rPr>
        <w:t>7</w:t>
      </w:r>
      <w:r>
        <w:rPr>
          <w:rFonts w:hint="default" w:ascii="Times New Roman" w:hAnsi="Times New Roman" w:eastAsia="宋体" w:cs="Times New Roman"/>
          <w:b w:val="0"/>
          <w:bCs w:val="0"/>
          <w:color w:val="auto"/>
          <w:sz w:val="24"/>
          <w:szCs w:val="24"/>
        </w:rPr>
        <w:t>。</w:t>
      </w:r>
    </w:p>
    <w:p w14:paraId="4ED6EF19">
      <w:pPr>
        <w:adjustRightInd w:val="0"/>
        <w:snapToGrid w:val="0"/>
        <w:spacing w:line="360" w:lineRule="auto"/>
        <w:jc w:val="center"/>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表2.5-</w:t>
      </w:r>
      <w:r>
        <w:rPr>
          <w:rFonts w:hint="default" w:ascii="Times New Roman" w:hAnsi="Times New Roman" w:eastAsia="黑体" w:cs="Times New Roman"/>
          <w:b w:val="0"/>
          <w:bCs w:val="0"/>
          <w:color w:val="auto"/>
          <w:kern w:val="0"/>
          <w:sz w:val="21"/>
          <w:szCs w:val="21"/>
          <w:lang w:val="en-US" w:eastAsia="zh-CN"/>
        </w:rPr>
        <w:t xml:space="preserve">7  </w:t>
      </w:r>
      <w:r>
        <w:rPr>
          <w:rFonts w:hint="default" w:ascii="Times New Roman" w:hAnsi="Times New Roman" w:eastAsia="黑体" w:cs="Times New Roman"/>
          <w:b w:val="0"/>
          <w:bCs w:val="0"/>
          <w:color w:val="auto"/>
          <w:kern w:val="0"/>
          <w:sz w:val="21"/>
          <w:szCs w:val="21"/>
        </w:rPr>
        <w:t>声环境评价工作等级划分（相关部分）</w:t>
      </w:r>
    </w:p>
    <w:tbl>
      <w:tblPr>
        <w:tblStyle w:val="2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2162"/>
        <w:gridCol w:w="2474"/>
        <w:gridCol w:w="2524"/>
      </w:tblGrid>
      <w:tr w14:paraId="02BC0A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5" w:type="pct"/>
            <w:noWrap w:val="0"/>
            <w:vAlign w:val="center"/>
          </w:tcPr>
          <w:p w14:paraId="62B181AF">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kern w:val="0"/>
                <w:sz w:val="18"/>
                <w:szCs w:val="18"/>
              </w:rPr>
              <w:t>评价工作等级</w:t>
            </w:r>
          </w:p>
        </w:tc>
        <w:tc>
          <w:tcPr>
            <w:tcW w:w="1164" w:type="pct"/>
            <w:noWrap w:val="0"/>
            <w:vAlign w:val="center"/>
          </w:tcPr>
          <w:p w14:paraId="7A7F0B3B">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kern w:val="0"/>
                <w:sz w:val="18"/>
                <w:szCs w:val="18"/>
              </w:rPr>
              <w:t>一级</w:t>
            </w:r>
          </w:p>
        </w:tc>
        <w:tc>
          <w:tcPr>
            <w:tcW w:w="1332" w:type="pct"/>
            <w:noWrap w:val="0"/>
            <w:vAlign w:val="center"/>
          </w:tcPr>
          <w:p w14:paraId="41EF2535">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kern w:val="0"/>
                <w:sz w:val="18"/>
                <w:szCs w:val="18"/>
              </w:rPr>
              <w:t>二级</w:t>
            </w:r>
          </w:p>
        </w:tc>
        <w:tc>
          <w:tcPr>
            <w:tcW w:w="1359" w:type="pct"/>
            <w:noWrap w:val="0"/>
            <w:vAlign w:val="center"/>
          </w:tcPr>
          <w:p w14:paraId="1F7D5E13">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kern w:val="0"/>
                <w:sz w:val="18"/>
                <w:szCs w:val="18"/>
              </w:rPr>
              <w:t>三级</w:t>
            </w:r>
          </w:p>
        </w:tc>
      </w:tr>
      <w:tr w14:paraId="3C0E44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45" w:type="pct"/>
            <w:noWrap w:val="0"/>
            <w:vAlign w:val="center"/>
          </w:tcPr>
          <w:p w14:paraId="1A94D910">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sz w:val="18"/>
                <w:szCs w:val="18"/>
              </w:rPr>
              <w:t>声环境功能区</w:t>
            </w:r>
          </w:p>
        </w:tc>
        <w:tc>
          <w:tcPr>
            <w:tcW w:w="1164" w:type="pct"/>
            <w:noWrap w:val="0"/>
            <w:vAlign w:val="center"/>
          </w:tcPr>
          <w:p w14:paraId="52798C90">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sz w:val="18"/>
                <w:szCs w:val="18"/>
              </w:rPr>
              <w:t>GB3096-2008，0类</w:t>
            </w:r>
          </w:p>
        </w:tc>
        <w:tc>
          <w:tcPr>
            <w:tcW w:w="1332" w:type="pct"/>
            <w:noWrap w:val="0"/>
            <w:vAlign w:val="center"/>
          </w:tcPr>
          <w:p w14:paraId="6801542B">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sz w:val="18"/>
                <w:szCs w:val="18"/>
              </w:rPr>
              <w:t>GB3096-2008，1、2类</w:t>
            </w:r>
          </w:p>
        </w:tc>
        <w:tc>
          <w:tcPr>
            <w:tcW w:w="1359" w:type="pct"/>
            <w:noWrap w:val="0"/>
            <w:vAlign w:val="center"/>
          </w:tcPr>
          <w:p w14:paraId="26D3C519">
            <w:pPr>
              <w:widowControl/>
              <w:spacing w:line="240" w:lineRule="auto"/>
              <w:jc w:val="left"/>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kern w:val="0"/>
                <w:sz w:val="18"/>
                <w:szCs w:val="18"/>
              </w:rPr>
              <w:t>GB3096-2008，3、4类</w:t>
            </w:r>
          </w:p>
        </w:tc>
      </w:tr>
      <w:tr w14:paraId="47038E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5" w:type="pct"/>
            <w:noWrap w:val="0"/>
            <w:vAlign w:val="center"/>
          </w:tcPr>
          <w:p w14:paraId="0798CD36">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sz w:val="18"/>
                <w:szCs w:val="18"/>
              </w:rPr>
              <w:t>建设后噪声增加值</w:t>
            </w:r>
          </w:p>
        </w:tc>
        <w:tc>
          <w:tcPr>
            <w:tcW w:w="1164" w:type="pct"/>
            <w:noWrap w:val="0"/>
            <w:vAlign w:val="center"/>
          </w:tcPr>
          <w:p w14:paraId="79B7B0B2">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sz w:val="18"/>
                <w:szCs w:val="18"/>
              </w:rPr>
              <w:t>大于5dB（A）</w:t>
            </w:r>
          </w:p>
        </w:tc>
        <w:tc>
          <w:tcPr>
            <w:tcW w:w="1332" w:type="pct"/>
            <w:noWrap w:val="0"/>
            <w:vAlign w:val="center"/>
          </w:tcPr>
          <w:p w14:paraId="445C654F">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sz w:val="18"/>
                <w:szCs w:val="18"/>
              </w:rPr>
              <w:t>3~5dB（A）</w:t>
            </w:r>
          </w:p>
        </w:tc>
        <w:tc>
          <w:tcPr>
            <w:tcW w:w="1359" w:type="pct"/>
            <w:noWrap w:val="0"/>
            <w:vAlign w:val="center"/>
          </w:tcPr>
          <w:p w14:paraId="3D6DB3BC">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sz w:val="18"/>
                <w:szCs w:val="18"/>
              </w:rPr>
              <w:t>小于3dB（A）</w:t>
            </w:r>
          </w:p>
        </w:tc>
      </w:tr>
      <w:tr w14:paraId="69DB7F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5" w:type="pct"/>
            <w:noWrap w:val="0"/>
            <w:vAlign w:val="center"/>
          </w:tcPr>
          <w:p w14:paraId="509C6D80">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sz w:val="18"/>
                <w:szCs w:val="18"/>
              </w:rPr>
              <w:t>受影响人口</w:t>
            </w:r>
          </w:p>
        </w:tc>
        <w:tc>
          <w:tcPr>
            <w:tcW w:w="1164" w:type="pct"/>
            <w:noWrap w:val="0"/>
            <w:vAlign w:val="center"/>
          </w:tcPr>
          <w:p w14:paraId="149FA3A4">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sz w:val="18"/>
                <w:szCs w:val="18"/>
              </w:rPr>
              <w:t>显著增加</w:t>
            </w:r>
          </w:p>
        </w:tc>
        <w:tc>
          <w:tcPr>
            <w:tcW w:w="1332" w:type="pct"/>
            <w:noWrap w:val="0"/>
            <w:vAlign w:val="center"/>
          </w:tcPr>
          <w:p w14:paraId="344E4501">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sz w:val="18"/>
                <w:szCs w:val="18"/>
              </w:rPr>
              <w:t>增加较多</w:t>
            </w:r>
          </w:p>
        </w:tc>
        <w:tc>
          <w:tcPr>
            <w:tcW w:w="1359" w:type="pct"/>
            <w:noWrap w:val="0"/>
            <w:vAlign w:val="center"/>
          </w:tcPr>
          <w:p w14:paraId="738DDA2D">
            <w:pPr>
              <w:autoSpaceDE w:val="0"/>
              <w:autoSpaceDN w:val="0"/>
              <w:spacing w:line="240" w:lineRule="auto"/>
              <w:jc w:val="center"/>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sz w:val="18"/>
                <w:szCs w:val="18"/>
              </w:rPr>
              <w:t>变化不大</w:t>
            </w:r>
          </w:p>
        </w:tc>
      </w:tr>
    </w:tbl>
    <w:p w14:paraId="49012E9B">
      <w:pPr>
        <w:autoSpaceDE w:val="0"/>
        <w:autoSpaceDN w:val="0"/>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项目所处的声环境功能区为GB3096规定的2类地区，</w:t>
      </w:r>
      <w:r>
        <w:rPr>
          <w:rFonts w:hint="default" w:ascii="Times New Roman" w:hAnsi="Times New Roman" w:cs="Times New Roman" w:eastAsiaTheme="minorEastAsia"/>
          <w:sz w:val="24"/>
          <w:szCs w:val="24"/>
          <w:lang w:val="en-US" w:eastAsia="zh-CN" w:bidi="ar-SA"/>
        </w:rPr>
        <w:t>声环境评价范围内无声环境保护目标</w:t>
      </w:r>
      <w:r>
        <w:rPr>
          <w:rFonts w:hint="default" w:ascii="Times New Roman" w:hAnsi="Times New Roman" w:eastAsia="宋体" w:cs="Times New Roman"/>
          <w:b w:val="0"/>
          <w:bCs w:val="0"/>
          <w:color w:val="auto"/>
          <w:sz w:val="24"/>
          <w:szCs w:val="24"/>
        </w:rPr>
        <w:t>，按照《环境影响评价技术导则  声环境》（HJ2.4-20</w:t>
      </w:r>
      <w:r>
        <w:rPr>
          <w:rFonts w:hint="default" w:ascii="Times New Roman" w:hAnsi="Times New Roman" w:eastAsia="宋体" w:cs="Times New Roman"/>
          <w:b w:val="0"/>
          <w:bCs w:val="0"/>
          <w:color w:val="auto"/>
          <w:sz w:val="24"/>
          <w:szCs w:val="24"/>
          <w:lang w:val="en-US" w:eastAsia="zh-CN"/>
        </w:rPr>
        <w:t>21</w:t>
      </w:r>
      <w:r>
        <w:rPr>
          <w:rFonts w:hint="default" w:ascii="Times New Roman" w:hAnsi="Times New Roman" w:eastAsia="宋体" w:cs="Times New Roman"/>
          <w:b w:val="0"/>
          <w:bCs w:val="0"/>
          <w:color w:val="auto"/>
          <w:sz w:val="24"/>
          <w:szCs w:val="24"/>
        </w:rPr>
        <w:t>）中的有关规定，确定本项目声环境评价等级为二级评价。</w:t>
      </w:r>
    </w:p>
    <w:p w14:paraId="6E8D79FB">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6、生态环境</w:t>
      </w:r>
    </w:p>
    <w:p w14:paraId="0C6B0959">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根据《环境影响评价技术导则 生态影响》（HJ 19-2022）中“6.1.2评价等级确定原则”，本项目属于</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g</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除本条 a）、b）、c）、d）、e）、f）以外的情况，评价等级为三级”。因此，本项目生态影响评价工作等级为三级。</w:t>
      </w:r>
    </w:p>
    <w:p w14:paraId="41FA9099">
      <w:pPr>
        <w:adjustRightInd w:val="0"/>
        <w:snapToGrid w:val="0"/>
        <w:spacing w:beforeLines="0" w:line="360" w:lineRule="auto"/>
        <w:ind w:firstLine="412" w:firstLineChars="200"/>
        <w:jc w:val="center"/>
        <w:rPr>
          <w:rFonts w:hint="default" w:ascii="Times New Roman" w:hAnsi="Times New Roman" w:eastAsia="黑体" w:cs="Times New Roman"/>
          <w:color w:val="auto"/>
          <w:spacing w:val="-2"/>
          <w:kern w:val="2"/>
          <w:sz w:val="21"/>
          <w:szCs w:val="22"/>
        </w:rPr>
      </w:pPr>
      <w:r>
        <w:rPr>
          <w:rFonts w:hint="default" w:ascii="Times New Roman" w:hAnsi="Times New Roman" w:eastAsia="黑体" w:cs="Times New Roman"/>
          <w:color w:val="auto"/>
          <w:spacing w:val="-2"/>
          <w:kern w:val="2"/>
          <w:sz w:val="21"/>
          <w:szCs w:val="22"/>
        </w:rPr>
        <w:t>表</w:t>
      </w:r>
      <w:r>
        <w:rPr>
          <w:rFonts w:hint="default" w:ascii="Times New Roman" w:hAnsi="Times New Roman" w:eastAsia="黑体" w:cs="Times New Roman"/>
          <w:color w:val="auto"/>
          <w:spacing w:val="-2"/>
          <w:kern w:val="2"/>
          <w:sz w:val="21"/>
          <w:szCs w:val="22"/>
          <w:lang w:val="en-US" w:eastAsia="zh-CN"/>
        </w:rPr>
        <w:t>2.5-8</w:t>
      </w:r>
      <w:r>
        <w:rPr>
          <w:rFonts w:hint="default" w:ascii="Times New Roman" w:hAnsi="Times New Roman" w:eastAsia="黑体" w:cs="Times New Roman"/>
          <w:color w:val="auto"/>
          <w:spacing w:val="-2"/>
          <w:kern w:val="2"/>
          <w:sz w:val="21"/>
          <w:szCs w:val="22"/>
        </w:rPr>
        <w:t xml:space="preserve">  </w:t>
      </w:r>
      <w:r>
        <w:rPr>
          <w:rFonts w:hint="default" w:ascii="Times New Roman" w:hAnsi="Times New Roman" w:eastAsia="黑体" w:cs="Times New Roman"/>
          <w:color w:val="auto"/>
          <w:spacing w:val="-2"/>
          <w:kern w:val="2"/>
          <w:sz w:val="21"/>
          <w:szCs w:val="22"/>
          <w:lang w:val="en-US" w:eastAsia="zh-CN"/>
        </w:rPr>
        <w:t>生态</w:t>
      </w:r>
      <w:r>
        <w:rPr>
          <w:rFonts w:hint="default" w:ascii="Times New Roman" w:hAnsi="Times New Roman" w:eastAsia="黑体" w:cs="Times New Roman"/>
          <w:color w:val="auto"/>
          <w:spacing w:val="-2"/>
          <w:kern w:val="2"/>
          <w:sz w:val="21"/>
          <w:szCs w:val="22"/>
        </w:rPr>
        <w:t>评价工作等级分级表</w:t>
      </w:r>
    </w:p>
    <w:tbl>
      <w:tblPr>
        <w:tblStyle w:val="29"/>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3"/>
        <w:gridCol w:w="6062"/>
        <w:gridCol w:w="2527"/>
      </w:tblGrid>
      <w:tr w14:paraId="5780EB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3" w:type="pct"/>
            <w:tcBorders>
              <w:top w:val="single" w:color="auto" w:sz="2" w:space="0"/>
              <w:left w:val="nil"/>
              <w:bottom w:val="single" w:color="auto" w:sz="4" w:space="0"/>
              <w:right w:val="single" w:color="auto" w:sz="4" w:space="0"/>
            </w:tcBorders>
            <w:noWrap w:val="0"/>
            <w:vAlign w:val="center"/>
          </w:tcPr>
          <w:p w14:paraId="7335C8C9">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序号</w:t>
            </w:r>
          </w:p>
        </w:tc>
        <w:tc>
          <w:tcPr>
            <w:tcW w:w="3265" w:type="pct"/>
            <w:tcBorders>
              <w:top w:val="single" w:color="auto" w:sz="2" w:space="0"/>
              <w:left w:val="single" w:color="auto" w:sz="4" w:space="0"/>
              <w:bottom w:val="single" w:color="auto" w:sz="4" w:space="0"/>
              <w:right w:val="single" w:color="auto" w:sz="4" w:space="0"/>
            </w:tcBorders>
            <w:noWrap w:val="0"/>
            <w:vAlign w:val="center"/>
          </w:tcPr>
          <w:p w14:paraId="45E80618">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判定内容</w:t>
            </w:r>
          </w:p>
        </w:tc>
        <w:tc>
          <w:tcPr>
            <w:tcW w:w="1361" w:type="pct"/>
            <w:tcBorders>
              <w:top w:val="single" w:color="auto" w:sz="2" w:space="0"/>
              <w:left w:val="single" w:color="auto" w:sz="4" w:space="0"/>
              <w:bottom w:val="single" w:color="auto" w:sz="4" w:space="0"/>
              <w:right w:val="nil"/>
            </w:tcBorders>
            <w:noWrap w:val="0"/>
            <w:vAlign w:val="center"/>
          </w:tcPr>
          <w:p w14:paraId="42526AAD">
            <w:pPr>
              <w:ind w:left="-120" w:leftChars="-50" w:right="-120" w:rightChars="-5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结论</w:t>
            </w:r>
          </w:p>
        </w:tc>
      </w:tr>
      <w:tr w14:paraId="02077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3" w:type="pct"/>
            <w:tcBorders>
              <w:top w:val="single" w:color="auto" w:sz="4" w:space="0"/>
              <w:left w:val="nil"/>
              <w:bottom w:val="single" w:color="auto" w:sz="4" w:space="0"/>
              <w:right w:val="single" w:color="auto" w:sz="4" w:space="0"/>
            </w:tcBorders>
            <w:noWrap w:val="0"/>
            <w:vAlign w:val="center"/>
          </w:tcPr>
          <w:p w14:paraId="19407A09">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a</w:t>
            </w:r>
          </w:p>
        </w:tc>
        <w:tc>
          <w:tcPr>
            <w:tcW w:w="3265" w:type="pct"/>
            <w:tcBorders>
              <w:top w:val="single" w:color="auto" w:sz="4" w:space="0"/>
              <w:left w:val="single" w:color="auto" w:sz="4" w:space="0"/>
              <w:bottom w:val="single" w:color="auto" w:sz="4" w:space="0"/>
              <w:right w:val="single" w:color="auto" w:sz="4" w:space="0"/>
            </w:tcBorders>
            <w:noWrap w:val="0"/>
            <w:vAlign w:val="center"/>
          </w:tcPr>
          <w:p w14:paraId="62CDAFB5">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涉及国家公园、自然保护区、世界自然遗产、重要生境时，评价等级为一级；</w:t>
            </w:r>
          </w:p>
        </w:tc>
        <w:tc>
          <w:tcPr>
            <w:tcW w:w="1361" w:type="pct"/>
            <w:tcBorders>
              <w:top w:val="single" w:color="auto" w:sz="4" w:space="0"/>
              <w:left w:val="single" w:color="auto" w:sz="4" w:space="0"/>
              <w:bottom w:val="single" w:color="auto" w:sz="4" w:space="0"/>
              <w:right w:val="nil"/>
            </w:tcBorders>
            <w:noWrap w:val="0"/>
            <w:vAlign w:val="center"/>
          </w:tcPr>
          <w:p w14:paraId="3F7AE72E">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不涉及</w:t>
            </w:r>
          </w:p>
        </w:tc>
      </w:tr>
      <w:tr w14:paraId="017E0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3" w:type="pct"/>
            <w:tcBorders>
              <w:top w:val="single" w:color="auto" w:sz="4" w:space="0"/>
              <w:left w:val="nil"/>
              <w:bottom w:val="single" w:color="auto" w:sz="4" w:space="0"/>
              <w:right w:val="single" w:color="auto" w:sz="4" w:space="0"/>
            </w:tcBorders>
            <w:noWrap w:val="0"/>
            <w:vAlign w:val="center"/>
          </w:tcPr>
          <w:p w14:paraId="111F785B">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b</w:t>
            </w:r>
          </w:p>
        </w:tc>
        <w:tc>
          <w:tcPr>
            <w:tcW w:w="3265" w:type="pct"/>
            <w:tcBorders>
              <w:top w:val="single" w:color="auto" w:sz="4" w:space="0"/>
              <w:left w:val="single" w:color="auto" w:sz="4" w:space="0"/>
              <w:bottom w:val="single" w:color="auto" w:sz="4" w:space="0"/>
              <w:right w:val="single" w:color="auto" w:sz="4" w:space="0"/>
            </w:tcBorders>
            <w:noWrap w:val="0"/>
            <w:vAlign w:val="center"/>
          </w:tcPr>
          <w:p w14:paraId="0E3276EE">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涉及自然公园时，评价等级为二级；</w:t>
            </w:r>
          </w:p>
        </w:tc>
        <w:tc>
          <w:tcPr>
            <w:tcW w:w="1361" w:type="pct"/>
            <w:tcBorders>
              <w:top w:val="single" w:color="auto" w:sz="4" w:space="0"/>
              <w:left w:val="single" w:color="auto" w:sz="4" w:space="0"/>
              <w:bottom w:val="single" w:color="auto" w:sz="4" w:space="0"/>
              <w:right w:val="nil"/>
            </w:tcBorders>
            <w:noWrap w:val="0"/>
            <w:vAlign w:val="center"/>
          </w:tcPr>
          <w:p w14:paraId="11517C4D">
            <w:pPr>
              <w:ind w:left="-120" w:leftChars="-50" w:right="-120" w:rightChars="-5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不涉及</w:t>
            </w:r>
          </w:p>
        </w:tc>
      </w:tr>
      <w:tr w14:paraId="5E9A6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73" w:type="pct"/>
            <w:tcBorders>
              <w:top w:val="single" w:color="auto" w:sz="4" w:space="0"/>
              <w:left w:val="nil"/>
              <w:bottom w:val="single" w:color="auto" w:sz="4" w:space="0"/>
              <w:right w:val="single" w:color="auto" w:sz="4" w:space="0"/>
            </w:tcBorders>
            <w:noWrap w:val="0"/>
            <w:vAlign w:val="center"/>
          </w:tcPr>
          <w:p w14:paraId="1006B843">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c</w:t>
            </w:r>
          </w:p>
        </w:tc>
        <w:tc>
          <w:tcPr>
            <w:tcW w:w="3265" w:type="pct"/>
            <w:tcBorders>
              <w:top w:val="single" w:color="auto" w:sz="4" w:space="0"/>
              <w:left w:val="single" w:color="auto" w:sz="4" w:space="0"/>
              <w:bottom w:val="single" w:color="auto" w:sz="4" w:space="0"/>
              <w:right w:val="single" w:color="auto" w:sz="4" w:space="0"/>
            </w:tcBorders>
            <w:noWrap w:val="0"/>
            <w:vAlign w:val="center"/>
          </w:tcPr>
          <w:p w14:paraId="4F2D317B">
            <w:pPr>
              <w:ind w:left="-120" w:leftChars="-50" w:right="-120" w:rightChars="-5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涉及生态红线时，评价等级不低于二级；</w:t>
            </w:r>
          </w:p>
        </w:tc>
        <w:tc>
          <w:tcPr>
            <w:tcW w:w="1361" w:type="pct"/>
            <w:tcBorders>
              <w:top w:val="single" w:color="auto" w:sz="4" w:space="0"/>
              <w:left w:val="single" w:color="auto" w:sz="4" w:space="0"/>
              <w:bottom w:val="single" w:color="auto" w:sz="4" w:space="0"/>
              <w:right w:val="nil"/>
            </w:tcBorders>
            <w:noWrap w:val="0"/>
            <w:vAlign w:val="center"/>
          </w:tcPr>
          <w:p w14:paraId="607ECDC1">
            <w:pPr>
              <w:ind w:left="-120" w:leftChars="-50" w:right="-120" w:rightChars="-5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不涉及</w:t>
            </w:r>
          </w:p>
        </w:tc>
      </w:tr>
      <w:tr w14:paraId="5B464E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3" w:type="pct"/>
            <w:tcBorders>
              <w:top w:val="single" w:color="auto" w:sz="4" w:space="0"/>
              <w:left w:val="nil"/>
              <w:bottom w:val="single" w:color="auto" w:sz="4" w:space="0"/>
              <w:right w:val="single" w:color="auto" w:sz="4" w:space="0"/>
            </w:tcBorders>
            <w:noWrap w:val="0"/>
            <w:vAlign w:val="center"/>
          </w:tcPr>
          <w:p w14:paraId="5C1A60CD">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d</w:t>
            </w:r>
          </w:p>
        </w:tc>
        <w:tc>
          <w:tcPr>
            <w:tcW w:w="3265" w:type="pct"/>
            <w:tcBorders>
              <w:top w:val="single" w:color="auto" w:sz="4" w:space="0"/>
              <w:left w:val="single" w:color="auto" w:sz="4" w:space="0"/>
              <w:bottom w:val="single" w:color="auto" w:sz="4" w:space="0"/>
              <w:right w:val="single" w:color="auto" w:sz="4" w:space="0"/>
            </w:tcBorders>
            <w:noWrap w:val="0"/>
            <w:vAlign w:val="center"/>
          </w:tcPr>
          <w:p w14:paraId="1C10664F">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根据HJ2.3判断属于水文要素影响型且地表水评价等级不低于二级的建设项目，生态影响评价等级不低于二级；</w:t>
            </w:r>
          </w:p>
        </w:tc>
        <w:tc>
          <w:tcPr>
            <w:tcW w:w="1361" w:type="pct"/>
            <w:tcBorders>
              <w:top w:val="single" w:color="auto" w:sz="4" w:space="0"/>
              <w:left w:val="single" w:color="auto" w:sz="4" w:space="0"/>
              <w:bottom w:val="single" w:color="auto" w:sz="4" w:space="0"/>
              <w:right w:val="nil"/>
            </w:tcBorders>
            <w:noWrap w:val="0"/>
            <w:vAlign w:val="center"/>
          </w:tcPr>
          <w:p w14:paraId="2B44D577">
            <w:pPr>
              <w:ind w:left="-120" w:leftChars="-50" w:right="-120" w:rightChars="-5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不涉及</w:t>
            </w:r>
          </w:p>
        </w:tc>
      </w:tr>
      <w:tr w14:paraId="03B604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3" w:type="pct"/>
            <w:tcBorders>
              <w:top w:val="single" w:color="auto" w:sz="4" w:space="0"/>
              <w:left w:val="nil"/>
              <w:bottom w:val="single" w:color="auto" w:sz="4" w:space="0"/>
              <w:right w:val="single" w:color="auto" w:sz="4" w:space="0"/>
            </w:tcBorders>
            <w:noWrap w:val="0"/>
            <w:vAlign w:val="center"/>
          </w:tcPr>
          <w:p w14:paraId="18E19503">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e</w:t>
            </w:r>
          </w:p>
        </w:tc>
        <w:tc>
          <w:tcPr>
            <w:tcW w:w="3265" w:type="pct"/>
            <w:tcBorders>
              <w:top w:val="single" w:color="auto" w:sz="4" w:space="0"/>
              <w:left w:val="single" w:color="auto" w:sz="4" w:space="0"/>
              <w:bottom w:val="single" w:color="auto" w:sz="4" w:space="0"/>
              <w:right w:val="single" w:color="auto" w:sz="4" w:space="0"/>
            </w:tcBorders>
            <w:noWrap w:val="0"/>
            <w:vAlign w:val="center"/>
          </w:tcPr>
          <w:p w14:paraId="40741FE3">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根据HJ610、HJ964判断地下水水位或土壤影响范围内分布有天然林、公益林、湿地等生态保护目标的建设项目，生态影响评价等级不低于二级；</w:t>
            </w:r>
          </w:p>
        </w:tc>
        <w:tc>
          <w:tcPr>
            <w:tcW w:w="1361" w:type="pct"/>
            <w:tcBorders>
              <w:top w:val="single" w:color="auto" w:sz="4" w:space="0"/>
              <w:left w:val="single" w:color="auto" w:sz="4" w:space="0"/>
              <w:bottom w:val="single" w:color="auto" w:sz="4" w:space="0"/>
              <w:right w:val="nil"/>
            </w:tcBorders>
            <w:noWrap w:val="0"/>
            <w:vAlign w:val="center"/>
          </w:tcPr>
          <w:p w14:paraId="63ADC4FA">
            <w:pPr>
              <w:ind w:left="-120" w:leftChars="-50" w:right="-120" w:rightChars="-5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不涉及天然林、公益林及湿地等生态保护目标</w:t>
            </w:r>
          </w:p>
        </w:tc>
      </w:tr>
      <w:tr w14:paraId="3232C5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3" w:type="pct"/>
            <w:tcBorders>
              <w:top w:val="single" w:color="auto" w:sz="4" w:space="0"/>
              <w:left w:val="nil"/>
              <w:bottom w:val="single" w:color="auto" w:sz="4" w:space="0"/>
              <w:right w:val="single" w:color="auto" w:sz="4" w:space="0"/>
            </w:tcBorders>
            <w:noWrap w:val="0"/>
            <w:vAlign w:val="center"/>
          </w:tcPr>
          <w:p w14:paraId="08EF8981">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f</w:t>
            </w:r>
          </w:p>
        </w:tc>
        <w:tc>
          <w:tcPr>
            <w:tcW w:w="3265" w:type="pct"/>
            <w:tcBorders>
              <w:top w:val="single" w:color="auto" w:sz="4" w:space="0"/>
              <w:left w:val="single" w:color="auto" w:sz="4" w:space="0"/>
              <w:bottom w:val="single" w:color="auto" w:sz="4" w:space="0"/>
              <w:right w:val="single" w:color="auto" w:sz="4" w:space="0"/>
            </w:tcBorders>
            <w:noWrap w:val="0"/>
            <w:vAlign w:val="center"/>
          </w:tcPr>
          <w:p w14:paraId="30120D9C">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当工程占地规模大于20km</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z w:val="18"/>
                <w:szCs w:val="18"/>
                <w:lang w:val="en-US" w:eastAsia="zh-CN"/>
              </w:rPr>
              <w:t>时（包括永久和临时占用陆域和水域），评价等级不低于二级；改扩建项目的占地范围以新增占地（包括陆域和水域）确定</w:t>
            </w:r>
          </w:p>
        </w:tc>
        <w:tc>
          <w:tcPr>
            <w:tcW w:w="1361" w:type="pct"/>
            <w:tcBorders>
              <w:top w:val="single" w:color="auto" w:sz="4" w:space="0"/>
              <w:left w:val="single" w:color="auto" w:sz="4" w:space="0"/>
              <w:bottom w:val="single" w:color="auto" w:sz="4" w:space="0"/>
              <w:right w:val="nil"/>
            </w:tcBorders>
            <w:noWrap w:val="0"/>
            <w:vAlign w:val="center"/>
          </w:tcPr>
          <w:p w14:paraId="0D41A6BA">
            <w:pPr>
              <w:ind w:left="-120" w:leftChars="-50" w:right="-120" w:rightChars="-5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本工程占地面积0.00</w:t>
            </w:r>
            <w:r>
              <w:rPr>
                <w:rFonts w:hint="default" w:ascii="Times New Roman" w:hAnsi="Times New Roman" w:cs="Times New Roman"/>
                <w:color w:val="auto"/>
                <w:sz w:val="18"/>
                <w:szCs w:val="18"/>
                <w:lang w:val="en-US" w:eastAsia="zh-CN"/>
              </w:rPr>
              <w:t>3</w:t>
            </w:r>
            <w:r>
              <w:rPr>
                <w:rFonts w:hint="default" w:ascii="Times New Roman" w:hAnsi="Times New Roman" w:eastAsia="宋体" w:cs="Times New Roman"/>
                <w:color w:val="auto"/>
                <w:sz w:val="18"/>
                <w:szCs w:val="18"/>
                <w:lang w:val="en-US" w:eastAsia="zh-CN"/>
              </w:rPr>
              <w:t>km</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z w:val="18"/>
                <w:szCs w:val="18"/>
              </w:rPr>
              <w:t>＜20km</w:t>
            </w:r>
            <w:r>
              <w:rPr>
                <w:rFonts w:hint="default" w:ascii="Times New Roman" w:hAnsi="Times New Roman" w:eastAsia="宋体" w:cs="Times New Roman"/>
                <w:color w:val="auto"/>
                <w:sz w:val="18"/>
                <w:szCs w:val="18"/>
                <w:vertAlign w:val="superscript"/>
              </w:rPr>
              <w:t>2</w:t>
            </w:r>
          </w:p>
        </w:tc>
      </w:tr>
      <w:tr w14:paraId="2611C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3" w:type="pct"/>
            <w:tcBorders>
              <w:top w:val="single" w:color="auto" w:sz="4" w:space="0"/>
              <w:left w:val="nil"/>
              <w:bottom w:val="single" w:color="auto" w:sz="2" w:space="0"/>
              <w:right w:val="single" w:color="auto" w:sz="4" w:space="0"/>
            </w:tcBorders>
            <w:noWrap w:val="0"/>
            <w:vAlign w:val="center"/>
          </w:tcPr>
          <w:p w14:paraId="6B5074A2">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g</w:t>
            </w:r>
          </w:p>
        </w:tc>
        <w:tc>
          <w:tcPr>
            <w:tcW w:w="3265" w:type="pct"/>
            <w:tcBorders>
              <w:top w:val="single" w:color="auto" w:sz="4" w:space="0"/>
              <w:left w:val="single" w:color="auto" w:sz="4" w:space="0"/>
              <w:bottom w:val="single" w:color="auto" w:sz="2" w:space="0"/>
              <w:right w:val="single" w:color="auto" w:sz="4" w:space="0"/>
            </w:tcBorders>
            <w:noWrap w:val="0"/>
            <w:vAlign w:val="center"/>
          </w:tcPr>
          <w:p w14:paraId="629F5800">
            <w:pPr>
              <w:ind w:left="-120" w:leftChars="-50" w:right="-120" w:right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除本条 a）、b）、c）、d）、e）、f）以外的情况，评价等级为三级</w:t>
            </w:r>
          </w:p>
        </w:tc>
        <w:tc>
          <w:tcPr>
            <w:tcW w:w="1361" w:type="pct"/>
            <w:tcBorders>
              <w:top w:val="single" w:color="auto" w:sz="4" w:space="0"/>
              <w:left w:val="single" w:color="auto" w:sz="4" w:space="0"/>
              <w:bottom w:val="single" w:color="auto" w:sz="2" w:space="0"/>
              <w:right w:val="nil"/>
            </w:tcBorders>
            <w:noWrap w:val="0"/>
            <w:vAlign w:val="center"/>
          </w:tcPr>
          <w:p w14:paraId="3E935988">
            <w:pPr>
              <w:ind w:left="-120" w:leftChars="-50" w:right="-120" w:rightChars="-50"/>
              <w:jc w:val="both"/>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三级评价</w:t>
            </w:r>
          </w:p>
        </w:tc>
      </w:tr>
    </w:tbl>
    <w:p w14:paraId="71BD3237">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7、环境风险</w:t>
      </w:r>
    </w:p>
    <w:p w14:paraId="2419B941">
      <w:pPr>
        <w:autoSpaceDE w:val="0"/>
        <w:autoSpaceDN w:val="0"/>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根据《建设项目环境风险评价技术导则》</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HJ</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169-2018</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，环境风险评价工作等级依据建设项目涉及的物质及工艺系统危险性和所在地的环境敏感性确定环境风险潜势，按照表</w:t>
      </w:r>
      <w:r>
        <w:rPr>
          <w:rFonts w:hint="default" w:ascii="Times New Roman" w:hAnsi="Times New Roman" w:eastAsia="宋体" w:cs="Times New Roman"/>
          <w:b w:val="0"/>
          <w:bCs w:val="0"/>
          <w:color w:val="auto"/>
          <w:sz w:val="24"/>
          <w:szCs w:val="24"/>
          <w:lang w:val="en-US" w:eastAsia="zh-CN"/>
        </w:rPr>
        <w:t>2.7.6-1</w:t>
      </w:r>
      <w:r>
        <w:rPr>
          <w:rFonts w:hint="default" w:ascii="Times New Roman" w:hAnsi="Times New Roman" w:eastAsia="宋体" w:cs="Times New Roman"/>
          <w:b w:val="0"/>
          <w:bCs w:val="0"/>
          <w:color w:val="auto"/>
          <w:sz w:val="24"/>
          <w:szCs w:val="24"/>
        </w:rPr>
        <w:t>确定评价工作等级。风险潜势为IV及以上，进行</w:t>
      </w:r>
      <w:r>
        <w:rPr>
          <w:rFonts w:hint="default" w:ascii="Times New Roman" w:hAnsi="Times New Roman" w:eastAsia="宋体" w:cs="Times New Roman"/>
          <w:b w:val="0"/>
          <w:bCs w:val="0"/>
          <w:color w:val="auto"/>
          <w:sz w:val="24"/>
          <w:szCs w:val="24"/>
          <w:lang w:val="en-US" w:eastAsia="zh-CN"/>
        </w:rPr>
        <w:t>一</w:t>
      </w:r>
      <w:r>
        <w:rPr>
          <w:rFonts w:hint="default" w:ascii="Times New Roman" w:hAnsi="Times New Roman" w:eastAsia="宋体" w:cs="Times New Roman"/>
          <w:b w:val="0"/>
          <w:bCs w:val="0"/>
          <w:color w:val="auto"/>
          <w:sz w:val="24"/>
          <w:szCs w:val="24"/>
        </w:rPr>
        <w:t>级评价</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风险潜势为III进行二级评价</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风险潜势为II，进行三级评价</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风险潜势为I，可开展简单分析。</w:t>
      </w:r>
    </w:p>
    <w:p w14:paraId="00DEF980">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.5-</w:t>
      </w:r>
      <w:r>
        <w:rPr>
          <w:rFonts w:hint="default" w:ascii="Times New Roman" w:hAnsi="Times New Roman" w:eastAsia="黑体" w:cs="Times New Roman"/>
          <w:b w:val="0"/>
          <w:bCs/>
          <w:sz w:val="21"/>
          <w:szCs w:val="21"/>
          <w:lang w:val="en-US" w:eastAsia="zh-CN"/>
        </w:rPr>
        <w:t>9</w:t>
      </w:r>
      <w:r>
        <w:rPr>
          <w:rFonts w:hint="default" w:ascii="Times New Roman" w:hAnsi="Times New Roman" w:eastAsia="黑体" w:cs="Times New Roman"/>
          <w:b w:val="0"/>
          <w:bCs/>
          <w:sz w:val="21"/>
          <w:szCs w:val="21"/>
        </w:rPr>
        <w:t xml:space="preserve">  环境风险评价工作级别表</w:t>
      </w:r>
    </w:p>
    <w:tbl>
      <w:tblPr>
        <w:tblStyle w:val="2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1727"/>
        <w:gridCol w:w="1943"/>
        <w:gridCol w:w="2374"/>
        <w:gridCol w:w="1727"/>
      </w:tblGrid>
      <w:tr w14:paraId="66D4FF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16" w:type="pct"/>
            <w:tcBorders>
              <w:tl2br w:val="nil"/>
              <w:tr2bl w:val="nil"/>
            </w:tcBorders>
            <w:vAlign w:val="center"/>
          </w:tcPr>
          <w:p w14:paraId="480EBCEC">
            <w:pPr>
              <w:pStyle w:val="47"/>
              <w:snapToGrid/>
              <w:spacing w:line="240" w:lineRule="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环境风险潜势</w:t>
            </w:r>
          </w:p>
        </w:tc>
        <w:tc>
          <w:tcPr>
            <w:tcW w:w="930" w:type="pct"/>
            <w:tcBorders>
              <w:tl2br w:val="nil"/>
              <w:tr2bl w:val="nil"/>
            </w:tcBorders>
            <w:vAlign w:val="center"/>
          </w:tcPr>
          <w:p w14:paraId="5FE0C6F6">
            <w:pPr>
              <w:pStyle w:val="47"/>
              <w:snapToGrid/>
              <w:spacing w:line="240" w:lineRule="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fldChar w:fldCharType="begin"/>
            </w:r>
            <w:r>
              <w:rPr>
                <w:rFonts w:hint="default" w:ascii="Times New Roman" w:hAnsi="Times New Roman" w:cs="Times New Roman" w:eastAsiaTheme="minorEastAsia"/>
                <w:sz w:val="18"/>
                <w:szCs w:val="18"/>
              </w:rPr>
              <w:instrText xml:space="preserve"> = 4 \* ROMAN </w:instrText>
            </w:r>
            <w:r>
              <w:rPr>
                <w:rFonts w:hint="default" w:ascii="Times New Roman" w:hAnsi="Times New Roman" w:cs="Times New Roman" w:eastAsiaTheme="minorEastAsia"/>
                <w:sz w:val="18"/>
                <w:szCs w:val="18"/>
              </w:rPr>
              <w:fldChar w:fldCharType="separate"/>
            </w:r>
            <w:r>
              <w:rPr>
                <w:rFonts w:hint="default" w:ascii="Times New Roman" w:hAnsi="Times New Roman" w:cs="Times New Roman" w:eastAsiaTheme="minorEastAsia"/>
                <w:sz w:val="18"/>
                <w:szCs w:val="18"/>
              </w:rPr>
              <w:t>IV</w:t>
            </w:r>
            <w:r>
              <w:rPr>
                <w:rFonts w:hint="default" w:ascii="Times New Roman" w:hAnsi="Times New Roman" w:cs="Times New Roman" w:eastAsiaTheme="minorEastAsia"/>
                <w:sz w:val="18"/>
                <w:szCs w:val="18"/>
              </w:rPr>
              <w:fldChar w:fldCharType="end"/>
            </w:r>
            <w:r>
              <w:rPr>
                <w:rFonts w:hint="default" w:ascii="Times New Roman" w:hAnsi="Times New Roman" w:cs="Times New Roman" w:eastAsiaTheme="minorEastAsia"/>
                <w:sz w:val="18"/>
                <w:szCs w:val="18"/>
              </w:rPr>
              <w:t>、</w:t>
            </w:r>
            <w:r>
              <w:rPr>
                <w:rFonts w:hint="default" w:ascii="Times New Roman" w:hAnsi="Times New Roman" w:cs="Times New Roman" w:eastAsiaTheme="minorEastAsia"/>
                <w:sz w:val="18"/>
                <w:szCs w:val="18"/>
              </w:rPr>
              <w:fldChar w:fldCharType="begin"/>
            </w:r>
            <w:r>
              <w:rPr>
                <w:rFonts w:hint="default" w:ascii="Times New Roman" w:hAnsi="Times New Roman" w:cs="Times New Roman" w:eastAsiaTheme="minorEastAsia"/>
                <w:sz w:val="18"/>
                <w:szCs w:val="18"/>
              </w:rPr>
              <w:instrText xml:space="preserve"> = 4 \* ROMAN </w:instrText>
            </w:r>
            <w:r>
              <w:rPr>
                <w:rFonts w:hint="default" w:ascii="Times New Roman" w:hAnsi="Times New Roman" w:cs="Times New Roman" w:eastAsiaTheme="minorEastAsia"/>
                <w:sz w:val="18"/>
                <w:szCs w:val="18"/>
              </w:rPr>
              <w:fldChar w:fldCharType="separate"/>
            </w:r>
            <w:r>
              <w:rPr>
                <w:rFonts w:hint="default" w:ascii="Times New Roman" w:hAnsi="Times New Roman" w:cs="Times New Roman" w:eastAsiaTheme="minorEastAsia"/>
                <w:sz w:val="18"/>
                <w:szCs w:val="18"/>
              </w:rPr>
              <w:t>IV</w:t>
            </w:r>
            <w:r>
              <w:rPr>
                <w:rFonts w:hint="default" w:ascii="Times New Roman" w:hAnsi="Times New Roman" w:cs="Times New Roman" w:eastAsiaTheme="minorEastAsia"/>
                <w:sz w:val="18"/>
                <w:szCs w:val="18"/>
              </w:rPr>
              <w:fldChar w:fldCharType="end"/>
            </w:r>
            <w:r>
              <w:rPr>
                <w:rFonts w:hint="default" w:ascii="Times New Roman" w:hAnsi="Times New Roman" w:cs="Times New Roman" w:eastAsiaTheme="minorEastAsia"/>
                <w:sz w:val="18"/>
                <w:szCs w:val="18"/>
                <w:vertAlign w:val="superscript"/>
              </w:rPr>
              <w:t>+</w:t>
            </w:r>
          </w:p>
        </w:tc>
        <w:tc>
          <w:tcPr>
            <w:tcW w:w="1046" w:type="pct"/>
            <w:tcBorders>
              <w:tl2br w:val="nil"/>
              <w:tr2bl w:val="nil"/>
            </w:tcBorders>
            <w:vAlign w:val="center"/>
          </w:tcPr>
          <w:p w14:paraId="5600ADB8">
            <w:pPr>
              <w:pStyle w:val="47"/>
              <w:snapToGrid/>
              <w:spacing w:line="240" w:lineRule="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fldChar w:fldCharType="begin"/>
            </w:r>
            <w:r>
              <w:rPr>
                <w:rFonts w:hint="default" w:ascii="Times New Roman" w:hAnsi="Times New Roman" w:cs="Times New Roman" w:eastAsiaTheme="minorEastAsia"/>
                <w:sz w:val="18"/>
                <w:szCs w:val="18"/>
              </w:rPr>
              <w:instrText xml:space="preserve"> = 3 \* ROMAN </w:instrText>
            </w:r>
            <w:r>
              <w:rPr>
                <w:rFonts w:hint="default" w:ascii="Times New Roman" w:hAnsi="Times New Roman" w:cs="Times New Roman" w:eastAsiaTheme="minorEastAsia"/>
                <w:sz w:val="18"/>
                <w:szCs w:val="18"/>
              </w:rPr>
              <w:fldChar w:fldCharType="separate"/>
            </w:r>
            <w:r>
              <w:rPr>
                <w:rFonts w:hint="default" w:ascii="Times New Roman" w:hAnsi="Times New Roman" w:cs="Times New Roman" w:eastAsiaTheme="minorEastAsia"/>
                <w:sz w:val="18"/>
                <w:szCs w:val="18"/>
              </w:rPr>
              <w:t>III</w:t>
            </w:r>
            <w:r>
              <w:rPr>
                <w:rFonts w:hint="default" w:ascii="Times New Roman" w:hAnsi="Times New Roman" w:cs="Times New Roman" w:eastAsiaTheme="minorEastAsia"/>
                <w:sz w:val="18"/>
                <w:szCs w:val="18"/>
              </w:rPr>
              <w:fldChar w:fldCharType="end"/>
            </w:r>
          </w:p>
        </w:tc>
        <w:tc>
          <w:tcPr>
            <w:tcW w:w="1278" w:type="pct"/>
            <w:tcBorders>
              <w:tl2br w:val="nil"/>
              <w:tr2bl w:val="nil"/>
            </w:tcBorders>
            <w:vAlign w:val="center"/>
          </w:tcPr>
          <w:p w14:paraId="01F358B4">
            <w:pPr>
              <w:pStyle w:val="47"/>
              <w:snapToGrid/>
              <w:spacing w:line="240" w:lineRule="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fldChar w:fldCharType="begin"/>
            </w:r>
            <w:r>
              <w:rPr>
                <w:rFonts w:hint="default" w:ascii="Times New Roman" w:hAnsi="Times New Roman" w:cs="Times New Roman" w:eastAsiaTheme="minorEastAsia"/>
                <w:sz w:val="18"/>
                <w:szCs w:val="18"/>
              </w:rPr>
              <w:instrText xml:space="preserve"> = 2 \* ROMAN </w:instrText>
            </w:r>
            <w:r>
              <w:rPr>
                <w:rFonts w:hint="default" w:ascii="Times New Roman" w:hAnsi="Times New Roman" w:cs="Times New Roman" w:eastAsiaTheme="minorEastAsia"/>
                <w:sz w:val="18"/>
                <w:szCs w:val="18"/>
              </w:rPr>
              <w:fldChar w:fldCharType="separate"/>
            </w:r>
            <w:r>
              <w:rPr>
                <w:rFonts w:hint="default" w:ascii="Times New Roman" w:hAnsi="Times New Roman" w:cs="Times New Roman" w:eastAsiaTheme="minorEastAsia"/>
                <w:sz w:val="18"/>
                <w:szCs w:val="18"/>
              </w:rPr>
              <w:t>II</w:t>
            </w:r>
            <w:r>
              <w:rPr>
                <w:rFonts w:hint="default" w:ascii="Times New Roman" w:hAnsi="Times New Roman" w:cs="Times New Roman" w:eastAsiaTheme="minorEastAsia"/>
                <w:sz w:val="18"/>
                <w:szCs w:val="18"/>
              </w:rPr>
              <w:fldChar w:fldCharType="end"/>
            </w:r>
          </w:p>
        </w:tc>
        <w:tc>
          <w:tcPr>
            <w:tcW w:w="930" w:type="pct"/>
            <w:tcBorders>
              <w:tl2br w:val="nil"/>
              <w:tr2bl w:val="nil"/>
            </w:tcBorders>
            <w:vAlign w:val="center"/>
          </w:tcPr>
          <w:p w14:paraId="75FAFFB4">
            <w:pPr>
              <w:pStyle w:val="47"/>
              <w:snapToGrid/>
              <w:spacing w:line="240" w:lineRule="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fldChar w:fldCharType="begin"/>
            </w:r>
            <w:r>
              <w:rPr>
                <w:rFonts w:hint="default" w:ascii="Times New Roman" w:hAnsi="Times New Roman" w:cs="Times New Roman" w:eastAsiaTheme="minorEastAsia"/>
                <w:sz w:val="18"/>
                <w:szCs w:val="18"/>
              </w:rPr>
              <w:instrText xml:space="preserve"> = 1 \* ROMAN </w:instrText>
            </w:r>
            <w:r>
              <w:rPr>
                <w:rFonts w:hint="default" w:ascii="Times New Roman" w:hAnsi="Times New Roman" w:cs="Times New Roman" w:eastAsiaTheme="minorEastAsia"/>
                <w:sz w:val="18"/>
                <w:szCs w:val="18"/>
              </w:rPr>
              <w:fldChar w:fldCharType="separate"/>
            </w:r>
            <w:r>
              <w:rPr>
                <w:rFonts w:hint="default" w:ascii="Times New Roman" w:hAnsi="Times New Roman" w:cs="Times New Roman" w:eastAsiaTheme="minorEastAsia"/>
                <w:sz w:val="18"/>
                <w:szCs w:val="18"/>
              </w:rPr>
              <w:t>I</w:t>
            </w:r>
            <w:r>
              <w:rPr>
                <w:rFonts w:hint="default" w:ascii="Times New Roman" w:hAnsi="Times New Roman" w:cs="Times New Roman" w:eastAsiaTheme="minorEastAsia"/>
                <w:sz w:val="18"/>
                <w:szCs w:val="18"/>
              </w:rPr>
              <w:fldChar w:fldCharType="end"/>
            </w:r>
          </w:p>
        </w:tc>
      </w:tr>
      <w:tr w14:paraId="098615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816" w:type="pct"/>
            <w:tcBorders>
              <w:tl2br w:val="nil"/>
              <w:tr2bl w:val="nil"/>
            </w:tcBorders>
            <w:vAlign w:val="center"/>
          </w:tcPr>
          <w:p w14:paraId="70D20E71">
            <w:pPr>
              <w:pStyle w:val="47"/>
              <w:snapToGrid/>
              <w:spacing w:line="240" w:lineRule="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评价工作等级</w:t>
            </w:r>
          </w:p>
        </w:tc>
        <w:tc>
          <w:tcPr>
            <w:tcW w:w="930" w:type="pct"/>
            <w:tcBorders>
              <w:tl2br w:val="nil"/>
              <w:tr2bl w:val="nil"/>
            </w:tcBorders>
            <w:vAlign w:val="center"/>
          </w:tcPr>
          <w:p w14:paraId="66A9E525">
            <w:pPr>
              <w:pStyle w:val="47"/>
              <w:snapToGrid/>
              <w:spacing w:line="240" w:lineRule="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一</w:t>
            </w:r>
          </w:p>
        </w:tc>
        <w:tc>
          <w:tcPr>
            <w:tcW w:w="1046" w:type="pct"/>
            <w:tcBorders>
              <w:tl2br w:val="nil"/>
              <w:tr2bl w:val="nil"/>
            </w:tcBorders>
            <w:vAlign w:val="center"/>
          </w:tcPr>
          <w:p w14:paraId="11347D8A">
            <w:pPr>
              <w:pStyle w:val="47"/>
              <w:snapToGrid/>
              <w:spacing w:line="240" w:lineRule="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二</w:t>
            </w:r>
          </w:p>
        </w:tc>
        <w:tc>
          <w:tcPr>
            <w:tcW w:w="1278" w:type="pct"/>
            <w:tcBorders>
              <w:tl2br w:val="nil"/>
              <w:tr2bl w:val="nil"/>
            </w:tcBorders>
            <w:vAlign w:val="center"/>
          </w:tcPr>
          <w:p w14:paraId="1913EF58">
            <w:pPr>
              <w:pStyle w:val="47"/>
              <w:snapToGrid/>
              <w:spacing w:line="240" w:lineRule="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三</w:t>
            </w:r>
          </w:p>
        </w:tc>
        <w:tc>
          <w:tcPr>
            <w:tcW w:w="930" w:type="pct"/>
            <w:tcBorders>
              <w:tl2br w:val="nil"/>
              <w:tr2bl w:val="nil"/>
            </w:tcBorders>
            <w:shd w:val="clear" w:color="auto" w:fill="D8D8D8" w:themeFill="background1" w:themeFillShade="D9"/>
            <w:vAlign w:val="center"/>
          </w:tcPr>
          <w:p w14:paraId="1B54DCCE">
            <w:pPr>
              <w:pStyle w:val="47"/>
              <w:snapToGrid/>
              <w:spacing w:line="240" w:lineRule="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简单分析</w:t>
            </w:r>
          </w:p>
        </w:tc>
      </w:tr>
    </w:tbl>
    <w:p w14:paraId="5CB11C7F">
      <w:pPr>
        <w:spacing w:line="360" w:lineRule="auto"/>
        <w:ind w:firstLine="480"/>
        <w:rPr>
          <w:rFonts w:hint="default" w:ascii="Times New Roman" w:hAnsi="Times New Roman" w:eastAsia="宋体" w:cs="Times New Roman"/>
          <w:szCs w:val="24"/>
        </w:rPr>
      </w:pPr>
      <w:bookmarkStart w:id="171" w:name="_Toc165816711"/>
      <w:bookmarkStart w:id="172" w:name="_Toc5201"/>
      <w:r>
        <w:rPr>
          <w:rFonts w:hint="default" w:ascii="Times New Roman" w:hAnsi="Times New Roman" w:eastAsia="宋体" w:cs="Times New Roman"/>
          <w:szCs w:val="24"/>
          <w:lang w:val="en-US" w:eastAsia="zh-CN"/>
        </w:rPr>
        <w:t>本项目产生的废机油依托矿山危险废物暂存间暂存。据调查，鲁奎山铁矿废机油产生量约为0.5t/a，废机油暂存危险废物暂存间，交由集团公司委托资质单位统一处理。</w:t>
      </w:r>
    </w:p>
    <w:p w14:paraId="1C9AD834">
      <w:pPr>
        <w:adjustRightInd w:val="0"/>
        <w:snapToGrid w:val="0"/>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5</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10</w:t>
      </w:r>
      <w:r>
        <w:rPr>
          <w:rFonts w:hint="default" w:ascii="Times New Roman" w:hAnsi="Times New Roman" w:eastAsia="黑体" w:cs="Times New Roman"/>
          <w:b w:val="0"/>
          <w:bCs/>
          <w:sz w:val="21"/>
          <w:szCs w:val="21"/>
        </w:rPr>
        <w:t xml:space="preserve">  建设项目Q值确定表</w:t>
      </w:r>
    </w:p>
    <w:tbl>
      <w:tblPr>
        <w:tblStyle w:val="30"/>
        <w:tblW w:w="4998"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917"/>
        <w:gridCol w:w="917"/>
        <w:gridCol w:w="1144"/>
        <w:gridCol w:w="917"/>
        <w:gridCol w:w="1686"/>
        <w:gridCol w:w="2817"/>
      </w:tblGrid>
      <w:tr w14:paraId="1E02A7D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Align w:val="center"/>
          </w:tcPr>
          <w:p w14:paraId="6E6C8CA3">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序号</w:t>
            </w:r>
          </w:p>
        </w:tc>
        <w:tc>
          <w:tcPr>
            <w:tcW w:w="494" w:type="pct"/>
            <w:vAlign w:val="center"/>
          </w:tcPr>
          <w:p w14:paraId="00E17DEA">
            <w:pPr>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eastAsia="宋体" w:cs="Times New Roman"/>
                <w:color w:val="auto"/>
                <w:kern w:val="24"/>
                <w:sz w:val="18"/>
                <w:szCs w:val="18"/>
                <w:lang w:val="en-US" w:eastAsia="zh-CN"/>
              </w:rPr>
              <w:t>来源</w:t>
            </w:r>
          </w:p>
        </w:tc>
        <w:tc>
          <w:tcPr>
            <w:tcW w:w="494" w:type="pct"/>
            <w:vAlign w:val="center"/>
          </w:tcPr>
          <w:p w14:paraId="1F2CFA7D">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风险源</w:t>
            </w:r>
          </w:p>
        </w:tc>
        <w:tc>
          <w:tcPr>
            <w:tcW w:w="616" w:type="pct"/>
            <w:vAlign w:val="center"/>
          </w:tcPr>
          <w:p w14:paraId="2434FAF8">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危险物质</w:t>
            </w:r>
          </w:p>
        </w:tc>
        <w:tc>
          <w:tcPr>
            <w:tcW w:w="494" w:type="pct"/>
            <w:vAlign w:val="center"/>
          </w:tcPr>
          <w:p w14:paraId="73E479D7">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最大储存量</w:t>
            </w:r>
          </w:p>
        </w:tc>
        <w:tc>
          <w:tcPr>
            <w:tcW w:w="905" w:type="pct"/>
            <w:vAlign w:val="center"/>
          </w:tcPr>
          <w:p w14:paraId="7A2537CC">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临界量</w:t>
            </w:r>
          </w:p>
        </w:tc>
        <w:tc>
          <w:tcPr>
            <w:tcW w:w="1517" w:type="pct"/>
            <w:tcBorders>
              <w:right w:val="nil"/>
            </w:tcBorders>
            <w:vAlign w:val="center"/>
          </w:tcPr>
          <w:p w14:paraId="117016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4"/>
                <w:sz w:val="18"/>
                <w:szCs w:val="18"/>
              </w:rPr>
            </w:pPr>
            <w:r>
              <w:rPr>
                <w:rFonts w:hint="default" w:ascii="Times New Roman" w:hAnsi="Times New Roman" w:eastAsia="宋体" w:cs="Times New Roman"/>
                <w:b w:val="0"/>
                <w:bCs/>
                <w:color w:val="auto"/>
                <w:kern w:val="0"/>
                <w:sz w:val="18"/>
                <w:szCs w:val="18"/>
                <w:highlight w:val="none"/>
              </w:rPr>
              <w:t>该种危险物质Q 值</w:t>
            </w:r>
          </w:p>
        </w:tc>
      </w:tr>
      <w:tr w14:paraId="569B91F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Align w:val="center"/>
          </w:tcPr>
          <w:p w14:paraId="76C7994B">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1</w:t>
            </w:r>
          </w:p>
        </w:tc>
        <w:tc>
          <w:tcPr>
            <w:tcW w:w="494" w:type="pct"/>
            <w:vAlign w:val="center"/>
          </w:tcPr>
          <w:p w14:paraId="4E0CA25F">
            <w:pPr>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eastAsia="宋体" w:cs="Times New Roman"/>
                <w:color w:val="auto"/>
                <w:kern w:val="24"/>
                <w:sz w:val="18"/>
                <w:szCs w:val="18"/>
                <w:lang w:val="en-US" w:eastAsia="zh-CN"/>
              </w:rPr>
              <w:t>本项目新增</w:t>
            </w:r>
          </w:p>
        </w:tc>
        <w:tc>
          <w:tcPr>
            <w:tcW w:w="494" w:type="pct"/>
            <w:vMerge w:val="restart"/>
            <w:vAlign w:val="center"/>
          </w:tcPr>
          <w:p w14:paraId="4FD1D29C">
            <w:pPr>
              <w:jc w:val="center"/>
              <w:rPr>
                <w:rFonts w:hint="default" w:ascii="Times New Roman" w:hAnsi="Times New Roman" w:eastAsia="宋体" w:cs="Times New Roman"/>
                <w:color w:val="auto"/>
                <w:kern w:val="24"/>
                <w:sz w:val="18"/>
                <w:szCs w:val="18"/>
              </w:rPr>
            </w:pPr>
            <w:r>
              <w:rPr>
                <w:rFonts w:hint="default" w:ascii="Times New Roman" w:hAnsi="Times New Roman" w:cs="Times New Roman"/>
                <w:color w:val="auto"/>
                <w:kern w:val="24"/>
                <w:sz w:val="18"/>
                <w:szCs w:val="18"/>
                <w:lang w:val="en-US" w:eastAsia="zh-CN"/>
              </w:rPr>
              <w:t>鲁奎山铁矿</w:t>
            </w:r>
            <w:r>
              <w:rPr>
                <w:rFonts w:hint="default" w:ascii="Times New Roman" w:hAnsi="Times New Roman" w:eastAsia="宋体" w:cs="Times New Roman"/>
                <w:color w:val="auto"/>
                <w:kern w:val="24"/>
                <w:sz w:val="18"/>
                <w:szCs w:val="18"/>
              </w:rPr>
              <w:t>危废暂存间</w:t>
            </w:r>
          </w:p>
        </w:tc>
        <w:tc>
          <w:tcPr>
            <w:tcW w:w="616" w:type="pct"/>
            <w:vAlign w:val="center"/>
          </w:tcPr>
          <w:p w14:paraId="4F5B5E64">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sz w:val="18"/>
                <w:szCs w:val="18"/>
              </w:rPr>
              <w:t>废</w:t>
            </w:r>
            <w:r>
              <w:rPr>
                <w:rFonts w:hint="default" w:ascii="Times New Roman" w:hAnsi="Times New Roman" w:eastAsia="宋体" w:cs="Times New Roman"/>
                <w:color w:val="auto"/>
                <w:sz w:val="18"/>
                <w:szCs w:val="18"/>
                <w:lang w:val="en-US" w:eastAsia="zh-CN"/>
              </w:rPr>
              <w:t>机</w:t>
            </w:r>
            <w:r>
              <w:rPr>
                <w:rFonts w:hint="default" w:ascii="Times New Roman" w:hAnsi="Times New Roman" w:eastAsia="宋体" w:cs="Times New Roman"/>
                <w:color w:val="auto"/>
                <w:sz w:val="18"/>
                <w:szCs w:val="18"/>
              </w:rPr>
              <w:t>油</w:t>
            </w:r>
          </w:p>
        </w:tc>
        <w:tc>
          <w:tcPr>
            <w:tcW w:w="494" w:type="pct"/>
            <w:vAlign w:val="center"/>
          </w:tcPr>
          <w:p w14:paraId="1D051AED">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0.</w:t>
            </w:r>
            <w:r>
              <w:rPr>
                <w:rFonts w:hint="default" w:ascii="Times New Roman" w:hAnsi="Times New Roman" w:eastAsia="宋体" w:cs="Times New Roman"/>
                <w:color w:val="auto"/>
                <w:kern w:val="24"/>
                <w:sz w:val="18"/>
                <w:szCs w:val="18"/>
                <w:lang w:val="en-US" w:eastAsia="zh-CN"/>
              </w:rPr>
              <w:t>01</w:t>
            </w:r>
            <w:r>
              <w:rPr>
                <w:rFonts w:hint="default" w:ascii="Times New Roman" w:hAnsi="Times New Roman" w:eastAsia="宋体" w:cs="Times New Roman"/>
                <w:color w:val="auto"/>
                <w:kern w:val="24"/>
                <w:sz w:val="18"/>
                <w:szCs w:val="18"/>
              </w:rPr>
              <w:t>t</w:t>
            </w:r>
          </w:p>
        </w:tc>
        <w:tc>
          <w:tcPr>
            <w:tcW w:w="905" w:type="pct"/>
            <w:vAlign w:val="center"/>
          </w:tcPr>
          <w:p w14:paraId="4EAE6505">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2500t</w:t>
            </w:r>
          </w:p>
        </w:tc>
        <w:tc>
          <w:tcPr>
            <w:tcW w:w="1517" w:type="pct"/>
            <w:tcBorders>
              <w:right w:val="nil"/>
            </w:tcBorders>
            <w:vAlign w:val="center"/>
          </w:tcPr>
          <w:p w14:paraId="7BCA59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0"/>
                <w:sz w:val="18"/>
                <w:szCs w:val="18"/>
                <w:highlight w:val="none"/>
                <w:lang w:val="en-US" w:eastAsia="zh-CN"/>
              </w:rPr>
              <w:t>4*10</w:t>
            </w:r>
            <w:r>
              <w:rPr>
                <w:rFonts w:hint="default" w:ascii="Times New Roman" w:hAnsi="Times New Roman" w:eastAsia="宋体" w:cs="Times New Roman"/>
                <w:color w:val="auto"/>
                <w:kern w:val="0"/>
                <w:sz w:val="18"/>
                <w:szCs w:val="18"/>
                <w:highlight w:val="none"/>
                <w:vertAlign w:val="superscript"/>
                <w:lang w:val="en-US" w:eastAsia="zh-CN"/>
              </w:rPr>
              <w:t>-6</w:t>
            </w:r>
          </w:p>
        </w:tc>
      </w:tr>
      <w:tr w14:paraId="677EE47B">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Align w:val="center"/>
          </w:tcPr>
          <w:p w14:paraId="7281DEE7">
            <w:pPr>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eastAsia="宋体" w:cs="Times New Roman"/>
                <w:color w:val="auto"/>
                <w:kern w:val="24"/>
                <w:sz w:val="18"/>
                <w:szCs w:val="18"/>
                <w:lang w:val="en-US" w:eastAsia="zh-CN"/>
              </w:rPr>
              <w:t>2</w:t>
            </w:r>
          </w:p>
        </w:tc>
        <w:tc>
          <w:tcPr>
            <w:tcW w:w="494" w:type="pct"/>
            <w:vAlign w:val="center"/>
          </w:tcPr>
          <w:p w14:paraId="36B90773">
            <w:pPr>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cs="Times New Roman"/>
                <w:color w:val="auto"/>
                <w:kern w:val="24"/>
                <w:sz w:val="18"/>
                <w:szCs w:val="18"/>
                <w:lang w:val="en-US" w:eastAsia="zh-CN"/>
              </w:rPr>
              <w:t>鲁奎山铁矿</w:t>
            </w:r>
          </w:p>
        </w:tc>
        <w:tc>
          <w:tcPr>
            <w:tcW w:w="494" w:type="pct"/>
            <w:vMerge w:val="continue"/>
            <w:vAlign w:val="center"/>
          </w:tcPr>
          <w:p w14:paraId="5C567EC4">
            <w:pPr>
              <w:jc w:val="center"/>
              <w:rPr>
                <w:rFonts w:hint="default" w:ascii="Times New Roman" w:hAnsi="Times New Roman" w:eastAsia="宋体" w:cs="Times New Roman"/>
                <w:color w:val="auto"/>
                <w:kern w:val="24"/>
                <w:sz w:val="18"/>
                <w:szCs w:val="18"/>
              </w:rPr>
            </w:pPr>
          </w:p>
        </w:tc>
        <w:tc>
          <w:tcPr>
            <w:tcW w:w="616" w:type="pct"/>
            <w:vAlign w:val="center"/>
          </w:tcPr>
          <w:p w14:paraId="1C386F7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w:t>
            </w:r>
            <w:r>
              <w:rPr>
                <w:rFonts w:hint="default" w:ascii="Times New Roman" w:hAnsi="Times New Roman" w:eastAsia="宋体" w:cs="Times New Roman"/>
                <w:color w:val="auto"/>
                <w:sz w:val="18"/>
                <w:szCs w:val="18"/>
                <w:lang w:val="en-US" w:eastAsia="zh-CN"/>
              </w:rPr>
              <w:t>机</w:t>
            </w:r>
            <w:r>
              <w:rPr>
                <w:rFonts w:hint="default" w:ascii="Times New Roman" w:hAnsi="Times New Roman" w:eastAsia="宋体" w:cs="Times New Roman"/>
                <w:color w:val="auto"/>
                <w:sz w:val="18"/>
                <w:szCs w:val="18"/>
              </w:rPr>
              <w:t>油</w:t>
            </w:r>
          </w:p>
        </w:tc>
        <w:tc>
          <w:tcPr>
            <w:tcW w:w="494" w:type="pct"/>
            <w:vAlign w:val="center"/>
          </w:tcPr>
          <w:p w14:paraId="779CC7B5">
            <w:pPr>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eastAsia="宋体" w:cs="Times New Roman"/>
                <w:color w:val="auto"/>
                <w:kern w:val="24"/>
                <w:sz w:val="18"/>
                <w:szCs w:val="18"/>
                <w:lang w:val="en-US" w:eastAsia="zh-CN"/>
              </w:rPr>
              <w:t>0.5</w:t>
            </w:r>
            <w:r>
              <w:rPr>
                <w:rFonts w:hint="default" w:ascii="Times New Roman" w:hAnsi="Times New Roman" w:eastAsia="宋体" w:cs="Times New Roman"/>
                <w:color w:val="auto"/>
                <w:kern w:val="24"/>
                <w:sz w:val="18"/>
                <w:szCs w:val="18"/>
              </w:rPr>
              <w:t>t</w:t>
            </w:r>
          </w:p>
        </w:tc>
        <w:tc>
          <w:tcPr>
            <w:tcW w:w="905" w:type="pct"/>
            <w:vAlign w:val="center"/>
          </w:tcPr>
          <w:p w14:paraId="52D3235A">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lang w:val="en-US" w:eastAsia="zh-CN"/>
              </w:rPr>
              <w:t>2500</w:t>
            </w:r>
            <w:r>
              <w:rPr>
                <w:rFonts w:hint="default" w:ascii="Times New Roman" w:hAnsi="Times New Roman" w:eastAsia="宋体" w:cs="Times New Roman"/>
                <w:color w:val="auto"/>
                <w:kern w:val="24"/>
                <w:sz w:val="18"/>
                <w:szCs w:val="18"/>
              </w:rPr>
              <w:t>t</w:t>
            </w:r>
          </w:p>
        </w:tc>
        <w:tc>
          <w:tcPr>
            <w:tcW w:w="1517" w:type="pct"/>
            <w:tcBorders>
              <w:right w:val="nil"/>
            </w:tcBorders>
            <w:vAlign w:val="center"/>
          </w:tcPr>
          <w:p w14:paraId="32BE2E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4"/>
                <w:sz w:val="18"/>
                <w:szCs w:val="18"/>
                <w:lang w:val="en-US"/>
              </w:rPr>
            </w:pPr>
            <w:r>
              <w:rPr>
                <w:rFonts w:hint="default" w:ascii="Times New Roman" w:hAnsi="Times New Roman" w:eastAsia="宋体" w:cs="Times New Roman"/>
                <w:color w:val="auto"/>
                <w:kern w:val="0"/>
                <w:sz w:val="18"/>
                <w:szCs w:val="18"/>
                <w:highlight w:val="none"/>
                <w:lang w:val="en-US" w:eastAsia="zh-CN"/>
              </w:rPr>
              <w:t>2*10</w:t>
            </w:r>
            <w:r>
              <w:rPr>
                <w:rFonts w:hint="default" w:ascii="Times New Roman" w:hAnsi="Times New Roman" w:eastAsia="宋体" w:cs="Times New Roman"/>
                <w:color w:val="auto"/>
                <w:kern w:val="0"/>
                <w:sz w:val="18"/>
                <w:szCs w:val="18"/>
                <w:highlight w:val="none"/>
                <w:vertAlign w:val="superscript"/>
                <w:lang w:val="en-US" w:eastAsia="zh-CN"/>
              </w:rPr>
              <w:t>-4</w:t>
            </w:r>
          </w:p>
        </w:tc>
      </w:tr>
      <w:tr w14:paraId="78D1D548">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2" w:type="pct"/>
            <w:gridSpan w:val="6"/>
            <w:vAlign w:val="center"/>
          </w:tcPr>
          <w:p w14:paraId="2BE206BE">
            <w:pPr>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eastAsia="宋体" w:cs="Times New Roman"/>
                <w:color w:val="auto"/>
                <w:kern w:val="24"/>
                <w:sz w:val="18"/>
                <w:szCs w:val="18"/>
                <w:lang w:val="en-US" w:eastAsia="zh-CN"/>
              </w:rPr>
              <w:t>合计</w:t>
            </w:r>
          </w:p>
        </w:tc>
        <w:tc>
          <w:tcPr>
            <w:tcW w:w="1517" w:type="pct"/>
            <w:tcBorders>
              <w:right w:val="nil"/>
            </w:tcBorders>
            <w:vAlign w:val="center"/>
          </w:tcPr>
          <w:p w14:paraId="05B963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2.04*10</w:t>
            </w:r>
            <w:r>
              <w:rPr>
                <w:rFonts w:hint="default" w:ascii="Times New Roman" w:hAnsi="Times New Roman" w:eastAsia="宋体" w:cs="Times New Roman"/>
                <w:color w:val="auto"/>
                <w:kern w:val="0"/>
                <w:sz w:val="18"/>
                <w:szCs w:val="18"/>
                <w:highlight w:val="none"/>
                <w:vertAlign w:val="superscript"/>
                <w:lang w:val="en-US" w:eastAsia="zh-CN"/>
              </w:rPr>
              <w:t>-4</w:t>
            </w:r>
          </w:p>
        </w:tc>
      </w:tr>
    </w:tbl>
    <w:p w14:paraId="4682D215">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rPr>
        <w:t>根据上表的计算</w:t>
      </w:r>
      <w:r>
        <w:rPr>
          <w:rFonts w:hint="default" w:ascii="Times New Roman" w:hAnsi="Times New Roman" w:cs="Times New Roman"/>
          <w:color w:val="auto"/>
        </w:rPr>
        <w:t>结果，本项目Q值</w:t>
      </w:r>
      <w:r>
        <w:rPr>
          <w:rFonts w:hint="default" w:ascii="Times New Roman" w:hAnsi="Times New Roman" w:cs="Times New Roman"/>
          <w:color w:val="auto"/>
          <w:sz w:val="24"/>
          <w:szCs w:val="24"/>
        </w:rPr>
        <w:t>为</w:t>
      </w:r>
      <w:r>
        <w:rPr>
          <w:rFonts w:hint="default" w:ascii="Times New Roman" w:hAnsi="Times New Roman" w:eastAsia="宋体" w:cs="Times New Roman"/>
          <w:color w:val="auto"/>
          <w:kern w:val="0"/>
          <w:sz w:val="24"/>
          <w:szCs w:val="24"/>
          <w:highlight w:val="none"/>
          <w:lang w:val="en-US" w:eastAsia="zh-CN"/>
        </w:rPr>
        <w:t>2.04*10</w:t>
      </w:r>
      <w:r>
        <w:rPr>
          <w:rFonts w:hint="default" w:ascii="Times New Roman" w:hAnsi="Times New Roman" w:eastAsia="宋体" w:cs="Times New Roman"/>
          <w:color w:val="auto"/>
          <w:kern w:val="0"/>
          <w:sz w:val="24"/>
          <w:szCs w:val="24"/>
          <w:highlight w:val="none"/>
          <w:vertAlign w:val="superscript"/>
          <w:lang w:val="en-US" w:eastAsia="zh-CN"/>
        </w:rPr>
        <w:t>-4</w:t>
      </w:r>
      <w:r>
        <w:rPr>
          <w:rFonts w:hint="default" w:ascii="Times New Roman" w:hAnsi="Times New Roman" w:cs="Times New Roman"/>
          <w:color w:val="auto"/>
        </w:rPr>
        <w:t>（Q＜1），</w:t>
      </w:r>
      <w:r>
        <w:rPr>
          <w:rFonts w:hint="default" w:ascii="Times New Roman" w:hAnsi="Times New Roman" w:cs="Times New Roman"/>
          <w:color w:val="auto"/>
          <w:sz w:val="24"/>
        </w:rPr>
        <w:t>本项目环境风险潜势直接根据Q值判定为I，不再进行M值和P值评估判断。</w:t>
      </w:r>
      <w:r>
        <w:rPr>
          <w:rFonts w:hint="default" w:ascii="Times New Roman" w:hAnsi="Times New Roman" w:cs="Times New Roman" w:eastAsiaTheme="minorEastAsia"/>
          <w:color w:val="auto"/>
          <w:sz w:val="24"/>
          <w:szCs w:val="24"/>
        </w:rPr>
        <w:t>本次</w:t>
      </w:r>
      <w:r>
        <w:rPr>
          <w:rFonts w:hint="default" w:ascii="Times New Roman" w:hAnsi="Times New Roman" w:cs="Times New Roman" w:eastAsiaTheme="minorEastAsia"/>
          <w:sz w:val="24"/>
          <w:szCs w:val="24"/>
        </w:rPr>
        <w:t>环境风险评价等级为简单分析。</w:t>
      </w:r>
    </w:p>
    <w:p w14:paraId="57D9318E">
      <w:pPr>
        <w:pStyle w:val="6"/>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.5.2评价范围</w:t>
      </w:r>
      <w:bookmarkEnd w:id="171"/>
      <w:bookmarkEnd w:id="172"/>
    </w:p>
    <w:p w14:paraId="25C2640F">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1、环境空气</w:t>
      </w:r>
    </w:p>
    <w:p w14:paraId="739DA9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根据估算模式计算结果，项目大气环境评价等级为二级，根据《环境影响评价技术导则—大气环境》（HJ2.2-2018）中的规定，大气环境评价范围以本项目厂址中心，</w:t>
      </w:r>
      <w:r>
        <w:rPr>
          <w:rFonts w:hint="default" w:ascii="Times New Roman" w:hAnsi="Times New Roman" w:eastAsia="宋体" w:cs="Times New Roman"/>
          <w:color w:val="auto"/>
          <w:kern w:val="0"/>
          <w:sz w:val="24"/>
          <w:szCs w:val="24"/>
          <w:lang w:val="en-US" w:eastAsia="zh-CN" w:bidi="ar"/>
        </w:rPr>
        <w:t>边长取5km</w:t>
      </w:r>
      <w:r>
        <w:rPr>
          <w:rFonts w:hint="default" w:ascii="Times New Roman" w:hAnsi="Times New Roman" w:eastAsia="宋体" w:cs="Times New Roman"/>
          <w:color w:val="auto"/>
          <w:sz w:val="24"/>
          <w:szCs w:val="24"/>
          <w:highlight w:val="none"/>
          <w:lang w:val="en-US" w:eastAsia="zh-CN"/>
        </w:rPr>
        <w:t>的矩形范围。</w:t>
      </w:r>
    </w:p>
    <w:p w14:paraId="4D4940B3">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2、地表水</w:t>
      </w:r>
    </w:p>
    <w:p w14:paraId="6EAD3925">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根据《环境影响评价技术导则 地表水环境》（HJ2.3-2018）规定，项目水环境影响评价等级为三级B，本项目仅对生活污水回用不外排可行性分析、生活污水依托</w:t>
      </w:r>
      <w:r>
        <w:rPr>
          <w:rFonts w:hint="default" w:ascii="Times New Roman" w:hAnsi="Times New Roman" w:cs="Times New Roman" w:eastAsiaTheme="minorEastAsia"/>
          <w:sz w:val="24"/>
          <w:szCs w:val="24"/>
          <w:lang w:val="en-US" w:eastAsia="zh-CN"/>
        </w:rPr>
        <w:t>鲁奎山铁矿</w:t>
      </w:r>
      <w:r>
        <w:rPr>
          <w:rFonts w:hint="default" w:ascii="Times New Roman" w:hAnsi="Times New Roman" w:cs="Times New Roman" w:eastAsiaTheme="minorEastAsia"/>
          <w:sz w:val="24"/>
          <w:szCs w:val="24"/>
        </w:rPr>
        <w:t>污水处理设施可行性分析，不设评价范围。</w:t>
      </w:r>
    </w:p>
    <w:p w14:paraId="0820310A">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3、地下水</w:t>
      </w:r>
    </w:p>
    <w:p w14:paraId="15394D6D">
      <w:pPr>
        <w:spacing w:line="360" w:lineRule="auto"/>
        <w:ind w:firstLine="480"/>
        <w:jc w:val="left"/>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根据</w:t>
      </w:r>
      <w:bookmarkStart w:id="173" w:name="_Hlk165281729"/>
      <w:r>
        <w:rPr>
          <w:rFonts w:hint="default" w:ascii="Times New Roman" w:hAnsi="Times New Roman" w:cs="Times New Roman" w:eastAsiaTheme="minorEastAsia"/>
          <w:color w:val="auto"/>
          <w:sz w:val="24"/>
          <w:szCs w:val="24"/>
        </w:rPr>
        <w:t>区域水文地质条件、项目区地形分水岭、地层界线、河流、地下水流向等确定地下水环境的调查评价范围</w:t>
      </w:r>
      <w:bookmarkEnd w:id="173"/>
      <w:r>
        <w:rPr>
          <w:rFonts w:hint="default" w:ascii="Times New Roman" w:hAnsi="Times New Roman" w:cs="Times New Roman" w:eastAsiaTheme="minorEastAsia"/>
          <w:color w:val="auto"/>
          <w:sz w:val="24"/>
          <w:szCs w:val="24"/>
        </w:rPr>
        <w:t>，采用自定义法确定</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本次地下水评价范围为</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北侧、</w:t>
      </w:r>
      <w:r>
        <w:rPr>
          <w:rFonts w:hint="default" w:ascii="Times New Roman" w:hAnsi="Times New Roman" w:cs="Times New Roman" w:eastAsiaTheme="minorEastAsia"/>
          <w:color w:val="auto"/>
          <w:sz w:val="24"/>
          <w:szCs w:val="24"/>
        </w:rPr>
        <w:t>东侧以</w:t>
      </w:r>
      <w:r>
        <w:rPr>
          <w:rFonts w:hint="default" w:ascii="Times New Roman" w:hAnsi="Times New Roman" w:cs="Times New Roman" w:eastAsiaTheme="minorEastAsia"/>
          <w:color w:val="auto"/>
          <w:sz w:val="24"/>
          <w:szCs w:val="24"/>
          <w:lang w:val="en-US" w:eastAsia="zh-CN"/>
        </w:rPr>
        <w:t>分水岭</w:t>
      </w:r>
      <w:r>
        <w:rPr>
          <w:rFonts w:hint="default" w:ascii="Times New Roman" w:hAnsi="Times New Roman" w:cs="Times New Roman" w:eastAsiaTheme="minorEastAsia"/>
          <w:color w:val="auto"/>
          <w:sz w:val="24"/>
          <w:szCs w:val="24"/>
        </w:rPr>
        <w:t>为界，</w:t>
      </w:r>
      <w:r>
        <w:rPr>
          <w:rFonts w:hint="default" w:ascii="Times New Roman" w:hAnsi="Times New Roman" w:cs="Times New Roman" w:eastAsiaTheme="minorEastAsia"/>
          <w:color w:val="auto"/>
          <w:sz w:val="24"/>
          <w:szCs w:val="24"/>
          <w:lang w:val="en-US" w:eastAsia="zh-CN"/>
        </w:rPr>
        <w:t>西侧以山岭为界，南侧以地表水排泄边界为界</w:t>
      </w:r>
      <w:r>
        <w:rPr>
          <w:rFonts w:hint="default" w:ascii="Times New Roman" w:hAnsi="Times New Roman" w:cs="Times New Roman" w:eastAsiaTheme="minorEastAsia"/>
          <w:color w:val="auto"/>
          <w:sz w:val="24"/>
          <w:szCs w:val="24"/>
        </w:rPr>
        <w:t>，面积约</w:t>
      </w:r>
      <w:r>
        <w:rPr>
          <w:rFonts w:hint="default" w:ascii="Times New Roman" w:hAnsi="Times New Roman" w:cs="Times New Roman" w:eastAsiaTheme="minorEastAsia"/>
          <w:color w:val="auto"/>
          <w:sz w:val="24"/>
          <w:szCs w:val="24"/>
          <w:lang w:val="en-US" w:eastAsia="zh-CN"/>
        </w:rPr>
        <w:t>4.5</w:t>
      </w:r>
      <w:r>
        <w:rPr>
          <w:rFonts w:hint="default" w:ascii="Times New Roman" w:hAnsi="Times New Roman" w:cs="Times New Roman" w:eastAsiaTheme="minorEastAsia"/>
          <w:color w:val="auto"/>
          <w:sz w:val="24"/>
          <w:szCs w:val="24"/>
        </w:rPr>
        <w:t>km</w:t>
      </w:r>
      <w:r>
        <w:rPr>
          <w:rFonts w:hint="default" w:ascii="Times New Roman" w:hAnsi="Times New Roman" w:cs="Times New Roman" w:eastAsiaTheme="minorEastAsia"/>
          <w:color w:val="auto"/>
          <w:sz w:val="24"/>
          <w:szCs w:val="24"/>
          <w:vertAlign w:val="superscript"/>
        </w:rPr>
        <w:t>2</w:t>
      </w:r>
      <w:r>
        <w:rPr>
          <w:rFonts w:hint="default" w:ascii="Times New Roman" w:hAnsi="Times New Roman" w:cs="Times New Roman" w:eastAsiaTheme="minorEastAsia"/>
          <w:color w:val="auto"/>
          <w:sz w:val="24"/>
          <w:szCs w:val="24"/>
        </w:rPr>
        <w:t>。</w:t>
      </w:r>
      <w:bookmarkStart w:id="174" w:name="_Hlk165281748"/>
      <w:r>
        <w:rPr>
          <w:rFonts w:hint="default" w:ascii="Times New Roman" w:hAnsi="Times New Roman" w:cs="Times New Roman" w:eastAsiaTheme="minorEastAsia"/>
          <w:color w:val="auto"/>
          <w:sz w:val="24"/>
          <w:szCs w:val="24"/>
        </w:rPr>
        <w:t>评价范围内无饮用水水源地。</w:t>
      </w:r>
      <w:bookmarkEnd w:id="174"/>
    </w:p>
    <w:p w14:paraId="14162CD8">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4、土壤</w:t>
      </w:r>
    </w:p>
    <w:p w14:paraId="1246A36A">
      <w:pPr>
        <w:spacing w:line="360" w:lineRule="auto"/>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根据工程建设的土壤环境影响工作等级的确定，本项目属于土壤污染影响型</w:t>
      </w:r>
      <w:r>
        <w:rPr>
          <w:rFonts w:hint="default" w:ascii="Times New Roman" w:hAnsi="Times New Roman" w:cs="Times New Roman" w:eastAsiaTheme="minorEastAsia"/>
          <w:color w:val="auto"/>
          <w:sz w:val="24"/>
          <w:szCs w:val="24"/>
          <w:lang w:val="en-US" w:eastAsia="zh-CN"/>
        </w:rPr>
        <w:t>一</w:t>
      </w:r>
      <w:r>
        <w:rPr>
          <w:rFonts w:hint="default" w:ascii="Times New Roman" w:hAnsi="Times New Roman" w:cs="Times New Roman" w:eastAsiaTheme="minorEastAsia"/>
          <w:color w:val="auto"/>
          <w:sz w:val="24"/>
          <w:szCs w:val="24"/>
        </w:rPr>
        <w:t>级评价，因此评价范围为项目区域及占地范围外</w:t>
      </w:r>
      <w:r>
        <w:rPr>
          <w:rFonts w:hint="default" w:ascii="Times New Roman" w:hAnsi="Times New Roman" w:cs="Times New Roman" w:eastAsiaTheme="minorEastAsia"/>
          <w:color w:val="auto"/>
          <w:sz w:val="24"/>
          <w:szCs w:val="24"/>
          <w:lang w:val="en-US" w:eastAsia="zh-CN"/>
        </w:rPr>
        <w:t>1000</w:t>
      </w:r>
      <w:r>
        <w:rPr>
          <w:rFonts w:hint="default" w:ascii="Times New Roman" w:hAnsi="Times New Roman" w:cs="Times New Roman" w:eastAsiaTheme="minorEastAsia"/>
          <w:color w:val="auto"/>
          <w:sz w:val="24"/>
          <w:szCs w:val="24"/>
        </w:rPr>
        <w:t>m范围内。</w:t>
      </w:r>
    </w:p>
    <w:p w14:paraId="059D8A1A">
      <w:pPr>
        <w:spacing w:line="360" w:lineRule="auto"/>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5、噪声</w:t>
      </w:r>
    </w:p>
    <w:p w14:paraId="3AAAF1B1">
      <w:pPr>
        <w:spacing w:line="360" w:lineRule="auto"/>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该项目所在功能区属于《声环境质量标准》（GB3096-2008）规定的2类标准区，根据《环境影响评价技术导则-声环境》（HJ2.4-2021）噪声评价工作等级划分依据，该项目噪声环境评价工作等级确定为二级，噪声评价范围为厂界外延200m。</w:t>
      </w:r>
    </w:p>
    <w:p w14:paraId="7EB177A5">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6、环境风险</w:t>
      </w:r>
    </w:p>
    <w:p w14:paraId="4C9621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根据《建设项目环境风险评价技术导则》（HJ169-2018），本项目环境风险评价只需进行简单分析，不设置评价范围。</w:t>
      </w:r>
    </w:p>
    <w:p w14:paraId="2B9FACB0">
      <w:pPr>
        <w:spacing w:line="360" w:lineRule="auto"/>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7、生态环境</w:t>
      </w:r>
    </w:p>
    <w:p w14:paraId="6BF0347A">
      <w:pPr>
        <w:spacing w:line="360" w:lineRule="auto"/>
        <w:ind w:firstLine="48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根据本项目生态环境影响评价等级及周边生态环境现状，本项目生态影响评价范围为项目区及占地范围外</w:t>
      </w:r>
      <w:r>
        <w:rPr>
          <w:rFonts w:hint="default" w:ascii="Times New Roman" w:hAnsi="Times New Roman" w:eastAsia="宋体" w:cs="Times New Roman"/>
          <w:b w:val="0"/>
          <w:bCs w:val="0"/>
          <w:color w:val="auto"/>
          <w:sz w:val="24"/>
          <w:szCs w:val="24"/>
          <w:lang w:val="en-US" w:eastAsia="zh-CN"/>
        </w:rPr>
        <w:t>200</w:t>
      </w:r>
      <w:r>
        <w:rPr>
          <w:rFonts w:hint="default" w:ascii="Times New Roman" w:hAnsi="Times New Roman" w:eastAsia="宋体" w:cs="Times New Roman"/>
          <w:b w:val="0"/>
          <w:bCs w:val="0"/>
          <w:color w:val="auto"/>
          <w:sz w:val="24"/>
          <w:szCs w:val="24"/>
        </w:rPr>
        <w:t>m范围内区域</w:t>
      </w:r>
      <w:r>
        <w:rPr>
          <w:rFonts w:hint="default" w:ascii="Times New Roman" w:hAnsi="Times New Roman" w:eastAsia="宋体" w:cs="Times New Roman"/>
          <w:b w:val="0"/>
          <w:bCs w:val="0"/>
          <w:color w:val="auto"/>
          <w:sz w:val="24"/>
          <w:szCs w:val="24"/>
          <w:lang w:eastAsia="zh-CN"/>
        </w:rPr>
        <w:t>。</w:t>
      </w:r>
    </w:p>
    <w:p w14:paraId="1B8DD57A">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本项目评价范围表见表</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.5-</w:t>
      </w:r>
      <w:r>
        <w:rPr>
          <w:rFonts w:hint="default" w:ascii="Times New Roman" w:hAnsi="Times New Roman" w:cs="Times New Roman" w:eastAsiaTheme="minorEastAsia"/>
          <w:sz w:val="24"/>
          <w:szCs w:val="24"/>
          <w:lang w:val="en-US" w:eastAsia="zh-CN"/>
        </w:rPr>
        <w:t>9</w:t>
      </w:r>
      <w:r>
        <w:rPr>
          <w:rFonts w:hint="default" w:ascii="Times New Roman" w:hAnsi="Times New Roman" w:cs="Times New Roman" w:eastAsiaTheme="minorEastAsia"/>
          <w:sz w:val="24"/>
          <w:szCs w:val="24"/>
        </w:rPr>
        <w:t>。</w:t>
      </w:r>
    </w:p>
    <w:p w14:paraId="74DAAB04">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.5-</w:t>
      </w:r>
      <w:r>
        <w:rPr>
          <w:rFonts w:hint="default" w:ascii="Times New Roman" w:hAnsi="Times New Roman" w:eastAsia="黑体" w:cs="Times New Roman"/>
          <w:b w:val="0"/>
          <w:bCs/>
          <w:sz w:val="21"/>
          <w:szCs w:val="21"/>
          <w:lang w:val="en-US" w:eastAsia="zh-CN"/>
        </w:rPr>
        <w:t>9</w:t>
      </w:r>
      <w:r>
        <w:rPr>
          <w:rFonts w:hint="default" w:ascii="Times New Roman" w:hAnsi="Times New Roman" w:eastAsia="黑体" w:cs="Times New Roman"/>
          <w:b w:val="0"/>
          <w:bCs/>
          <w:sz w:val="21"/>
          <w:szCs w:val="21"/>
        </w:rPr>
        <w:t xml:space="preserve">  环境影响评价范围一览表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7155"/>
      </w:tblGrid>
      <w:tr w14:paraId="710DEE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1" w:type="dxa"/>
            <w:tcBorders>
              <w:tl2br w:val="nil"/>
              <w:tr2bl w:val="nil"/>
            </w:tcBorders>
            <w:vAlign w:val="center"/>
          </w:tcPr>
          <w:p w14:paraId="093495CD">
            <w:pPr>
              <w:pStyle w:val="47"/>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评价内容</w:t>
            </w:r>
          </w:p>
        </w:tc>
        <w:tc>
          <w:tcPr>
            <w:tcW w:w="6989" w:type="dxa"/>
            <w:tcBorders>
              <w:tl2br w:val="nil"/>
              <w:tr2bl w:val="nil"/>
            </w:tcBorders>
            <w:vAlign w:val="center"/>
          </w:tcPr>
          <w:p w14:paraId="5D99ED78">
            <w:pPr>
              <w:pStyle w:val="47"/>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评价范围</w:t>
            </w:r>
          </w:p>
        </w:tc>
      </w:tr>
      <w:tr w14:paraId="19E2E7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1" w:type="dxa"/>
            <w:tcBorders>
              <w:tl2br w:val="nil"/>
              <w:tr2bl w:val="nil"/>
            </w:tcBorders>
            <w:vAlign w:val="center"/>
          </w:tcPr>
          <w:p w14:paraId="5DEF5BBD">
            <w:pPr>
              <w:pStyle w:val="47"/>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大气环境</w:t>
            </w:r>
          </w:p>
        </w:tc>
        <w:tc>
          <w:tcPr>
            <w:tcW w:w="6989" w:type="dxa"/>
            <w:tcBorders>
              <w:tl2br w:val="nil"/>
              <w:tr2bl w:val="nil"/>
            </w:tcBorders>
            <w:vAlign w:val="center"/>
          </w:tcPr>
          <w:p w14:paraId="163754E4">
            <w:pPr>
              <w:pStyle w:val="47"/>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以项目区为中心区域，边长为5km的矩形区域。</w:t>
            </w:r>
          </w:p>
        </w:tc>
      </w:tr>
      <w:tr w14:paraId="148D55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1" w:type="dxa"/>
            <w:tcBorders>
              <w:tl2br w:val="nil"/>
              <w:tr2bl w:val="nil"/>
            </w:tcBorders>
            <w:vAlign w:val="center"/>
          </w:tcPr>
          <w:p w14:paraId="65FD1F00">
            <w:pPr>
              <w:pStyle w:val="47"/>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地表水</w:t>
            </w:r>
          </w:p>
        </w:tc>
        <w:tc>
          <w:tcPr>
            <w:tcW w:w="6989" w:type="dxa"/>
            <w:tcBorders>
              <w:tl2br w:val="nil"/>
              <w:tr2bl w:val="nil"/>
            </w:tcBorders>
            <w:vAlign w:val="center"/>
          </w:tcPr>
          <w:p w14:paraId="215519E7">
            <w:pPr>
              <w:pStyle w:val="47"/>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w:t>
            </w:r>
          </w:p>
        </w:tc>
      </w:tr>
      <w:tr w14:paraId="18DEA9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1" w:type="dxa"/>
            <w:tcBorders>
              <w:tl2br w:val="nil"/>
              <w:tr2bl w:val="nil"/>
            </w:tcBorders>
            <w:vAlign w:val="center"/>
          </w:tcPr>
          <w:p w14:paraId="391E06DF">
            <w:pPr>
              <w:pStyle w:val="47"/>
              <w:spacing w:line="240" w:lineRule="auto"/>
              <w:rPr>
                <w:rFonts w:hint="default" w:ascii="Times New Roman" w:hAnsi="Times New Roman" w:cs="Times New Roman" w:eastAsiaTheme="minorEastAsia"/>
                <w:b w:val="0"/>
                <w:bCs/>
                <w:color w:val="auto"/>
                <w:sz w:val="18"/>
                <w:szCs w:val="18"/>
              </w:rPr>
            </w:pPr>
            <w:r>
              <w:rPr>
                <w:rFonts w:hint="default" w:ascii="Times New Roman" w:hAnsi="Times New Roman" w:cs="Times New Roman" w:eastAsiaTheme="minorEastAsia"/>
                <w:b w:val="0"/>
                <w:bCs/>
                <w:color w:val="auto"/>
                <w:sz w:val="18"/>
                <w:szCs w:val="18"/>
              </w:rPr>
              <w:t>地下水</w:t>
            </w:r>
          </w:p>
        </w:tc>
        <w:tc>
          <w:tcPr>
            <w:tcW w:w="6989" w:type="dxa"/>
            <w:tcBorders>
              <w:tl2br w:val="nil"/>
              <w:tr2bl w:val="nil"/>
            </w:tcBorders>
            <w:vAlign w:val="center"/>
          </w:tcPr>
          <w:p w14:paraId="724FD8A0">
            <w:pPr>
              <w:pStyle w:val="47"/>
              <w:spacing w:line="240" w:lineRule="auto"/>
              <w:rPr>
                <w:rFonts w:hint="default" w:ascii="Times New Roman" w:hAnsi="Times New Roman" w:cs="Times New Roman" w:eastAsiaTheme="minorEastAsia"/>
                <w:b w:val="0"/>
                <w:bCs/>
                <w:color w:val="auto"/>
                <w:sz w:val="18"/>
                <w:szCs w:val="18"/>
              </w:rPr>
            </w:pPr>
            <w:r>
              <w:rPr>
                <w:rFonts w:hint="default" w:ascii="Times New Roman" w:hAnsi="Times New Roman" w:cs="Times New Roman" w:eastAsiaTheme="minorEastAsia"/>
                <w:b w:val="0"/>
                <w:bCs/>
                <w:color w:val="auto"/>
                <w:sz w:val="18"/>
                <w:szCs w:val="18"/>
                <w:lang w:val="en-US" w:eastAsia="zh-CN"/>
              </w:rPr>
              <w:t>北侧、</w:t>
            </w:r>
            <w:r>
              <w:rPr>
                <w:rFonts w:hint="default" w:ascii="Times New Roman" w:hAnsi="Times New Roman" w:cs="Times New Roman" w:eastAsiaTheme="minorEastAsia"/>
                <w:b w:val="0"/>
                <w:bCs/>
                <w:color w:val="auto"/>
                <w:sz w:val="18"/>
                <w:szCs w:val="18"/>
              </w:rPr>
              <w:t>东侧以</w:t>
            </w:r>
            <w:r>
              <w:rPr>
                <w:rFonts w:hint="default" w:ascii="Times New Roman" w:hAnsi="Times New Roman" w:cs="Times New Roman" w:eastAsiaTheme="minorEastAsia"/>
                <w:b w:val="0"/>
                <w:bCs/>
                <w:color w:val="auto"/>
                <w:sz w:val="18"/>
                <w:szCs w:val="18"/>
                <w:lang w:val="en-US" w:eastAsia="zh-CN"/>
              </w:rPr>
              <w:t>地下水分水岭</w:t>
            </w:r>
            <w:r>
              <w:rPr>
                <w:rFonts w:hint="default" w:ascii="Times New Roman" w:hAnsi="Times New Roman" w:cs="Times New Roman" w:eastAsiaTheme="minorEastAsia"/>
                <w:b w:val="0"/>
                <w:bCs/>
                <w:color w:val="auto"/>
                <w:sz w:val="18"/>
                <w:szCs w:val="18"/>
              </w:rPr>
              <w:t>为界，</w:t>
            </w:r>
            <w:r>
              <w:rPr>
                <w:rFonts w:hint="default" w:ascii="Times New Roman" w:hAnsi="Times New Roman" w:cs="Times New Roman" w:eastAsiaTheme="minorEastAsia"/>
                <w:b w:val="0"/>
                <w:bCs/>
                <w:color w:val="auto"/>
                <w:sz w:val="18"/>
                <w:szCs w:val="18"/>
                <w:lang w:val="en-US" w:eastAsia="zh-CN"/>
              </w:rPr>
              <w:t>西侧以山岭为界，南侧以地表水排泄边界为界</w:t>
            </w:r>
            <w:r>
              <w:rPr>
                <w:rFonts w:hint="default" w:ascii="Times New Roman" w:hAnsi="Times New Roman" w:cs="Times New Roman" w:eastAsiaTheme="minorEastAsia"/>
                <w:b w:val="0"/>
                <w:bCs/>
                <w:color w:val="auto"/>
                <w:sz w:val="18"/>
                <w:szCs w:val="18"/>
              </w:rPr>
              <w:t>，面积约</w:t>
            </w:r>
            <w:r>
              <w:rPr>
                <w:rFonts w:hint="default" w:ascii="Times New Roman" w:hAnsi="Times New Roman" w:cs="Times New Roman" w:eastAsiaTheme="minorEastAsia"/>
                <w:b w:val="0"/>
                <w:bCs/>
                <w:color w:val="auto"/>
                <w:sz w:val="18"/>
                <w:szCs w:val="18"/>
                <w:lang w:val="en-US" w:eastAsia="zh-CN"/>
              </w:rPr>
              <w:t>4.5</w:t>
            </w:r>
            <w:r>
              <w:rPr>
                <w:rFonts w:hint="default" w:ascii="Times New Roman" w:hAnsi="Times New Roman" w:cs="Times New Roman" w:eastAsiaTheme="minorEastAsia"/>
                <w:b w:val="0"/>
                <w:bCs/>
                <w:color w:val="auto"/>
                <w:sz w:val="18"/>
                <w:szCs w:val="18"/>
              </w:rPr>
              <w:t>km</w:t>
            </w:r>
            <w:r>
              <w:rPr>
                <w:rFonts w:hint="default" w:ascii="Times New Roman" w:hAnsi="Times New Roman" w:cs="Times New Roman" w:eastAsiaTheme="minorEastAsia"/>
                <w:b w:val="0"/>
                <w:bCs/>
                <w:color w:val="auto"/>
                <w:sz w:val="18"/>
                <w:szCs w:val="18"/>
                <w:vertAlign w:val="superscript"/>
              </w:rPr>
              <w:t>2</w:t>
            </w:r>
            <w:r>
              <w:rPr>
                <w:rFonts w:hint="default" w:ascii="Times New Roman" w:hAnsi="Times New Roman" w:cs="Times New Roman" w:eastAsiaTheme="minorEastAsia"/>
                <w:b w:val="0"/>
                <w:bCs/>
                <w:color w:val="auto"/>
                <w:sz w:val="18"/>
                <w:szCs w:val="18"/>
              </w:rPr>
              <w:t>。</w:t>
            </w:r>
          </w:p>
        </w:tc>
      </w:tr>
      <w:tr w14:paraId="29616D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1" w:type="dxa"/>
            <w:tcBorders>
              <w:tl2br w:val="nil"/>
              <w:tr2bl w:val="nil"/>
            </w:tcBorders>
            <w:vAlign w:val="center"/>
          </w:tcPr>
          <w:p w14:paraId="77A6AE61">
            <w:pPr>
              <w:pStyle w:val="47"/>
              <w:spacing w:line="240" w:lineRule="auto"/>
              <w:rPr>
                <w:rFonts w:hint="default" w:ascii="Times New Roman" w:hAnsi="Times New Roman" w:cs="Times New Roman" w:eastAsiaTheme="minorEastAsia"/>
                <w:b w:val="0"/>
                <w:bCs/>
                <w:color w:val="auto"/>
                <w:sz w:val="18"/>
                <w:szCs w:val="18"/>
              </w:rPr>
            </w:pPr>
            <w:r>
              <w:rPr>
                <w:rFonts w:hint="default" w:ascii="Times New Roman" w:hAnsi="Times New Roman" w:cs="Times New Roman" w:eastAsiaTheme="minorEastAsia"/>
                <w:b w:val="0"/>
                <w:bCs/>
                <w:color w:val="auto"/>
                <w:sz w:val="18"/>
                <w:szCs w:val="18"/>
              </w:rPr>
              <w:t>土壤环境</w:t>
            </w:r>
          </w:p>
        </w:tc>
        <w:tc>
          <w:tcPr>
            <w:tcW w:w="6989" w:type="dxa"/>
            <w:tcBorders>
              <w:tl2br w:val="nil"/>
              <w:tr2bl w:val="nil"/>
            </w:tcBorders>
            <w:vAlign w:val="center"/>
          </w:tcPr>
          <w:p w14:paraId="6C6EAA40">
            <w:pPr>
              <w:spacing w:line="240" w:lineRule="auto"/>
              <w:ind w:firstLine="480"/>
              <w:jc w:val="center"/>
              <w:rPr>
                <w:rFonts w:hint="default" w:ascii="Times New Roman" w:hAnsi="Times New Roman" w:cs="Times New Roman" w:eastAsiaTheme="minorEastAsia"/>
                <w:b w:val="0"/>
                <w:bCs/>
                <w:color w:val="FF0000"/>
                <w:sz w:val="18"/>
                <w:szCs w:val="18"/>
              </w:rPr>
            </w:pPr>
            <w:r>
              <w:rPr>
                <w:rFonts w:hint="default" w:ascii="Times New Roman" w:hAnsi="Times New Roman" w:cs="Times New Roman" w:eastAsiaTheme="minorEastAsia"/>
                <w:b w:val="0"/>
                <w:bCs/>
                <w:color w:val="auto"/>
                <w:sz w:val="18"/>
                <w:szCs w:val="18"/>
              </w:rPr>
              <w:t>项目区域及占地范围外</w:t>
            </w:r>
            <w:r>
              <w:rPr>
                <w:rFonts w:hint="default" w:ascii="Times New Roman" w:hAnsi="Times New Roman" w:cs="Times New Roman" w:eastAsiaTheme="minorEastAsia"/>
                <w:b w:val="0"/>
                <w:bCs/>
                <w:color w:val="auto"/>
                <w:sz w:val="18"/>
                <w:szCs w:val="18"/>
                <w:lang w:val="en-US" w:eastAsia="zh-CN"/>
              </w:rPr>
              <w:t>1000</w:t>
            </w:r>
            <w:r>
              <w:rPr>
                <w:rFonts w:hint="default" w:ascii="Times New Roman" w:hAnsi="Times New Roman" w:cs="Times New Roman" w:eastAsiaTheme="minorEastAsia"/>
                <w:b w:val="0"/>
                <w:bCs/>
                <w:color w:val="auto"/>
                <w:sz w:val="18"/>
                <w:szCs w:val="18"/>
              </w:rPr>
              <w:t>m范围内。</w:t>
            </w:r>
          </w:p>
        </w:tc>
      </w:tr>
      <w:tr w14:paraId="4A5A75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2081" w:type="dxa"/>
            <w:tcBorders>
              <w:tl2br w:val="nil"/>
              <w:tr2bl w:val="nil"/>
            </w:tcBorders>
            <w:vAlign w:val="center"/>
          </w:tcPr>
          <w:p w14:paraId="734BF5BB">
            <w:pPr>
              <w:pStyle w:val="47"/>
              <w:spacing w:line="240" w:lineRule="auto"/>
              <w:rPr>
                <w:rFonts w:hint="default" w:ascii="Times New Roman" w:hAnsi="Times New Roman" w:cs="Times New Roman" w:eastAsiaTheme="minorEastAsia"/>
                <w:b w:val="0"/>
                <w:bCs/>
                <w:color w:val="auto"/>
                <w:sz w:val="18"/>
                <w:szCs w:val="18"/>
              </w:rPr>
            </w:pPr>
            <w:r>
              <w:rPr>
                <w:rFonts w:hint="default" w:ascii="Times New Roman" w:hAnsi="Times New Roman" w:cs="Times New Roman" w:eastAsiaTheme="minorEastAsia"/>
                <w:b w:val="0"/>
                <w:bCs/>
                <w:color w:val="auto"/>
                <w:sz w:val="18"/>
                <w:szCs w:val="18"/>
              </w:rPr>
              <w:t>声环境</w:t>
            </w:r>
          </w:p>
        </w:tc>
        <w:tc>
          <w:tcPr>
            <w:tcW w:w="6989" w:type="dxa"/>
            <w:tcBorders>
              <w:tl2br w:val="nil"/>
              <w:tr2bl w:val="nil"/>
            </w:tcBorders>
            <w:vAlign w:val="center"/>
          </w:tcPr>
          <w:p w14:paraId="1DEB427C">
            <w:pPr>
              <w:pStyle w:val="47"/>
              <w:spacing w:line="240" w:lineRule="auto"/>
              <w:jc w:val="center"/>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项目区域以及厂界外200m范围</w:t>
            </w:r>
            <w:r>
              <w:rPr>
                <w:rFonts w:hint="default" w:ascii="Times New Roman" w:hAnsi="Times New Roman" w:cs="Times New Roman" w:eastAsiaTheme="minorEastAsia"/>
                <w:b w:val="0"/>
                <w:bCs/>
                <w:sz w:val="18"/>
                <w:szCs w:val="18"/>
                <w:lang w:val="en-US" w:eastAsia="zh-CN"/>
              </w:rPr>
              <w:t>内</w:t>
            </w:r>
            <w:r>
              <w:rPr>
                <w:rFonts w:hint="default" w:ascii="Times New Roman" w:hAnsi="Times New Roman" w:cs="Times New Roman" w:eastAsiaTheme="minorEastAsia"/>
                <w:b w:val="0"/>
                <w:bCs/>
                <w:sz w:val="18"/>
                <w:szCs w:val="18"/>
              </w:rPr>
              <w:t>。</w:t>
            </w:r>
          </w:p>
        </w:tc>
      </w:tr>
      <w:tr w14:paraId="0E0D10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2081" w:type="dxa"/>
            <w:tcBorders>
              <w:tl2br w:val="nil"/>
              <w:tr2bl w:val="nil"/>
            </w:tcBorders>
            <w:vAlign w:val="center"/>
          </w:tcPr>
          <w:p w14:paraId="0C6EA9B2">
            <w:pPr>
              <w:pStyle w:val="47"/>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环境风险</w:t>
            </w:r>
          </w:p>
        </w:tc>
        <w:tc>
          <w:tcPr>
            <w:tcW w:w="6989" w:type="dxa"/>
            <w:tcBorders>
              <w:tl2br w:val="nil"/>
              <w:tr2bl w:val="nil"/>
            </w:tcBorders>
            <w:vAlign w:val="center"/>
          </w:tcPr>
          <w:p w14:paraId="2B6A03E5">
            <w:pPr>
              <w:pStyle w:val="47"/>
              <w:spacing w:line="240" w:lineRule="auto"/>
              <w:jc w:val="center"/>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w:t>
            </w:r>
          </w:p>
        </w:tc>
      </w:tr>
      <w:tr w14:paraId="192C11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1" w:type="dxa"/>
            <w:tcBorders>
              <w:tl2br w:val="nil"/>
              <w:tr2bl w:val="nil"/>
            </w:tcBorders>
            <w:vAlign w:val="center"/>
          </w:tcPr>
          <w:p w14:paraId="272AB60C">
            <w:pPr>
              <w:pStyle w:val="47"/>
              <w:spacing w:line="240" w:lineRule="auto"/>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sz w:val="18"/>
                <w:szCs w:val="18"/>
              </w:rPr>
              <w:t>生态环境</w:t>
            </w:r>
          </w:p>
        </w:tc>
        <w:tc>
          <w:tcPr>
            <w:tcW w:w="6989" w:type="dxa"/>
            <w:tcBorders>
              <w:tl2br w:val="nil"/>
              <w:tr2bl w:val="nil"/>
            </w:tcBorders>
            <w:vAlign w:val="center"/>
          </w:tcPr>
          <w:p w14:paraId="5A90256E">
            <w:pPr>
              <w:spacing w:line="240" w:lineRule="auto"/>
              <w:ind w:firstLine="480"/>
              <w:jc w:val="center"/>
              <w:rPr>
                <w:rFonts w:hint="default" w:ascii="Times New Roman" w:hAnsi="Times New Roman" w:cs="Times New Roman" w:eastAsiaTheme="minorEastAsia"/>
                <w:b w:val="0"/>
                <w:bCs/>
                <w:sz w:val="18"/>
                <w:szCs w:val="18"/>
              </w:rPr>
            </w:pPr>
            <w:r>
              <w:rPr>
                <w:rFonts w:hint="default" w:ascii="Times New Roman" w:hAnsi="Times New Roman" w:cs="Times New Roman" w:eastAsiaTheme="minorEastAsia"/>
                <w:b w:val="0"/>
                <w:bCs/>
                <w:color w:val="auto"/>
                <w:sz w:val="18"/>
                <w:szCs w:val="18"/>
              </w:rPr>
              <w:t>项目区域及占地范围外</w:t>
            </w:r>
            <w:r>
              <w:rPr>
                <w:rFonts w:hint="default" w:ascii="Times New Roman" w:hAnsi="Times New Roman" w:cs="Times New Roman" w:eastAsiaTheme="minorEastAsia"/>
                <w:b w:val="0"/>
                <w:bCs/>
                <w:color w:val="auto"/>
                <w:sz w:val="18"/>
                <w:szCs w:val="18"/>
                <w:lang w:val="en-US" w:eastAsia="zh-CN"/>
              </w:rPr>
              <w:t>200</w:t>
            </w:r>
            <w:r>
              <w:rPr>
                <w:rFonts w:hint="default" w:ascii="Times New Roman" w:hAnsi="Times New Roman" w:cs="Times New Roman" w:eastAsiaTheme="minorEastAsia"/>
                <w:b w:val="0"/>
                <w:bCs/>
                <w:color w:val="auto"/>
                <w:sz w:val="18"/>
                <w:szCs w:val="18"/>
              </w:rPr>
              <w:t>m范围内。</w:t>
            </w:r>
          </w:p>
        </w:tc>
      </w:tr>
    </w:tbl>
    <w:p w14:paraId="4F0AFD56">
      <w:pPr>
        <w:pStyle w:val="5"/>
        <w:bidi w:val="0"/>
        <w:rPr>
          <w:rFonts w:hint="default" w:ascii="Times New Roman" w:hAnsi="Times New Roman" w:cs="Times New Roman"/>
        </w:rPr>
      </w:pPr>
      <w:bookmarkStart w:id="175" w:name="_Toc10924"/>
      <w:bookmarkStart w:id="176" w:name="_Toc11392"/>
      <w:bookmarkStart w:id="177" w:name="_Toc165816717"/>
      <w:bookmarkStart w:id="178" w:name="_Toc25605"/>
      <w:bookmarkStart w:id="179" w:name="_Toc13965"/>
      <w:bookmarkStart w:id="180" w:name="_Toc19471"/>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环境功能区划</w:t>
      </w:r>
      <w:bookmarkEnd w:id="175"/>
      <w:bookmarkEnd w:id="176"/>
      <w:bookmarkEnd w:id="177"/>
      <w:bookmarkEnd w:id="178"/>
      <w:bookmarkEnd w:id="179"/>
      <w:bookmarkEnd w:id="180"/>
    </w:p>
    <w:p w14:paraId="690672AA">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1、水环境功能区划</w:t>
      </w:r>
    </w:p>
    <w:p w14:paraId="78DE4D86">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①地表水</w:t>
      </w:r>
    </w:p>
    <w:p w14:paraId="3FC70C02">
      <w:pPr>
        <w:pStyle w:val="26"/>
        <w:spacing w:line="360" w:lineRule="auto"/>
        <w:rPr>
          <w:rFonts w:hint="default" w:ascii="Times New Roman" w:hAnsi="Times New Roman" w:cs="Times New Roman" w:eastAsiaTheme="minorEastAsia"/>
          <w:sz w:val="24"/>
          <w:szCs w:val="24"/>
        </w:rPr>
      </w:pPr>
      <w:r>
        <w:rPr>
          <w:rFonts w:hint="default" w:ascii="Times New Roman" w:hAnsi="Times New Roman" w:eastAsia="宋体" w:cs="Times New Roman"/>
          <w:color w:val="auto"/>
          <w:kern w:val="2"/>
          <w:sz w:val="24"/>
          <w:szCs w:val="24"/>
          <w:lang w:val="en-US" w:eastAsia="zh-CN" w:bidi="ar-SA"/>
        </w:rPr>
        <w:t>项目区最近地表水体为</w:t>
      </w:r>
      <w:r>
        <w:rPr>
          <w:rFonts w:hint="default" w:ascii="Times New Roman" w:hAnsi="Times New Roman" w:cs="Times New Roman"/>
          <w:color w:val="auto"/>
          <w:kern w:val="2"/>
          <w:sz w:val="24"/>
          <w:szCs w:val="24"/>
          <w:lang w:val="en-US" w:eastAsia="zh-CN" w:bidi="ar-SA"/>
        </w:rPr>
        <w:t>西</w:t>
      </w:r>
      <w:r>
        <w:rPr>
          <w:rFonts w:hint="default" w:ascii="Times New Roman" w:hAnsi="Times New Roman" w:eastAsia="宋体" w:cs="Times New Roman"/>
          <w:color w:val="auto"/>
          <w:kern w:val="2"/>
          <w:sz w:val="24"/>
          <w:szCs w:val="24"/>
          <w:lang w:val="en-US" w:eastAsia="zh-CN" w:bidi="ar-SA"/>
        </w:rPr>
        <w:t>侧</w:t>
      </w:r>
      <w:r>
        <w:rPr>
          <w:rFonts w:hint="default" w:ascii="Times New Roman" w:hAnsi="Times New Roman" w:cs="Times New Roman"/>
          <w:color w:val="auto"/>
          <w:kern w:val="2"/>
          <w:sz w:val="24"/>
          <w:szCs w:val="24"/>
          <w:lang w:val="en-US" w:eastAsia="zh-CN" w:bidi="ar-SA"/>
        </w:rPr>
        <w:t>里牌</w:t>
      </w:r>
      <w:r>
        <w:rPr>
          <w:rFonts w:hint="default" w:ascii="Times New Roman" w:hAnsi="Times New Roman" w:eastAsia="宋体" w:cs="Times New Roman"/>
          <w:color w:val="auto"/>
          <w:kern w:val="2"/>
          <w:sz w:val="24"/>
          <w:szCs w:val="24"/>
          <w:lang w:val="en-US" w:eastAsia="zh-CN" w:bidi="ar-SA"/>
        </w:rPr>
        <w:t>河，</w:t>
      </w:r>
      <w:r>
        <w:rPr>
          <w:rFonts w:hint="default" w:ascii="Times New Roman" w:hAnsi="Times New Roman" w:cs="Times New Roman"/>
          <w:color w:val="auto"/>
          <w:kern w:val="2"/>
          <w:sz w:val="24"/>
          <w:szCs w:val="24"/>
          <w:lang w:val="en-US" w:eastAsia="zh-CN" w:bidi="ar-SA"/>
        </w:rPr>
        <w:t>由北侧</w:t>
      </w:r>
      <w:r>
        <w:rPr>
          <w:rFonts w:hint="default" w:ascii="Times New Roman" w:hAnsi="Times New Roman" w:eastAsia="宋体" w:cs="Times New Roman"/>
          <w:color w:val="auto"/>
          <w:kern w:val="2"/>
          <w:sz w:val="24"/>
          <w:szCs w:val="24"/>
          <w:lang w:val="en-US" w:eastAsia="zh-CN" w:bidi="ar-SA"/>
        </w:rPr>
        <w:t>汇入小河底河（龟枢河）。</w:t>
      </w:r>
      <w:r>
        <w:rPr>
          <w:rFonts w:hint="default" w:ascii="Times New Roman" w:hAnsi="Times New Roman" w:cs="Times New Roman" w:eastAsiaTheme="minorEastAsia"/>
          <w:color w:val="auto"/>
          <w:sz w:val="24"/>
          <w:szCs w:val="24"/>
        </w:rPr>
        <w:t>根据云南省水利厅制定的《云南省水功能区划（2014 年修订）》（云政复〔2014〕27 号），小河底河新平</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元江保留区执行《地表水环境质量标准》（GB3838-2002）Ⅲ类水质标准。因此</w:t>
      </w:r>
      <w:r>
        <w:rPr>
          <w:rFonts w:hint="default" w:ascii="Times New Roman" w:hAnsi="Times New Roman" w:cs="Times New Roman"/>
          <w:color w:val="auto"/>
          <w:kern w:val="2"/>
          <w:sz w:val="24"/>
          <w:szCs w:val="24"/>
          <w:lang w:val="en-US" w:eastAsia="zh-CN" w:bidi="ar-SA"/>
        </w:rPr>
        <w:t>里牌</w:t>
      </w:r>
      <w:r>
        <w:rPr>
          <w:rFonts w:hint="default" w:ascii="Times New Roman" w:hAnsi="Times New Roman" w:eastAsia="宋体" w:cs="Times New Roman"/>
          <w:color w:val="auto"/>
          <w:kern w:val="2"/>
          <w:sz w:val="24"/>
          <w:szCs w:val="24"/>
          <w:lang w:val="en-US" w:eastAsia="zh-CN" w:bidi="ar-SA"/>
        </w:rPr>
        <w:t>河</w:t>
      </w:r>
      <w:r>
        <w:rPr>
          <w:rFonts w:hint="default" w:ascii="Times New Roman" w:hAnsi="Times New Roman" w:cs="Times New Roman" w:eastAsiaTheme="minorEastAsia"/>
          <w:color w:val="auto"/>
          <w:sz w:val="24"/>
          <w:szCs w:val="24"/>
        </w:rPr>
        <w:t>水质</w:t>
      </w:r>
      <w:r>
        <w:rPr>
          <w:rFonts w:hint="default" w:ascii="Times New Roman" w:hAnsi="Times New Roman" w:cs="Times New Roman" w:eastAsiaTheme="minorEastAsia"/>
          <w:sz w:val="24"/>
          <w:szCs w:val="24"/>
        </w:rPr>
        <w:t>参照执行《地表水环境质量标准》（GB3838-2002）Ⅲ类标准。</w:t>
      </w:r>
    </w:p>
    <w:p w14:paraId="214DBB56">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②地下水</w:t>
      </w:r>
    </w:p>
    <w:p w14:paraId="2DD333D1">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bidi="zh-CN"/>
        </w:rPr>
        <w:t>项目区域地下水环境质量执行《地下水质量标准》（GB/T 14848-2017）Ⅲ类标准。</w:t>
      </w:r>
    </w:p>
    <w:p w14:paraId="2F568887">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 xml:space="preserve">2、环境空气功能区划 </w:t>
      </w:r>
    </w:p>
    <w:p w14:paraId="5C297E43">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项目区域环境空气功能区划为二类区，执行《环境空气质量标准》（GB3095-2012）及2018年修改单中的二级标准。</w:t>
      </w:r>
    </w:p>
    <w:p w14:paraId="669198FB">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3、声功能区划区</w:t>
      </w:r>
    </w:p>
    <w:p w14:paraId="271A1EA4">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项目区域属声环境功能2类区，执行《声环境质量标准》（GB3096-2008）2类标准。</w:t>
      </w:r>
    </w:p>
    <w:p w14:paraId="2F58702F">
      <w:pPr>
        <w:pStyle w:val="5"/>
        <w:bidi w:val="0"/>
        <w:rPr>
          <w:rFonts w:hint="default" w:ascii="Times New Roman" w:hAnsi="Times New Roman" w:cs="Times New Roman"/>
        </w:rPr>
      </w:pPr>
      <w:bookmarkStart w:id="181" w:name="_Toc165816718"/>
      <w:bookmarkStart w:id="182" w:name="_Toc14140"/>
      <w:bookmarkStart w:id="183" w:name="_Toc25901"/>
      <w:bookmarkStart w:id="184" w:name="_Toc15527"/>
      <w:bookmarkStart w:id="185" w:name="_Toc8399"/>
      <w:bookmarkStart w:id="186" w:name="_Toc27717"/>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7</w:t>
      </w:r>
      <w:r>
        <w:rPr>
          <w:rFonts w:hint="default" w:ascii="Times New Roman" w:hAnsi="Times New Roman" w:cs="Times New Roman"/>
        </w:rPr>
        <w:t>主要环境保护目标</w:t>
      </w:r>
      <w:bookmarkEnd w:id="181"/>
      <w:bookmarkEnd w:id="182"/>
      <w:bookmarkEnd w:id="183"/>
      <w:bookmarkEnd w:id="184"/>
      <w:bookmarkEnd w:id="185"/>
      <w:bookmarkEnd w:id="186"/>
      <w:bookmarkStart w:id="187" w:name="_Hlk161851796"/>
    </w:p>
    <w:p w14:paraId="0CEAA61D">
      <w:pPr>
        <w:spacing w:line="360" w:lineRule="auto"/>
        <w:ind w:firstLine="480"/>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1、环境空气保护目标</w:t>
      </w:r>
    </w:p>
    <w:p w14:paraId="09C00306">
      <w:pPr>
        <w:pStyle w:val="17"/>
        <w:keepNext w:val="0"/>
        <w:keepLines w:val="0"/>
        <w:pageBreakBefore w:val="0"/>
        <w:widowControl w:val="0"/>
        <w:kinsoku/>
        <w:wordWrap/>
        <w:overflowPunct/>
        <w:topLinePunct w:val="0"/>
        <w:autoSpaceDE/>
        <w:autoSpaceDN/>
        <w:bidi w:val="0"/>
        <w:adjustRightInd/>
        <w:snapToGrid/>
        <w:spacing w:beforeLines="0" w:line="360" w:lineRule="auto"/>
        <w:jc w:val="lef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根据调查，本项目大气环境评价范围内原有</w:t>
      </w:r>
      <w:r>
        <w:rPr>
          <w:rFonts w:hint="default" w:ascii="Times New Roman" w:hAnsi="Times New Roman" w:cs="Times New Roman" w:eastAsiaTheme="minorEastAsia"/>
          <w:color w:val="auto"/>
          <w:sz w:val="24"/>
          <w:szCs w:val="24"/>
          <w:lang w:val="en-US" w:eastAsia="zh-CN"/>
        </w:rPr>
        <w:t>新寨村、马腊衣、咪迭莫</w:t>
      </w:r>
      <w:r>
        <w:rPr>
          <w:rFonts w:hint="default" w:ascii="Times New Roman" w:hAnsi="Times New Roman" w:cs="Times New Roman" w:eastAsiaTheme="minorEastAsia"/>
          <w:color w:val="auto"/>
          <w:sz w:val="24"/>
          <w:szCs w:val="24"/>
        </w:rPr>
        <w:t>，已于201</w:t>
      </w:r>
      <w:r>
        <w:rPr>
          <w:rFonts w:hint="default" w:ascii="Times New Roman" w:hAnsi="Times New Roman" w:cs="Times New Roman" w:eastAsiaTheme="minorEastAsia"/>
          <w:color w:val="auto"/>
          <w:sz w:val="24"/>
          <w:szCs w:val="24"/>
          <w:lang w:val="en-US" w:eastAsia="zh-CN"/>
        </w:rPr>
        <w:t>0</w:t>
      </w:r>
      <w:r>
        <w:rPr>
          <w:rFonts w:hint="default" w:ascii="Times New Roman" w:hAnsi="Times New Roman" w:cs="Times New Roman" w:eastAsiaTheme="minorEastAsia"/>
          <w:color w:val="auto"/>
          <w:sz w:val="24"/>
          <w:szCs w:val="24"/>
        </w:rPr>
        <w:t>年</w:t>
      </w:r>
      <w:r>
        <w:rPr>
          <w:rFonts w:hint="default" w:ascii="Times New Roman" w:hAnsi="Times New Roman" w:cs="Times New Roman" w:eastAsiaTheme="minorEastAsia"/>
          <w:color w:val="auto"/>
          <w:sz w:val="24"/>
          <w:szCs w:val="24"/>
          <w:lang w:val="en-US" w:eastAsia="zh-CN"/>
        </w:rPr>
        <w:t>前自行</w:t>
      </w:r>
      <w:r>
        <w:rPr>
          <w:rFonts w:hint="default" w:ascii="Times New Roman" w:hAnsi="Times New Roman" w:cs="Times New Roman" w:eastAsiaTheme="minorEastAsia"/>
          <w:color w:val="auto"/>
          <w:sz w:val="24"/>
          <w:szCs w:val="24"/>
        </w:rPr>
        <w:t>搬迁至</w:t>
      </w:r>
      <w:r>
        <w:rPr>
          <w:rFonts w:hint="default" w:ascii="Times New Roman" w:hAnsi="Times New Roman" w:cs="Times New Roman" w:eastAsiaTheme="minorEastAsia"/>
          <w:color w:val="auto"/>
          <w:sz w:val="24"/>
          <w:szCs w:val="24"/>
          <w:lang w:val="en-US" w:eastAsia="zh-CN"/>
        </w:rPr>
        <w:t>大开门</w:t>
      </w:r>
      <w:r>
        <w:rPr>
          <w:rFonts w:hint="default" w:ascii="Times New Roman" w:hAnsi="Times New Roman" w:cs="Times New Roman" w:eastAsiaTheme="minorEastAsia"/>
          <w:color w:val="auto"/>
          <w:sz w:val="24"/>
          <w:szCs w:val="24"/>
        </w:rPr>
        <w:t>等地，不在本项目大气环境评价范围内。因此，本项目大气环境评价范围内空气保护目标</w:t>
      </w:r>
      <w:r>
        <w:rPr>
          <w:rFonts w:hint="default" w:ascii="Times New Roman" w:hAnsi="Times New Roman" w:cs="Times New Roman" w:eastAsiaTheme="minorEastAsia"/>
          <w:color w:val="auto"/>
          <w:sz w:val="24"/>
          <w:szCs w:val="24"/>
          <w:lang w:val="en-US" w:eastAsia="zh-CN"/>
        </w:rPr>
        <w:t>如下</w:t>
      </w:r>
      <w:r>
        <w:rPr>
          <w:rFonts w:hint="default" w:ascii="Times New Roman" w:hAnsi="Times New Roman" w:cs="Times New Roman" w:eastAsiaTheme="minorEastAsia"/>
          <w:color w:val="auto"/>
          <w:sz w:val="24"/>
          <w:szCs w:val="24"/>
        </w:rPr>
        <w:t>。</w:t>
      </w:r>
    </w:p>
    <w:p w14:paraId="2E73F519">
      <w:pPr>
        <w:pStyle w:val="17"/>
        <w:keepNext w:val="0"/>
        <w:keepLines w:val="0"/>
        <w:pageBreakBefore w:val="0"/>
        <w:widowControl w:val="0"/>
        <w:kinsoku/>
        <w:wordWrap/>
        <w:overflowPunct/>
        <w:topLinePunct w:val="0"/>
        <w:autoSpaceDE/>
        <w:autoSpaceDN/>
        <w:bidi w:val="0"/>
        <w:adjustRightInd/>
        <w:snapToGrid/>
        <w:spacing w:beforeLines="0" w:line="360" w:lineRule="auto"/>
        <w:jc w:val="center"/>
        <w:textAlignment w:val="auto"/>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lang w:val="en-US" w:eastAsia="zh-CN"/>
        </w:rPr>
        <w:t>表2.7-1  大气环境保护目标一览表</w:t>
      </w:r>
    </w:p>
    <w:tbl>
      <w:tblPr>
        <w:tblStyle w:val="29"/>
        <w:tblW w:w="4996" w:type="pct"/>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85"/>
        <w:gridCol w:w="1235"/>
        <w:gridCol w:w="1335"/>
        <w:gridCol w:w="903"/>
        <w:gridCol w:w="644"/>
        <w:gridCol w:w="2015"/>
        <w:gridCol w:w="656"/>
        <w:gridCol w:w="1606"/>
      </w:tblGrid>
      <w:tr w14:paraId="1EE2D95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477" w:type="pct"/>
            <w:vMerge w:val="restart"/>
            <w:tcBorders>
              <w:tl2br w:val="nil"/>
              <w:tr2bl w:val="nil"/>
            </w:tcBorders>
            <w:noWrap w:val="0"/>
            <w:vAlign w:val="center"/>
          </w:tcPr>
          <w:p w14:paraId="481962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p w14:paraId="6C6AEF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保护对象</w:t>
            </w:r>
          </w:p>
        </w:tc>
        <w:tc>
          <w:tcPr>
            <w:tcW w:w="1384" w:type="pct"/>
            <w:gridSpan w:val="2"/>
            <w:tcBorders>
              <w:tl2br w:val="nil"/>
              <w:tr2bl w:val="nil"/>
            </w:tcBorders>
            <w:noWrap/>
            <w:vAlign w:val="center"/>
          </w:tcPr>
          <w:p w14:paraId="0EB5E2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坐标</w:t>
            </w:r>
          </w:p>
        </w:tc>
        <w:tc>
          <w:tcPr>
            <w:tcW w:w="833" w:type="pct"/>
            <w:gridSpan w:val="2"/>
            <w:tcBorders>
              <w:tl2br w:val="nil"/>
              <w:tr2bl w:val="nil"/>
            </w:tcBorders>
            <w:noWrap w:val="0"/>
            <w:vAlign w:val="center"/>
          </w:tcPr>
          <w:p w14:paraId="3600F5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选厂</w:t>
            </w:r>
          </w:p>
        </w:tc>
        <w:tc>
          <w:tcPr>
            <w:tcW w:w="1085" w:type="pct"/>
            <w:vMerge w:val="restart"/>
            <w:tcBorders>
              <w:tl2br w:val="nil"/>
              <w:tr2bl w:val="nil"/>
            </w:tcBorders>
            <w:noWrap/>
            <w:vAlign w:val="center"/>
          </w:tcPr>
          <w:p w14:paraId="50CCBB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保护对象</w:t>
            </w:r>
          </w:p>
        </w:tc>
        <w:tc>
          <w:tcPr>
            <w:tcW w:w="353" w:type="pct"/>
            <w:vMerge w:val="restart"/>
            <w:tcBorders>
              <w:tl2br w:val="nil"/>
              <w:tr2bl w:val="nil"/>
            </w:tcBorders>
            <w:noWrap/>
            <w:vAlign w:val="center"/>
          </w:tcPr>
          <w:p w14:paraId="039607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功能</w:t>
            </w:r>
          </w:p>
        </w:tc>
        <w:tc>
          <w:tcPr>
            <w:tcW w:w="865" w:type="pct"/>
            <w:vMerge w:val="restart"/>
            <w:tcBorders>
              <w:tl2br w:val="nil"/>
              <w:tr2bl w:val="nil"/>
            </w:tcBorders>
            <w:noWrap/>
            <w:vAlign w:val="center"/>
          </w:tcPr>
          <w:p w14:paraId="48F645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保护类别</w:t>
            </w:r>
          </w:p>
        </w:tc>
      </w:tr>
      <w:tr w14:paraId="46E1C50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477" w:type="pct"/>
            <w:vMerge w:val="continue"/>
            <w:tcBorders>
              <w:tl2br w:val="nil"/>
              <w:tr2bl w:val="nil"/>
            </w:tcBorders>
            <w:noWrap w:val="0"/>
            <w:vAlign w:val="center"/>
          </w:tcPr>
          <w:p w14:paraId="5F444B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665" w:type="pct"/>
            <w:tcBorders>
              <w:tl2br w:val="nil"/>
              <w:tr2bl w:val="nil"/>
            </w:tcBorders>
            <w:noWrap w:val="0"/>
            <w:vAlign w:val="center"/>
          </w:tcPr>
          <w:p w14:paraId="1DD080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经度</w:t>
            </w:r>
          </w:p>
        </w:tc>
        <w:tc>
          <w:tcPr>
            <w:tcW w:w="719" w:type="pct"/>
            <w:tcBorders>
              <w:tl2br w:val="nil"/>
              <w:tr2bl w:val="nil"/>
            </w:tcBorders>
            <w:noWrap w:val="0"/>
            <w:vAlign w:val="center"/>
          </w:tcPr>
          <w:p w14:paraId="3D3C1F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纬度</w:t>
            </w:r>
          </w:p>
        </w:tc>
        <w:tc>
          <w:tcPr>
            <w:tcW w:w="486" w:type="pct"/>
            <w:tcBorders>
              <w:tl2br w:val="nil"/>
              <w:tr2bl w:val="nil"/>
            </w:tcBorders>
            <w:noWrap w:val="0"/>
            <w:vAlign w:val="center"/>
          </w:tcPr>
          <w:p w14:paraId="228DC7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相对场址方位</w:t>
            </w:r>
          </w:p>
        </w:tc>
        <w:tc>
          <w:tcPr>
            <w:tcW w:w="346" w:type="pct"/>
            <w:tcBorders>
              <w:tl2br w:val="nil"/>
              <w:tr2bl w:val="nil"/>
            </w:tcBorders>
            <w:noWrap w:val="0"/>
            <w:vAlign w:val="center"/>
          </w:tcPr>
          <w:p w14:paraId="69CBA2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距离，m</w:t>
            </w:r>
          </w:p>
        </w:tc>
        <w:tc>
          <w:tcPr>
            <w:tcW w:w="1085" w:type="pct"/>
            <w:vMerge w:val="continue"/>
            <w:tcBorders>
              <w:tl2br w:val="nil"/>
              <w:tr2bl w:val="nil"/>
            </w:tcBorders>
            <w:noWrap/>
            <w:vAlign w:val="center"/>
          </w:tcPr>
          <w:p w14:paraId="6FDAE4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353" w:type="pct"/>
            <w:vMerge w:val="continue"/>
            <w:tcBorders>
              <w:tl2br w:val="nil"/>
              <w:tr2bl w:val="nil"/>
            </w:tcBorders>
            <w:noWrap/>
            <w:vAlign w:val="center"/>
          </w:tcPr>
          <w:p w14:paraId="186BD8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p>
        </w:tc>
        <w:tc>
          <w:tcPr>
            <w:tcW w:w="865" w:type="pct"/>
            <w:vMerge w:val="continue"/>
            <w:tcBorders>
              <w:tl2br w:val="nil"/>
              <w:tr2bl w:val="nil"/>
            </w:tcBorders>
            <w:noWrap/>
            <w:vAlign w:val="center"/>
          </w:tcPr>
          <w:p w14:paraId="0A2696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p>
        </w:tc>
      </w:tr>
      <w:tr w14:paraId="06889EE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477" w:type="pct"/>
            <w:tcBorders>
              <w:tl2br w:val="nil"/>
              <w:tr2bl w:val="nil"/>
            </w:tcBorders>
            <w:noWrap w:val="0"/>
            <w:vAlign w:val="center"/>
          </w:tcPr>
          <w:p w14:paraId="4CEF28A7">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i w:val="0"/>
                <w:iCs w:val="0"/>
                <w:color w:val="auto"/>
                <w:kern w:val="0"/>
                <w:sz w:val="18"/>
                <w:szCs w:val="18"/>
                <w:u w:val="none"/>
                <w:lang w:val="en-US" w:eastAsia="zh-CN" w:bidi="ar"/>
              </w:rPr>
              <w:t>放牛山</w:t>
            </w:r>
          </w:p>
        </w:tc>
        <w:tc>
          <w:tcPr>
            <w:tcW w:w="665" w:type="pct"/>
            <w:tcBorders>
              <w:tl2br w:val="nil"/>
              <w:tr2bl w:val="nil"/>
            </w:tcBorders>
            <w:noWrap w:val="0"/>
            <w:vAlign w:val="center"/>
          </w:tcPr>
          <w:p w14:paraId="431D8DA1">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102.176451</w:t>
            </w:r>
          </w:p>
        </w:tc>
        <w:tc>
          <w:tcPr>
            <w:tcW w:w="719" w:type="pct"/>
            <w:tcBorders>
              <w:tl2br w:val="nil"/>
              <w:tr2bl w:val="nil"/>
            </w:tcBorders>
            <w:noWrap w:val="0"/>
            <w:vAlign w:val="center"/>
          </w:tcPr>
          <w:p w14:paraId="11DB9BC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color w:val="auto"/>
                <w:sz w:val="18"/>
                <w:szCs w:val="18"/>
                <w:highlight w:val="none"/>
                <w:lang w:val="en-US" w:eastAsia="zh-CN" w:bidi="ar-SA"/>
              </w:rPr>
              <w:t>23.967404</w:t>
            </w:r>
          </w:p>
        </w:tc>
        <w:tc>
          <w:tcPr>
            <w:tcW w:w="486" w:type="pct"/>
            <w:tcBorders>
              <w:tl2br w:val="nil"/>
              <w:tr2bl w:val="nil"/>
            </w:tcBorders>
            <w:noWrap w:val="0"/>
            <w:vAlign w:val="center"/>
          </w:tcPr>
          <w:p w14:paraId="69E2C69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eastAsia="zh-CN" w:bidi="ar-SA"/>
              </w:rPr>
            </w:pPr>
            <w:r>
              <w:rPr>
                <w:rFonts w:hint="default" w:ascii="Times New Roman" w:hAnsi="Times New Roman" w:cs="Times New Roman"/>
                <w:i w:val="0"/>
                <w:iCs w:val="0"/>
                <w:color w:val="auto"/>
                <w:sz w:val="18"/>
                <w:szCs w:val="18"/>
                <w:highlight w:val="none"/>
                <w:u w:val="none"/>
                <w:lang w:val="en-US" w:eastAsia="zh-CN" w:bidi="ar-SA"/>
              </w:rPr>
              <w:t>西北</w:t>
            </w:r>
          </w:p>
        </w:tc>
        <w:tc>
          <w:tcPr>
            <w:tcW w:w="346" w:type="pct"/>
            <w:tcBorders>
              <w:tl2br w:val="nil"/>
              <w:tr2bl w:val="nil"/>
            </w:tcBorders>
            <w:noWrap w:val="0"/>
            <w:vAlign w:val="center"/>
          </w:tcPr>
          <w:p w14:paraId="11FC49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2038</w:t>
            </w:r>
          </w:p>
        </w:tc>
        <w:tc>
          <w:tcPr>
            <w:tcW w:w="1085" w:type="pct"/>
            <w:tcBorders>
              <w:tl2br w:val="nil"/>
              <w:tr2bl w:val="nil"/>
            </w:tcBorders>
            <w:noWrap w:val="0"/>
            <w:vAlign w:val="center"/>
          </w:tcPr>
          <w:p w14:paraId="08F36C8C">
            <w:pPr>
              <w:spacing w:line="273" w:lineRule="auto"/>
              <w:jc w:val="center"/>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人群，</w:t>
            </w:r>
            <w:r>
              <w:rPr>
                <w:rFonts w:hint="default" w:ascii="Times New Roman" w:hAnsi="Times New Roman" w:cs="Times New Roman"/>
                <w:color w:val="auto"/>
                <w:kern w:val="0"/>
                <w:sz w:val="18"/>
                <w:szCs w:val="18"/>
                <w:highlight w:val="none"/>
                <w:lang w:val="en-US" w:eastAsia="zh-CN"/>
              </w:rPr>
              <w:t>40</w:t>
            </w:r>
            <w:r>
              <w:rPr>
                <w:rFonts w:hint="default" w:ascii="Times New Roman" w:hAnsi="Times New Roman" w:cs="Times New Roman"/>
                <w:color w:val="auto"/>
                <w:kern w:val="0"/>
                <w:sz w:val="18"/>
                <w:szCs w:val="18"/>
                <w:highlight w:val="none"/>
              </w:rPr>
              <w:t>户</w:t>
            </w:r>
            <w:r>
              <w:rPr>
                <w:rFonts w:hint="default" w:ascii="Times New Roman" w:hAnsi="Times New Roman" w:cs="Times New Roman"/>
                <w:color w:val="auto"/>
                <w:kern w:val="0"/>
                <w:sz w:val="18"/>
                <w:szCs w:val="18"/>
                <w:highlight w:val="none"/>
                <w:lang w:val="en-US" w:eastAsia="zh-CN"/>
              </w:rPr>
              <w:t>120</w:t>
            </w:r>
            <w:r>
              <w:rPr>
                <w:rFonts w:hint="default" w:ascii="Times New Roman" w:hAnsi="Times New Roman" w:cs="Times New Roman"/>
                <w:color w:val="auto"/>
                <w:kern w:val="0"/>
                <w:sz w:val="18"/>
                <w:szCs w:val="18"/>
                <w:highlight w:val="none"/>
              </w:rPr>
              <w:t>人</w:t>
            </w:r>
          </w:p>
        </w:tc>
        <w:tc>
          <w:tcPr>
            <w:tcW w:w="353" w:type="pct"/>
            <w:vMerge w:val="restart"/>
            <w:tcBorders>
              <w:tl2br w:val="nil"/>
              <w:tr2bl w:val="nil"/>
            </w:tcBorders>
            <w:noWrap w:val="0"/>
            <w:vAlign w:val="center"/>
          </w:tcPr>
          <w:p w14:paraId="619FCE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二类区</w:t>
            </w:r>
          </w:p>
        </w:tc>
        <w:tc>
          <w:tcPr>
            <w:tcW w:w="865" w:type="pct"/>
            <w:vMerge w:val="restart"/>
            <w:tcBorders>
              <w:tl2br w:val="nil"/>
              <w:tr2bl w:val="nil"/>
            </w:tcBorders>
            <w:noWrap w:val="0"/>
            <w:vAlign w:val="center"/>
          </w:tcPr>
          <w:p w14:paraId="5F708F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《环境空气质量标准》（GB3095-2012）二级标准</w:t>
            </w:r>
          </w:p>
        </w:tc>
      </w:tr>
      <w:tr w14:paraId="3D4E9B5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477" w:type="pct"/>
            <w:tcBorders>
              <w:tl2br w:val="nil"/>
              <w:tr2bl w:val="nil"/>
            </w:tcBorders>
            <w:noWrap w:val="0"/>
            <w:vAlign w:val="center"/>
          </w:tcPr>
          <w:p w14:paraId="15F87CF0">
            <w:pPr>
              <w:keepNext w:val="0"/>
              <w:keepLines w:val="0"/>
              <w:widowControl/>
              <w:suppressLineNumbers w:val="0"/>
              <w:tabs>
                <w:tab w:val="left" w:pos="233"/>
              </w:tabs>
              <w:jc w:val="left"/>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它底寨</w:t>
            </w:r>
          </w:p>
        </w:tc>
        <w:tc>
          <w:tcPr>
            <w:tcW w:w="665" w:type="pct"/>
            <w:tcBorders>
              <w:tl2br w:val="nil"/>
              <w:tr2bl w:val="nil"/>
            </w:tcBorders>
            <w:noWrap w:val="0"/>
            <w:vAlign w:val="center"/>
          </w:tcPr>
          <w:p w14:paraId="5BAEA0BB">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102.178988</w:t>
            </w:r>
          </w:p>
        </w:tc>
        <w:tc>
          <w:tcPr>
            <w:tcW w:w="719" w:type="pct"/>
            <w:tcBorders>
              <w:tl2br w:val="nil"/>
              <w:tr2bl w:val="nil"/>
            </w:tcBorders>
            <w:noWrap w:val="0"/>
            <w:vAlign w:val="center"/>
          </w:tcPr>
          <w:p w14:paraId="2401BF42">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23.974790</w:t>
            </w:r>
          </w:p>
        </w:tc>
        <w:tc>
          <w:tcPr>
            <w:tcW w:w="486" w:type="pct"/>
            <w:tcBorders>
              <w:tl2br w:val="nil"/>
              <w:tr2bl w:val="nil"/>
            </w:tcBorders>
            <w:noWrap w:val="0"/>
            <w:vAlign w:val="center"/>
          </w:tcPr>
          <w:p w14:paraId="52EBE6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sz w:val="18"/>
                <w:szCs w:val="18"/>
                <w:highlight w:val="none"/>
                <w:u w:val="none"/>
                <w:lang w:val="en-US" w:eastAsia="zh-CN" w:bidi="ar-SA"/>
              </w:rPr>
              <w:t>西北</w:t>
            </w:r>
          </w:p>
        </w:tc>
        <w:tc>
          <w:tcPr>
            <w:tcW w:w="346" w:type="pct"/>
            <w:tcBorders>
              <w:tl2br w:val="nil"/>
              <w:tr2bl w:val="nil"/>
            </w:tcBorders>
            <w:noWrap w:val="0"/>
            <w:vAlign w:val="center"/>
          </w:tcPr>
          <w:p w14:paraId="1B6821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2446</w:t>
            </w:r>
          </w:p>
        </w:tc>
        <w:tc>
          <w:tcPr>
            <w:tcW w:w="1085" w:type="pct"/>
            <w:tcBorders>
              <w:tl2br w:val="nil"/>
              <w:tr2bl w:val="nil"/>
            </w:tcBorders>
            <w:noWrap w:val="0"/>
            <w:vAlign w:val="center"/>
          </w:tcPr>
          <w:p w14:paraId="7E72993F">
            <w:pPr>
              <w:spacing w:line="273"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人群，</w:t>
            </w:r>
            <w:r>
              <w:rPr>
                <w:rFonts w:hint="default" w:ascii="Times New Roman" w:hAnsi="Times New Roman" w:cs="Times New Roman"/>
                <w:color w:val="auto"/>
                <w:kern w:val="0"/>
                <w:sz w:val="18"/>
                <w:szCs w:val="18"/>
                <w:highlight w:val="none"/>
                <w:lang w:val="en-US" w:eastAsia="zh-CN"/>
              </w:rPr>
              <w:t>20</w:t>
            </w:r>
            <w:r>
              <w:rPr>
                <w:rFonts w:hint="default" w:ascii="Times New Roman" w:hAnsi="Times New Roman" w:cs="Times New Roman"/>
                <w:color w:val="auto"/>
                <w:kern w:val="0"/>
                <w:sz w:val="18"/>
                <w:szCs w:val="18"/>
                <w:highlight w:val="none"/>
              </w:rPr>
              <w:t>户</w:t>
            </w:r>
            <w:r>
              <w:rPr>
                <w:rFonts w:hint="default" w:ascii="Times New Roman" w:hAnsi="Times New Roman" w:cs="Times New Roman"/>
                <w:color w:val="auto"/>
                <w:kern w:val="0"/>
                <w:sz w:val="18"/>
                <w:szCs w:val="18"/>
                <w:highlight w:val="none"/>
                <w:lang w:val="en-US" w:eastAsia="zh-CN"/>
              </w:rPr>
              <w:t>60</w:t>
            </w:r>
            <w:r>
              <w:rPr>
                <w:rFonts w:hint="default" w:ascii="Times New Roman" w:hAnsi="Times New Roman" w:cs="Times New Roman"/>
                <w:color w:val="auto"/>
                <w:kern w:val="0"/>
                <w:sz w:val="18"/>
                <w:szCs w:val="18"/>
                <w:highlight w:val="none"/>
              </w:rPr>
              <w:t>人</w:t>
            </w:r>
          </w:p>
        </w:tc>
        <w:tc>
          <w:tcPr>
            <w:tcW w:w="353" w:type="pct"/>
            <w:vMerge w:val="continue"/>
            <w:tcBorders>
              <w:tl2br w:val="nil"/>
              <w:tr2bl w:val="nil"/>
            </w:tcBorders>
            <w:noWrap w:val="0"/>
            <w:vAlign w:val="center"/>
          </w:tcPr>
          <w:p w14:paraId="3B5158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p>
        </w:tc>
        <w:tc>
          <w:tcPr>
            <w:tcW w:w="865" w:type="pct"/>
            <w:vMerge w:val="continue"/>
            <w:tcBorders>
              <w:tl2br w:val="nil"/>
              <w:tr2bl w:val="nil"/>
            </w:tcBorders>
            <w:noWrap w:val="0"/>
            <w:vAlign w:val="center"/>
          </w:tcPr>
          <w:p w14:paraId="32AB8A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p>
        </w:tc>
      </w:tr>
      <w:tr w14:paraId="07F3F8B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477" w:type="pct"/>
            <w:tcBorders>
              <w:tl2br w:val="nil"/>
              <w:tr2bl w:val="nil"/>
            </w:tcBorders>
            <w:noWrap w:val="0"/>
            <w:vAlign w:val="center"/>
          </w:tcPr>
          <w:p w14:paraId="610AE872">
            <w:pPr>
              <w:keepNext w:val="0"/>
              <w:keepLines w:val="0"/>
              <w:widowControl/>
              <w:suppressLineNumbers w:val="0"/>
              <w:tabs>
                <w:tab w:val="left" w:pos="233"/>
              </w:tabs>
              <w:jc w:val="left"/>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鱼补村</w:t>
            </w:r>
          </w:p>
        </w:tc>
        <w:tc>
          <w:tcPr>
            <w:tcW w:w="665" w:type="pct"/>
            <w:tcBorders>
              <w:tl2br w:val="nil"/>
              <w:tr2bl w:val="nil"/>
            </w:tcBorders>
            <w:noWrap w:val="0"/>
            <w:vAlign w:val="center"/>
          </w:tcPr>
          <w:p w14:paraId="04832385">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102.179693</w:t>
            </w:r>
          </w:p>
        </w:tc>
        <w:tc>
          <w:tcPr>
            <w:tcW w:w="719" w:type="pct"/>
            <w:tcBorders>
              <w:tl2br w:val="nil"/>
              <w:tr2bl w:val="nil"/>
            </w:tcBorders>
            <w:noWrap w:val="0"/>
            <w:vAlign w:val="center"/>
          </w:tcPr>
          <w:p w14:paraId="2199C832">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23.980203</w:t>
            </w:r>
          </w:p>
        </w:tc>
        <w:tc>
          <w:tcPr>
            <w:tcW w:w="486" w:type="pct"/>
            <w:tcBorders>
              <w:tl2br w:val="nil"/>
              <w:tr2bl w:val="nil"/>
            </w:tcBorders>
            <w:noWrap w:val="0"/>
            <w:vAlign w:val="center"/>
          </w:tcPr>
          <w:p w14:paraId="62970E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sz w:val="18"/>
                <w:szCs w:val="18"/>
                <w:highlight w:val="none"/>
                <w:u w:val="none"/>
                <w:lang w:val="en-US" w:eastAsia="zh-CN" w:bidi="ar-SA"/>
              </w:rPr>
              <w:t>西北</w:t>
            </w:r>
          </w:p>
        </w:tc>
        <w:tc>
          <w:tcPr>
            <w:tcW w:w="346" w:type="pct"/>
            <w:tcBorders>
              <w:tl2br w:val="nil"/>
              <w:tr2bl w:val="nil"/>
            </w:tcBorders>
            <w:noWrap w:val="0"/>
            <w:vAlign w:val="center"/>
          </w:tcPr>
          <w:p w14:paraId="0454D4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2771</w:t>
            </w:r>
          </w:p>
        </w:tc>
        <w:tc>
          <w:tcPr>
            <w:tcW w:w="1085" w:type="pct"/>
            <w:tcBorders>
              <w:tl2br w:val="nil"/>
              <w:tr2bl w:val="nil"/>
            </w:tcBorders>
            <w:noWrap w:val="0"/>
            <w:vAlign w:val="center"/>
          </w:tcPr>
          <w:p w14:paraId="63B740D0">
            <w:pPr>
              <w:spacing w:line="273"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人群，</w:t>
            </w:r>
            <w:r>
              <w:rPr>
                <w:rFonts w:hint="default" w:ascii="Times New Roman" w:hAnsi="Times New Roman" w:cs="Times New Roman"/>
                <w:color w:val="auto"/>
                <w:kern w:val="0"/>
                <w:sz w:val="18"/>
                <w:szCs w:val="18"/>
                <w:highlight w:val="none"/>
                <w:lang w:val="en-US" w:eastAsia="zh-CN"/>
              </w:rPr>
              <w:t>80</w:t>
            </w:r>
            <w:r>
              <w:rPr>
                <w:rFonts w:hint="default" w:ascii="Times New Roman" w:hAnsi="Times New Roman" w:cs="Times New Roman"/>
                <w:color w:val="auto"/>
                <w:kern w:val="0"/>
                <w:sz w:val="18"/>
                <w:szCs w:val="18"/>
                <w:highlight w:val="none"/>
              </w:rPr>
              <w:t>户</w:t>
            </w:r>
            <w:r>
              <w:rPr>
                <w:rFonts w:hint="default" w:ascii="Times New Roman" w:hAnsi="Times New Roman" w:cs="Times New Roman"/>
                <w:color w:val="auto"/>
                <w:kern w:val="0"/>
                <w:sz w:val="18"/>
                <w:szCs w:val="18"/>
                <w:highlight w:val="none"/>
                <w:lang w:val="en-US" w:eastAsia="zh-CN"/>
              </w:rPr>
              <w:t>250</w:t>
            </w:r>
            <w:r>
              <w:rPr>
                <w:rFonts w:hint="default" w:ascii="Times New Roman" w:hAnsi="Times New Roman" w:cs="Times New Roman"/>
                <w:color w:val="auto"/>
                <w:kern w:val="0"/>
                <w:sz w:val="18"/>
                <w:szCs w:val="18"/>
                <w:highlight w:val="none"/>
              </w:rPr>
              <w:t>人</w:t>
            </w:r>
          </w:p>
        </w:tc>
        <w:tc>
          <w:tcPr>
            <w:tcW w:w="353" w:type="pct"/>
            <w:vMerge w:val="continue"/>
            <w:tcBorders>
              <w:tl2br w:val="nil"/>
              <w:tr2bl w:val="nil"/>
            </w:tcBorders>
            <w:noWrap w:val="0"/>
            <w:vAlign w:val="center"/>
          </w:tcPr>
          <w:p w14:paraId="3709CE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p>
        </w:tc>
        <w:tc>
          <w:tcPr>
            <w:tcW w:w="865" w:type="pct"/>
            <w:vMerge w:val="continue"/>
            <w:tcBorders>
              <w:tl2br w:val="nil"/>
              <w:tr2bl w:val="nil"/>
            </w:tcBorders>
            <w:noWrap w:val="0"/>
            <w:vAlign w:val="center"/>
          </w:tcPr>
          <w:p w14:paraId="1B7340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p>
        </w:tc>
      </w:tr>
    </w:tbl>
    <w:p w14:paraId="3DA9526F">
      <w:pPr>
        <w:spacing w:line="360" w:lineRule="auto"/>
        <w:ind w:firstLine="480" w:firstLineChars="200"/>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2、水环境保护目标</w:t>
      </w:r>
    </w:p>
    <w:p w14:paraId="4B7405EF">
      <w:pPr>
        <w:spacing w:line="360" w:lineRule="auto"/>
        <w:jc w:val="center"/>
        <w:rPr>
          <w:rFonts w:hint="default" w:ascii="Times New Roman" w:hAnsi="Times New Roman" w:cs="Times New Roman" w:eastAsiaTheme="minorEastAsia"/>
          <w:b/>
          <w:sz w:val="24"/>
          <w:szCs w:val="24"/>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7</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 xml:space="preserve">  水环境保护目标调查表</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1"/>
        <w:gridCol w:w="1194"/>
        <w:gridCol w:w="2743"/>
        <w:gridCol w:w="1792"/>
        <w:gridCol w:w="1952"/>
      </w:tblGrid>
      <w:tr w14:paraId="6280E6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862" w:type="pct"/>
            <w:tcBorders>
              <w:tl2br w:val="nil"/>
              <w:tr2bl w:val="nil"/>
            </w:tcBorders>
            <w:vAlign w:val="center"/>
          </w:tcPr>
          <w:p w14:paraId="58CB2B6E">
            <w:pPr>
              <w:pStyle w:val="47"/>
              <w:snapToGrid/>
              <w:spacing w:line="240" w:lineRule="auto"/>
              <w:ind w:firstLine="0" w:firstLineChars="0"/>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保护内容</w:t>
            </w:r>
          </w:p>
        </w:tc>
        <w:tc>
          <w:tcPr>
            <w:tcW w:w="643" w:type="pct"/>
            <w:tcBorders>
              <w:tl2br w:val="nil"/>
              <w:tr2bl w:val="nil"/>
            </w:tcBorders>
            <w:vAlign w:val="center"/>
          </w:tcPr>
          <w:p w14:paraId="7E4F91CC">
            <w:pPr>
              <w:pStyle w:val="47"/>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名称</w:t>
            </w:r>
          </w:p>
        </w:tc>
        <w:tc>
          <w:tcPr>
            <w:tcW w:w="1477" w:type="pct"/>
            <w:tcBorders>
              <w:tl2br w:val="nil"/>
              <w:tr2bl w:val="nil"/>
            </w:tcBorders>
            <w:vAlign w:val="center"/>
          </w:tcPr>
          <w:p w14:paraId="0A955CD3">
            <w:pPr>
              <w:pStyle w:val="47"/>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环境功能区</w:t>
            </w:r>
          </w:p>
        </w:tc>
        <w:tc>
          <w:tcPr>
            <w:tcW w:w="965" w:type="pct"/>
            <w:tcBorders>
              <w:tl2br w:val="nil"/>
              <w:tr2bl w:val="nil"/>
            </w:tcBorders>
            <w:vAlign w:val="center"/>
          </w:tcPr>
          <w:p w14:paraId="20A05CB1">
            <w:pPr>
              <w:pStyle w:val="47"/>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相对厂址方位</w:t>
            </w:r>
          </w:p>
        </w:tc>
        <w:tc>
          <w:tcPr>
            <w:tcW w:w="1051" w:type="pct"/>
            <w:tcBorders>
              <w:tl2br w:val="nil"/>
              <w:tr2bl w:val="nil"/>
            </w:tcBorders>
            <w:vAlign w:val="center"/>
          </w:tcPr>
          <w:p w14:paraId="25AC720E">
            <w:pPr>
              <w:pStyle w:val="47"/>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相对厂界距离/m</w:t>
            </w:r>
          </w:p>
        </w:tc>
      </w:tr>
      <w:tr w14:paraId="145BED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2" w:type="pct"/>
            <w:tcBorders>
              <w:tl2br w:val="nil"/>
              <w:tr2bl w:val="nil"/>
            </w:tcBorders>
            <w:vAlign w:val="center"/>
          </w:tcPr>
          <w:p w14:paraId="6EF7BA60">
            <w:pPr>
              <w:pStyle w:val="47"/>
              <w:snapToGrid/>
              <w:spacing w:line="240" w:lineRule="auto"/>
              <w:ind w:firstLine="0" w:firstLineChars="0"/>
              <w:rPr>
                <w:rFonts w:hint="default" w:ascii="Times New Roman" w:hAnsi="Times New Roman" w:eastAsia="宋体" w:cs="Times New Roman"/>
                <w:b w:val="0"/>
                <w:bCs/>
                <w:kern w:val="0"/>
                <w:sz w:val="18"/>
                <w:szCs w:val="18"/>
                <w:lang w:val="en-US" w:eastAsia="zh-CN"/>
              </w:rPr>
            </w:pPr>
            <w:r>
              <w:rPr>
                <w:rFonts w:hint="default" w:ascii="Times New Roman" w:hAnsi="Times New Roman" w:eastAsia="宋体" w:cs="Times New Roman"/>
                <w:b w:val="0"/>
                <w:bCs/>
                <w:sz w:val="18"/>
                <w:szCs w:val="18"/>
              </w:rPr>
              <w:t>地表水</w:t>
            </w:r>
          </w:p>
        </w:tc>
        <w:tc>
          <w:tcPr>
            <w:tcW w:w="643" w:type="pct"/>
            <w:tcBorders>
              <w:tl2br w:val="nil"/>
              <w:tr2bl w:val="nil"/>
            </w:tcBorders>
            <w:vAlign w:val="center"/>
          </w:tcPr>
          <w:p w14:paraId="66F96672">
            <w:pPr>
              <w:pStyle w:val="47"/>
              <w:snapToGrid/>
              <w:spacing w:line="240" w:lineRule="auto"/>
              <w:rPr>
                <w:rFonts w:hint="default"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kern w:val="0"/>
                <w:sz w:val="18"/>
                <w:szCs w:val="18"/>
                <w:lang w:val="en-US" w:eastAsia="zh-CN"/>
              </w:rPr>
              <w:t>里牌河</w:t>
            </w:r>
          </w:p>
        </w:tc>
        <w:tc>
          <w:tcPr>
            <w:tcW w:w="1477" w:type="pct"/>
            <w:tcBorders>
              <w:tl2br w:val="nil"/>
              <w:tr2bl w:val="nil"/>
            </w:tcBorders>
            <w:vAlign w:val="center"/>
          </w:tcPr>
          <w:p w14:paraId="61949468">
            <w:pPr>
              <w:pStyle w:val="47"/>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《地表水环境质量标准》（GB3838-2002）</w:t>
            </w:r>
            <w:r>
              <w:rPr>
                <w:rFonts w:hint="default" w:ascii="Times New Roman" w:hAnsi="Times New Roman" w:eastAsia="宋体" w:cs="Times New Roman"/>
                <w:b w:val="0"/>
                <w:bCs/>
                <w:sz w:val="18"/>
                <w:szCs w:val="18"/>
              </w:rPr>
              <w:fldChar w:fldCharType="begin"/>
            </w:r>
            <w:r>
              <w:rPr>
                <w:rFonts w:hint="default" w:ascii="Times New Roman" w:hAnsi="Times New Roman" w:eastAsia="宋体" w:cs="Times New Roman"/>
                <w:b w:val="0"/>
                <w:bCs/>
                <w:sz w:val="18"/>
                <w:szCs w:val="18"/>
              </w:rPr>
              <w:instrText xml:space="preserve"> = 3 \* ROMAN </w:instrText>
            </w:r>
            <w:r>
              <w:rPr>
                <w:rFonts w:hint="default" w:ascii="Times New Roman" w:hAnsi="Times New Roman" w:eastAsia="宋体" w:cs="Times New Roman"/>
                <w:b w:val="0"/>
                <w:bCs/>
                <w:sz w:val="18"/>
                <w:szCs w:val="18"/>
              </w:rPr>
              <w:fldChar w:fldCharType="separate"/>
            </w:r>
            <w:r>
              <w:rPr>
                <w:rFonts w:hint="default" w:ascii="Times New Roman" w:hAnsi="Times New Roman" w:eastAsia="宋体" w:cs="Times New Roman"/>
                <w:b w:val="0"/>
                <w:bCs/>
                <w:sz w:val="18"/>
                <w:szCs w:val="18"/>
              </w:rPr>
              <w:t>III</w:t>
            </w:r>
            <w:r>
              <w:rPr>
                <w:rFonts w:hint="default" w:ascii="Times New Roman" w:hAnsi="Times New Roman" w:eastAsia="宋体" w:cs="Times New Roman"/>
                <w:b w:val="0"/>
                <w:bCs/>
                <w:sz w:val="18"/>
                <w:szCs w:val="18"/>
              </w:rPr>
              <w:fldChar w:fldCharType="end"/>
            </w:r>
            <w:r>
              <w:rPr>
                <w:rFonts w:hint="default" w:ascii="Times New Roman" w:hAnsi="Times New Roman" w:eastAsia="宋体" w:cs="Times New Roman"/>
                <w:b w:val="0"/>
                <w:bCs/>
                <w:sz w:val="18"/>
                <w:szCs w:val="18"/>
              </w:rPr>
              <w:t>类</w:t>
            </w:r>
          </w:p>
        </w:tc>
        <w:tc>
          <w:tcPr>
            <w:tcW w:w="965" w:type="pct"/>
            <w:tcBorders>
              <w:tl2br w:val="nil"/>
              <w:tr2bl w:val="nil"/>
            </w:tcBorders>
            <w:vAlign w:val="center"/>
          </w:tcPr>
          <w:p w14:paraId="0B0E9AEE">
            <w:pPr>
              <w:pStyle w:val="47"/>
              <w:snapToGrid/>
              <w:spacing w:line="240" w:lineRule="auto"/>
              <w:rPr>
                <w:rFonts w:hint="default" w:ascii="Times New Roman" w:hAnsi="Times New Roman" w:eastAsia="宋体" w:cs="Times New Roman"/>
                <w:b w:val="0"/>
                <w:bCs/>
                <w:sz w:val="18"/>
                <w:szCs w:val="18"/>
                <w:lang w:eastAsia="zh-CN"/>
              </w:rPr>
            </w:pPr>
            <w:r>
              <w:rPr>
                <w:rFonts w:hint="default" w:ascii="Times New Roman" w:hAnsi="Times New Roman" w:eastAsia="宋体" w:cs="Times New Roman"/>
                <w:b w:val="0"/>
                <w:bCs/>
                <w:sz w:val="18"/>
                <w:szCs w:val="18"/>
                <w:lang w:val="en-US" w:eastAsia="zh-CN"/>
              </w:rPr>
              <w:t>西</w:t>
            </w:r>
          </w:p>
        </w:tc>
        <w:tc>
          <w:tcPr>
            <w:tcW w:w="1051" w:type="pct"/>
            <w:tcBorders>
              <w:tl2br w:val="nil"/>
              <w:tr2bl w:val="nil"/>
            </w:tcBorders>
            <w:vAlign w:val="center"/>
          </w:tcPr>
          <w:p w14:paraId="4C4A3DFB">
            <w:pPr>
              <w:pStyle w:val="47"/>
              <w:snapToGrid/>
              <w:spacing w:line="240" w:lineRule="auto"/>
              <w:rPr>
                <w:rFonts w:hint="default" w:ascii="Times New Roman" w:hAnsi="Times New Roman" w:eastAsia="宋体" w:cs="Times New Roman"/>
                <w:b w:val="0"/>
                <w:bCs/>
                <w:sz w:val="18"/>
                <w:szCs w:val="18"/>
                <w:lang w:val="en-US"/>
              </w:rPr>
            </w:pPr>
            <w:r>
              <w:rPr>
                <w:rFonts w:hint="default" w:ascii="Times New Roman" w:hAnsi="Times New Roman" w:eastAsia="宋体" w:cs="Times New Roman"/>
                <w:b w:val="0"/>
                <w:bCs/>
                <w:sz w:val="18"/>
                <w:szCs w:val="18"/>
                <w:lang w:val="en-US" w:eastAsia="zh-CN"/>
              </w:rPr>
              <w:t>2500</w:t>
            </w:r>
          </w:p>
        </w:tc>
      </w:tr>
      <w:tr w14:paraId="142417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2" w:type="pct"/>
            <w:vMerge w:val="restart"/>
            <w:tcBorders>
              <w:tl2br w:val="nil"/>
              <w:tr2bl w:val="nil"/>
            </w:tcBorders>
            <w:vAlign w:val="center"/>
          </w:tcPr>
          <w:p w14:paraId="4CF94692">
            <w:pPr>
              <w:pStyle w:val="47"/>
              <w:snapToGrid/>
              <w:spacing w:line="240" w:lineRule="auto"/>
              <w:ind w:firstLine="0" w:firstLineChars="0"/>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sz w:val="18"/>
                <w:szCs w:val="18"/>
              </w:rPr>
              <w:t>地下水</w:t>
            </w:r>
          </w:p>
        </w:tc>
        <w:tc>
          <w:tcPr>
            <w:tcW w:w="643" w:type="pct"/>
            <w:tcBorders>
              <w:tl2br w:val="nil"/>
              <w:tr2bl w:val="nil"/>
            </w:tcBorders>
            <w:vAlign w:val="center"/>
          </w:tcPr>
          <w:p w14:paraId="4631B877">
            <w:pPr>
              <w:pStyle w:val="47"/>
              <w:snapToGrid/>
              <w:spacing w:line="240" w:lineRule="auto"/>
              <w:rPr>
                <w:rFonts w:hint="default"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lang w:val="en-US" w:eastAsia="zh-CN"/>
              </w:rPr>
              <w:t>项目南侧1000m鲁奎山西南侧泉水点</w:t>
            </w:r>
          </w:p>
        </w:tc>
        <w:tc>
          <w:tcPr>
            <w:tcW w:w="1477" w:type="pct"/>
            <w:vMerge w:val="restart"/>
            <w:tcBorders>
              <w:tl2br w:val="nil"/>
              <w:tr2bl w:val="nil"/>
            </w:tcBorders>
            <w:vAlign w:val="center"/>
          </w:tcPr>
          <w:p w14:paraId="2ACDB4EB">
            <w:pPr>
              <w:pStyle w:val="47"/>
              <w:snapToGrid/>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《地下水质量标准》（GB/T 14848-2017）Ⅲ类</w:t>
            </w:r>
          </w:p>
        </w:tc>
        <w:tc>
          <w:tcPr>
            <w:tcW w:w="965" w:type="pct"/>
            <w:tcBorders>
              <w:tl2br w:val="nil"/>
              <w:tr2bl w:val="nil"/>
            </w:tcBorders>
            <w:vAlign w:val="center"/>
          </w:tcPr>
          <w:p w14:paraId="0364780E">
            <w:pPr>
              <w:pStyle w:val="47"/>
              <w:snapToGrid/>
              <w:spacing w:line="240" w:lineRule="auto"/>
              <w:rPr>
                <w:rFonts w:hint="default"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lang w:val="en-US" w:eastAsia="zh-CN"/>
              </w:rPr>
              <w:t>南</w:t>
            </w:r>
          </w:p>
        </w:tc>
        <w:tc>
          <w:tcPr>
            <w:tcW w:w="1051" w:type="pct"/>
            <w:tcBorders>
              <w:tl2br w:val="nil"/>
              <w:tr2bl w:val="nil"/>
            </w:tcBorders>
            <w:vAlign w:val="center"/>
          </w:tcPr>
          <w:p w14:paraId="2BCB3FF2">
            <w:pPr>
              <w:pStyle w:val="47"/>
              <w:snapToGrid/>
              <w:spacing w:line="240" w:lineRule="auto"/>
              <w:rPr>
                <w:rFonts w:hint="default"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lang w:val="en-US" w:eastAsia="zh-CN"/>
              </w:rPr>
              <w:t>1000</w:t>
            </w:r>
          </w:p>
        </w:tc>
      </w:tr>
      <w:tr w14:paraId="189B10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2" w:type="pct"/>
            <w:vMerge w:val="continue"/>
            <w:tcBorders>
              <w:tl2br w:val="nil"/>
              <w:tr2bl w:val="nil"/>
            </w:tcBorders>
            <w:vAlign w:val="center"/>
          </w:tcPr>
          <w:p w14:paraId="1C61BBC0">
            <w:pPr>
              <w:pStyle w:val="47"/>
              <w:snapToGrid/>
              <w:spacing w:line="240" w:lineRule="auto"/>
              <w:ind w:firstLine="0" w:firstLineChars="0"/>
              <w:rPr>
                <w:rFonts w:hint="default" w:ascii="Times New Roman" w:hAnsi="Times New Roman" w:eastAsia="宋体" w:cs="Times New Roman"/>
                <w:b w:val="0"/>
                <w:bCs/>
                <w:sz w:val="18"/>
                <w:szCs w:val="18"/>
              </w:rPr>
            </w:pPr>
          </w:p>
        </w:tc>
        <w:tc>
          <w:tcPr>
            <w:tcW w:w="643" w:type="pct"/>
            <w:tcBorders>
              <w:tl2br w:val="nil"/>
              <w:tr2bl w:val="nil"/>
            </w:tcBorders>
            <w:vAlign w:val="center"/>
          </w:tcPr>
          <w:p w14:paraId="6788DAC1">
            <w:pPr>
              <w:pStyle w:val="47"/>
              <w:snapToGrid/>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lang w:val="en-US" w:eastAsia="zh-CN"/>
              </w:rPr>
              <w:t>所在水文地质单元区域含水层</w:t>
            </w:r>
          </w:p>
        </w:tc>
        <w:tc>
          <w:tcPr>
            <w:tcW w:w="1477" w:type="pct"/>
            <w:vMerge w:val="continue"/>
            <w:tcBorders>
              <w:tl2br w:val="nil"/>
              <w:tr2bl w:val="nil"/>
            </w:tcBorders>
            <w:vAlign w:val="center"/>
          </w:tcPr>
          <w:p w14:paraId="0869BF74">
            <w:pPr>
              <w:pStyle w:val="47"/>
              <w:snapToGrid/>
              <w:spacing w:line="240" w:lineRule="auto"/>
              <w:rPr>
                <w:rFonts w:hint="default" w:ascii="Times New Roman" w:hAnsi="Times New Roman" w:eastAsia="宋体" w:cs="Times New Roman"/>
                <w:b w:val="0"/>
                <w:bCs/>
                <w:sz w:val="18"/>
                <w:szCs w:val="18"/>
              </w:rPr>
            </w:pPr>
          </w:p>
        </w:tc>
        <w:tc>
          <w:tcPr>
            <w:tcW w:w="965" w:type="pct"/>
            <w:tcBorders>
              <w:tl2br w:val="nil"/>
              <w:tr2bl w:val="nil"/>
            </w:tcBorders>
            <w:vAlign w:val="center"/>
          </w:tcPr>
          <w:p w14:paraId="25CDA0BB">
            <w:pPr>
              <w:pStyle w:val="47"/>
              <w:snapToGrid/>
              <w:spacing w:line="240" w:lineRule="auto"/>
              <w:rPr>
                <w:rFonts w:hint="default"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lang w:val="en-US" w:eastAsia="zh-CN"/>
              </w:rPr>
              <w:t>/|</w:t>
            </w:r>
          </w:p>
        </w:tc>
        <w:tc>
          <w:tcPr>
            <w:tcW w:w="1051" w:type="pct"/>
            <w:tcBorders>
              <w:tl2br w:val="nil"/>
              <w:tr2bl w:val="nil"/>
            </w:tcBorders>
            <w:vAlign w:val="center"/>
          </w:tcPr>
          <w:p w14:paraId="0F27FBE7">
            <w:pPr>
              <w:pStyle w:val="47"/>
              <w:snapToGrid/>
              <w:spacing w:line="240" w:lineRule="auto"/>
              <w:rPr>
                <w:rFonts w:hint="default"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lang w:val="en-US" w:eastAsia="zh-CN"/>
              </w:rPr>
              <w:t>/</w:t>
            </w:r>
          </w:p>
        </w:tc>
      </w:tr>
    </w:tbl>
    <w:p w14:paraId="29C4B9F9">
      <w:pPr>
        <w:spacing w:line="360" w:lineRule="auto"/>
        <w:ind w:firstLine="480" w:firstLineChars="200"/>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3、声环境保护目标</w:t>
      </w:r>
    </w:p>
    <w:p w14:paraId="46D4F2B2">
      <w:pPr>
        <w:pStyle w:val="51"/>
        <w:spacing w:after="0" w:line="360" w:lineRule="auto"/>
        <w:ind w:firstLine="480" w:firstLineChars="200"/>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sz w:val="24"/>
          <w:szCs w:val="24"/>
          <w:lang w:val="en-US" w:eastAsia="zh-CN" w:bidi="ar-SA"/>
        </w:rPr>
        <w:t>项目声环境评价范围内无声环境保护目标。</w:t>
      </w:r>
    </w:p>
    <w:p w14:paraId="50E7681C">
      <w:pPr>
        <w:spacing w:line="360" w:lineRule="auto"/>
        <w:ind w:firstLine="480" w:firstLineChars="200"/>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4、土壤环境保护目标</w:t>
      </w:r>
    </w:p>
    <w:tbl>
      <w:tblPr>
        <w:tblStyle w:val="29"/>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308"/>
        <w:gridCol w:w="1987"/>
        <w:gridCol w:w="1331"/>
        <w:gridCol w:w="4007"/>
        <w:gridCol w:w="6"/>
      </w:tblGrid>
      <w:tr w14:paraId="2D5646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0" w:hRule="atLeast"/>
        </w:trPr>
        <w:tc>
          <w:tcPr>
            <w:tcW w:w="345" w:type="pct"/>
            <w:tcBorders>
              <w:tl2br w:val="nil"/>
              <w:tr2bl w:val="nil"/>
            </w:tcBorders>
            <w:noWrap w:val="0"/>
            <w:vAlign w:val="center"/>
          </w:tcPr>
          <w:p w14:paraId="073E110F">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环境</w:t>
            </w:r>
          </w:p>
          <w:p w14:paraId="0B8E5E1A">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要素</w:t>
            </w:r>
          </w:p>
        </w:tc>
        <w:tc>
          <w:tcPr>
            <w:tcW w:w="705" w:type="pct"/>
            <w:tcBorders>
              <w:tl2br w:val="nil"/>
              <w:tr2bl w:val="nil"/>
            </w:tcBorders>
            <w:noWrap w:val="0"/>
            <w:vAlign w:val="center"/>
          </w:tcPr>
          <w:p w14:paraId="46BB5F23">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敏感点名称</w:t>
            </w:r>
          </w:p>
        </w:tc>
        <w:tc>
          <w:tcPr>
            <w:tcW w:w="1070" w:type="pct"/>
            <w:tcBorders>
              <w:tl2br w:val="nil"/>
              <w:tr2bl w:val="nil"/>
            </w:tcBorders>
            <w:noWrap w:val="0"/>
            <w:vAlign w:val="center"/>
          </w:tcPr>
          <w:p w14:paraId="22F7DBC0">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保护目标特征</w:t>
            </w:r>
          </w:p>
        </w:tc>
        <w:tc>
          <w:tcPr>
            <w:tcW w:w="717" w:type="pct"/>
            <w:tcBorders>
              <w:tl2br w:val="nil"/>
              <w:tr2bl w:val="nil"/>
            </w:tcBorders>
            <w:noWrap w:val="0"/>
            <w:vAlign w:val="center"/>
          </w:tcPr>
          <w:p w14:paraId="1D70DEB3">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位置</w:t>
            </w:r>
          </w:p>
        </w:tc>
        <w:tc>
          <w:tcPr>
            <w:tcW w:w="2158" w:type="pct"/>
            <w:tcBorders>
              <w:tl2br w:val="nil"/>
              <w:tr2bl w:val="nil"/>
            </w:tcBorders>
            <w:noWrap w:val="0"/>
            <w:vAlign w:val="center"/>
          </w:tcPr>
          <w:p w14:paraId="753FF904">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环境功能要求</w:t>
            </w:r>
          </w:p>
        </w:tc>
      </w:tr>
      <w:tr w14:paraId="641F4D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5" w:type="pct"/>
            <w:vMerge w:val="restart"/>
            <w:tcBorders>
              <w:tl2br w:val="nil"/>
              <w:tr2bl w:val="nil"/>
            </w:tcBorders>
            <w:noWrap w:val="0"/>
            <w:vAlign w:val="center"/>
          </w:tcPr>
          <w:p w14:paraId="203D984F">
            <w:pPr>
              <w:spacing w:line="276"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土壤环境</w:t>
            </w:r>
          </w:p>
        </w:tc>
        <w:tc>
          <w:tcPr>
            <w:tcW w:w="705" w:type="pct"/>
            <w:tcBorders>
              <w:tl2br w:val="nil"/>
              <w:tr2bl w:val="nil"/>
            </w:tcBorders>
            <w:noWrap w:val="0"/>
            <w:vAlign w:val="center"/>
          </w:tcPr>
          <w:p w14:paraId="4B88AD1B">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rPr>
              <w:t>项目占地</w:t>
            </w:r>
          </w:p>
        </w:tc>
        <w:tc>
          <w:tcPr>
            <w:tcW w:w="1070" w:type="pct"/>
            <w:tcBorders>
              <w:tl2br w:val="nil"/>
              <w:tr2bl w:val="nil"/>
            </w:tcBorders>
            <w:noWrap w:val="0"/>
            <w:vAlign w:val="center"/>
          </w:tcPr>
          <w:p w14:paraId="72DDBEA6">
            <w:pPr>
              <w:spacing w:line="276" w:lineRule="auto"/>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建设用地</w:t>
            </w:r>
          </w:p>
        </w:tc>
        <w:tc>
          <w:tcPr>
            <w:tcW w:w="717" w:type="pct"/>
            <w:tcBorders>
              <w:tl2br w:val="nil"/>
              <w:tr2bl w:val="nil"/>
            </w:tcBorders>
            <w:noWrap w:val="0"/>
            <w:vAlign w:val="center"/>
          </w:tcPr>
          <w:p w14:paraId="5ABC4E31">
            <w:pPr>
              <w:spacing w:line="276"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厂区内</w:t>
            </w:r>
          </w:p>
        </w:tc>
        <w:tc>
          <w:tcPr>
            <w:tcW w:w="2161" w:type="pct"/>
            <w:gridSpan w:val="2"/>
            <w:tcBorders>
              <w:tl2br w:val="nil"/>
              <w:tr2bl w:val="nil"/>
            </w:tcBorders>
            <w:noWrap w:val="0"/>
            <w:vAlign w:val="center"/>
          </w:tcPr>
          <w:p w14:paraId="3DF2FE60">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《土壤环境质量建设用地土壤污染风险管控标准（试行）》（GB</w:t>
            </w:r>
            <w:r>
              <w:rPr>
                <w:rFonts w:hint="default" w:ascii="Times New Roman" w:hAnsi="Times New Roman" w:cs="Times New Roman"/>
                <w:color w:val="auto"/>
                <w:sz w:val="18"/>
                <w:szCs w:val="18"/>
                <w:highlight w:val="none"/>
                <w:lang w:val="en-US" w:eastAsia="zh-CN"/>
              </w:rPr>
              <w:t xml:space="preserve"> </w:t>
            </w:r>
            <w:r>
              <w:rPr>
                <w:rFonts w:hint="default" w:ascii="Times New Roman" w:hAnsi="Times New Roman" w:cs="Times New Roman"/>
                <w:color w:val="auto"/>
                <w:sz w:val="18"/>
                <w:szCs w:val="18"/>
                <w:highlight w:val="none"/>
              </w:rPr>
              <w:t>36600-2018）中第二类用地标准值</w:t>
            </w:r>
          </w:p>
        </w:tc>
      </w:tr>
      <w:tr w14:paraId="7A22DB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5" w:type="pct"/>
            <w:vMerge w:val="continue"/>
            <w:tcBorders>
              <w:tl2br w:val="nil"/>
              <w:tr2bl w:val="nil"/>
            </w:tcBorders>
            <w:noWrap w:val="0"/>
            <w:vAlign w:val="center"/>
          </w:tcPr>
          <w:p w14:paraId="48B4C898">
            <w:pPr>
              <w:spacing w:line="276" w:lineRule="auto"/>
              <w:jc w:val="center"/>
              <w:rPr>
                <w:rFonts w:hint="default" w:ascii="Times New Roman" w:hAnsi="Times New Roman" w:cs="Times New Roman"/>
                <w:color w:val="auto"/>
                <w:sz w:val="18"/>
                <w:szCs w:val="18"/>
                <w:highlight w:val="none"/>
              </w:rPr>
            </w:pPr>
          </w:p>
        </w:tc>
        <w:tc>
          <w:tcPr>
            <w:tcW w:w="705" w:type="pct"/>
            <w:tcBorders>
              <w:tl2br w:val="nil"/>
              <w:tr2bl w:val="nil"/>
            </w:tcBorders>
            <w:noWrap w:val="0"/>
            <w:vAlign w:val="center"/>
          </w:tcPr>
          <w:p w14:paraId="42B19905">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sz w:val="18"/>
                <w:szCs w:val="18"/>
                <w:highlight w:val="none"/>
              </w:rPr>
              <w:t>周边的耕地</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林地</w:t>
            </w:r>
          </w:p>
        </w:tc>
        <w:tc>
          <w:tcPr>
            <w:tcW w:w="1070" w:type="pct"/>
            <w:tcBorders>
              <w:tl2br w:val="nil"/>
              <w:tr2bl w:val="nil"/>
            </w:tcBorders>
            <w:noWrap w:val="0"/>
            <w:vAlign w:val="center"/>
          </w:tcPr>
          <w:p w14:paraId="08542CE2">
            <w:pPr>
              <w:spacing w:line="276"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农用地</w:t>
            </w:r>
          </w:p>
        </w:tc>
        <w:tc>
          <w:tcPr>
            <w:tcW w:w="717" w:type="pct"/>
            <w:tcBorders>
              <w:tl2br w:val="nil"/>
              <w:tr2bl w:val="nil"/>
            </w:tcBorders>
            <w:noWrap w:val="0"/>
            <w:vAlign w:val="center"/>
          </w:tcPr>
          <w:p w14:paraId="047829E2">
            <w:pPr>
              <w:spacing w:line="276"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土壤</w:t>
            </w:r>
            <w:r>
              <w:rPr>
                <w:rFonts w:hint="default" w:ascii="Times New Roman" w:hAnsi="Times New Roman" w:cs="Times New Roman"/>
                <w:color w:val="auto"/>
                <w:kern w:val="0"/>
                <w:sz w:val="18"/>
                <w:szCs w:val="18"/>
                <w:highlight w:val="none"/>
              </w:rPr>
              <w:t>评价范围内</w:t>
            </w:r>
          </w:p>
        </w:tc>
        <w:tc>
          <w:tcPr>
            <w:tcW w:w="2161" w:type="pct"/>
            <w:gridSpan w:val="2"/>
            <w:tcBorders>
              <w:tl2br w:val="nil"/>
              <w:tr2bl w:val="nil"/>
            </w:tcBorders>
            <w:noWrap w:val="0"/>
            <w:vAlign w:val="center"/>
          </w:tcPr>
          <w:p w14:paraId="7349E4BC">
            <w:pPr>
              <w:widowControl/>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0"/>
                <w:sz w:val="18"/>
                <w:szCs w:val="18"/>
                <w:highlight w:val="none"/>
              </w:rPr>
              <w:t>《土壤质量标准 农用地土壤污染风险管控标准》（试行）（GB15618-2018）的筛选值</w:t>
            </w:r>
          </w:p>
        </w:tc>
      </w:tr>
    </w:tbl>
    <w:p w14:paraId="40E92407">
      <w:pPr>
        <w:spacing w:line="360" w:lineRule="auto"/>
        <w:ind w:firstLine="480" w:firstLineChars="200"/>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5、生态环境保护目标</w:t>
      </w:r>
    </w:p>
    <w:p w14:paraId="0A266D69">
      <w:pPr>
        <w:spacing w:line="360" w:lineRule="auto"/>
        <w:ind w:firstLine="480" w:firstLineChars="200"/>
        <w:rPr>
          <w:rFonts w:hint="default" w:ascii="Times New Roman" w:hAnsi="Times New Roman" w:cs="Times New Roman" w:eastAsiaTheme="minorEastAsia"/>
          <w:b/>
          <w:sz w:val="24"/>
          <w:szCs w:val="24"/>
        </w:rPr>
      </w:pPr>
      <w:r>
        <w:rPr>
          <w:rFonts w:hint="default" w:ascii="Times New Roman" w:hAnsi="Times New Roman" w:cs="Times New Roman" w:eastAsiaTheme="minorEastAsia"/>
          <w:sz w:val="24"/>
          <w:szCs w:val="24"/>
        </w:rPr>
        <w:t>本项目生态环境评价范围内</w:t>
      </w:r>
      <w:r>
        <w:rPr>
          <w:rFonts w:hint="default" w:ascii="Times New Roman" w:hAnsi="Times New Roman" w:cs="Times New Roman"/>
          <w:sz w:val="24"/>
        </w:rPr>
        <w:t>植被、动物</w:t>
      </w:r>
      <w:r>
        <w:rPr>
          <w:rFonts w:hint="default" w:ascii="Times New Roman" w:hAnsi="Times New Roman" w:cs="Times New Roman"/>
          <w:sz w:val="24"/>
          <w:lang w:val="en-US" w:eastAsia="zh-CN"/>
        </w:rPr>
        <w:t>等</w:t>
      </w:r>
      <w:r>
        <w:rPr>
          <w:rFonts w:hint="default" w:ascii="Times New Roman" w:hAnsi="Times New Roman" w:cs="Times New Roman"/>
          <w:sz w:val="24"/>
        </w:rPr>
        <w:t>。</w:t>
      </w:r>
    </w:p>
    <w:bookmarkEnd w:id="187"/>
    <w:p w14:paraId="6804E887">
      <w:pPr>
        <w:pStyle w:val="5"/>
        <w:bidi w:val="0"/>
        <w:rPr>
          <w:rFonts w:hint="default" w:ascii="Times New Roman" w:hAnsi="Times New Roman" w:cs="Times New Roman"/>
        </w:rPr>
      </w:pPr>
      <w:bookmarkStart w:id="188" w:name="_Toc24351"/>
      <w:bookmarkStart w:id="189" w:name="_Toc26811"/>
      <w:bookmarkStart w:id="190" w:name="_Toc21245"/>
      <w:bookmarkStart w:id="191" w:name="_Toc26810"/>
      <w:bookmarkStart w:id="192" w:name="_Toc28161"/>
      <w:bookmarkStart w:id="193" w:name="_Toc165816719"/>
      <w:r>
        <w:rPr>
          <w:rFonts w:hint="default" w:ascii="Times New Roman" w:hAnsi="Times New Roman" w:cs="Times New Roman"/>
          <w:lang w:val="en-US" w:eastAsia="zh-CN"/>
        </w:rPr>
        <w:t>2.8</w:t>
      </w:r>
      <w:r>
        <w:rPr>
          <w:rFonts w:hint="default" w:ascii="Times New Roman" w:hAnsi="Times New Roman" w:cs="Times New Roman"/>
        </w:rPr>
        <w:t>环境影响评价工作程序</w:t>
      </w:r>
      <w:bookmarkEnd w:id="188"/>
      <w:bookmarkEnd w:id="189"/>
      <w:bookmarkEnd w:id="190"/>
      <w:bookmarkEnd w:id="191"/>
      <w:bookmarkEnd w:id="192"/>
      <w:bookmarkEnd w:id="193"/>
    </w:p>
    <w:p w14:paraId="28257880">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环境影响评价工作可分为三个阶段。第一阶段为调查分析和工作方案制定阶段，第二阶段为分析论证和预测评价阶段，第三阶段为环境影响报告书编制阶段。</w:t>
      </w:r>
    </w:p>
    <w:p w14:paraId="0D789A77">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项目环境影响评价工作程序见图</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8-</w:t>
      </w:r>
      <w:r>
        <w:rPr>
          <w:rFonts w:hint="default" w:ascii="Times New Roman" w:hAnsi="Times New Roman" w:cs="Times New Roman" w:eastAsiaTheme="minorEastAsia"/>
          <w:sz w:val="24"/>
          <w:szCs w:val="24"/>
        </w:rPr>
        <w:t>1。</w:t>
      </w:r>
    </w:p>
    <w:p w14:paraId="14EC8E97">
      <w:pPr>
        <w:pStyle w:val="52"/>
        <w:spacing w:line="360" w:lineRule="auto"/>
        <w:ind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object>
          <v:shape id="_x0000_i1025" o:spt="75" type="#_x0000_t75" style="height:513.35pt;width:429.5pt;" o:ole="t" filled="f" o:preferrelative="t" stroked="f" coordsize="21600,21600">
            <v:path/>
            <v:fill on="f" focussize="0,0"/>
            <v:stroke on="f"/>
            <v:imagedata r:id="rId10" o:title=""/>
            <o:lock v:ext="edit" aspectratio="t"/>
            <w10:wrap type="none"/>
            <w10:anchorlock/>
          </v:shape>
          <o:OLEObject Type="Embed" ProgID="Visio.Drawing.11" ShapeID="_x0000_i1025" DrawAspect="Content" ObjectID="_1468075725" r:id="rId9">
            <o:LockedField>false</o:LockedField>
          </o:OLEObject>
        </w:object>
      </w:r>
    </w:p>
    <w:p w14:paraId="1B742688">
      <w:pPr>
        <w:pStyle w:val="52"/>
        <w:spacing w:line="360" w:lineRule="auto"/>
        <w:ind w:firstLine="0" w:firstLineChars="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图</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8</w:t>
      </w:r>
      <w:r>
        <w:rPr>
          <w:rFonts w:hint="default" w:ascii="Times New Roman" w:hAnsi="Times New Roman" w:cs="Times New Roman" w:eastAsiaTheme="minorEastAsia"/>
          <w:sz w:val="24"/>
          <w:szCs w:val="24"/>
        </w:rPr>
        <w:t>-1  项目环境影响评价工作程序图</w:t>
      </w:r>
    </w:p>
    <w:p w14:paraId="5B494D66">
      <w:pPr>
        <w:rPr>
          <w:rFonts w:hint="default" w:ascii="Times New Roman" w:hAnsi="Times New Roman" w:cs="Times New Roman"/>
          <w:lang w:val="en-US" w:eastAsia="zh-CN"/>
        </w:rPr>
      </w:pPr>
      <w:bookmarkStart w:id="194" w:name="_Toc21908"/>
      <w:bookmarkStart w:id="195" w:name="_Toc2397"/>
      <w:bookmarkStart w:id="196" w:name="_Toc5864"/>
      <w:bookmarkStart w:id="197" w:name="_Toc165816720"/>
      <w:bookmarkStart w:id="198" w:name="_Toc16365"/>
      <w:r>
        <w:rPr>
          <w:rFonts w:hint="default" w:ascii="Times New Roman" w:hAnsi="Times New Roman" w:cs="Times New Roman"/>
          <w:lang w:val="en-US" w:eastAsia="zh-CN"/>
        </w:rPr>
        <w:br w:type="page"/>
      </w:r>
    </w:p>
    <w:p w14:paraId="6F41E7BF">
      <w:pPr>
        <w:pStyle w:val="4"/>
        <w:bidi w:val="0"/>
        <w:rPr>
          <w:rFonts w:hint="default" w:ascii="Times New Roman" w:hAnsi="Times New Roman" w:cs="Times New Roman"/>
        </w:rPr>
      </w:pPr>
      <w:bookmarkStart w:id="199" w:name="_Toc270"/>
      <w:r>
        <w:rPr>
          <w:rFonts w:hint="default" w:ascii="Times New Roman" w:hAnsi="Times New Roman" w:cs="Times New Roman"/>
          <w:lang w:val="en-US" w:eastAsia="zh-CN"/>
        </w:rPr>
        <w:t>3</w:t>
      </w:r>
      <w:r>
        <w:rPr>
          <w:rFonts w:hint="default" w:ascii="Times New Roman" w:hAnsi="Times New Roman" w:cs="Times New Roman"/>
        </w:rPr>
        <w:t>建设项目工程分析</w:t>
      </w:r>
      <w:bookmarkEnd w:id="194"/>
      <w:bookmarkEnd w:id="195"/>
      <w:bookmarkEnd w:id="196"/>
      <w:bookmarkEnd w:id="197"/>
      <w:bookmarkEnd w:id="198"/>
      <w:bookmarkEnd w:id="199"/>
    </w:p>
    <w:p w14:paraId="16256F52">
      <w:pPr>
        <w:pStyle w:val="5"/>
        <w:bidi w:val="0"/>
        <w:rPr>
          <w:rFonts w:hint="default" w:ascii="Times New Roman" w:hAnsi="Times New Roman" w:cs="Times New Roman"/>
          <w:lang w:val="en-US" w:eastAsia="zh-CN"/>
        </w:rPr>
      </w:pPr>
      <w:bookmarkStart w:id="200" w:name="_Toc165816721"/>
      <w:bookmarkStart w:id="201" w:name="_Toc15798"/>
      <w:bookmarkStart w:id="202" w:name="_Toc6977"/>
      <w:bookmarkStart w:id="203" w:name="_Toc21054"/>
      <w:bookmarkStart w:id="204" w:name="_Toc28691"/>
      <w:bookmarkStart w:id="205" w:name="_Toc30307"/>
      <w:r>
        <w:rPr>
          <w:rFonts w:hint="default" w:ascii="Times New Roman" w:hAnsi="Times New Roman" w:cs="Times New Roman"/>
          <w:lang w:val="en-US" w:eastAsia="zh-CN"/>
        </w:rPr>
        <w:t>3</w:t>
      </w:r>
      <w:r>
        <w:rPr>
          <w:rFonts w:hint="default" w:ascii="Times New Roman" w:hAnsi="Times New Roman" w:cs="Times New Roman"/>
        </w:rPr>
        <w:t>.1</w:t>
      </w:r>
      <w:bookmarkEnd w:id="200"/>
      <w:r>
        <w:rPr>
          <w:rFonts w:hint="default" w:ascii="Times New Roman" w:hAnsi="Times New Roman" w:cs="Times New Roman"/>
          <w:lang w:val="en-US" w:eastAsia="zh-CN"/>
        </w:rPr>
        <w:t>相关工程概况</w:t>
      </w:r>
      <w:bookmarkEnd w:id="201"/>
      <w:bookmarkEnd w:id="202"/>
      <w:bookmarkEnd w:id="203"/>
      <w:bookmarkEnd w:id="204"/>
      <w:bookmarkEnd w:id="205"/>
    </w:p>
    <w:p w14:paraId="1264A2FC">
      <w:pPr>
        <w:pStyle w:val="6"/>
        <w:spacing w:line="360" w:lineRule="auto"/>
        <w:rPr>
          <w:rFonts w:hint="default" w:ascii="Times New Roman" w:hAnsi="Times New Roman" w:eastAsia="黑体" w:cs="Times New Roman"/>
          <w:sz w:val="24"/>
          <w:szCs w:val="24"/>
        </w:rPr>
      </w:pPr>
      <w:bookmarkStart w:id="206" w:name="_Toc14275"/>
      <w:bookmarkStart w:id="207" w:name="_Toc165816722"/>
      <w:r>
        <w:rPr>
          <w:rFonts w:hint="default" w:ascii="Times New Roman" w:hAnsi="Times New Roman" w:eastAsia="黑体" w:cs="Times New Roman"/>
          <w:sz w:val="24"/>
          <w:szCs w:val="24"/>
          <w:lang w:val="en-US" w:eastAsia="zh-CN"/>
        </w:rPr>
        <w:t>3</w:t>
      </w:r>
      <w:r>
        <w:rPr>
          <w:rFonts w:hint="default" w:ascii="Times New Roman" w:hAnsi="Times New Roman" w:eastAsia="黑体" w:cs="Times New Roman"/>
          <w:sz w:val="24"/>
          <w:szCs w:val="24"/>
        </w:rPr>
        <w:t>.1.1鲁奎山铁矿开采项目情况</w:t>
      </w:r>
      <w:bookmarkEnd w:id="206"/>
      <w:bookmarkEnd w:id="207"/>
    </w:p>
    <w:p w14:paraId="21BBB173">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云南省新平鲁奎山铁矿原属于云南省新平鲁奎山矿冶（集团）有限责任公司下属企业（鲁奎山铁矿、炼钢厂、炼铁厂、水泥厂）之一，于1989年建成投产，采用露天开采方式开采，露天矿山设计能力50万t/a，露天采场境界内设计开采储量为686.62万t，露天采场最低开采标高为1750m。自1996年起，鲁奎山铁矿生产规模调整为34万t/a左右。露天采场于2004年中已全部开采完毕。</w:t>
      </w:r>
    </w:p>
    <w:p w14:paraId="62BC1001">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为了满足公司扩能发展的需要，解决鲁奎山铁矿的持续生产与接替，云南省新平鲁奎山矿冶（集团）有限责任公司于1999年5月委托昆明有色冶金设计研究院对鲁奎山铁矿深部一期（氧化铁矿）坑内采矿进行可行性研究。根据《云南省新平鲁奎山铁矿深部一期（氧化铁矿）坑内采矿工程可行性研究报告》，坑采范围为矿山1750m</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1680m标高间的氧化铁矿，生产规模为20万t/a。</w:t>
      </w:r>
    </w:p>
    <w:p w14:paraId="16A4ACDE">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2002年2月，云南省新平鲁奎山矿冶（集团）有限责任公司委托昆明理工大学编制完成了《云南新平鲁奎山铁矿一期氧化铁矿坑内开采工程技改项目环境影响报告书》，2003年2月12日取得了云南省玉溪市环保局的批复（玉市环〔2003〕27号）。</w:t>
      </w:r>
    </w:p>
    <w:p w14:paraId="705F68EE">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鲁奎山铁矿坑内开采一期工程规模为20万t/a，控制标高1680m，开采1680m以上的矿体，开拓系统为平硐开拓，共设1740m和1680m两个中段。1740m中段于2002年开工，2005年底结束生产。接替的1680m中段于2003年开工，2015年10月结束生产。</w:t>
      </w:r>
    </w:p>
    <w:p w14:paraId="778D67BF">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2003年5月因国有企业改制，云南省新平鲁奎山铁矿由云南玉溪仙福钢铁（集团）有限公司收购。2006年4月，云南玉溪仙福钢铁（集团）有限公司下属的云南新平仙福矿冶有限公司委托昆明有色冶金设计研究院编制完成《云南新平仙福矿冶有限公司鲁奎山铁矿深部混合矿及菱铁矿资源开发利用方案》，该资源利用开发方案设计范围在采矿许可证平面内，开采对象为V</w:t>
      </w:r>
      <w:r>
        <w:rPr>
          <w:rFonts w:hint="default" w:ascii="Times New Roman" w:hAnsi="Times New Roman" w:cs="Times New Roman" w:eastAsiaTheme="minorEastAsia"/>
          <w:sz w:val="24"/>
          <w:szCs w:val="24"/>
          <w:vertAlign w:val="subscript"/>
        </w:rPr>
        <w:t>1</w:t>
      </w:r>
      <w:r>
        <w:rPr>
          <w:rFonts w:hint="default" w:ascii="Times New Roman" w:hAnsi="Times New Roman" w:cs="Times New Roman" w:eastAsiaTheme="minorEastAsia"/>
          <w:sz w:val="24"/>
          <w:szCs w:val="24"/>
        </w:rPr>
        <w:t>、V</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号矿体1380m－1680m标高的混合矿及菱铁矿。</w:t>
      </w:r>
    </w:p>
    <w:p w14:paraId="11406387">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2007年3月，云南新平仙福矿冶有限公司委托昆明有色冶金设计研究院编制完成《鲁奎山铁矿深部开采工程方案设计》，设计的生产规模为60万t/a，设计开采标高范围为1680m－1530m，垂高150m，划分为三个中段，中段标高分别为1630m、1580m和1530m，中段高度50m。</w:t>
      </w:r>
    </w:p>
    <w:p w14:paraId="55A7E9D4">
      <w:pPr>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cs="Times New Roman" w:eastAsiaTheme="minorEastAsia"/>
          <w:sz w:val="24"/>
          <w:szCs w:val="24"/>
        </w:rPr>
        <w:t>根据云南省国土资源厅签发的采矿许可证（证号：</w:t>
      </w:r>
      <w:r>
        <w:rPr>
          <w:rFonts w:hint="default" w:ascii="Times New Roman" w:hAnsi="Times New Roman" w:cs="Times New Roman" w:eastAsiaTheme="minorEastAsia"/>
          <w:sz w:val="24"/>
          <w:szCs w:val="24"/>
          <w:lang w:val="en-US" w:eastAsia="zh-CN"/>
        </w:rPr>
        <w:t>C</w:t>
      </w:r>
      <w:r>
        <w:rPr>
          <w:rFonts w:hint="default" w:ascii="Times New Roman" w:hAnsi="Times New Roman" w:cs="Times New Roman" w:eastAsiaTheme="minorEastAsia"/>
          <w:sz w:val="24"/>
          <w:szCs w:val="24"/>
        </w:rPr>
        <w:t>530000</w:t>
      </w:r>
      <w:r>
        <w:rPr>
          <w:rFonts w:hint="default" w:ascii="Times New Roman" w:hAnsi="Times New Roman" w:cs="Times New Roman" w:eastAsiaTheme="minorEastAsia"/>
          <w:sz w:val="24"/>
          <w:szCs w:val="24"/>
          <w:lang w:val="en-US" w:eastAsia="zh-CN"/>
        </w:rPr>
        <w:t>2017022120143814</w:t>
      </w:r>
      <w:r>
        <w:rPr>
          <w:rFonts w:hint="default" w:ascii="Times New Roman" w:hAnsi="Times New Roman" w:cs="Times New Roman" w:eastAsiaTheme="minorEastAsia"/>
          <w:sz w:val="24"/>
          <w:szCs w:val="24"/>
        </w:rPr>
        <w:t>），鲁奎山铁矿生产规模为35万吨/年，有效期为20</w:t>
      </w:r>
      <w:r>
        <w:rPr>
          <w:rFonts w:hint="default"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rPr>
        <w:t>年</w:t>
      </w:r>
      <w:r>
        <w:rPr>
          <w:rFonts w:hint="default" w:ascii="Times New Roman" w:hAnsi="Times New Roman" w:cs="Times New Roman" w:eastAsiaTheme="minorEastAsia"/>
          <w:sz w:val="24"/>
          <w:szCs w:val="24"/>
          <w:lang w:val="en-US" w:eastAsia="zh-CN"/>
        </w:rPr>
        <w:t>12</w:t>
      </w:r>
      <w:r>
        <w:rPr>
          <w:rFonts w:hint="default" w:ascii="Times New Roman" w:hAnsi="Times New Roman" w:cs="Times New Roman" w:eastAsiaTheme="minorEastAsia"/>
          <w:sz w:val="24"/>
          <w:szCs w:val="24"/>
        </w:rPr>
        <w:t>月至20</w:t>
      </w:r>
      <w:r>
        <w:rPr>
          <w:rFonts w:hint="default" w:ascii="Times New Roman" w:hAnsi="Times New Roman" w:cs="Times New Roman" w:eastAsiaTheme="minorEastAsia"/>
          <w:sz w:val="24"/>
          <w:szCs w:val="24"/>
          <w:lang w:val="en-US" w:eastAsia="zh-CN"/>
        </w:rPr>
        <w:t>31</w:t>
      </w:r>
      <w:r>
        <w:rPr>
          <w:rFonts w:hint="default" w:ascii="Times New Roman" w:hAnsi="Times New Roman" w:cs="Times New Roman" w:eastAsiaTheme="minorEastAsia"/>
          <w:sz w:val="24"/>
          <w:szCs w:val="24"/>
        </w:rPr>
        <w:t>年</w:t>
      </w:r>
      <w:r>
        <w:rPr>
          <w:rFonts w:hint="default" w:ascii="Times New Roman" w:hAnsi="Times New Roman" w:cs="Times New Roman" w:eastAsiaTheme="minorEastAsia"/>
          <w:sz w:val="24"/>
          <w:szCs w:val="24"/>
          <w:lang w:val="en-US" w:eastAsia="zh-CN"/>
        </w:rPr>
        <w:t>12</w:t>
      </w:r>
      <w:r>
        <w:rPr>
          <w:rFonts w:hint="default" w:ascii="Times New Roman" w:hAnsi="Times New Roman" w:cs="Times New Roman" w:eastAsiaTheme="minorEastAsia"/>
          <w:sz w:val="24"/>
          <w:szCs w:val="24"/>
        </w:rPr>
        <w:t>月。鲁奎山铁矿以《鲁奎山铁矿深部开采工程方案设计》为基础，按照采矿许可证的开采范围和开采规模进行深部矿体二期工程的实施。二期工程设计1630m、1580m和1530m三个中段，坑采规模为35万t/a。1630m中段于2007年7月开工，2016年10月结束生产。1580m中段于2007年9月开</w:t>
      </w:r>
      <w:r>
        <w:rPr>
          <w:rFonts w:hint="default" w:ascii="Times New Roman" w:hAnsi="Times New Roman" w:cs="Times New Roman" w:eastAsiaTheme="minorEastAsia"/>
          <w:color w:val="auto"/>
          <w:sz w:val="24"/>
          <w:szCs w:val="24"/>
        </w:rPr>
        <w:t>工，2020年10月结束生产</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sz w:val="24"/>
          <w:szCs w:val="24"/>
          <w:lang w:val="en-US" w:eastAsia="zh-CN"/>
        </w:rPr>
        <w:t>接替的</w:t>
      </w:r>
      <w:r>
        <w:rPr>
          <w:rFonts w:hint="default" w:ascii="Times New Roman" w:hAnsi="Times New Roman" w:cs="Times New Roman"/>
          <w:sz w:val="24"/>
          <w:szCs w:val="24"/>
          <w:lang w:val="en-US" w:eastAsia="zh-CN"/>
        </w:rPr>
        <w:t>1530中段</w:t>
      </w:r>
      <w:r>
        <w:rPr>
          <w:rFonts w:hint="default" w:ascii="Times New Roman" w:hAnsi="Times New Roman" w:cs="Times New Roman"/>
          <w:sz w:val="24"/>
          <w:szCs w:val="24"/>
        </w:rPr>
        <w:t>是矿山目前的开采中段，年生产能力为35万t。</w:t>
      </w:r>
      <w:r>
        <w:rPr>
          <w:rFonts w:hint="default" w:ascii="Times New Roman" w:hAnsi="Times New Roman" w:cs="Times New Roman"/>
          <w:sz w:val="24"/>
          <w:szCs w:val="24"/>
          <w:lang w:val="en-US" w:eastAsia="zh-CN"/>
        </w:rPr>
        <w:t>二期工程已完成环评及验收工作。</w:t>
      </w:r>
    </w:p>
    <w:p w14:paraId="0251DB26">
      <w:pPr>
        <w:pStyle w:val="6"/>
        <w:bidi w:val="0"/>
        <w:rPr>
          <w:rFonts w:hint="default" w:ascii="Times New Roman" w:hAnsi="Times New Roman" w:cs="Times New Roman"/>
        </w:rPr>
      </w:pPr>
      <w:bookmarkStart w:id="208" w:name="_Toc14139"/>
      <w:bookmarkStart w:id="209" w:name="_Toc165816723"/>
      <w:r>
        <w:rPr>
          <w:rFonts w:hint="default" w:ascii="Times New Roman" w:hAnsi="Times New Roman" w:cs="Times New Roman"/>
          <w:lang w:val="en-US" w:eastAsia="zh-CN"/>
        </w:rPr>
        <w:t>3</w:t>
      </w:r>
      <w:r>
        <w:rPr>
          <w:rFonts w:hint="default" w:ascii="Times New Roman" w:hAnsi="Times New Roman" w:cs="Times New Roman"/>
        </w:rPr>
        <w:t>.1.2</w:t>
      </w:r>
      <w:r>
        <w:rPr>
          <w:rFonts w:hint="default" w:ascii="Times New Roman" w:hAnsi="Times New Roman" w:cs="Times New Roman"/>
          <w:lang w:val="en-US" w:eastAsia="zh-CN"/>
        </w:rPr>
        <w:t>鲁奎山铁矿</w:t>
      </w:r>
      <w:r>
        <w:rPr>
          <w:rFonts w:hint="default" w:ascii="Times New Roman" w:hAnsi="Times New Roman" w:cs="Times New Roman"/>
        </w:rPr>
        <w:t>主要建设内容</w:t>
      </w:r>
      <w:bookmarkEnd w:id="208"/>
      <w:bookmarkEnd w:id="209"/>
    </w:p>
    <w:p w14:paraId="4CB6148A">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矿山</w:t>
      </w:r>
      <w:r>
        <w:rPr>
          <w:rFonts w:hint="default" w:ascii="Times New Roman" w:hAnsi="Times New Roman" w:cs="Times New Roman" w:eastAsiaTheme="minorEastAsia"/>
          <w:sz w:val="24"/>
          <w:szCs w:val="24"/>
        </w:rPr>
        <w:t>主要建设内容组成见表</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-1。</w:t>
      </w:r>
    </w:p>
    <w:p w14:paraId="67101CE6">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.1</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 xml:space="preserve">-1  </w:t>
      </w:r>
      <w:r>
        <w:rPr>
          <w:rFonts w:hint="default" w:ascii="Times New Roman" w:hAnsi="Times New Roman" w:eastAsia="黑体" w:cs="Times New Roman"/>
          <w:b w:val="0"/>
          <w:bCs/>
          <w:sz w:val="21"/>
          <w:szCs w:val="21"/>
          <w:lang w:val="en-US" w:eastAsia="zh-CN"/>
        </w:rPr>
        <w:t>矿山</w:t>
      </w:r>
      <w:r>
        <w:rPr>
          <w:rFonts w:hint="default" w:ascii="Times New Roman" w:hAnsi="Times New Roman" w:eastAsia="黑体" w:cs="Times New Roman"/>
          <w:b w:val="0"/>
          <w:bCs/>
          <w:sz w:val="21"/>
          <w:szCs w:val="21"/>
        </w:rPr>
        <w:t>主要建设内容组成一览表</w:t>
      </w:r>
    </w:p>
    <w:tbl>
      <w:tblPr>
        <w:tblStyle w:val="29"/>
        <w:tblpPr w:leftFromText="180" w:rightFromText="180" w:vertAnchor="text" w:tblpY="1"/>
        <w:tblOverlap w:val="never"/>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39"/>
        <w:gridCol w:w="1358"/>
        <w:gridCol w:w="6389"/>
      </w:tblGrid>
      <w:tr w14:paraId="6145255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tcBorders>
              <w:tl2br w:val="nil"/>
              <w:tr2bl w:val="nil"/>
            </w:tcBorders>
            <w:noWrap w:val="0"/>
            <w:vAlign w:val="center"/>
          </w:tcPr>
          <w:p w14:paraId="6738A1D0">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工程名称</w:t>
            </w:r>
          </w:p>
        </w:tc>
        <w:tc>
          <w:tcPr>
            <w:tcW w:w="731" w:type="pct"/>
            <w:tcBorders>
              <w:tl2br w:val="nil"/>
              <w:tr2bl w:val="nil"/>
            </w:tcBorders>
            <w:noWrap w:val="0"/>
            <w:vAlign w:val="center"/>
          </w:tcPr>
          <w:p w14:paraId="10E641C1">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工程组成</w:t>
            </w:r>
          </w:p>
        </w:tc>
        <w:tc>
          <w:tcPr>
            <w:tcW w:w="3440" w:type="pct"/>
            <w:tcBorders>
              <w:tl2br w:val="nil"/>
              <w:tr2bl w:val="nil"/>
            </w:tcBorders>
            <w:noWrap w:val="0"/>
            <w:vAlign w:val="center"/>
          </w:tcPr>
          <w:p w14:paraId="668162CC">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实际建设情况</w:t>
            </w:r>
          </w:p>
        </w:tc>
      </w:tr>
      <w:tr w14:paraId="67356BA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restart"/>
            <w:tcBorders>
              <w:tl2br w:val="nil"/>
              <w:tr2bl w:val="nil"/>
            </w:tcBorders>
            <w:noWrap w:val="0"/>
            <w:vAlign w:val="center"/>
          </w:tcPr>
          <w:p w14:paraId="7FF81C41">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主体工程</w:t>
            </w:r>
          </w:p>
        </w:tc>
        <w:tc>
          <w:tcPr>
            <w:tcW w:w="731" w:type="pct"/>
            <w:tcBorders>
              <w:tl2br w:val="nil"/>
              <w:tr2bl w:val="nil"/>
            </w:tcBorders>
            <w:noWrap w:val="0"/>
            <w:vAlign w:val="center"/>
          </w:tcPr>
          <w:p w14:paraId="2ED2DD0F">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地下开采系统</w:t>
            </w:r>
          </w:p>
        </w:tc>
        <w:tc>
          <w:tcPr>
            <w:tcW w:w="3440" w:type="pct"/>
            <w:tcBorders>
              <w:tl2br w:val="nil"/>
              <w:tr2bl w:val="nil"/>
            </w:tcBorders>
            <w:noWrap w:val="0"/>
            <w:vAlign w:val="center"/>
          </w:tcPr>
          <w:p w14:paraId="1C66FD3E">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项目现阶段地下开采3个中段，即1630m中段、1580m中段及1530m中段。1630m中段2007年7月硐口开工，基建期45个月，2016年10月结束出矿。1580m中段2007年9月硐口开工，基建期45个月，2020年10月结束出矿。</w:t>
            </w:r>
          </w:p>
          <w:p w14:paraId="51F7C3F7">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1530m中段2012年3月硐口开工，基建期39个月，1580m中段结束出矿后接替1580m中段。1530m中段目前是该铁矿的主运输平硐，年产35万t。</w:t>
            </w:r>
          </w:p>
        </w:tc>
      </w:tr>
      <w:tr w14:paraId="305C896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continue"/>
            <w:tcBorders>
              <w:tl2br w:val="nil"/>
              <w:tr2bl w:val="nil"/>
            </w:tcBorders>
            <w:noWrap w:val="0"/>
            <w:vAlign w:val="center"/>
          </w:tcPr>
          <w:p w14:paraId="6234D804">
            <w:pPr>
              <w:pStyle w:val="47"/>
              <w:spacing w:line="240" w:lineRule="auto"/>
              <w:rPr>
                <w:rFonts w:hint="default" w:ascii="Times New Roman" w:hAnsi="Times New Roman" w:eastAsia="宋体" w:cs="Times New Roman"/>
                <w:b w:val="0"/>
                <w:bCs/>
                <w:sz w:val="18"/>
                <w:szCs w:val="18"/>
              </w:rPr>
            </w:pPr>
          </w:p>
        </w:tc>
        <w:tc>
          <w:tcPr>
            <w:tcW w:w="731" w:type="pct"/>
            <w:tcBorders>
              <w:tl2br w:val="nil"/>
              <w:tr2bl w:val="nil"/>
            </w:tcBorders>
            <w:noWrap w:val="0"/>
            <w:vAlign w:val="center"/>
          </w:tcPr>
          <w:p w14:paraId="02BDEB1D">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硐口工业场地</w:t>
            </w:r>
          </w:p>
        </w:tc>
        <w:tc>
          <w:tcPr>
            <w:tcW w:w="3440" w:type="pct"/>
            <w:tcBorders>
              <w:tl2br w:val="nil"/>
              <w:tr2bl w:val="nil"/>
            </w:tcBorders>
            <w:noWrap w:val="0"/>
            <w:vAlign w:val="center"/>
          </w:tcPr>
          <w:p w14:paraId="12D56BC5">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硐口工业场地主要包括临时堆场和废石场。分别在1630m、1580m和1530m中段硐口建工业场地，出坑矿石通过手选后置入临时堆场和原矿堆场，各中段出坑废石直接排放到废石场。</w:t>
            </w:r>
          </w:p>
          <w:p w14:paraId="5A6C6795">
            <w:pPr>
              <w:pStyle w:val="47"/>
              <w:spacing w:line="240" w:lineRule="auto"/>
              <w:jc w:val="left"/>
              <w:rPr>
                <w:rFonts w:hint="default"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rPr>
              <w:t>本项目15</w:t>
            </w:r>
            <w:r>
              <w:rPr>
                <w:rFonts w:hint="default" w:ascii="Times New Roman" w:hAnsi="Times New Roman" w:eastAsia="宋体" w:cs="Times New Roman"/>
                <w:b w:val="0"/>
                <w:bCs/>
                <w:sz w:val="18"/>
                <w:szCs w:val="18"/>
                <w:lang w:val="en-US" w:eastAsia="zh-CN"/>
              </w:rPr>
              <w:t>3</w:t>
            </w:r>
            <w:r>
              <w:rPr>
                <w:rFonts w:hint="default" w:ascii="Times New Roman" w:hAnsi="Times New Roman" w:eastAsia="宋体" w:cs="Times New Roman"/>
                <w:b w:val="0"/>
                <w:bCs/>
                <w:sz w:val="18"/>
                <w:szCs w:val="18"/>
              </w:rPr>
              <w:t>0m中段的临时堆场正在使用中</w:t>
            </w:r>
            <w:r>
              <w:rPr>
                <w:rFonts w:hint="default" w:ascii="Times New Roman" w:hAnsi="Times New Roman" w:eastAsia="宋体" w:cs="Times New Roman"/>
                <w:b w:val="0"/>
                <w:bCs/>
                <w:sz w:val="18"/>
                <w:szCs w:val="18"/>
                <w:lang w:eastAsia="zh-CN"/>
              </w:rPr>
              <w:t>。</w:t>
            </w:r>
          </w:p>
        </w:tc>
      </w:tr>
      <w:tr w14:paraId="6A93E99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continue"/>
            <w:tcBorders>
              <w:tl2br w:val="nil"/>
              <w:tr2bl w:val="nil"/>
            </w:tcBorders>
            <w:noWrap w:val="0"/>
            <w:vAlign w:val="center"/>
          </w:tcPr>
          <w:p w14:paraId="7BF45512">
            <w:pPr>
              <w:pStyle w:val="47"/>
              <w:spacing w:line="240" w:lineRule="auto"/>
              <w:rPr>
                <w:rFonts w:hint="default" w:ascii="Times New Roman" w:hAnsi="Times New Roman" w:eastAsia="宋体" w:cs="Times New Roman"/>
                <w:b w:val="0"/>
                <w:bCs/>
                <w:sz w:val="18"/>
                <w:szCs w:val="18"/>
              </w:rPr>
            </w:pPr>
          </w:p>
        </w:tc>
        <w:tc>
          <w:tcPr>
            <w:tcW w:w="731" w:type="pct"/>
            <w:tcBorders>
              <w:tl2br w:val="nil"/>
              <w:tr2bl w:val="nil"/>
            </w:tcBorders>
            <w:noWrap w:val="0"/>
            <w:vAlign w:val="center"/>
          </w:tcPr>
          <w:p w14:paraId="1981371A">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原矿堆场</w:t>
            </w:r>
          </w:p>
        </w:tc>
        <w:tc>
          <w:tcPr>
            <w:tcW w:w="3440" w:type="pct"/>
            <w:tcBorders>
              <w:tl2br w:val="nil"/>
              <w:tr2bl w:val="nil"/>
            </w:tcBorders>
            <w:noWrap w:val="0"/>
            <w:vAlign w:val="center"/>
          </w:tcPr>
          <w:p w14:paraId="15121442">
            <w:pPr>
              <w:pStyle w:val="47"/>
              <w:spacing w:line="240" w:lineRule="auto"/>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lang w:val="en-US" w:eastAsia="zh-CN"/>
              </w:rPr>
              <w:t>原有6个料场，5号料场已废弃，3号料场建设新变电站。</w:t>
            </w:r>
            <w:r>
              <w:rPr>
                <w:rFonts w:hint="default" w:ascii="Times New Roman" w:hAnsi="Times New Roman" w:eastAsia="宋体" w:cs="Times New Roman"/>
                <w:b w:val="0"/>
                <w:bCs/>
                <w:sz w:val="18"/>
                <w:szCs w:val="18"/>
              </w:rPr>
              <w:t>现有堆场</w:t>
            </w:r>
            <w:r>
              <w:rPr>
                <w:rFonts w:hint="default" w:ascii="Times New Roman" w:hAnsi="Times New Roman" w:eastAsia="宋体" w:cs="Times New Roman"/>
                <w:b w:val="0"/>
                <w:bCs/>
                <w:sz w:val="18"/>
                <w:szCs w:val="18"/>
                <w:lang w:val="en-US" w:eastAsia="zh-CN"/>
              </w:rPr>
              <w:t>4</w:t>
            </w:r>
            <w:r>
              <w:rPr>
                <w:rFonts w:hint="default" w:ascii="Times New Roman" w:hAnsi="Times New Roman" w:eastAsia="宋体" w:cs="Times New Roman"/>
                <w:b w:val="0"/>
                <w:bCs/>
                <w:sz w:val="18"/>
                <w:szCs w:val="18"/>
              </w:rPr>
              <w:t>个，分别为1</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lang w:val="en-US" w:eastAsia="zh-CN"/>
              </w:rPr>
              <w:t>2、4、6</w:t>
            </w:r>
            <w:r>
              <w:rPr>
                <w:rFonts w:hint="default" w:ascii="Times New Roman" w:hAnsi="Times New Roman" w:eastAsia="宋体" w:cs="Times New Roman"/>
                <w:b w:val="0"/>
                <w:bCs/>
                <w:sz w:val="18"/>
                <w:szCs w:val="18"/>
              </w:rPr>
              <w:t>号</w:t>
            </w:r>
            <w:r>
              <w:rPr>
                <w:rFonts w:hint="default" w:ascii="Times New Roman" w:hAnsi="Times New Roman" w:eastAsia="宋体" w:cs="Times New Roman"/>
                <w:b w:val="0"/>
                <w:bCs/>
                <w:sz w:val="18"/>
                <w:szCs w:val="18"/>
                <w:lang w:val="en-US" w:eastAsia="zh-CN"/>
              </w:rPr>
              <w:t>堆</w:t>
            </w:r>
            <w:r>
              <w:rPr>
                <w:rFonts w:hint="default" w:ascii="Times New Roman" w:hAnsi="Times New Roman" w:eastAsia="宋体" w:cs="Times New Roman"/>
                <w:b w:val="0"/>
                <w:bCs/>
                <w:sz w:val="18"/>
                <w:szCs w:val="18"/>
              </w:rPr>
              <w:t>场，其中1</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lang w:val="en-US" w:eastAsia="zh-CN"/>
              </w:rPr>
              <w:t>4、6</w:t>
            </w:r>
            <w:r>
              <w:rPr>
                <w:rFonts w:hint="default" w:ascii="Times New Roman" w:hAnsi="Times New Roman" w:eastAsia="宋体" w:cs="Times New Roman"/>
                <w:b w:val="0"/>
                <w:bCs/>
                <w:sz w:val="18"/>
                <w:szCs w:val="18"/>
              </w:rPr>
              <w:t xml:space="preserve"> </w:t>
            </w:r>
            <w:r>
              <w:rPr>
                <w:rFonts w:hint="default" w:ascii="Times New Roman" w:hAnsi="Times New Roman" w:eastAsia="宋体" w:cs="Times New Roman"/>
                <w:b w:val="0"/>
                <w:bCs/>
                <w:sz w:val="18"/>
                <w:szCs w:val="18"/>
                <w:lang w:val="en-US" w:eastAsia="zh-CN"/>
              </w:rPr>
              <w:t>号作为原矿堆场，</w:t>
            </w:r>
            <w:r>
              <w:rPr>
                <w:rFonts w:hint="default" w:ascii="Times New Roman" w:hAnsi="Times New Roman" w:eastAsia="宋体" w:cs="Times New Roman"/>
                <w:b w:val="0"/>
                <w:bCs/>
                <w:sz w:val="18"/>
                <w:szCs w:val="18"/>
              </w:rPr>
              <w:t>2号</w:t>
            </w:r>
            <w:r>
              <w:rPr>
                <w:rFonts w:hint="default" w:ascii="Times New Roman" w:hAnsi="Times New Roman" w:eastAsia="宋体" w:cs="Times New Roman"/>
                <w:b w:val="0"/>
                <w:bCs/>
                <w:sz w:val="18"/>
                <w:szCs w:val="18"/>
                <w:lang w:val="en-US" w:eastAsia="zh-CN"/>
              </w:rPr>
              <w:t>堆</w:t>
            </w:r>
            <w:r>
              <w:rPr>
                <w:rFonts w:hint="default" w:ascii="Times New Roman" w:hAnsi="Times New Roman" w:eastAsia="宋体" w:cs="Times New Roman"/>
                <w:b w:val="0"/>
                <w:bCs/>
                <w:sz w:val="18"/>
                <w:szCs w:val="18"/>
              </w:rPr>
              <w:t>场作为废石加工场使用。</w:t>
            </w:r>
          </w:p>
          <w:p w14:paraId="5E9E2EE5">
            <w:pPr>
              <w:pStyle w:val="47"/>
              <w:spacing w:line="240" w:lineRule="auto"/>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w:t>
            </w:r>
            <w:r>
              <w:rPr>
                <w:rFonts w:hint="default" w:ascii="Times New Roman" w:hAnsi="Times New Roman" w:eastAsia="宋体" w:cs="Times New Roman"/>
                <w:b w:val="0"/>
                <w:bCs/>
                <w:sz w:val="18"/>
                <w:szCs w:val="18"/>
                <w:lang w:val="en-US" w:eastAsia="zh-CN"/>
              </w:rPr>
              <w:t>堆</w:t>
            </w:r>
            <w:r>
              <w:rPr>
                <w:rFonts w:hint="default" w:ascii="Times New Roman" w:hAnsi="Times New Roman" w:eastAsia="宋体" w:cs="Times New Roman"/>
                <w:b w:val="0"/>
                <w:bCs/>
                <w:sz w:val="18"/>
                <w:szCs w:val="18"/>
              </w:rPr>
              <w:t>场顶底标高：18</w:t>
            </w:r>
            <w:r>
              <w:rPr>
                <w:rFonts w:hint="default" w:ascii="Times New Roman" w:hAnsi="Times New Roman" w:eastAsia="宋体" w:cs="Times New Roman"/>
                <w:b w:val="0"/>
                <w:bCs/>
                <w:sz w:val="18"/>
                <w:szCs w:val="18"/>
                <w:lang w:val="en-US" w:eastAsia="zh-CN"/>
              </w:rPr>
              <w:t>74</w:t>
            </w:r>
            <w:r>
              <w:rPr>
                <w:rFonts w:hint="default" w:ascii="Times New Roman" w:hAnsi="Times New Roman" w:eastAsia="宋体" w:cs="Times New Roman"/>
                <w:b w:val="0"/>
                <w:bCs/>
                <w:sz w:val="18"/>
                <w:szCs w:val="18"/>
              </w:rPr>
              <w:t>m</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lang w:val="en-US" w:eastAsia="zh-CN"/>
              </w:rPr>
              <w:t>1845.5</w:t>
            </w:r>
            <w:r>
              <w:rPr>
                <w:rFonts w:hint="default" w:ascii="Times New Roman" w:hAnsi="Times New Roman" w:eastAsia="宋体" w:cs="Times New Roman"/>
                <w:b w:val="0"/>
                <w:bCs/>
                <w:sz w:val="18"/>
                <w:szCs w:val="18"/>
              </w:rPr>
              <w:t>m。目前堆存：</w:t>
            </w:r>
            <w:r>
              <w:rPr>
                <w:rFonts w:hint="default" w:ascii="Times New Roman" w:hAnsi="Times New Roman" w:eastAsia="宋体" w:cs="Times New Roman"/>
                <w:b w:val="0"/>
                <w:bCs/>
                <w:sz w:val="18"/>
                <w:szCs w:val="18"/>
                <w:lang w:val="en-US" w:eastAsia="zh-CN"/>
              </w:rPr>
              <w:t>原矿5</w:t>
            </w:r>
            <w:r>
              <w:rPr>
                <w:rFonts w:hint="default" w:ascii="Times New Roman" w:hAnsi="Times New Roman" w:eastAsia="宋体" w:cs="Times New Roman"/>
                <w:b w:val="0"/>
                <w:bCs/>
                <w:sz w:val="18"/>
                <w:szCs w:val="18"/>
              </w:rPr>
              <w:t>万t；</w:t>
            </w:r>
            <w:r>
              <w:rPr>
                <w:rFonts w:hint="default" w:ascii="Times New Roman" w:hAnsi="Times New Roman" w:eastAsia="宋体" w:cs="Times New Roman"/>
                <w:b w:val="0"/>
                <w:bCs/>
                <w:sz w:val="18"/>
                <w:szCs w:val="18"/>
                <w:lang w:val="en-US" w:eastAsia="zh-CN"/>
              </w:rPr>
              <w:t>合格碎石料2万吨</w:t>
            </w:r>
            <w:r>
              <w:rPr>
                <w:rFonts w:hint="default" w:ascii="Times New Roman" w:hAnsi="Times New Roman" w:eastAsia="宋体" w:cs="Times New Roman"/>
                <w:b w:val="0"/>
                <w:bCs/>
                <w:sz w:val="18"/>
                <w:szCs w:val="18"/>
              </w:rPr>
              <w:t>。</w:t>
            </w:r>
          </w:p>
          <w:p w14:paraId="00E10C96">
            <w:pPr>
              <w:pStyle w:val="47"/>
              <w:spacing w:line="240" w:lineRule="auto"/>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2#料场顶底标高：17</w:t>
            </w:r>
            <w:r>
              <w:rPr>
                <w:rFonts w:hint="default" w:ascii="Times New Roman" w:hAnsi="Times New Roman" w:eastAsia="宋体" w:cs="Times New Roman"/>
                <w:b w:val="0"/>
                <w:bCs/>
                <w:sz w:val="18"/>
                <w:szCs w:val="18"/>
                <w:lang w:val="en-US" w:eastAsia="zh-CN"/>
              </w:rPr>
              <w:t>84</w:t>
            </w:r>
            <w:r>
              <w:rPr>
                <w:rFonts w:hint="default" w:ascii="Times New Roman" w:hAnsi="Times New Roman" w:eastAsia="宋体" w:cs="Times New Roman"/>
                <w:b w:val="0"/>
                <w:bCs/>
                <w:sz w:val="18"/>
                <w:szCs w:val="18"/>
              </w:rPr>
              <w:t>m</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rPr>
              <w:t>1</w:t>
            </w:r>
            <w:r>
              <w:rPr>
                <w:rFonts w:hint="default" w:ascii="Times New Roman" w:hAnsi="Times New Roman" w:eastAsia="宋体" w:cs="Times New Roman"/>
                <w:b w:val="0"/>
                <w:bCs/>
                <w:sz w:val="18"/>
                <w:szCs w:val="18"/>
                <w:lang w:val="en-US" w:eastAsia="zh-CN"/>
              </w:rPr>
              <w:t>760</w:t>
            </w:r>
            <w:r>
              <w:rPr>
                <w:rFonts w:hint="default" w:ascii="Times New Roman" w:hAnsi="Times New Roman" w:eastAsia="宋体" w:cs="Times New Roman"/>
                <w:b w:val="0"/>
                <w:bCs/>
                <w:sz w:val="18"/>
                <w:szCs w:val="18"/>
              </w:rPr>
              <w:t>m。目前作为废石加工和产品堆存场。</w:t>
            </w:r>
          </w:p>
          <w:p w14:paraId="7EBEBDE3">
            <w:pPr>
              <w:pStyle w:val="47"/>
              <w:spacing w:line="240" w:lineRule="auto"/>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4#料场顶底标高：18</w:t>
            </w:r>
            <w:r>
              <w:rPr>
                <w:rFonts w:hint="default" w:ascii="Times New Roman" w:hAnsi="Times New Roman" w:eastAsia="宋体" w:cs="Times New Roman"/>
                <w:b w:val="0"/>
                <w:bCs/>
                <w:sz w:val="18"/>
                <w:szCs w:val="18"/>
                <w:lang w:val="en-US" w:eastAsia="zh-CN"/>
              </w:rPr>
              <w:t>49</w:t>
            </w:r>
            <w:r>
              <w:rPr>
                <w:rFonts w:hint="default" w:ascii="Times New Roman" w:hAnsi="Times New Roman" w:eastAsia="宋体" w:cs="Times New Roman"/>
                <w:b w:val="0"/>
                <w:bCs/>
                <w:sz w:val="18"/>
                <w:szCs w:val="18"/>
              </w:rPr>
              <w:t>m</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rPr>
              <w:t>1833m。目前堆存</w:t>
            </w:r>
            <w:r>
              <w:rPr>
                <w:rFonts w:hint="default" w:ascii="Times New Roman" w:hAnsi="Times New Roman" w:eastAsia="宋体" w:cs="Times New Roman"/>
                <w:b w:val="0"/>
                <w:bCs/>
                <w:sz w:val="18"/>
                <w:szCs w:val="18"/>
                <w:lang w:val="en-US" w:eastAsia="zh-CN"/>
              </w:rPr>
              <w:t>原矿</w:t>
            </w:r>
            <w:r>
              <w:rPr>
                <w:rFonts w:hint="default" w:ascii="Times New Roman" w:hAnsi="Times New Roman" w:eastAsia="宋体" w:cs="Times New Roman"/>
                <w:b w:val="0"/>
                <w:bCs/>
                <w:sz w:val="18"/>
                <w:szCs w:val="18"/>
              </w:rPr>
              <w:t>2万t。</w:t>
            </w:r>
          </w:p>
          <w:p w14:paraId="034FB074">
            <w:pPr>
              <w:pStyle w:val="47"/>
              <w:spacing w:line="240" w:lineRule="auto"/>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6#料场顶底标高：17</w:t>
            </w:r>
            <w:r>
              <w:rPr>
                <w:rFonts w:hint="default" w:ascii="Times New Roman" w:hAnsi="Times New Roman" w:eastAsia="宋体" w:cs="Times New Roman"/>
                <w:b w:val="0"/>
                <w:bCs/>
                <w:sz w:val="18"/>
                <w:szCs w:val="18"/>
                <w:lang w:val="en-US" w:eastAsia="zh-CN"/>
              </w:rPr>
              <w:t>7</w:t>
            </w:r>
            <w:r>
              <w:rPr>
                <w:rFonts w:hint="default" w:ascii="Times New Roman" w:hAnsi="Times New Roman" w:eastAsia="宋体" w:cs="Times New Roman"/>
                <w:b w:val="0"/>
                <w:bCs/>
                <w:sz w:val="18"/>
                <w:szCs w:val="18"/>
              </w:rPr>
              <w:t>5m</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rPr>
              <w:t>17</w:t>
            </w:r>
            <w:r>
              <w:rPr>
                <w:rFonts w:hint="default" w:ascii="Times New Roman" w:hAnsi="Times New Roman" w:eastAsia="宋体" w:cs="Times New Roman"/>
                <w:b w:val="0"/>
                <w:bCs/>
                <w:sz w:val="18"/>
                <w:szCs w:val="18"/>
                <w:lang w:val="en-US" w:eastAsia="zh-CN"/>
              </w:rPr>
              <w:t>65</w:t>
            </w:r>
            <w:r>
              <w:rPr>
                <w:rFonts w:hint="default" w:ascii="Times New Roman" w:hAnsi="Times New Roman" w:eastAsia="宋体" w:cs="Times New Roman"/>
                <w:b w:val="0"/>
                <w:bCs/>
                <w:sz w:val="18"/>
                <w:szCs w:val="18"/>
              </w:rPr>
              <w:t>m。目前堆存</w:t>
            </w:r>
            <w:r>
              <w:rPr>
                <w:rFonts w:hint="default" w:ascii="Times New Roman" w:hAnsi="Times New Roman" w:eastAsia="宋体" w:cs="Times New Roman"/>
                <w:b w:val="0"/>
                <w:bCs/>
                <w:sz w:val="18"/>
                <w:szCs w:val="18"/>
                <w:lang w:val="en-US" w:eastAsia="zh-CN"/>
              </w:rPr>
              <w:t>原</w:t>
            </w:r>
            <w:r>
              <w:rPr>
                <w:rFonts w:hint="default" w:ascii="Times New Roman" w:hAnsi="Times New Roman" w:eastAsia="宋体" w:cs="Times New Roman"/>
                <w:b w:val="0"/>
                <w:bCs/>
                <w:sz w:val="18"/>
                <w:szCs w:val="18"/>
              </w:rPr>
              <w:t>矿20万t。</w:t>
            </w:r>
          </w:p>
        </w:tc>
      </w:tr>
      <w:tr w14:paraId="6A725B2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continue"/>
            <w:tcBorders>
              <w:tl2br w:val="nil"/>
              <w:tr2bl w:val="nil"/>
            </w:tcBorders>
            <w:noWrap w:val="0"/>
            <w:vAlign w:val="center"/>
          </w:tcPr>
          <w:p w14:paraId="4F82B334">
            <w:pPr>
              <w:pStyle w:val="47"/>
              <w:spacing w:line="240" w:lineRule="auto"/>
              <w:rPr>
                <w:rFonts w:hint="default" w:ascii="Times New Roman" w:hAnsi="Times New Roman" w:eastAsia="宋体" w:cs="Times New Roman"/>
                <w:b w:val="0"/>
                <w:bCs/>
                <w:sz w:val="18"/>
                <w:szCs w:val="18"/>
              </w:rPr>
            </w:pPr>
          </w:p>
        </w:tc>
        <w:tc>
          <w:tcPr>
            <w:tcW w:w="731" w:type="pct"/>
            <w:tcBorders>
              <w:tl2br w:val="nil"/>
              <w:tr2bl w:val="nil"/>
            </w:tcBorders>
            <w:noWrap w:val="0"/>
            <w:vAlign w:val="center"/>
          </w:tcPr>
          <w:p w14:paraId="3E55E79D">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废石加工场</w:t>
            </w:r>
          </w:p>
        </w:tc>
        <w:tc>
          <w:tcPr>
            <w:tcW w:w="3440" w:type="pct"/>
            <w:tcBorders>
              <w:tl2br w:val="nil"/>
              <w:tr2bl w:val="nil"/>
            </w:tcBorders>
            <w:noWrap w:val="0"/>
            <w:vAlign w:val="center"/>
          </w:tcPr>
          <w:p w14:paraId="30E03A4D">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设有废石加工场一个，位于北排土场西侧原2号原矿堆场。</w:t>
            </w:r>
          </w:p>
          <w:p w14:paraId="673C7695">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废石加工场生产规模为1000m</w:t>
            </w:r>
            <w:r>
              <w:rPr>
                <w:rFonts w:hint="default" w:ascii="Times New Roman" w:hAnsi="Times New Roman" w:eastAsia="宋体" w:cs="Times New Roman"/>
                <w:b w:val="0"/>
                <w:bCs/>
                <w:sz w:val="18"/>
                <w:szCs w:val="18"/>
                <w:vertAlign w:val="superscript"/>
              </w:rPr>
              <w:t>3</w:t>
            </w:r>
            <w:r>
              <w:rPr>
                <w:rFonts w:hint="default" w:ascii="Times New Roman" w:hAnsi="Times New Roman" w:eastAsia="宋体" w:cs="Times New Roman"/>
                <w:b w:val="0"/>
                <w:bCs/>
                <w:sz w:val="18"/>
                <w:szCs w:val="18"/>
              </w:rPr>
              <w:t>/d（2620t/d）</w:t>
            </w:r>
            <w:r>
              <w:rPr>
                <w:rFonts w:hint="default" w:ascii="Times New Roman" w:hAnsi="Times New Roman" w:eastAsia="宋体" w:cs="Times New Roman"/>
                <w:b w:val="0"/>
                <w:bCs/>
                <w:color w:val="auto"/>
                <w:sz w:val="18"/>
                <w:szCs w:val="18"/>
              </w:rPr>
              <w:t>，目前主要对排土场废石</w:t>
            </w:r>
            <w:r>
              <w:rPr>
                <w:rFonts w:hint="default" w:ascii="Times New Roman" w:hAnsi="Times New Roman" w:eastAsia="宋体" w:cs="Times New Roman"/>
                <w:b w:val="0"/>
                <w:bCs/>
                <w:color w:val="auto"/>
                <w:sz w:val="18"/>
                <w:szCs w:val="18"/>
                <w:lang w:val="en-US" w:eastAsia="zh-CN"/>
              </w:rPr>
              <w:t>及6号料场部分低品位矿石</w:t>
            </w:r>
            <w:r>
              <w:rPr>
                <w:rFonts w:hint="default" w:ascii="Times New Roman" w:hAnsi="Times New Roman" w:eastAsia="宋体" w:cs="Times New Roman"/>
                <w:b w:val="0"/>
                <w:bCs/>
                <w:color w:val="auto"/>
                <w:sz w:val="18"/>
                <w:szCs w:val="18"/>
              </w:rPr>
              <w:t>进行加工，产品规格为四种</w:t>
            </w:r>
            <w:r>
              <w:rPr>
                <w:rFonts w:hint="default" w:ascii="Times New Roman" w:hAnsi="Times New Roman" w:eastAsia="宋体" w:cs="Times New Roman"/>
                <w:b w:val="0"/>
                <w:bCs/>
                <w:sz w:val="18"/>
                <w:szCs w:val="18"/>
              </w:rPr>
              <w:t>：</w:t>
            </w:r>
          </w:p>
          <w:p w14:paraId="65B06F02">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1#料：20</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rPr>
              <w:t>32mm；2#料：10</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rPr>
              <w:t>20mm；3#料：5</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rPr>
              <w:t>10mm；4#料：0-5mm。</w:t>
            </w:r>
          </w:p>
          <w:p w14:paraId="6AB74968">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产品主要销往扬武、化念、大开门和新平等地，作为修筑高速公路和铁路以及建筑用石料。</w:t>
            </w:r>
          </w:p>
        </w:tc>
      </w:tr>
      <w:tr w14:paraId="2EF2084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continue"/>
            <w:tcBorders>
              <w:tl2br w:val="nil"/>
              <w:tr2bl w:val="nil"/>
            </w:tcBorders>
            <w:noWrap w:val="0"/>
            <w:vAlign w:val="center"/>
          </w:tcPr>
          <w:p w14:paraId="02D25437">
            <w:pPr>
              <w:pStyle w:val="47"/>
              <w:spacing w:line="240" w:lineRule="auto"/>
              <w:rPr>
                <w:rFonts w:hint="default" w:ascii="Times New Roman" w:hAnsi="Times New Roman" w:eastAsia="宋体" w:cs="Times New Roman"/>
                <w:b w:val="0"/>
                <w:bCs/>
                <w:sz w:val="18"/>
                <w:szCs w:val="18"/>
              </w:rPr>
            </w:pPr>
          </w:p>
        </w:tc>
        <w:tc>
          <w:tcPr>
            <w:tcW w:w="731" w:type="pct"/>
            <w:tcBorders>
              <w:tl2br w:val="nil"/>
              <w:tr2bl w:val="nil"/>
            </w:tcBorders>
            <w:noWrap w:val="0"/>
            <w:vAlign w:val="center"/>
          </w:tcPr>
          <w:p w14:paraId="70F95554">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排土场</w:t>
            </w:r>
          </w:p>
        </w:tc>
        <w:tc>
          <w:tcPr>
            <w:tcW w:w="3440" w:type="pct"/>
            <w:tcBorders>
              <w:tl2br w:val="nil"/>
              <w:tr2bl w:val="nil"/>
            </w:tcBorders>
            <w:noWrap w:val="0"/>
            <w:vAlign w:val="center"/>
          </w:tcPr>
          <w:p w14:paraId="26B9718C">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原露天开采时，设有南北两个排土场，用于处理露天开采时的排土。露天开采矿石量686万t，露天开采外排土量4300万m</w:t>
            </w:r>
            <w:r>
              <w:rPr>
                <w:rFonts w:hint="default" w:ascii="Times New Roman" w:hAnsi="Times New Roman" w:eastAsia="宋体" w:cs="Times New Roman"/>
                <w:b w:val="0"/>
                <w:bCs/>
                <w:sz w:val="18"/>
                <w:szCs w:val="18"/>
                <w:vertAlign w:val="superscript"/>
              </w:rPr>
              <w:t>3</w:t>
            </w:r>
            <w:r>
              <w:rPr>
                <w:rFonts w:hint="default" w:ascii="Times New Roman" w:hAnsi="Times New Roman" w:eastAsia="宋体" w:cs="Times New Roman"/>
                <w:b w:val="0"/>
                <w:bCs/>
                <w:sz w:val="18"/>
                <w:szCs w:val="18"/>
              </w:rPr>
              <w:t>，分别堆存在南、北排土场。</w:t>
            </w:r>
          </w:p>
          <w:p w14:paraId="2377C311">
            <w:pPr>
              <w:pStyle w:val="47"/>
              <w:spacing w:line="240" w:lineRule="auto"/>
              <w:jc w:val="left"/>
              <w:rPr>
                <w:rFonts w:hint="default"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rPr>
              <w:t>南排土场情况简介：</w:t>
            </w:r>
            <w:r>
              <w:rPr>
                <w:rFonts w:hint="default" w:ascii="Times New Roman" w:hAnsi="Times New Roman" w:eastAsia="宋体" w:cs="Times New Roman"/>
                <w:b w:val="0"/>
                <w:bCs/>
                <w:sz w:val="18"/>
                <w:szCs w:val="18"/>
                <w:lang w:val="en-US" w:eastAsia="zh-CN"/>
              </w:rPr>
              <w:t>下部已经设置四座拦渣坝，</w:t>
            </w:r>
            <w:r>
              <w:rPr>
                <w:rFonts w:hint="default" w:ascii="Times New Roman" w:hAnsi="Times New Roman" w:eastAsia="宋体" w:cs="Times New Roman"/>
                <w:b w:val="0"/>
                <w:bCs/>
                <w:sz w:val="18"/>
                <w:szCs w:val="18"/>
              </w:rPr>
              <w:t>南排土场库容15万m</w:t>
            </w:r>
            <w:r>
              <w:rPr>
                <w:rFonts w:hint="default" w:ascii="Times New Roman" w:hAnsi="Times New Roman" w:eastAsia="宋体" w:cs="Times New Roman"/>
                <w:b w:val="0"/>
                <w:bCs/>
                <w:sz w:val="18"/>
                <w:szCs w:val="18"/>
                <w:vertAlign w:val="superscript"/>
              </w:rPr>
              <w:t>3</w:t>
            </w:r>
            <w:r>
              <w:rPr>
                <w:rFonts w:hint="default" w:ascii="Times New Roman" w:hAnsi="Times New Roman" w:eastAsia="宋体" w:cs="Times New Roman"/>
                <w:b w:val="0"/>
                <w:bCs/>
                <w:sz w:val="18"/>
                <w:szCs w:val="18"/>
              </w:rPr>
              <w:t>，已用5.3万m</w:t>
            </w:r>
            <w:r>
              <w:rPr>
                <w:rFonts w:hint="default" w:ascii="Times New Roman" w:hAnsi="Times New Roman" w:eastAsia="宋体" w:cs="Times New Roman"/>
                <w:b w:val="0"/>
                <w:bCs/>
                <w:sz w:val="18"/>
                <w:szCs w:val="18"/>
                <w:vertAlign w:val="superscript"/>
              </w:rPr>
              <w:t>3</w:t>
            </w:r>
            <w:r>
              <w:rPr>
                <w:rFonts w:hint="default" w:ascii="Times New Roman" w:hAnsi="Times New Roman" w:eastAsia="宋体" w:cs="Times New Roman"/>
                <w:b w:val="0"/>
                <w:bCs/>
                <w:sz w:val="18"/>
                <w:szCs w:val="18"/>
              </w:rPr>
              <w:t>，剩余库容约9.7万m</w:t>
            </w:r>
            <w:r>
              <w:rPr>
                <w:rFonts w:hint="default" w:ascii="Times New Roman" w:hAnsi="Times New Roman" w:eastAsia="宋体" w:cs="Times New Roman"/>
                <w:b w:val="0"/>
                <w:bCs/>
                <w:sz w:val="18"/>
                <w:szCs w:val="18"/>
                <w:vertAlign w:val="superscript"/>
              </w:rPr>
              <w:t>3</w:t>
            </w:r>
            <w:r>
              <w:rPr>
                <w:rFonts w:hint="default" w:ascii="Times New Roman" w:hAnsi="Times New Roman" w:eastAsia="宋体" w:cs="Times New Roman"/>
                <w:b w:val="0"/>
                <w:bCs/>
                <w:sz w:val="18"/>
                <w:szCs w:val="18"/>
              </w:rPr>
              <w:t>。</w:t>
            </w:r>
            <w:r>
              <w:rPr>
                <w:rFonts w:hint="default" w:ascii="Times New Roman" w:hAnsi="Times New Roman" w:eastAsia="宋体" w:cs="Times New Roman"/>
                <w:b w:val="0"/>
                <w:bCs/>
                <w:sz w:val="18"/>
                <w:szCs w:val="18"/>
                <w:lang w:val="en-US" w:eastAsia="zh-CN"/>
              </w:rPr>
              <w:t>原露天排放的废石堆场，从排放至今已有34年，排土场已经稳定，表面基本自然复绿；</w:t>
            </w:r>
            <w:r>
              <w:rPr>
                <w:rFonts w:hint="default" w:ascii="Times New Roman" w:hAnsi="Times New Roman" w:eastAsia="宋体" w:cs="Times New Roman"/>
                <w:b w:val="0"/>
                <w:bCs/>
                <w:sz w:val="18"/>
                <w:szCs w:val="18"/>
              </w:rPr>
              <w:t>本项目开采产生的</w:t>
            </w:r>
            <w:r>
              <w:rPr>
                <w:rFonts w:hint="default" w:ascii="Times New Roman" w:hAnsi="Times New Roman" w:eastAsia="宋体" w:cs="Times New Roman"/>
                <w:b w:val="0"/>
                <w:bCs/>
                <w:sz w:val="18"/>
                <w:szCs w:val="18"/>
                <w:lang w:val="en-US" w:eastAsia="zh-CN"/>
              </w:rPr>
              <w:t>废石排放</w:t>
            </w:r>
            <w:r>
              <w:rPr>
                <w:rFonts w:hint="default" w:ascii="Times New Roman" w:hAnsi="Times New Roman" w:eastAsia="宋体" w:cs="Times New Roman"/>
                <w:b w:val="0"/>
                <w:bCs/>
                <w:sz w:val="18"/>
                <w:szCs w:val="18"/>
              </w:rPr>
              <w:t>各个硐口的废石场，</w:t>
            </w:r>
            <w:r>
              <w:rPr>
                <w:rFonts w:hint="default" w:ascii="Times New Roman" w:hAnsi="Times New Roman" w:eastAsia="宋体" w:cs="Times New Roman"/>
                <w:b w:val="0"/>
                <w:bCs/>
                <w:sz w:val="18"/>
                <w:szCs w:val="18"/>
                <w:lang w:val="en-US" w:eastAsia="zh-CN"/>
              </w:rPr>
              <w:t xml:space="preserve">排放的废石大部分已经被取用，排土场取石后进行削坡分级、覆土复绿、修建截排水沟，整个南部排土场运行安全良好。 </w:t>
            </w:r>
          </w:p>
          <w:p w14:paraId="470EDADE">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北排土场情况简介：北排土场</w:t>
            </w:r>
            <w:r>
              <w:rPr>
                <w:rFonts w:hint="default" w:ascii="Times New Roman" w:hAnsi="Times New Roman" w:eastAsia="宋体" w:cs="Times New Roman"/>
                <w:b w:val="0"/>
                <w:bCs/>
                <w:sz w:val="18"/>
                <w:szCs w:val="18"/>
                <w:lang w:val="en-US" w:eastAsia="zh-CN"/>
              </w:rPr>
              <w:t>2013年</w:t>
            </w:r>
            <w:r>
              <w:rPr>
                <w:rFonts w:hint="default" w:ascii="Times New Roman" w:hAnsi="Times New Roman" w:eastAsia="宋体" w:cs="Times New Roman"/>
                <w:b w:val="0"/>
                <w:bCs/>
                <w:sz w:val="18"/>
                <w:szCs w:val="18"/>
              </w:rPr>
              <w:t>停止</w:t>
            </w:r>
            <w:r>
              <w:rPr>
                <w:rFonts w:hint="default" w:ascii="Times New Roman" w:hAnsi="Times New Roman" w:eastAsia="宋体" w:cs="Times New Roman"/>
                <w:b w:val="0"/>
                <w:bCs/>
                <w:sz w:val="18"/>
                <w:szCs w:val="18"/>
                <w:lang w:val="en-US" w:eastAsia="zh-CN"/>
              </w:rPr>
              <w:t>排放</w:t>
            </w:r>
            <w:r>
              <w:rPr>
                <w:rFonts w:hint="default" w:ascii="Times New Roman" w:hAnsi="Times New Roman" w:eastAsia="宋体" w:cs="Times New Roman"/>
                <w:b w:val="0"/>
                <w:bCs/>
                <w:sz w:val="18"/>
                <w:szCs w:val="18"/>
              </w:rPr>
              <w:t>。北排土场库容8.75万m</w:t>
            </w:r>
            <w:r>
              <w:rPr>
                <w:rFonts w:hint="default" w:ascii="Times New Roman" w:hAnsi="Times New Roman" w:eastAsia="宋体" w:cs="Times New Roman"/>
                <w:b w:val="0"/>
                <w:bCs/>
                <w:sz w:val="18"/>
                <w:szCs w:val="18"/>
                <w:vertAlign w:val="superscript"/>
              </w:rPr>
              <w:t>3</w:t>
            </w:r>
            <w:r>
              <w:rPr>
                <w:rFonts w:hint="default" w:ascii="Times New Roman" w:hAnsi="Times New Roman" w:eastAsia="宋体" w:cs="Times New Roman"/>
                <w:b w:val="0"/>
                <w:bCs/>
                <w:sz w:val="18"/>
                <w:szCs w:val="18"/>
              </w:rPr>
              <w:t>，已用7.5万m</w:t>
            </w:r>
            <w:r>
              <w:rPr>
                <w:rFonts w:hint="default" w:ascii="Times New Roman" w:hAnsi="Times New Roman" w:eastAsia="宋体" w:cs="Times New Roman"/>
                <w:b w:val="0"/>
                <w:bCs/>
                <w:sz w:val="18"/>
                <w:szCs w:val="18"/>
                <w:vertAlign w:val="superscript"/>
              </w:rPr>
              <w:t>3</w:t>
            </w:r>
            <w:r>
              <w:rPr>
                <w:rFonts w:hint="default" w:ascii="Times New Roman" w:hAnsi="Times New Roman" w:eastAsia="宋体" w:cs="Times New Roman"/>
                <w:b w:val="0"/>
                <w:bCs/>
                <w:sz w:val="18"/>
                <w:szCs w:val="18"/>
              </w:rPr>
              <w:t>，剩余库容约1.25万m</w:t>
            </w:r>
            <w:r>
              <w:rPr>
                <w:rFonts w:hint="default" w:ascii="Times New Roman" w:hAnsi="Times New Roman" w:eastAsia="宋体" w:cs="Times New Roman"/>
                <w:b w:val="0"/>
                <w:bCs/>
                <w:sz w:val="18"/>
                <w:szCs w:val="18"/>
                <w:vertAlign w:val="superscript"/>
              </w:rPr>
              <w:t>3</w:t>
            </w:r>
            <w:r>
              <w:rPr>
                <w:rFonts w:hint="default" w:ascii="Times New Roman" w:hAnsi="Times New Roman" w:eastAsia="宋体" w:cs="Times New Roman"/>
                <w:b w:val="0"/>
                <w:bCs/>
                <w:sz w:val="18"/>
                <w:szCs w:val="18"/>
              </w:rPr>
              <w:t>。</w:t>
            </w:r>
            <w:r>
              <w:rPr>
                <w:rFonts w:hint="default" w:ascii="Times New Roman" w:hAnsi="Times New Roman" w:eastAsia="宋体" w:cs="Times New Roman"/>
                <w:b w:val="0"/>
                <w:bCs/>
                <w:sz w:val="18"/>
                <w:szCs w:val="18"/>
                <w:lang w:val="en-US" w:eastAsia="zh-CN"/>
              </w:rPr>
              <w:t>北部排土场上部及下部大部分已经自然修复，效果良好；没有使用的部分正在进行</w:t>
            </w:r>
            <w:r>
              <w:rPr>
                <w:rFonts w:hint="default" w:ascii="Times New Roman" w:hAnsi="Times New Roman" w:eastAsia="宋体" w:cs="Times New Roman"/>
                <w:b w:val="0"/>
                <w:bCs/>
                <w:sz w:val="18"/>
                <w:szCs w:val="18"/>
              </w:rPr>
              <w:t>恢复治理</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lang w:val="en-US" w:eastAsia="zh-CN"/>
              </w:rPr>
              <w:t>顶</w:t>
            </w:r>
            <w:r>
              <w:rPr>
                <w:rFonts w:hint="default" w:ascii="Times New Roman" w:hAnsi="Times New Roman" w:eastAsia="宋体" w:cs="Times New Roman"/>
                <w:b w:val="0"/>
                <w:bCs/>
                <w:sz w:val="18"/>
                <w:szCs w:val="18"/>
              </w:rPr>
              <w:t>部设有截洪沟，下设</w:t>
            </w:r>
            <w:r>
              <w:rPr>
                <w:rFonts w:hint="default" w:ascii="Times New Roman" w:hAnsi="Times New Roman" w:eastAsia="宋体" w:cs="Times New Roman"/>
                <w:b w:val="0"/>
                <w:bCs/>
                <w:sz w:val="18"/>
                <w:szCs w:val="18"/>
                <w:lang w:val="en-US" w:eastAsia="zh-CN"/>
              </w:rPr>
              <w:t>四座</w:t>
            </w:r>
            <w:r>
              <w:rPr>
                <w:rFonts w:hint="default" w:ascii="Times New Roman" w:hAnsi="Times New Roman" w:eastAsia="宋体" w:cs="Times New Roman"/>
                <w:b w:val="0"/>
                <w:bCs/>
                <w:sz w:val="18"/>
                <w:szCs w:val="18"/>
              </w:rPr>
              <w:t>拦渣坝。</w:t>
            </w:r>
          </w:p>
        </w:tc>
      </w:tr>
      <w:tr w14:paraId="6928339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restart"/>
            <w:tcBorders>
              <w:tl2br w:val="nil"/>
              <w:tr2bl w:val="nil"/>
            </w:tcBorders>
            <w:noWrap w:val="0"/>
            <w:vAlign w:val="center"/>
          </w:tcPr>
          <w:p w14:paraId="332D4A4D">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辅助工程</w:t>
            </w:r>
          </w:p>
        </w:tc>
        <w:tc>
          <w:tcPr>
            <w:tcW w:w="731" w:type="pct"/>
            <w:tcBorders>
              <w:tl2br w:val="nil"/>
              <w:tr2bl w:val="nil"/>
            </w:tcBorders>
            <w:noWrap w:val="0"/>
            <w:vAlign w:val="center"/>
          </w:tcPr>
          <w:p w14:paraId="5E5080D1">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矿区道路</w:t>
            </w:r>
          </w:p>
        </w:tc>
        <w:tc>
          <w:tcPr>
            <w:tcW w:w="3440" w:type="pct"/>
            <w:tcBorders>
              <w:tl2br w:val="nil"/>
              <w:tr2bl w:val="nil"/>
            </w:tcBorders>
            <w:noWrap w:val="0"/>
            <w:vAlign w:val="center"/>
          </w:tcPr>
          <w:p w14:paraId="558E82FC">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各采场设置运输便道，为土石路面。</w:t>
            </w:r>
          </w:p>
        </w:tc>
      </w:tr>
      <w:tr w14:paraId="4EDAD65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continue"/>
            <w:tcBorders>
              <w:tl2br w:val="nil"/>
              <w:tr2bl w:val="nil"/>
            </w:tcBorders>
            <w:noWrap w:val="0"/>
            <w:vAlign w:val="center"/>
          </w:tcPr>
          <w:p w14:paraId="4CF47C2B">
            <w:pPr>
              <w:pStyle w:val="47"/>
              <w:spacing w:line="240" w:lineRule="auto"/>
              <w:rPr>
                <w:rFonts w:hint="default" w:ascii="Times New Roman" w:hAnsi="Times New Roman" w:eastAsia="宋体" w:cs="Times New Roman"/>
                <w:b w:val="0"/>
                <w:bCs/>
                <w:sz w:val="18"/>
                <w:szCs w:val="18"/>
              </w:rPr>
            </w:pPr>
          </w:p>
        </w:tc>
        <w:tc>
          <w:tcPr>
            <w:tcW w:w="731" w:type="pct"/>
            <w:tcBorders>
              <w:tl2br w:val="nil"/>
              <w:tr2bl w:val="nil"/>
            </w:tcBorders>
            <w:noWrap w:val="0"/>
            <w:vAlign w:val="center"/>
          </w:tcPr>
          <w:p w14:paraId="050A781A">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机修场地</w:t>
            </w:r>
          </w:p>
        </w:tc>
        <w:tc>
          <w:tcPr>
            <w:tcW w:w="3440" w:type="pct"/>
            <w:tcBorders>
              <w:tl2br w:val="nil"/>
              <w:tr2bl w:val="nil"/>
            </w:tcBorders>
            <w:noWrap w:val="0"/>
            <w:vAlign w:val="top"/>
          </w:tcPr>
          <w:p w14:paraId="04C5CEC8">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机修车间200m</w:t>
            </w:r>
            <w:r>
              <w:rPr>
                <w:rFonts w:hint="default" w:ascii="Times New Roman" w:hAnsi="Times New Roman" w:eastAsia="宋体" w:cs="Times New Roman"/>
                <w:b w:val="0"/>
                <w:bCs/>
                <w:sz w:val="18"/>
                <w:szCs w:val="18"/>
                <w:vertAlign w:val="superscript"/>
              </w:rPr>
              <w:t>2</w:t>
            </w:r>
            <w:r>
              <w:rPr>
                <w:rFonts w:hint="default" w:ascii="Times New Roman" w:hAnsi="Times New Roman" w:eastAsia="宋体" w:cs="Times New Roman"/>
                <w:b w:val="0"/>
                <w:bCs/>
                <w:sz w:val="18"/>
                <w:szCs w:val="18"/>
              </w:rPr>
              <w:t>，位于矿山西侧，主要负责矿山露天开采的矿用机械日常保养和维护。</w:t>
            </w:r>
          </w:p>
        </w:tc>
      </w:tr>
      <w:tr w14:paraId="02A5F19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continue"/>
            <w:tcBorders>
              <w:tl2br w:val="nil"/>
              <w:tr2bl w:val="nil"/>
            </w:tcBorders>
            <w:noWrap w:val="0"/>
            <w:vAlign w:val="center"/>
          </w:tcPr>
          <w:p w14:paraId="46EB2809">
            <w:pPr>
              <w:pStyle w:val="47"/>
              <w:spacing w:line="240" w:lineRule="auto"/>
              <w:rPr>
                <w:rFonts w:hint="default" w:ascii="Times New Roman" w:hAnsi="Times New Roman" w:eastAsia="宋体" w:cs="Times New Roman"/>
                <w:b w:val="0"/>
                <w:bCs/>
                <w:sz w:val="18"/>
                <w:szCs w:val="18"/>
              </w:rPr>
            </w:pPr>
          </w:p>
        </w:tc>
        <w:tc>
          <w:tcPr>
            <w:tcW w:w="731" w:type="pct"/>
            <w:tcBorders>
              <w:tl2br w:val="nil"/>
              <w:tr2bl w:val="nil"/>
            </w:tcBorders>
            <w:noWrap w:val="0"/>
            <w:vAlign w:val="center"/>
          </w:tcPr>
          <w:p w14:paraId="020F4CBA">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储油和炸药</w:t>
            </w:r>
          </w:p>
        </w:tc>
        <w:tc>
          <w:tcPr>
            <w:tcW w:w="3440" w:type="pct"/>
            <w:tcBorders>
              <w:tl2br w:val="nil"/>
              <w:tr2bl w:val="nil"/>
            </w:tcBorders>
            <w:noWrap w:val="0"/>
            <w:vAlign w:val="top"/>
          </w:tcPr>
          <w:p w14:paraId="5F2BEB50">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本矿山不设置储油区和炸药库，矿山所用机械使用的柴油依托于矿山附近的个体加油站。炸药库依托于新平县民爆公司管理的炸药库，由使用部门制定计划，按需领取。</w:t>
            </w:r>
          </w:p>
        </w:tc>
      </w:tr>
      <w:tr w14:paraId="2E0852A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restart"/>
            <w:tcBorders>
              <w:tl2br w:val="nil"/>
              <w:tr2bl w:val="nil"/>
            </w:tcBorders>
            <w:noWrap w:val="0"/>
            <w:vAlign w:val="center"/>
          </w:tcPr>
          <w:p w14:paraId="1C172FF4">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公用工程</w:t>
            </w:r>
          </w:p>
        </w:tc>
        <w:tc>
          <w:tcPr>
            <w:tcW w:w="731" w:type="pct"/>
            <w:tcBorders>
              <w:tl2br w:val="nil"/>
              <w:tr2bl w:val="nil"/>
            </w:tcBorders>
            <w:noWrap w:val="0"/>
            <w:vAlign w:val="center"/>
          </w:tcPr>
          <w:p w14:paraId="24BD44E6">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办公生活区</w:t>
            </w:r>
          </w:p>
        </w:tc>
        <w:tc>
          <w:tcPr>
            <w:tcW w:w="3440" w:type="pct"/>
            <w:tcBorders>
              <w:tl2br w:val="nil"/>
              <w:tr2bl w:val="nil"/>
            </w:tcBorders>
            <w:noWrap w:val="0"/>
            <w:vAlign w:val="top"/>
          </w:tcPr>
          <w:p w14:paraId="57196540">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设办公室、职工宿舍、食堂及公共浴室。</w:t>
            </w:r>
          </w:p>
        </w:tc>
      </w:tr>
      <w:tr w14:paraId="16ACAED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continue"/>
            <w:tcBorders>
              <w:tl2br w:val="nil"/>
              <w:tr2bl w:val="nil"/>
            </w:tcBorders>
            <w:noWrap w:val="0"/>
            <w:vAlign w:val="center"/>
          </w:tcPr>
          <w:p w14:paraId="0354A77E">
            <w:pPr>
              <w:pStyle w:val="47"/>
              <w:spacing w:line="240" w:lineRule="auto"/>
              <w:rPr>
                <w:rFonts w:hint="default" w:ascii="Times New Roman" w:hAnsi="Times New Roman" w:eastAsia="宋体" w:cs="Times New Roman"/>
                <w:b w:val="0"/>
                <w:bCs/>
                <w:sz w:val="18"/>
                <w:szCs w:val="18"/>
              </w:rPr>
            </w:pPr>
          </w:p>
        </w:tc>
        <w:tc>
          <w:tcPr>
            <w:tcW w:w="731" w:type="pct"/>
            <w:tcBorders>
              <w:tl2br w:val="nil"/>
              <w:tr2bl w:val="nil"/>
            </w:tcBorders>
            <w:noWrap w:val="0"/>
            <w:vAlign w:val="center"/>
          </w:tcPr>
          <w:p w14:paraId="285DA387">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供电</w:t>
            </w:r>
          </w:p>
        </w:tc>
        <w:tc>
          <w:tcPr>
            <w:tcW w:w="3440" w:type="pct"/>
            <w:tcBorders>
              <w:tl2br w:val="nil"/>
              <w:tr2bl w:val="nil"/>
            </w:tcBorders>
            <w:noWrap w:val="0"/>
            <w:vAlign w:val="center"/>
          </w:tcPr>
          <w:p w14:paraId="02673B44">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矿山供电网络为新平县供电电网。</w:t>
            </w:r>
          </w:p>
        </w:tc>
      </w:tr>
      <w:tr w14:paraId="46C7D18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continue"/>
            <w:tcBorders>
              <w:tl2br w:val="nil"/>
              <w:tr2bl w:val="nil"/>
            </w:tcBorders>
            <w:noWrap w:val="0"/>
            <w:vAlign w:val="center"/>
          </w:tcPr>
          <w:p w14:paraId="34E6E822">
            <w:pPr>
              <w:pStyle w:val="47"/>
              <w:spacing w:line="240" w:lineRule="auto"/>
              <w:rPr>
                <w:rFonts w:hint="default" w:ascii="Times New Roman" w:hAnsi="Times New Roman" w:eastAsia="宋体" w:cs="Times New Roman"/>
                <w:b w:val="0"/>
                <w:bCs/>
                <w:sz w:val="18"/>
                <w:szCs w:val="18"/>
              </w:rPr>
            </w:pPr>
          </w:p>
        </w:tc>
        <w:tc>
          <w:tcPr>
            <w:tcW w:w="731" w:type="pct"/>
            <w:tcBorders>
              <w:tl2br w:val="nil"/>
              <w:tr2bl w:val="nil"/>
            </w:tcBorders>
            <w:noWrap w:val="0"/>
            <w:vAlign w:val="center"/>
          </w:tcPr>
          <w:p w14:paraId="1EF6C496">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供水</w:t>
            </w:r>
          </w:p>
        </w:tc>
        <w:tc>
          <w:tcPr>
            <w:tcW w:w="3440" w:type="pct"/>
            <w:tcBorders>
              <w:tl2br w:val="nil"/>
              <w:tr2bl w:val="nil"/>
            </w:tcBorders>
            <w:noWrap w:val="0"/>
            <w:vAlign w:val="center"/>
          </w:tcPr>
          <w:p w14:paraId="6D0D0BBC">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矿山水源由该矿山东侧的新平鲁电矿业有限公司自走铁矿供给，通过管道输送至矿山目前已建成的800m</w:t>
            </w:r>
            <w:r>
              <w:rPr>
                <w:rFonts w:hint="default" w:ascii="Times New Roman" w:hAnsi="Times New Roman" w:eastAsia="宋体" w:cs="Times New Roman"/>
                <w:b w:val="0"/>
                <w:bCs/>
                <w:sz w:val="18"/>
                <w:szCs w:val="18"/>
                <w:vertAlign w:val="superscript"/>
              </w:rPr>
              <w:t>3</w:t>
            </w:r>
            <w:r>
              <w:rPr>
                <w:rFonts w:hint="default" w:ascii="Times New Roman" w:hAnsi="Times New Roman" w:eastAsia="宋体" w:cs="Times New Roman"/>
                <w:b w:val="0"/>
                <w:bCs/>
                <w:sz w:val="18"/>
                <w:szCs w:val="18"/>
              </w:rPr>
              <w:t>水池内。生产用水主要为矿山采矿坑道中的出水、</w:t>
            </w:r>
            <w:r>
              <w:rPr>
                <w:rFonts w:hint="default" w:ascii="Times New Roman" w:hAnsi="Times New Roman" w:eastAsia="宋体" w:cs="Times New Roman"/>
                <w:b w:val="0"/>
                <w:bCs/>
                <w:sz w:val="18"/>
                <w:szCs w:val="18"/>
                <w:lang w:val="en-US" w:eastAsia="zh-CN"/>
              </w:rPr>
              <w:t>采用</w:t>
            </w:r>
            <w:r>
              <w:rPr>
                <w:rFonts w:hint="default" w:ascii="Times New Roman" w:hAnsi="Times New Roman" w:eastAsia="宋体" w:cs="Times New Roman"/>
                <w:b w:val="0"/>
                <w:bCs/>
                <w:sz w:val="18"/>
                <w:szCs w:val="18"/>
              </w:rPr>
              <w:t>水池收集使用。</w:t>
            </w:r>
          </w:p>
        </w:tc>
      </w:tr>
      <w:tr w14:paraId="5AFDB1A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restart"/>
            <w:tcBorders>
              <w:tl2br w:val="nil"/>
              <w:tr2bl w:val="nil"/>
            </w:tcBorders>
            <w:noWrap w:val="0"/>
            <w:vAlign w:val="center"/>
          </w:tcPr>
          <w:p w14:paraId="6DCE0FC8">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环保工程</w:t>
            </w:r>
          </w:p>
        </w:tc>
        <w:tc>
          <w:tcPr>
            <w:tcW w:w="731" w:type="pct"/>
            <w:tcBorders>
              <w:tl2br w:val="nil"/>
              <w:tr2bl w:val="nil"/>
            </w:tcBorders>
            <w:noWrap w:val="0"/>
            <w:vAlign w:val="center"/>
          </w:tcPr>
          <w:p w14:paraId="6DF27F94">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废气治理</w:t>
            </w:r>
          </w:p>
        </w:tc>
        <w:tc>
          <w:tcPr>
            <w:tcW w:w="3440" w:type="pct"/>
            <w:tcBorders>
              <w:tl2br w:val="nil"/>
              <w:tr2bl w:val="nil"/>
            </w:tcBorders>
            <w:noWrap w:val="0"/>
            <w:vAlign w:val="center"/>
          </w:tcPr>
          <w:p w14:paraId="035D4CD0">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地下开采采用湿式凿岩，作业面洒水；加强硐内通风；配置洒水车1辆，对矿区道路及场地洒水。废石场破碎、输送、筛分、堆场采用喷雾降尘处理措施，已设置了6台R40风送式喷雾机对废石场各产尘点源进行喷雾降尘、抑尘。</w:t>
            </w:r>
          </w:p>
        </w:tc>
      </w:tr>
      <w:tr w14:paraId="1E4FBFF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continue"/>
            <w:tcBorders>
              <w:tl2br w:val="nil"/>
              <w:tr2bl w:val="nil"/>
            </w:tcBorders>
            <w:noWrap w:val="0"/>
            <w:vAlign w:val="center"/>
          </w:tcPr>
          <w:p w14:paraId="7F3BE726">
            <w:pPr>
              <w:pStyle w:val="47"/>
              <w:spacing w:line="240" w:lineRule="auto"/>
              <w:rPr>
                <w:rFonts w:hint="default" w:ascii="Times New Roman" w:hAnsi="Times New Roman" w:eastAsia="宋体" w:cs="Times New Roman"/>
                <w:b w:val="0"/>
                <w:bCs/>
                <w:sz w:val="18"/>
                <w:szCs w:val="18"/>
              </w:rPr>
            </w:pPr>
          </w:p>
        </w:tc>
        <w:tc>
          <w:tcPr>
            <w:tcW w:w="731" w:type="pct"/>
            <w:tcBorders>
              <w:tl2br w:val="nil"/>
              <w:tr2bl w:val="nil"/>
            </w:tcBorders>
            <w:noWrap w:val="0"/>
            <w:vAlign w:val="center"/>
          </w:tcPr>
          <w:p w14:paraId="38F81C25">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废水治理</w:t>
            </w:r>
          </w:p>
        </w:tc>
        <w:tc>
          <w:tcPr>
            <w:tcW w:w="3440" w:type="pct"/>
            <w:tcBorders>
              <w:tl2br w:val="nil"/>
              <w:tr2bl w:val="nil"/>
            </w:tcBorders>
            <w:noWrap w:val="0"/>
            <w:vAlign w:val="center"/>
          </w:tcPr>
          <w:p w14:paraId="68141C8F">
            <w:pPr>
              <w:pStyle w:val="47"/>
              <w:spacing w:line="240" w:lineRule="auto"/>
              <w:jc w:val="both"/>
              <w:rPr>
                <w:rFonts w:hint="default" w:ascii="Times New Roman" w:hAnsi="Times New Roman" w:eastAsia="宋体" w:cs="Times New Roman"/>
                <w:b w:val="0"/>
                <w:bCs/>
                <w:sz w:val="18"/>
                <w:szCs w:val="18"/>
                <w:lang w:eastAsia="zh-CN"/>
              </w:rPr>
            </w:pPr>
            <w:r>
              <w:rPr>
                <w:rFonts w:hint="default" w:ascii="Times New Roman" w:hAnsi="Times New Roman" w:eastAsia="宋体" w:cs="Times New Roman"/>
                <w:b w:val="0"/>
                <w:bCs/>
                <w:sz w:val="18"/>
                <w:szCs w:val="18"/>
              </w:rPr>
              <w:t>矿井涌水引入</w:t>
            </w:r>
            <w:r>
              <w:rPr>
                <w:rFonts w:hint="default" w:ascii="Times New Roman" w:hAnsi="Times New Roman" w:eastAsia="宋体" w:cs="Times New Roman"/>
                <w:b w:val="0"/>
                <w:bCs/>
                <w:sz w:val="18"/>
                <w:szCs w:val="18"/>
                <w:lang w:val="en-US" w:eastAsia="zh-CN"/>
              </w:rPr>
              <w:t>1760</w:t>
            </w:r>
            <w:r>
              <w:rPr>
                <w:rFonts w:hint="default" w:ascii="Times New Roman" w:hAnsi="Times New Roman" w:eastAsia="宋体" w:cs="Times New Roman"/>
                <w:b w:val="0"/>
                <w:bCs/>
                <w:sz w:val="18"/>
                <w:szCs w:val="18"/>
              </w:rPr>
              <w:t>中段设置的</w:t>
            </w:r>
            <w:r>
              <w:rPr>
                <w:rFonts w:hint="default" w:ascii="Times New Roman" w:hAnsi="Times New Roman" w:eastAsia="宋体" w:cs="Times New Roman"/>
                <w:b w:val="0"/>
                <w:bCs/>
                <w:sz w:val="18"/>
                <w:szCs w:val="18"/>
                <w:lang w:val="en-US" w:eastAsia="zh-CN"/>
              </w:rPr>
              <w:t>400m³生产水水池</w:t>
            </w:r>
            <w:r>
              <w:rPr>
                <w:rFonts w:hint="default" w:ascii="Times New Roman" w:hAnsi="Times New Roman" w:eastAsia="宋体" w:cs="Times New Roman"/>
                <w:b w:val="0"/>
                <w:bCs/>
                <w:sz w:val="18"/>
                <w:szCs w:val="18"/>
              </w:rPr>
              <w:t>，沉淀后</w:t>
            </w:r>
            <w:r>
              <w:rPr>
                <w:rFonts w:hint="default" w:ascii="Times New Roman" w:hAnsi="Times New Roman" w:eastAsia="宋体" w:cs="Times New Roman"/>
                <w:b w:val="0"/>
                <w:bCs/>
                <w:sz w:val="18"/>
                <w:szCs w:val="18"/>
                <w:lang w:val="en-US" w:eastAsia="zh-CN"/>
              </w:rPr>
              <w:t>供井下生产用水</w:t>
            </w:r>
            <w:r>
              <w:rPr>
                <w:rFonts w:hint="default" w:ascii="Times New Roman" w:hAnsi="Times New Roman" w:eastAsia="宋体" w:cs="Times New Roman"/>
                <w:b w:val="0"/>
                <w:bCs/>
                <w:sz w:val="18"/>
                <w:szCs w:val="18"/>
              </w:rPr>
              <w:t>；在原矿堆场四周挖截洪沟，</w:t>
            </w:r>
            <w:r>
              <w:rPr>
                <w:rFonts w:hint="default" w:ascii="Times New Roman" w:hAnsi="Times New Roman" w:eastAsia="宋体" w:cs="Times New Roman"/>
                <w:b w:val="0"/>
                <w:bCs/>
                <w:sz w:val="18"/>
                <w:szCs w:val="18"/>
                <w:lang w:val="en-US" w:eastAsia="zh-CN"/>
              </w:rPr>
              <w:t>1#、4#</w:t>
            </w:r>
            <w:r>
              <w:rPr>
                <w:rFonts w:hint="default" w:ascii="Times New Roman" w:hAnsi="Times New Roman" w:eastAsia="宋体" w:cs="Times New Roman"/>
                <w:b w:val="0"/>
                <w:bCs/>
                <w:sz w:val="18"/>
                <w:szCs w:val="18"/>
              </w:rPr>
              <w:t>原矿堆场下方各建一个100m</w:t>
            </w:r>
            <w:r>
              <w:rPr>
                <w:rFonts w:hint="default" w:ascii="Times New Roman" w:hAnsi="Times New Roman" w:eastAsia="宋体" w:cs="Times New Roman"/>
                <w:b w:val="0"/>
                <w:bCs/>
                <w:sz w:val="18"/>
                <w:szCs w:val="18"/>
                <w:vertAlign w:val="superscript"/>
              </w:rPr>
              <w:t>3</w:t>
            </w:r>
            <w:r>
              <w:rPr>
                <w:rFonts w:hint="default" w:ascii="Times New Roman" w:hAnsi="Times New Roman" w:eastAsia="宋体" w:cs="Times New Roman"/>
                <w:b w:val="0"/>
                <w:bCs/>
                <w:sz w:val="18"/>
                <w:szCs w:val="18"/>
              </w:rPr>
              <w:t>收集池，对堆场淋漓水进行收集回用于降尘。生活污水经</w:t>
            </w:r>
            <w:r>
              <w:rPr>
                <w:rFonts w:hint="default" w:ascii="Times New Roman" w:hAnsi="Times New Roman" w:eastAsia="宋体" w:cs="Times New Roman"/>
                <w:b w:val="0"/>
                <w:bCs/>
                <w:sz w:val="18"/>
                <w:szCs w:val="18"/>
                <w:lang w:val="en-US" w:eastAsia="zh-CN"/>
              </w:rPr>
              <w:t>污水处理站</w:t>
            </w:r>
            <w:r>
              <w:rPr>
                <w:rFonts w:hint="default" w:ascii="Times New Roman" w:hAnsi="Times New Roman" w:eastAsia="宋体" w:cs="Times New Roman"/>
                <w:b w:val="0"/>
                <w:bCs/>
                <w:sz w:val="18"/>
                <w:szCs w:val="18"/>
              </w:rPr>
              <w:t>处理后用于</w:t>
            </w:r>
            <w:r>
              <w:rPr>
                <w:rFonts w:hint="default" w:ascii="Times New Roman" w:hAnsi="Times New Roman" w:eastAsia="宋体" w:cs="Times New Roman"/>
                <w:b w:val="0"/>
                <w:bCs/>
                <w:sz w:val="18"/>
                <w:szCs w:val="18"/>
                <w:lang w:val="en-US" w:eastAsia="zh-CN"/>
              </w:rPr>
              <w:t>矿区洒水降尘、绿化</w:t>
            </w:r>
            <w:r>
              <w:rPr>
                <w:rFonts w:hint="default" w:ascii="Times New Roman" w:hAnsi="Times New Roman" w:eastAsia="宋体" w:cs="Times New Roman"/>
                <w:b w:val="0"/>
                <w:bCs/>
                <w:sz w:val="18"/>
                <w:szCs w:val="18"/>
              </w:rPr>
              <w:t>。</w:t>
            </w:r>
            <w:r>
              <w:rPr>
                <w:rFonts w:hint="default" w:ascii="Times New Roman" w:hAnsi="Times New Roman" w:eastAsia="宋体" w:cs="Times New Roman"/>
                <w:b w:val="0"/>
                <w:bCs/>
                <w:sz w:val="18"/>
                <w:szCs w:val="18"/>
                <w:lang w:val="en-US" w:eastAsia="zh-CN"/>
              </w:rPr>
              <w:t>污水处理工艺</w:t>
            </w:r>
            <w:r>
              <w:rPr>
                <w:rFonts w:hint="default" w:ascii="Times New Roman" w:hAnsi="Times New Roman" w:eastAsia="宋体" w:cs="Times New Roman"/>
                <w:b w:val="0"/>
                <w:bCs/>
                <w:sz w:val="18"/>
                <w:szCs w:val="18"/>
              </w:rPr>
              <w:t>采用“调节池+</w:t>
            </w:r>
            <w:r>
              <w:rPr>
                <w:rFonts w:hint="default" w:ascii="Times New Roman" w:hAnsi="Times New Roman" w:eastAsia="宋体" w:cs="Times New Roman"/>
                <w:b w:val="0"/>
                <w:bCs/>
                <w:sz w:val="18"/>
                <w:szCs w:val="18"/>
                <w:lang w:val="en-US" w:eastAsia="zh-CN"/>
              </w:rPr>
              <w:t>厌氧生物处理＋好氧生物处理＋沉淀池＋消毒池</w:t>
            </w:r>
            <w:r>
              <w:rPr>
                <w:rFonts w:hint="default" w:ascii="Times New Roman" w:hAnsi="Times New Roman" w:eastAsia="宋体" w:cs="Times New Roman"/>
                <w:b w:val="0"/>
                <w:bCs/>
                <w:sz w:val="18"/>
                <w:szCs w:val="18"/>
              </w:rPr>
              <w:t>”</w:t>
            </w:r>
            <w:r>
              <w:rPr>
                <w:rFonts w:hint="default" w:ascii="Times New Roman" w:hAnsi="Times New Roman" w:eastAsia="宋体" w:cs="Times New Roman"/>
                <w:b w:val="0"/>
                <w:bCs/>
                <w:sz w:val="18"/>
                <w:szCs w:val="18"/>
                <w:lang w:eastAsia="zh-CN"/>
              </w:rPr>
              <w:t>。</w:t>
            </w:r>
          </w:p>
        </w:tc>
      </w:tr>
      <w:tr w14:paraId="4DEA7AC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continue"/>
            <w:tcBorders>
              <w:tl2br w:val="nil"/>
              <w:tr2bl w:val="nil"/>
            </w:tcBorders>
            <w:noWrap w:val="0"/>
            <w:vAlign w:val="center"/>
          </w:tcPr>
          <w:p w14:paraId="148260C7">
            <w:pPr>
              <w:pStyle w:val="47"/>
              <w:spacing w:line="240" w:lineRule="auto"/>
              <w:rPr>
                <w:rFonts w:hint="default" w:ascii="Times New Roman" w:hAnsi="Times New Roman" w:eastAsia="宋体" w:cs="Times New Roman"/>
                <w:b w:val="0"/>
                <w:bCs/>
                <w:sz w:val="18"/>
                <w:szCs w:val="18"/>
              </w:rPr>
            </w:pPr>
          </w:p>
        </w:tc>
        <w:tc>
          <w:tcPr>
            <w:tcW w:w="731" w:type="pct"/>
            <w:tcBorders>
              <w:tl2br w:val="nil"/>
              <w:tr2bl w:val="nil"/>
            </w:tcBorders>
            <w:noWrap w:val="0"/>
            <w:vAlign w:val="center"/>
          </w:tcPr>
          <w:p w14:paraId="0D718404">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噪声治理</w:t>
            </w:r>
          </w:p>
        </w:tc>
        <w:tc>
          <w:tcPr>
            <w:tcW w:w="3440" w:type="pct"/>
            <w:tcBorders>
              <w:tl2br w:val="nil"/>
              <w:tr2bl w:val="nil"/>
            </w:tcBorders>
            <w:noWrap w:val="0"/>
            <w:vAlign w:val="center"/>
          </w:tcPr>
          <w:p w14:paraId="2F7F3F13">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对空压机房采取了加装隔声减振，机械设备定期维保等。</w:t>
            </w:r>
          </w:p>
        </w:tc>
      </w:tr>
      <w:tr w14:paraId="32B6EA4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continue"/>
            <w:tcBorders>
              <w:tl2br w:val="nil"/>
              <w:tr2bl w:val="nil"/>
            </w:tcBorders>
            <w:noWrap w:val="0"/>
            <w:vAlign w:val="center"/>
          </w:tcPr>
          <w:p w14:paraId="57F66423">
            <w:pPr>
              <w:pStyle w:val="47"/>
              <w:spacing w:line="240" w:lineRule="auto"/>
              <w:rPr>
                <w:rFonts w:hint="default" w:ascii="Times New Roman" w:hAnsi="Times New Roman" w:eastAsia="宋体" w:cs="Times New Roman"/>
                <w:b w:val="0"/>
                <w:bCs/>
                <w:sz w:val="18"/>
                <w:szCs w:val="18"/>
              </w:rPr>
            </w:pPr>
          </w:p>
        </w:tc>
        <w:tc>
          <w:tcPr>
            <w:tcW w:w="731" w:type="pct"/>
            <w:tcBorders>
              <w:tl2br w:val="nil"/>
              <w:tr2bl w:val="nil"/>
            </w:tcBorders>
            <w:noWrap w:val="0"/>
            <w:vAlign w:val="center"/>
          </w:tcPr>
          <w:p w14:paraId="5A6EB563">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固废治理</w:t>
            </w:r>
          </w:p>
        </w:tc>
        <w:tc>
          <w:tcPr>
            <w:tcW w:w="3440" w:type="pct"/>
            <w:tcBorders>
              <w:tl2br w:val="nil"/>
              <w:tr2bl w:val="nil"/>
            </w:tcBorders>
            <w:noWrap w:val="0"/>
            <w:vAlign w:val="top"/>
          </w:tcPr>
          <w:p w14:paraId="2F5B02D6">
            <w:pPr>
              <w:pStyle w:val="47"/>
              <w:spacing w:line="240" w:lineRule="auto"/>
              <w:jc w:val="left"/>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sz w:val="18"/>
                <w:szCs w:val="18"/>
              </w:rPr>
              <w:t>目前，15</w:t>
            </w:r>
            <w:r>
              <w:rPr>
                <w:rFonts w:hint="default" w:ascii="Times New Roman" w:hAnsi="Times New Roman" w:eastAsia="宋体" w:cs="Times New Roman"/>
                <w:b w:val="0"/>
                <w:bCs/>
                <w:sz w:val="18"/>
                <w:szCs w:val="18"/>
                <w:lang w:val="en-US" w:eastAsia="zh-CN"/>
              </w:rPr>
              <w:t>3</w:t>
            </w:r>
            <w:r>
              <w:rPr>
                <w:rFonts w:hint="default" w:ascii="Times New Roman" w:hAnsi="Times New Roman" w:eastAsia="宋体" w:cs="Times New Roman"/>
                <w:b w:val="0"/>
                <w:bCs/>
                <w:sz w:val="18"/>
                <w:szCs w:val="18"/>
              </w:rPr>
              <w:t>0m中段为主采中段，废矿石从硐口运出后，排放至15</w:t>
            </w:r>
            <w:r>
              <w:rPr>
                <w:rFonts w:hint="default" w:ascii="Times New Roman" w:hAnsi="Times New Roman" w:eastAsia="宋体" w:cs="Times New Roman"/>
                <w:b w:val="0"/>
                <w:bCs/>
                <w:sz w:val="18"/>
                <w:szCs w:val="18"/>
                <w:lang w:val="en-US" w:eastAsia="zh-CN"/>
              </w:rPr>
              <w:t>3</w:t>
            </w:r>
            <w:r>
              <w:rPr>
                <w:rFonts w:hint="default" w:ascii="Times New Roman" w:hAnsi="Times New Roman" w:eastAsia="宋体" w:cs="Times New Roman"/>
                <w:b w:val="0"/>
                <w:bCs/>
                <w:sz w:val="18"/>
                <w:szCs w:val="18"/>
              </w:rPr>
              <w:t>0m硐口工业场地内的废石场。新建废石加工场用于加工产生的废石，作为建筑材料外卖，</w:t>
            </w:r>
            <w:r>
              <w:rPr>
                <w:rFonts w:hint="default" w:ascii="Times New Roman" w:hAnsi="Times New Roman" w:eastAsia="宋体" w:cs="Times New Roman"/>
                <w:b w:val="0"/>
                <w:bCs/>
                <w:color w:val="auto"/>
                <w:sz w:val="18"/>
                <w:szCs w:val="18"/>
              </w:rPr>
              <w:t>将废石减量化、资源化。</w:t>
            </w:r>
          </w:p>
          <w:p w14:paraId="461C4FE2">
            <w:pPr>
              <w:pStyle w:val="47"/>
              <w:spacing w:line="240" w:lineRule="auto"/>
              <w:jc w:val="left"/>
              <w:rPr>
                <w:rFonts w:hint="default" w:ascii="Times New Roman" w:hAnsi="Times New Roman" w:eastAsia="宋体" w:cs="Times New Roman"/>
                <w:b w:val="0"/>
                <w:bCs/>
                <w:color w:val="auto"/>
                <w:sz w:val="18"/>
                <w:szCs w:val="18"/>
                <w:lang w:val="en-US"/>
              </w:rPr>
            </w:pPr>
            <w:r>
              <w:rPr>
                <w:rFonts w:hint="default" w:ascii="Times New Roman" w:hAnsi="Times New Roman" w:eastAsia="宋体" w:cs="Times New Roman"/>
                <w:b w:val="0"/>
                <w:bCs/>
                <w:color w:val="auto"/>
                <w:sz w:val="18"/>
                <w:szCs w:val="18"/>
              </w:rPr>
              <w:t>废机油收集后</w:t>
            </w:r>
            <w:r>
              <w:rPr>
                <w:rFonts w:hint="default" w:ascii="Times New Roman" w:hAnsi="Times New Roman" w:eastAsia="宋体" w:cs="Times New Roman"/>
                <w:b w:val="0"/>
                <w:bCs/>
                <w:color w:val="auto"/>
                <w:sz w:val="18"/>
                <w:szCs w:val="18"/>
                <w:lang w:val="en-US" w:eastAsia="zh-CN"/>
              </w:rPr>
              <w:t>暂存危废暂存间，</w:t>
            </w:r>
            <w:r>
              <w:rPr>
                <w:rFonts w:hint="default" w:ascii="Times New Roman" w:hAnsi="Times New Roman" w:eastAsia="宋体" w:cs="Times New Roman"/>
                <w:b w:val="0"/>
                <w:bCs/>
                <w:color w:val="auto"/>
                <w:sz w:val="18"/>
                <w:szCs w:val="18"/>
              </w:rPr>
              <w:t>交由集团公司</w:t>
            </w:r>
            <w:r>
              <w:rPr>
                <w:rFonts w:hint="default" w:ascii="Times New Roman" w:hAnsi="Times New Roman" w:eastAsia="宋体" w:cs="Times New Roman"/>
                <w:b w:val="0"/>
                <w:bCs/>
                <w:color w:val="auto"/>
                <w:sz w:val="18"/>
                <w:szCs w:val="18"/>
                <w:lang w:val="en-US" w:eastAsia="zh-CN"/>
              </w:rPr>
              <w:t>委托云南绿力环保科技有限公司处理。危废暂存间面积约15㎡，采用砖墙结构，地面混凝土硬化。</w:t>
            </w:r>
          </w:p>
          <w:p w14:paraId="46EF09CD">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生活垃圾收集后</w:t>
            </w:r>
            <w:r>
              <w:rPr>
                <w:rFonts w:hint="default" w:ascii="Times New Roman" w:hAnsi="Times New Roman" w:eastAsia="宋体" w:cs="Times New Roman"/>
                <w:b w:val="0"/>
                <w:bCs/>
                <w:sz w:val="18"/>
                <w:szCs w:val="18"/>
                <w:lang w:val="en-US" w:eastAsia="zh-CN"/>
              </w:rPr>
              <w:t>定期清运至扬武镇</w:t>
            </w:r>
            <w:r>
              <w:rPr>
                <w:rFonts w:hint="default" w:ascii="Times New Roman" w:hAnsi="Times New Roman" w:eastAsia="宋体" w:cs="Times New Roman"/>
                <w:b w:val="0"/>
                <w:bCs/>
                <w:sz w:val="18"/>
                <w:szCs w:val="18"/>
              </w:rPr>
              <w:t>生活垃圾收集点</w:t>
            </w:r>
            <w:r>
              <w:rPr>
                <w:rFonts w:hint="default" w:ascii="Times New Roman" w:hAnsi="Times New Roman" w:eastAsia="宋体" w:cs="Times New Roman"/>
                <w:b w:val="0"/>
                <w:bCs/>
                <w:sz w:val="18"/>
                <w:szCs w:val="18"/>
                <w:lang w:eastAsia="zh-CN"/>
              </w:rPr>
              <w:t>，</w:t>
            </w:r>
            <w:r>
              <w:rPr>
                <w:rFonts w:hint="default" w:ascii="Times New Roman" w:hAnsi="Times New Roman" w:eastAsia="宋体" w:cs="Times New Roman"/>
                <w:b w:val="0"/>
                <w:bCs/>
                <w:sz w:val="18"/>
                <w:szCs w:val="18"/>
                <w:lang w:val="en-US" w:eastAsia="zh-CN"/>
              </w:rPr>
              <w:t>由</w:t>
            </w:r>
            <w:r>
              <w:rPr>
                <w:rFonts w:hint="default" w:ascii="Times New Roman" w:hAnsi="Times New Roman" w:eastAsia="宋体" w:cs="Times New Roman"/>
                <w:b w:val="0"/>
                <w:bCs/>
                <w:sz w:val="18"/>
                <w:szCs w:val="18"/>
              </w:rPr>
              <w:t>环卫部门处置。</w:t>
            </w:r>
          </w:p>
        </w:tc>
      </w:tr>
      <w:tr w14:paraId="653913B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9" w:type="pct"/>
            <w:vMerge w:val="continue"/>
            <w:tcBorders>
              <w:tl2br w:val="nil"/>
              <w:tr2bl w:val="nil"/>
            </w:tcBorders>
            <w:noWrap w:val="0"/>
            <w:vAlign w:val="center"/>
          </w:tcPr>
          <w:p w14:paraId="751622DF">
            <w:pPr>
              <w:pStyle w:val="47"/>
              <w:spacing w:line="240" w:lineRule="auto"/>
              <w:rPr>
                <w:rFonts w:hint="default" w:ascii="Times New Roman" w:hAnsi="Times New Roman" w:eastAsia="宋体" w:cs="Times New Roman"/>
                <w:b w:val="0"/>
                <w:bCs/>
                <w:sz w:val="18"/>
                <w:szCs w:val="18"/>
              </w:rPr>
            </w:pPr>
          </w:p>
        </w:tc>
        <w:tc>
          <w:tcPr>
            <w:tcW w:w="731" w:type="pct"/>
            <w:tcBorders>
              <w:tl2br w:val="nil"/>
              <w:tr2bl w:val="nil"/>
            </w:tcBorders>
            <w:noWrap w:val="0"/>
            <w:vAlign w:val="center"/>
          </w:tcPr>
          <w:p w14:paraId="1254DEFD">
            <w:pPr>
              <w:pStyle w:val="47"/>
              <w:spacing w:line="24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生态恢复和治理</w:t>
            </w:r>
          </w:p>
        </w:tc>
        <w:tc>
          <w:tcPr>
            <w:tcW w:w="3440" w:type="pct"/>
            <w:tcBorders>
              <w:tl2br w:val="nil"/>
              <w:tr2bl w:val="nil"/>
            </w:tcBorders>
            <w:noWrap w:val="0"/>
            <w:vAlign w:val="top"/>
          </w:tcPr>
          <w:p w14:paraId="57148900">
            <w:pPr>
              <w:pStyle w:val="47"/>
              <w:spacing w:line="240" w:lineRule="auto"/>
              <w:jc w:val="left"/>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sz w:val="18"/>
                <w:szCs w:val="18"/>
              </w:rPr>
              <w:t>1、排土场上方设截洪沟，截洪沟沿矿区道路对雨水进行导排，防止进入矿区，</w:t>
            </w:r>
            <w:r>
              <w:rPr>
                <w:rFonts w:hint="default" w:ascii="Times New Roman" w:hAnsi="Times New Roman" w:eastAsia="宋体" w:cs="Times New Roman"/>
                <w:b w:val="0"/>
                <w:bCs/>
                <w:color w:val="auto"/>
                <w:sz w:val="18"/>
                <w:szCs w:val="18"/>
              </w:rPr>
              <w:t>下方设有拦渣坝。</w:t>
            </w:r>
          </w:p>
          <w:p w14:paraId="481308C9">
            <w:pPr>
              <w:pStyle w:val="47"/>
              <w:spacing w:line="240" w:lineRule="auto"/>
              <w:jc w:val="left"/>
              <w:rPr>
                <w:rFonts w:hint="default" w:ascii="Times New Roman" w:hAnsi="Times New Roman" w:eastAsia="宋体" w:cs="Times New Roman"/>
                <w:b w:val="0"/>
                <w:bCs/>
                <w:sz w:val="18"/>
                <w:szCs w:val="18"/>
              </w:rPr>
            </w:pPr>
            <w:r>
              <w:rPr>
                <w:rFonts w:hint="default" w:ascii="Times New Roman" w:hAnsi="Times New Roman" w:eastAsia="宋体" w:cs="Times New Roman"/>
                <w:b w:val="0"/>
                <w:bCs/>
                <w:color w:val="auto"/>
                <w:sz w:val="18"/>
                <w:szCs w:val="18"/>
              </w:rPr>
              <w:t>2、北排土场停止排土后做了生态恢复，包括植被措施和工程措施，植被措施为在裸露地方种植当地树种，工程措施包括对排土修建台阶护坡等措施。</w:t>
            </w:r>
          </w:p>
        </w:tc>
      </w:tr>
    </w:tbl>
    <w:p w14:paraId="50E44584">
      <w:pPr>
        <w:pStyle w:val="6"/>
        <w:bidi w:val="0"/>
        <w:rPr>
          <w:rFonts w:hint="default" w:ascii="Times New Roman" w:hAnsi="Times New Roman" w:cs="Times New Roman"/>
          <w:lang w:val="en-US" w:eastAsia="zh-CN"/>
        </w:rPr>
      </w:pPr>
      <w:bookmarkStart w:id="210" w:name="_Toc5945"/>
      <w:bookmarkStart w:id="211" w:name="_Toc165816724"/>
      <w:r>
        <w:rPr>
          <w:rFonts w:hint="default" w:ascii="Times New Roman" w:hAnsi="Times New Roman" w:cs="Times New Roman"/>
          <w:lang w:val="en-US" w:eastAsia="zh-CN"/>
        </w:rPr>
        <w:t>3.1.3</w:t>
      </w:r>
      <w:r>
        <w:rPr>
          <w:rFonts w:hint="default" w:ascii="Times New Roman" w:hAnsi="Times New Roman" w:cs="Times New Roman"/>
        </w:rPr>
        <w:t>工作制度及劳动定员</w:t>
      </w:r>
    </w:p>
    <w:p w14:paraId="000C364C">
      <w:pPr>
        <w:bidi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矿山采用连续工作制，年工作日330天，每天3班作业，每班8小时。根据项目的工作制度，职工为220人，其中工人190人，管理人员30人，部分员工来自矿区周边村庄，约有100人在生活区住宿。</w:t>
      </w:r>
    </w:p>
    <w:p w14:paraId="1B32D315">
      <w:pPr>
        <w:pStyle w:val="6"/>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.1.</w:t>
      </w:r>
      <w:r>
        <w:rPr>
          <w:rFonts w:hint="default" w:ascii="Times New Roman" w:hAnsi="Times New Roman" w:cs="Times New Roman"/>
          <w:lang w:val="en-US" w:eastAsia="zh-CN"/>
        </w:rPr>
        <w:t>4</w:t>
      </w:r>
      <w:r>
        <w:rPr>
          <w:rFonts w:hint="default" w:ascii="Times New Roman" w:hAnsi="Times New Roman" w:cs="Times New Roman"/>
        </w:rPr>
        <w:t>开采方式及顺序</w:t>
      </w:r>
      <w:bookmarkEnd w:id="210"/>
      <w:bookmarkEnd w:id="211"/>
    </w:p>
    <w:p w14:paraId="2B17611E">
      <w:pPr>
        <w:bidi w:val="0"/>
        <w:spacing w:line="360" w:lineRule="auto"/>
        <w:ind w:firstLine="480" w:firstLineChars="200"/>
        <w:rPr>
          <w:rFonts w:hint="default" w:ascii="Times New Roman" w:hAnsi="Times New Roman" w:cs="Times New Roman" w:eastAsiaTheme="minorEastAsia"/>
          <w:sz w:val="24"/>
          <w:szCs w:val="24"/>
        </w:rPr>
      </w:pPr>
      <w:bookmarkStart w:id="212" w:name="_Toc165816725"/>
      <w:r>
        <w:rPr>
          <w:rFonts w:hint="default" w:ascii="Times New Roman" w:hAnsi="Times New Roman" w:cs="Times New Roman" w:eastAsiaTheme="minorEastAsia"/>
          <w:sz w:val="24"/>
          <w:szCs w:val="24"/>
        </w:rPr>
        <w:t>地下开采，采用平硐开拓方案。矿山开采顺序中自上而下逐中段开采；同一中段内由两端往中间退采。</w:t>
      </w:r>
    </w:p>
    <w:p w14:paraId="6AA36034">
      <w:pPr>
        <w:pStyle w:val="6"/>
        <w:bidi w:val="0"/>
        <w:rPr>
          <w:rFonts w:hint="default" w:ascii="Times New Roman" w:hAnsi="Times New Roman" w:cs="Times New Roman"/>
          <w:lang w:val="en-US" w:eastAsia="zh-CN"/>
        </w:rPr>
      </w:pPr>
      <w:bookmarkStart w:id="213" w:name="_Toc8317"/>
      <w:r>
        <w:rPr>
          <w:rFonts w:hint="default" w:ascii="Times New Roman" w:hAnsi="Times New Roman" w:cs="Times New Roman"/>
          <w:lang w:val="en-US" w:eastAsia="zh-CN"/>
        </w:rPr>
        <w:t>3</w:t>
      </w:r>
      <w:r>
        <w:rPr>
          <w:rFonts w:hint="default" w:ascii="Times New Roman" w:hAnsi="Times New Roman" w:cs="Times New Roman"/>
        </w:rPr>
        <w:t>.1.</w:t>
      </w:r>
      <w:r>
        <w:rPr>
          <w:rFonts w:hint="default" w:ascii="Times New Roman" w:hAnsi="Times New Roman" w:cs="Times New Roman"/>
          <w:lang w:val="en-US" w:eastAsia="zh-CN"/>
        </w:rPr>
        <w:t>5矿山</w:t>
      </w:r>
      <w:r>
        <w:rPr>
          <w:rFonts w:hint="default" w:ascii="Times New Roman" w:hAnsi="Times New Roman" w:cs="Times New Roman"/>
        </w:rPr>
        <w:t>生产工艺</w:t>
      </w:r>
      <w:bookmarkEnd w:id="212"/>
      <w:bookmarkEnd w:id="213"/>
      <w:bookmarkStart w:id="214" w:name="_Toc165816726"/>
    </w:p>
    <w:p w14:paraId="13F7AAFA">
      <w:pPr>
        <w:bidi w:val="0"/>
        <w:spacing w:line="360" w:lineRule="auto"/>
        <w:rPr>
          <w:rFonts w:hint="default" w:ascii="Times New Roman" w:hAnsi="Times New Roman" w:cs="Times New Roman" w:eastAsiaTheme="minorEastAsia"/>
          <w:sz w:val="24"/>
          <w:szCs w:val="24"/>
          <w:lang w:val="en-US" w:eastAsia="zh-CN"/>
        </w:rPr>
      </w:pPr>
    </w:p>
    <w:p w14:paraId="50631FC3">
      <w:pPr>
        <w:bidi w:val="0"/>
        <w:spacing w:line="360" w:lineRule="auto"/>
        <w:rPr>
          <w:rFonts w:hint="default" w:ascii="Times New Roman" w:hAnsi="Times New Roman" w:cs="Times New Roman" w:eastAsiaTheme="minorEastAsia"/>
          <w:sz w:val="24"/>
          <w:szCs w:val="24"/>
          <w:lang w:val="en-US" w:eastAsia="zh-CN"/>
        </w:rPr>
      </w:pPr>
    </w:p>
    <w:p w14:paraId="0C1835C0">
      <w:pPr>
        <w:bidi w:val="0"/>
        <w:spacing w:line="360" w:lineRule="auto"/>
        <w:rPr>
          <w:rFonts w:hint="default" w:ascii="Times New Roman" w:hAnsi="Times New Roman" w:cs="Times New Roman" w:eastAsiaTheme="minorEastAsia"/>
          <w:sz w:val="24"/>
          <w:szCs w:val="24"/>
          <w:lang w:val="en-US" w:eastAsia="zh-CN"/>
        </w:rPr>
      </w:pPr>
    </w:p>
    <w:p w14:paraId="7A18A9DE">
      <w:pPr>
        <w:bidi w:val="0"/>
        <w:spacing w:line="360" w:lineRule="auto"/>
        <w:rPr>
          <w:rFonts w:hint="default" w:ascii="Times New Roman" w:hAnsi="Times New Roman" w:cs="Times New Roman" w:eastAsiaTheme="minorEastAsia"/>
          <w:sz w:val="24"/>
          <w:szCs w:val="24"/>
          <w:lang w:val="en-US" w:eastAsia="zh-CN"/>
        </w:rPr>
      </w:pPr>
    </w:p>
    <w:p w14:paraId="0E101B29">
      <w:pPr>
        <w:bidi w:val="0"/>
        <w:spacing w:line="360" w:lineRule="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drawing>
          <wp:anchor distT="0" distB="0" distL="114300" distR="114300" simplePos="0" relativeHeight="251659264" behindDoc="0" locked="0" layoutInCell="1" allowOverlap="1">
            <wp:simplePos x="0" y="0"/>
            <wp:positionH relativeFrom="column">
              <wp:posOffset>577850</wp:posOffset>
            </wp:positionH>
            <wp:positionV relativeFrom="paragraph">
              <wp:posOffset>-1263015</wp:posOffset>
            </wp:positionV>
            <wp:extent cx="4892040" cy="3926205"/>
            <wp:effectExtent l="0" t="0" r="3810" b="17145"/>
            <wp:wrapNone/>
            <wp:docPr id="8" name="图片 7" descr="地下开采生产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地下开采生产工艺流程图"/>
                    <pic:cNvPicPr>
                      <a:picLocks noChangeAspect="1"/>
                    </pic:cNvPicPr>
                  </pic:nvPicPr>
                  <pic:blipFill>
                    <a:blip r:embed="rId11"/>
                    <a:stretch>
                      <a:fillRect/>
                    </a:stretch>
                  </pic:blipFill>
                  <pic:spPr>
                    <a:xfrm>
                      <a:off x="0" y="0"/>
                      <a:ext cx="4892040" cy="3926205"/>
                    </a:xfrm>
                    <a:prstGeom prst="rect">
                      <a:avLst/>
                    </a:prstGeom>
                    <a:noFill/>
                    <a:ln>
                      <a:noFill/>
                    </a:ln>
                  </pic:spPr>
                </pic:pic>
              </a:graphicData>
            </a:graphic>
          </wp:anchor>
        </w:drawing>
      </w:r>
    </w:p>
    <w:p w14:paraId="68A19F5C">
      <w:pPr>
        <w:bidi w:val="0"/>
        <w:spacing w:line="360" w:lineRule="auto"/>
        <w:rPr>
          <w:rFonts w:hint="default" w:ascii="Times New Roman" w:hAnsi="Times New Roman" w:cs="Times New Roman" w:eastAsiaTheme="minorEastAsia"/>
          <w:sz w:val="24"/>
          <w:szCs w:val="24"/>
          <w:lang w:val="en-US" w:eastAsia="zh-CN"/>
        </w:rPr>
      </w:pPr>
    </w:p>
    <w:p w14:paraId="7B2874EC">
      <w:pPr>
        <w:bidi w:val="0"/>
        <w:spacing w:line="360" w:lineRule="auto"/>
        <w:rPr>
          <w:rFonts w:hint="default" w:ascii="Times New Roman" w:hAnsi="Times New Roman" w:cs="Times New Roman" w:eastAsiaTheme="minorEastAsia"/>
          <w:sz w:val="24"/>
          <w:szCs w:val="24"/>
          <w:lang w:val="en-US" w:eastAsia="zh-CN"/>
        </w:rPr>
      </w:pPr>
    </w:p>
    <w:p w14:paraId="5712E6C2">
      <w:pPr>
        <w:bidi w:val="0"/>
        <w:rPr>
          <w:rFonts w:hint="default" w:ascii="Times New Roman" w:hAnsi="Times New Roman" w:cs="Times New Roman"/>
          <w:lang w:val="en-US" w:eastAsia="zh-CN"/>
        </w:rPr>
      </w:pPr>
    </w:p>
    <w:p w14:paraId="41EF2664">
      <w:pPr>
        <w:bidi w:val="0"/>
        <w:rPr>
          <w:rFonts w:hint="default" w:ascii="Times New Roman" w:hAnsi="Times New Roman" w:cs="Times New Roman"/>
          <w:lang w:val="en-US" w:eastAsia="zh-CN"/>
        </w:rPr>
      </w:pPr>
    </w:p>
    <w:p w14:paraId="41048C8C">
      <w:pPr>
        <w:bidi w:val="0"/>
        <w:rPr>
          <w:rFonts w:hint="default" w:ascii="Times New Roman" w:hAnsi="Times New Roman" w:cs="Times New Roman"/>
          <w:lang w:val="en-US" w:eastAsia="zh-CN"/>
        </w:rPr>
      </w:pPr>
    </w:p>
    <w:p w14:paraId="14E26EA1">
      <w:pPr>
        <w:bidi w:val="0"/>
        <w:rPr>
          <w:rFonts w:hint="default" w:ascii="Times New Roman" w:hAnsi="Times New Roman" w:cs="Times New Roman"/>
          <w:lang w:val="en-US" w:eastAsia="zh-CN"/>
        </w:rPr>
      </w:pPr>
    </w:p>
    <w:p w14:paraId="3ADEA201">
      <w:pPr>
        <w:bidi w:val="0"/>
        <w:rPr>
          <w:rFonts w:hint="default" w:ascii="Times New Roman" w:hAnsi="Times New Roman" w:cs="Times New Roman"/>
          <w:lang w:val="en-US" w:eastAsia="zh-CN"/>
        </w:rPr>
      </w:pPr>
    </w:p>
    <w:p w14:paraId="547644F6">
      <w:pPr>
        <w:spacing w:line="360" w:lineRule="auto"/>
        <w:ind w:left="-566" w:leftChars="-236"/>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b/>
          <w:sz w:val="24"/>
          <w:szCs w:val="24"/>
        </w:rPr>
        <w:t>图2.1-1 现有项目矿石开采工艺流程图</w:t>
      </w:r>
    </w:p>
    <w:p w14:paraId="2F016889">
      <w:pPr>
        <w:spacing w:line="360" w:lineRule="auto"/>
        <w:rPr>
          <w:rFonts w:hint="default" w:ascii="Times New Roman" w:hAnsi="Times New Roman" w:cs="Times New Roman" w:eastAsiaTheme="minorEastAsia"/>
          <w:sz w:val="24"/>
          <w:szCs w:val="24"/>
          <w:lang w:val="en-US" w:eastAsia="zh-CN"/>
        </w:rPr>
      </w:pPr>
    </w:p>
    <w:p w14:paraId="64BEF66C">
      <w:pPr>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p>
    <w:p w14:paraId="7CC30800">
      <w:pPr>
        <w:pStyle w:val="6"/>
        <w:bidi w:val="0"/>
        <w:rPr>
          <w:rFonts w:hint="default" w:ascii="Times New Roman" w:hAnsi="Times New Roman" w:cs="Times New Roman"/>
        </w:rPr>
      </w:pPr>
      <w:bookmarkStart w:id="215" w:name="_Toc31657"/>
      <w:r>
        <w:rPr>
          <w:rFonts w:hint="default" w:ascii="Times New Roman" w:hAnsi="Times New Roman" w:cs="Times New Roman"/>
          <w:lang w:val="en-US" w:eastAsia="zh-CN"/>
        </w:rPr>
        <w:t>3</w:t>
      </w:r>
      <w:r>
        <w:rPr>
          <w:rFonts w:hint="default" w:ascii="Times New Roman" w:hAnsi="Times New Roman" w:cs="Times New Roman"/>
        </w:rPr>
        <w:t>.1.</w:t>
      </w:r>
      <w:r>
        <w:rPr>
          <w:rFonts w:hint="default" w:ascii="Times New Roman" w:hAnsi="Times New Roman" w:cs="Times New Roman"/>
          <w:lang w:val="en-US" w:eastAsia="zh-CN"/>
        </w:rPr>
        <w:t>6矿山</w:t>
      </w:r>
      <w:r>
        <w:rPr>
          <w:rFonts w:hint="default" w:ascii="Times New Roman" w:hAnsi="Times New Roman" w:cs="Times New Roman"/>
        </w:rPr>
        <w:t>平面布置</w:t>
      </w:r>
      <w:bookmarkEnd w:id="214"/>
      <w:bookmarkEnd w:id="215"/>
    </w:p>
    <w:p w14:paraId="56EFF291">
      <w:pPr>
        <w:spacing w:line="360" w:lineRule="auto"/>
        <w:ind w:firstLine="480"/>
        <w:rPr>
          <w:rFonts w:hint="default" w:ascii="Times New Roman" w:hAnsi="Times New Roman" w:cs="Times New Roman" w:eastAsiaTheme="minorEastAsia"/>
          <w:sz w:val="24"/>
          <w:szCs w:val="24"/>
        </w:rPr>
      </w:pPr>
      <w:bookmarkStart w:id="216" w:name="_Toc165816727"/>
      <w:r>
        <w:rPr>
          <w:rFonts w:hint="default" w:ascii="Times New Roman" w:hAnsi="Times New Roman" w:cs="Times New Roman" w:eastAsiaTheme="minorEastAsia"/>
          <w:sz w:val="24"/>
          <w:szCs w:val="24"/>
        </w:rPr>
        <w:t>矿山由地下开采系统、硐口工业场地、原矿堆场（料场）、废石加工场、办公生活区组成。</w:t>
      </w:r>
    </w:p>
    <w:p w14:paraId="2D830319">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地下矿山开采系统为平硐开拓，目前15</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0m中段为主生产中段，硐口工业场地包括位于各中段硐口，包括临时原矿堆场、废石场等。原矿堆场（料场）位于矿区西侧，共设置6个，分别为1-6号料场，其中5号料场已废弃，</w:t>
      </w:r>
      <w:r>
        <w:rPr>
          <w:rFonts w:hint="default" w:ascii="Times New Roman" w:hAnsi="Times New Roman" w:cs="Times New Roman" w:eastAsiaTheme="minorEastAsia"/>
          <w:sz w:val="24"/>
          <w:szCs w:val="24"/>
          <w:lang w:val="en-US" w:eastAsia="zh-CN"/>
        </w:rPr>
        <w:t>3号料场建设新变电站使用，</w:t>
      </w:r>
      <w:r>
        <w:rPr>
          <w:rFonts w:hint="default" w:ascii="Times New Roman" w:hAnsi="Times New Roman" w:cs="Times New Roman" w:eastAsiaTheme="minorEastAsia"/>
          <w:sz w:val="24"/>
          <w:szCs w:val="24"/>
        </w:rPr>
        <w:t>2号料场已作为废石加工场使用；办公生活区位于矿区西面、地表移动范围外的平缓地带，标高约1840m。</w:t>
      </w:r>
    </w:p>
    <w:p w14:paraId="0419B709">
      <w:pPr>
        <w:pStyle w:val="6"/>
        <w:bidi w:val="0"/>
        <w:rPr>
          <w:rFonts w:hint="default" w:ascii="Times New Roman" w:hAnsi="Times New Roman" w:cs="Times New Roman"/>
        </w:rPr>
      </w:pPr>
      <w:bookmarkStart w:id="217" w:name="_Toc27947"/>
      <w:r>
        <w:rPr>
          <w:rFonts w:hint="default" w:ascii="Times New Roman" w:hAnsi="Times New Roman" w:cs="Times New Roman"/>
          <w:lang w:val="en-US" w:eastAsia="zh-CN"/>
        </w:rPr>
        <w:t>3</w:t>
      </w:r>
      <w:r>
        <w:rPr>
          <w:rFonts w:hint="default" w:ascii="Times New Roman" w:hAnsi="Times New Roman" w:cs="Times New Roman"/>
        </w:rPr>
        <w:t>.1.</w:t>
      </w:r>
      <w:r>
        <w:rPr>
          <w:rFonts w:hint="default" w:ascii="Times New Roman" w:hAnsi="Times New Roman" w:cs="Times New Roman"/>
          <w:lang w:val="en-US" w:eastAsia="zh-CN"/>
        </w:rPr>
        <w:t>7</w:t>
      </w:r>
      <w:r>
        <w:rPr>
          <w:rFonts w:hint="default" w:ascii="Times New Roman" w:hAnsi="Times New Roman" w:cs="Times New Roman"/>
        </w:rPr>
        <w:t>履行环保手续情况</w:t>
      </w:r>
      <w:bookmarkEnd w:id="216"/>
      <w:bookmarkEnd w:id="217"/>
    </w:p>
    <w:p w14:paraId="25B9A516">
      <w:pPr>
        <w:spacing w:line="360" w:lineRule="auto"/>
        <w:ind w:firstLine="480"/>
        <w:rPr>
          <w:rFonts w:hint="default" w:ascii="Times New Roman" w:hAnsi="Times New Roman" w:cs="Times New Roman" w:eastAsiaTheme="minorEastAsia"/>
          <w:color w:val="000000"/>
          <w:sz w:val="24"/>
          <w:szCs w:val="24"/>
        </w:rPr>
      </w:pPr>
      <w:bookmarkStart w:id="218" w:name="_Toc165816728"/>
      <w:bookmarkStart w:id="219" w:name="_Hlk162514219"/>
      <w:r>
        <w:rPr>
          <w:rFonts w:hint="default" w:ascii="Times New Roman" w:hAnsi="Times New Roman" w:cs="Times New Roman" w:eastAsiaTheme="minorEastAsia"/>
          <w:color w:val="000000"/>
          <w:sz w:val="24"/>
          <w:szCs w:val="24"/>
        </w:rPr>
        <w:t>2002年2月，云南省新平鲁奎山矿冶（集团）有限责任公司委托昆明理工大学编制完成了《云南新平鲁奎山铁矿一期氧化铁矿坑内开采工程技改项目环境影响报告书》，2003年2月12日取得了云南省玉溪市环保局的批复（玉市环〔2003〕27号）。</w:t>
      </w:r>
    </w:p>
    <w:p w14:paraId="16329631">
      <w:pPr>
        <w:spacing w:line="360" w:lineRule="auto"/>
        <w:ind w:firstLine="480"/>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二期工程于2017年1月，委托煤炭科学技术研究院有限公司编制完成《鲁奎山铁矿35万t/a开采项目环境影响现状评价报告》。2017年7月14日，云南省环境保护厅以</w:t>
      </w:r>
      <w:bookmarkStart w:id="220" w:name="OLE_LINK2"/>
      <w:r>
        <w:rPr>
          <w:rFonts w:hint="default" w:ascii="Times New Roman" w:hAnsi="Times New Roman" w:cs="Times New Roman" w:eastAsiaTheme="minorEastAsia"/>
          <w:color w:val="000000"/>
          <w:sz w:val="24"/>
          <w:szCs w:val="24"/>
        </w:rPr>
        <w:t>云环函〔2017〕254号</w:t>
      </w:r>
      <w:bookmarkEnd w:id="220"/>
      <w:r>
        <w:rPr>
          <w:rFonts w:hint="default" w:ascii="Times New Roman" w:hAnsi="Times New Roman" w:cs="Times New Roman" w:eastAsiaTheme="minorEastAsia"/>
          <w:color w:val="000000"/>
          <w:sz w:val="24"/>
          <w:szCs w:val="24"/>
        </w:rPr>
        <w:t>，对《鲁奎山铁矿35万t/a开采项目环境影响现状评价报告》批复，同意项目环保临时备案。根据《云南省环境保护厅关于同意鲁奎山铁矿35万t/a开采项目环保临时备案的函》（云环函〔2017〕254号），按照现状评价要求，针对存在的问题需整改完毕后，报玉溪市环境保护局审核后方可投入生产。矿山自2017年7月起停产，2018年1月5日玉溪市环境环保局对矿山进行环境监察，并提出处理意见，要求对照环评及批复要求落实整改内容，报环保局审核后可投入生产。建设单位根据要求于2018年1月底完成整改并报玉溪市环保局审核，2018年2月6日以玉市环函</w:t>
      </w:r>
      <w:r>
        <w:rPr>
          <w:rFonts w:hint="default" w:ascii="Times New Roman" w:hAnsi="Times New Roman"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rPr>
        <w:t>2018</w:t>
      </w:r>
      <w:r>
        <w:rPr>
          <w:rFonts w:hint="default" w:ascii="Times New Roman" w:hAnsi="Times New Roman"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rPr>
        <w:t>4号同意矿山恢复生产。</w:t>
      </w:r>
    </w:p>
    <w:p w14:paraId="635ADEA2">
      <w:pPr>
        <w:spacing w:line="360" w:lineRule="auto"/>
        <w:ind w:firstLine="480"/>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auto"/>
          <w:sz w:val="24"/>
          <w:szCs w:val="24"/>
        </w:rPr>
        <w:t>2018年</w:t>
      </w:r>
      <w:r>
        <w:rPr>
          <w:rFonts w:hint="default"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rPr>
        <w:t>月开展了《云南新平仙福矿冶有限公司鲁奎山铁矿35万t/a开采项目》竣工环境保护自主验收，编制了《云南新平仙福矿冶有限公司鲁奎山铁矿35万t/a开采项目竣工环境保护验收（噪声、固体废物）调查报告》，2018年9月27日通过了</w:t>
      </w:r>
      <w:r>
        <w:rPr>
          <w:rFonts w:hint="default" w:ascii="Times New Roman" w:hAnsi="Times New Roman" w:cs="Times New Roman" w:eastAsiaTheme="minorEastAsia"/>
          <w:color w:val="000000"/>
          <w:sz w:val="24"/>
          <w:szCs w:val="24"/>
        </w:rPr>
        <w:t>《云南新平仙福矿冶有限公司鲁奎山铁矿35万t/a开采项目竣工环境保护验收意见》。</w:t>
      </w:r>
    </w:p>
    <w:p w14:paraId="27E06594">
      <w:pPr>
        <w:spacing w:line="360" w:lineRule="auto"/>
        <w:ind w:firstLine="480"/>
        <w:rPr>
          <w:rFonts w:hint="default" w:ascii="Times New Roman" w:hAnsi="Times New Roman" w:cs="Times New Roman" w:eastAsiaTheme="minorEastAsia"/>
          <w:color w:val="000000"/>
          <w:sz w:val="24"/>
          <w:szCs w:val="24"/>
          <w:lang w:val="en-US" w:eastAsia="zh-CN"/>
        </w:rPr>
      </w:pPr>
      <w:bookmarkStart w:id="221" w:name="_Toc6088"/>
      <w:r>
        <w:rPr>
          <w:rFonts w:hint="default" w:ascii="Times New Roman" w:hAnsi="Times New Roman" w:cs="Times New Roman" w:eastAsiaTheme="minorEastAsia"/>
          <w:color w:val="000000"/>
          <w:sz w:val="24"/>
          <w:szCs w:val="24"/>
          <w:lang w:val="en-US" w:eastAsia="zh-CN"/>
        </w:rPr>
        <w:t>2021年10月编制了</w:t>
      </w:r>
      <w:r>
        <w:rPr>
          <w:rFonts w:hint="default" w:ascii="Times New Roman" w:hAnsi="Times New Roman" w:cs="Times New Roman" w:eastAsiaTheme="minorEastAsia"/>
          <w:color w:val="000000"/>
          <w:sz w:val="24"/>
          <w:szCs w:val="24"/>
        </w:rPr>
        <w:t>《</w:t>
      </w:r>
      <w:r>
        <w:rPr>
          <w:rFonts w:hint="default" w:ascii="Times New Roman" w:hAnsi="Times New Roman" w:cs="Times New Roman" w:eastAsiaTheme="minorEastAsia"/>
          <w:color w:val="000000"/>
          <w:sz w:val="24"/>
          <w:szCs w:val="24"/>
          <w:lang w:val="en-US" w:eastAsia="zh-CN"/>
        </w:rPr>
        <w:t>云南新平仙福矿冶有限公司鲁奎山铁矿35万吨开采项目突发环境事件应急预案</w:t>
      </w:r>
      <w:r>
        <w:rPr>
          <w:rFonts w:hint="default" w:ascii="Times New Roman" w:hAnsi="Times New Roman" w:cs="Times New Roman" w:eastAsiaTheme="minorEastAsia"/>
          <w:color w:val="000000"/>
          <w:sz w:val="24"/>
          <w:szCs w:val="24"/>
        </w:rPr>
        <w:t>》</w:t>
      </w:r>
      <w:r>
        <w:rPr>
          <w:rFonts w:hint="default" w:ascii="Times New Roman" w:hAnsi="Times New Roman"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lang w:val="en-US" w:eastAsia="zh-CN"/>
        </w:rPr>
        <w:t>2021年版</w:t>
      </w:r>
      <w:r>
        <w:rPr>
          <w:rFonts w:hint="default" w:ascii="Times New Roman" w:hAnsi="Times New Roman"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lang w:val="en-US" w:eastAsia="zh-CN"/>
        </w:rPr>
        <w:t>并于2021年12月21日备案，备案编号530427-2021-067-L。</w:t>
      </w:r>
    </w:p>
    <w:p w14:paraId="73DEE4EC">
      <w:pPr>
        <w:spacing w:line="360" w:lineRule="auto"/>
        <w:ind w:firstLine="480"/>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2021年10月20日进行了固定污染源排污许可登记，有效期2021年10月20日至2026年10月19日。登记编号：91530427750656287Y0O1Y。</w:t>
      </w:r>
    </w:p>
    <w:p w14:paraId="711255F5">
      <w:pPr>
        <w:pStyle w:val="6"/>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.1.</w:t>
      </w:r>
      <w:r>
        <w:rPr>
          <w:rFonts w:hint="default" w:ascii="Times New Roman" w:hAnsi="Times New Roman" w:cs="Times New Roman"/>
          <w:lang w:val="en-US" w:eastAsia="zh-CN"/>
        </w:rPr>
        <w:t>8</w:t>
      </w:r>
      <w:r>
        <w:rPr>
          <w:rFonts w:hint="default" w:ascii="Times New Roman" w:hAnsi="Times New Roman" w:cs="Times New Roman"/>
        </w:rPr>
        <w:t>污染物排放情况及污染治理措施情况</w:t>
      </w:r>
      <w:bookmarkEnd w:id="218"/>
      <w:bookmarkEnd w:id="221"/>
    </w:p>
    <w:p w14:paraId="54839433">
      <w:pPr>
        <w:pStyle w:val="53"/>
        <w:spacing w:line="360" w:lineRule="auto"/>
        <w:ind w:firstLine="480" w:firstLineChars="200"/>
        <w:jc w:val="left"/>
        <w:rPr>
          <w:rFonts w:hint="default" w:ascii="Times New Roman" w:hAnsi="Times New Roman" w:cs="Times New Roman" w:eastAsiaTheme="minorEastAsia"/>
          <w:color w:val="auto"/>
          <w:sz w:val="24"/>
          <w:szCs w:val="24"/>
          <w:lang w:val="en-US"/>
        </w:rPr>
      </w:pPr>
      <w:r>
        <w:rPr>
          <w:rFonts w:hint="default" w:ascii="Times New Roman" w:hAnsi="Times New Roman" w:cs="Times New Roman" w:eastAsiaTheme="minorEastAsia"/>
          <w:color w:val="auto"/>
          <w:sz w:val="24"/>
          <w:szCs w:val="24"/>
          <w:lang w:val="en-US"/>
        </w:rPr>
        <w:t>根据</w:t>
      </w:r>
      <w:r>
        <w:rPr>
          <w:rFonts w:hint="default" w:ascii="Times New Roman" w:hAnsi="Times New Roman" w:cs="Times New Roman" w:eastAsiaTheme="minorEastAsia"/>
          <w:color w:val="auto"/>
          <w:sz w:val="24"/>
          <w:szCs w:val="24"/>
          <w:lang w:val="en-US" w:eastAsia="zh-CN"/>
        </w:rPr>
        <w:t>鲁奎山铁矿</w:t>
      </w:r>
      <w:r>
        <w:rPr>
          <w:rFonts w:hint="default" w:ascii="Times New Roman" w:hAnsi="Times New Roman" w:cs="Times New Roman" w:eastAsiaTheme="minorEastAsia"/>
          <w:color w:val="auto"/>
          <w:sz w:val="24"/>
          <w:szCs w:val="24"/>
          <w:lang w:val="en-US"/>
        </w:rPr>
        <w:t>环评报告、竣工环境验收监测表及厂区实际建设情况，</w:t>
      </w:r>
      <w:r>
        <w:rPr>
          <w:rFonts w:hint="default" w:ascii="Times New Roman" w:hAnsi="Times New Roman" w:cs="Times New Roman" w:eastAsiaTheme="minorEastAsia"/>
          <w:color w:val="auto"/>
          <w:sz w:val="24"/>
          <w:szCs w:val="24"/>
          <w:lang w:val="en-US" w:eastAsia="zh-CN"/>
        </w:rPr>
        <w:t>鲁奎山铁矿</w:t>
      </w:r>
      <w:r>
        <w:rPr>
          <w:rFonts w:hint="default" w:ascii="Times New Roman" w:hAnsi="Times New Roman" w:cs="Times New Roman" w:eastAsiaTheme="minorEastAsia"/>
          <w:color w:val="auto"/>
          <w:sz w:val="24"/>
          <w:szCs w:val="24"/>
          <w:lang w:val="en-US"/>
        </w:rPr>
        <w:t>污染物排放情况如下：</w:t>
      </w:r>
    </w:p>
    <w:p w14:paraId="4FFEC701">
      <w:pPr>
        <w:adjustRightInd w:val="0"/>
        <w:snapToGrid w:val="0"/>
        <w:spacing w:line="360" w:lineRule="auto"/>
        <w:jc w:val="left"/>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1、</w:t>
      </w:r>
      <w:r>
        <w:rPr>
          <w:rFonts w:hint="default" w:ascii="Times New Roman" w:hAnsi="Times New Roman" w:cs="Times New Roman" w:eastAsiaTheme="minorEastAsia"/>
          <w:b/>
          <w:bCs/>
          <w:snapToGrid w:val="0"/>
          <w:color w:val="auto"/>
          <w:kern w:val="0"/>
          <w:sz w:val="24"/>
          <w:szCs w:val="24"/>
        </w:rPr>
        <w:t>废水</w:t>
      </w:r>
    </w:p>
    <w:p w14:paraId="4D1EE29D">
      <w:pPr>
        <w:snapToGrid w:val="0"/>
        <w:spacing w:line="360" w:lineRule="auto"/>
        <w:ind w:firstLine="570"/>
        <w:rPr>
          <w:rFonts w:hint="default" w:ascii="Times New Roman" w:hAnsi="Times New Roman" w:cs="Times New Roman" w:eastAsiaTheme="minorEastAsia"/>
          <w:sz w:val="24"/>
          <w:szCs w:val="24"/>
        </w:rPr>
      </w:pPr>
      <w:r>
        <w:rPr>
          <w:rFonts w:hint="default" w:ascii="Times New Roman" w:hAnsi="Times New Roman" w:cs="Times New Roman" w:eastAsiaTheme="minorEastAsia"/>
          <w:b/>
          <w:sz w:val="24"/>
          <w:szCs w:val="24"/>
        </w:rPr>
        <w:t>矿坑涌水：</w:t>
      </w:r>
      <w:r>
        <w:rPr>
          <w:rFonts w:hint="default" w:ascii="Times New Roman" w:hAnsi="Times New Roman" w:cs="Times New Roman" w:eastAsiaTheme="minorEastAsia"/>
          <w:sz w:val="24"/>
          <w:szCs w:val="24"/>
        </w:rPr>
        <w:t>矿坑涌水经</w:t>
      </w:r>
      <w:r>
        <w:rPr>
          <w:rFonts w:hint="default" w:ascii="Times New Roman" w:hAnsi="Times New Roman" w:cs="Times New Roman" w:eastAsiaTheme="minorEastAsia"/>
          <w:sz w:val="24"/>
          <w:szCs w:val="24"/>
          <w:lang w:val="en-US" w:eastAsia="zh-CN"/>
        </w:rPr>
        <w:t>1760中段400m³生产水水池</w:t>
      </w:r>
      <w:r>
        <w:rPr>
          <w:rFonts w:hint="default" w:ascii="Times New Roman" w:hAnsi="Times New Roman" w:cs="Times New Roman" w:eastAsiaTheme="minorEastAsia"/>
          <w:sz w:val="24"/>
          <w:szCs w:val="24"/>
        </w:rPr>
        <w:t>，收集处理后矿坑涌水一部分回用于矿井生产用水，一部分回用于矿区道路洒水降尘和废石场喷雾机降尘用水，收集的矿坑涌水全部循环使用不外排。同时配套建设了1个50m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的事故应急池，用于收集因水泵故障造成矿坑涌水收集池满池情况下的矿坑涌水。</w:t>
      </w:r>
    </w:p>
    <w:p w14:paraId="4935D5E5">
      <w:pPr>
        <w:snapToGrid w:val="0"/>
        <w:spacing w:line="360" w:lineRule="auto"/>
        <w:ind w:firstLine="57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color w:val="auto"/>
          <w:sz w:val="24"/>
          <w:szCs w:val="24"/>
        </w:rPr>
        <w:t>淋滤水：</w:t>
      </w:r>
      <w:r>
        <w:rPr>
          <w:rFonts w:hint="default" w:ascii="Times New Roman" w:hAnsi="Times New Roman" w:cs="Times New Roman" w:eastAsiaTheme="minorEastAsia"/>
          <w:color w:val="auto"/>
          <w:sz w:val="24"/>
          <w:szCs w:val="24"/>
        </w:rPr>
        <w:t>在原矿堆场四周挖截洪沟，</w:t>
      </w:r>
      <w:r>
        <w:rPr>
          <w:rFonts w:hint="default" w:ascii="Times New Roman" w:hAnsi="Times New Roman" w:cs="Times New Roman" w:eastAsiaTheme="minorEastAsia"/>
          <w:color w:val="auto"/>
          <w:sz w:val="24"/>
          <w:szCs w:val="24"/>
          <w:lang w:val="en-US" w:eastAsia="zh-CN"/>
        </w:rPr>
        <w:t>1#、4#</w:t>
      </w:r>
      <w:r>
        <w:rPr>
          <w:rFonts w:hint="default" w:ascii="Times New Roman" w:hAnsi="Times New Roman" w:cs="Times New Roman" w:eastAsiaTheme="minorEastAsia"/>
          <w:color w:val="auto"/>
          <w:sz w:val="24"/>
          <w:szCs w:val="24"/>
        </w:rPr>
        <w:t>原矿堆场下方各建一个100m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收集池，对堆场淋漓水进行收集回用于降尘。</w:t>
      </w:r>
    </w:p>
    <w:p w14:paraId="0C98640A">
      <w:pPr>
        <w:snapToGrid w:val="0"/>
        <w:spacing w:line="360" w:lineRule="auto"/>
        <w:ind w:firstLine="560"/>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
          <w:sz w:val="24"/>
          <w:szCs w:val="24"/>
        </w:rPr>
        <w:t>生活污水：</w:t>
      </w:r>
      <w:r>
        <w:rPr>
          <w:rFonts w:hint="default" w:ascii="Times New Roman" w:hAnsi="Times New Roman" w:cs="Times New Roman" w:eastAsiaTheme="minorEastAsia"/>
          <w:sz w:val="24"/>
          <w:szCs w:val="24"/>
        </w:rPr>
        <w:t>项目已按要求新建了1座处理能力为20m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/d的一体化生活污水处理站，并配套建设1个25m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回水池。生活污水经隔油池、化粪池处理后通过管道引至60m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的污水收集池，再进入矿区自建污水处理站，废水经处理后晴天回用于矿区洒水降尘，雨天暂存于回水池，不外排。</w:t>
      </w:r>
    </w:p>
    <w:p w14:paraId="3CE2112F">
      <w:pPr>
        <w:snapToGrid w:val="0"/>
        <w:spacing w:line="360" w:lineRule="auto"/>
        <w:ind w:firstLine="56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根据</w:t>
      </w:r>
      <w:r>
        <w:rPr>
          <w:rFonts w:hint="default" w:ascii="Times New Roman" w:hAnsi="Times New Roman" w:cs="Times New Roman" w:eastAsiaTheme="minorEastAsia"/>
          <w:sz w:val="24"/>
          <w:szCs w:val="24"/>
          <w:lang w:val="en-US" w:eastAsia="zh-CN"/>
        </w:rPr>
        <w:t>本次建设单位委托云南浩辰环保科技有限公司对矿山生活污水处理站出水采样检</w:t>
      </w:r>
      <w:r>
        <w:rPr>
          <w:rFonts w:hint="default" w:ascii="Times New Roman" w:hAnsi="Times New Roman" w:cs="Times New Roman" w:eastAsiaTheme="minorEastAsia"/>
          <w:color w:val="auto"/>
          <w:sz w:val="24"/>
          <w:szCs w:val="24"/>
          <w:lang w:val="en-US" w:eastAsia="zh-CN"/>
        </w:rPr>
        <w:t>测（见附件8）</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sz w:val="24"/>
          <w:szCs w:val="24"/>
          <w:lang w:val="en-US" w:eastAsia="zh-CN"/>
        </w:rPr>
        <w:t>矿山</w:t>
      </w:r>
      <w:r>
        <w:rPr>
          <w:rFonts w:hint="default" w:ascii="Times New Roman" w:hAnsi="Times New Roman" w:cs="Times New Roman" w:eastAsiaTheme="minorEastAsia"/>
          <w:sz w:val="24"/>
          <w:szCs w:val="24"/>
        </w:rPr>
        <w:t>生活污水经隔油池、化粪池处理后经自建污水处理站处理后，出水水质达到《城市污水再生利用 城市杂用水水质》（GB/T18920-20</w:t>
      </w:r>
      <w:r>
        <w:rPr>
          <w:rFonts w:hint="default"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rPr>
        <w:t>）中绿化用水标准，回用于矿区绿化及道路洒水降尘。</w:t>
      </w:r>
      <w:r>
        <w:rPr>
          <w:rFonts w:hint="default" w:ascii="Times New Roman" w:hAnsi="Times New Roman" w:cs="Times New Roman" w:eastAsiaTheme="minorEastAsia"/>
          <w:sz w:val="24"/>
          <w:szCs w:val="24"/>
          <w:lang w:val="en-US" w:eastAsia="zh-CN"/>
        </w:rPr>
        <w:t>检测结果达标情况见下表。</w:t>
      </w:r>
    </w:p>
    <w:p w14:paraId="19DAA80A">
      <w:pPr>
        <w:snapToGrid w:val="0"/>
        <w:spacing w:line="360" w:lineRule="auto"/>
        <w:ind w:firstLine="560"/>
        <w:jc w:val="center"/>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lang w:val="en-US" w:eastAsia="zh-CN"/>
        </w:rPr>
        <w:t>表3.1.8-1矿山污水处理站出水水质达标情况一览表</w:t>
      </w:r>
    </w:p>
    <w:tbl>
      <w:tblPr>
        <w:tblStyle w:val="29"/>
        <w:tblW w:w="4998"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91"/>
        <w:gridCol w:w="2051"/>
        <w:gridCol w:w="1749"/>
        <w:gridCol w:w="1749"/>
        <w:gridCol w:w="1749"/>
      </w:tblGrid>
      <w:tr w14:paraId="2350B0D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8" w:type="pct"/>
            <w:tcMar>
              <w:top w:w="15" w:type="dxa"/>
              <w:left w:w="15" w:type="dxa"/>
              <w:bottom w:w="15" w:type="dxa"/>
              <w:right w:w="15" w:type="dxa"/>
            </w:tcMar>
            <w:vAlign w:val="center"/>
          </w:tcPr>
          <w:p w14:paraId="6A42135B">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分析项目</w:t>
            </w:r>
          </w:p>
        </w:tc>
        <w:tc>
          <w:tcPr>
            <w:tcW w:w="1115" w:type="pct"/>
            <w:tcMar>
              <w:top w:w="15" w:type="dxa"/>
              <w:left w:w="15" w:type="dxa"/>
              <w:bottom w:w="15" w:type="dxa"/>
              <w:right w:w="15" w:type="dxa"/>
            </w:tcMar>
            <w:vAlign w:val="center"/>
          </w:tcPr>
          <w:p w14:paraId="415CD2B9">
            <w:pPr>
              <w:spacing w:line="240" w:lineRule="auto"/>
              <w:jc w:val="center"/>
              <w:rPr>
                <w:rFonts w:hint="default" w:ascii="Times New Roman" w:hAnsi="Times New Roman" w:eastAsia="宋体" w:cs="Times New Roman"/>
                <w:kern w:val="2"/>
                <w:sz w:val="18"/>
                <w:szCs w:val="18"/>
                <w:highlight w:val="none"/>
              </w:rPr>
            </w:pPr>
            <w:r>
              <w:rPr>
                <w:rFonts w:hint="default" w:ascii="Times New Roman" w:hAnsi="Times New Roman" w:eastAsia="宋体" w:cs="Times New Roman"/>
                <w:color w:val="auto"/>
                <w:sz w:val="18"/>
                <w:szCs w:val="18"/>
                <w:highlight w:val="none"/>
                <w:lang w:val="en-US" w:eastAsia="zh-CN" w:bidi="ar-SA"/>
              </w:rPr>
              <w:t>污水处理站出口</w:t>
            </w:r>
          </w:p>
        </w:tc>
        <w:tc>
          <w:tcPr>
            <w:tcW w:w="951" w:type="pct"/>
            <w:vAlign w:val="center"/>
          </w:tcPr>
          <w:p w14:paraId="25FDE01A">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单位</w:t>
            </w:r>
          </w:p>
        </w:tc>
        <w:tc>
          <w:tcPr>
            <w:tcW w:w="951" w:type="pct"/>
            <w:vAlign w:val="center"/>
          </w:tcPr>
          <w:p w14:paraId="361423B8">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b w:val="0"/>
                <w:bCs w:val="0"/>
                <w:sz w:val="18"/>
                <w:szCs w:val="18"/>
              </w:rPr>
              <w:t>《城市污水再生利用 城市杂用水水质</w:t>
            </w:r>
            <w:r>
              <w:rPr>
                <w:rFonts w:hint="default" w:ascii="Times New Roman" w:hAnsi="Times New Roman" w:cs="Times New Roman"/>
                <w:b w:val="0"/>
                <w:bCs w:val="0"/>
                <w:sz w:val="18"/>
                <w:szCs w:val="18"/>
                <w:lang w:eastAsia="zh-CN"/>
              </w:rPr>
              <w:t>生</w:t>
            </w:r>
            <w:r>
              <w:rPr>
                <w:rFonts w:hint="default" w:ascii="Times New Roman" w:hAnsi="Times New Roman" w:eastAsia="宋体" w:cs="Times New Roman"/>
                <w:b w:val="0"/>
                <w:bCs w:val="0"/>
                <w:sz w:val="18"/>
                <w:szCs w:val="18"/>
              </w:rPr>
              <w:t>》(GB/T 18920-2020)</w:t>
            </w:r>
          </w:p>
        </w:tc>
        <w:tc>
          <w:tcPr>
            <w:tcW w:w="951" w:type="pct"/>
            <w:vAlign w:val="center"/>
          </w:tcPr>
          <w:p w14:paraId="331C5400">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达标情况</w:t>
            </w:r>
          </w:p>
        </w:tc>
      </w:tr>
      <w:tr w14:paraId="3FFA7B7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8" w:type="pct"/>
            <w:tcMar>
              <w:top w:w="15" w:type="dxa"/>
              <w:left w:w="15" w:type="dxa"/>
              <w:bottom w:w="15" w:type="dxa"/>
              <w:right w:w="15" w:type="dxa"/>
            </w:tcMar>
            <w:vAlign w:val="center"/>
          </w:tcPr>
          <w:p w14:paraId="1AB9E6BF">
            <w:pPr>
              <w:spacing w:line="240" w:lineRule="auto"/>
              <w:jc w:val="center"/>
              <w:rPr>
                <w:rFonts w:hint="default" w:ascii="Times New Roman" w:hAnsi="Times New Roman" w:eastAsia="宋体" w:cs="Times New Roman"/>
                <w:sz w:val="18"/>
                <w:szCs w:val="18"/>
                <w:highlight w:val="none"/>
              </w:rPr>
            </w:pPr>
            <w:bookmarkStart w:id="222" w:name="_Hlk91575859"/>
            <w:r>
              <w:rPr>
                <w:rFonts w:hint="default" w:ascii="Times New Roman" w:hAnsi="Times New Roman" w:eastAsia="宋体" w:cs="Times New Roman"/>
                <w:snapToGrid w:val="0"/>
                <w:sz w:val="18"/>
                <w:szCs w:val="18"/>
                <w:highlight w:val="none"/>
              </w:rPr>
              <w:t>pH</w:t>
            </w:r>
          </w:p>
        </w:tc>
        <w:tc>
          <w:tcPr>
            <w:tcW w:w="1115" w:type="pct"/>
            <w:tcMar>
              <w:top w:w="15" w:type="dxa"/>
              <w:left w:w="15" w:type="dxa"/>
              <w:bottom w:w="15" w:type="dxa"/>
              <w:right w:w="15" w:type="dxa"/>
            </w:tcMar>
            <w:vAlign w:val="center"/>
          </w:tcPr>
          <w:p w14:paraId="65666ABD">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7.23</w:t>
            </w:r>
          </w:p>
        </w:tc>
        <w:tc>
          <w:tcPr>
            <w:tcW w:w="951" w:type="pct"/>
            <w:vAlign w:val="center"/>
          </w:tcPr>
          <w:p w14:paraId="628EE882">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无量纲</w:t>
            </w:r>
          </w:p>
        </w:tc>
        <w:tc>
          <w:tcPr>
            <w:tcW w:w="951" w:type="pct"/>
            <w:vAlign w:val="center"/>
          </w:tcPr>
          <w:p w14:paraId="1CDB3C71">
            <w:pPr>
              <w:adjustRightInd w:val="0"/>
              <w:snapToGrid w:val="0"/>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b w:val="0"/>
                <w:bCs w:val="0"/>
                <w:sz w:val="18"/>
                <w:szCs w:val="18"/>
              </w:rPr>
              <w:t>6.0～9.0</w:t>
            </w:r>
          </w:p>
        </w:tc>
        <w:tc>
          <w:tcPr>
            <w:tcW w:w="951" w:type="pct"/>
            <w:vAlign w:val="center"/>
          </w:tcPr>
          <w:p w14:paraId="54BF21DC">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达标</w:t>
            </w:r>
          </w:p>
        </w:tc>
      </w:tr>
      <w:tr w14:paraId="0BAAD62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8" w:type="pct"/>
            <w:tcMar>
              <w:top w:w="15" w:type="dxa"/>
              <w:left w:w="15" w:type="dxa"/>
              <w:bottom w:w="15" w:type="dxa"/>
              <w:right w:w="15" w:type="dxa"/>
            </w:tcMar>
            <w:vAlign w:val="center"/>
          </w:tcPr>
          <w:p w14:paraId="7D281365">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色度</w:t>
            </w:r>
          </w:p>
        </w:tc>
        <w:tc>
          <w:tcPr>
            <w:tcW w:w="1115" w:type="pct"/>
            <w:tcMar>
              <w:top w:w="15" w:type="dxa"/>
              <w:left w:w="15" w:type="dxa"/>
              <w:bottom w:w="15" w:type="dxa"/>
              <w:right w:w="15" w:type="dxa"/>
            </w:tcMar>
            <w:vAlign w:val="center"/>
          </w:tcPr>
          <w:p w14:paraId="0529846A">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3</w:t>
            </w:r>
          </w:p>
        </w:tc>
        <w:tc>
          <w:tcPr>
            <w:tcW w:w="951" w:type="pct"/>
            <w:vAlign w:val="center"/>
          </w:tcPr>
          <w:p w14:paraId="156A6271">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倍</w:t>
            </w:r>
          </w:p>
        </w:tc>
        <w:tc>
          <w:tcPr>
            <w:tcW w:w="951" w:type="pct"/>
            <w:vAlign w:val="center"/>
          </w:tcPr>
          <w:p w14:paraId="037FD59A">
            <w:pPr>
              <w:adjustRightInd w:val="0"/>
              <w:snapToGrid w:val="0"/>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b w:val="0"/>
                <w:bCs w:val="0"/>
                <w:sz w:val="18"/>
                <w:szCs w:val="18"/>
              </w:rPr>
              <w:t>≤30</w:t>
            </w:r>
          </w:p>
        </w:tc>
        <w:tc>
          <w:tcPr>
            <w:tcW w:w="951" w:type="pct"/>
            <w:vAlign w:val="center"/>
          </w:tcPr>
          <w:p w14:paraId="3B102F3D">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达标</w:t>
            </w:r>
          </w:p>
        </w:tc>
      </w:tr>
      <w:tr w14:paraId="695B829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8" w:type="pct"/>
            <w:tcMar>
              <w:top w:w="15" w:type="dxa"/>
              <w:left w:w="15" w:type="dxa"/>
              <w:bottom w:w="15" w:type="dxa"/>
              <w:right w:w="15" w:type="dxa"/>
            </w:tcMar>
            <w:vAlign w:val="center"/>
          </w:tcPr>
          <w:p w14:paraId="2776BD20">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臭和味</w:t>
            </w:r>
          </w:p>
        </w:tc>
        <w:tc>
          <w:tcPr>
            <w:tcW w:w="1115" w:type="pct"/>
            <w:tcMar>
              <w:top w:w="15" w:type="dxa"/>
              <w:left w:w="15" w:type="dxa"/>
              <w:bottom w:w="15" w:type="dxa"/>
              <w:right w:w="15" w:type="dxa"/>
            </w:tcMar>
            <w:vAlign w:val="center"/>
          </w:tcPr>
          <w:p w14:paraId="20C32B77">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eastAsia="zh-CN"/>
              </w:rPr>
              <w:t>无</w:t>
            </w:r>
          </w:p>
        </w:tc>
        <w:tc>
          <w:tcPr>
            <w:tcW w:w="951" w:type="pct"/>
            <w:vAlign w:val="center"/>
          </w:tcPr>
          <w:p w14:paraId="12AAD656">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951" w:type="pct"/>
            <w:vAlign w:val="center"/>
          </w:tcPr>
          <w:p w14:paraId="4C4AD76A">
            <w:pPr>
              <w:adjustRightInd w:val="0"/>
              <w:snapToGrid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b w:val="0"/>
                <w:bCs w:val="0"/>
                <w:sz w:val="18"/>
                <w:szCs w:val="18"/>
              </w:rPr>
              <w:t>无不快感觉</w:t>
            </w:r>
          </w:p>
        </w:tc>
        <w:tc>
          <w:tcPr>
            <w:tcW w:w="951" w:type="pct"/>
            <w:vAlign w:val="center"/>
          </w:tcPr>
          <w:p w14:paraId="42E7AED7">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达标</w:t>
            </w:r>
          </w:p>
        </w:tc>
      </w:tr>
      <w:bookmarkEnd w:id="222"/>
      <w:tr w14:paraId="02A87C6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8" w:type="pct"/>
            <w:shd w:val="clear" w:color="auto" w:fill="auto"/>
            <w:tcMar>
              <w:top w:w="15" w:type="dxa"/>
              <w:left w:w="15" w:type="dxa"/>
              <w:bottom w:w="15" w:type="dxa"/>
              <w:right w:w="15" w:type="dxa"/>
            </w:tcMar>
            <w:vAlign w:val="center"/>
          </w:tcPr>
          <w:p w14:paraId="6069D67D">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浊度</w:t>
            </w:r>
          </w:p>
        </w:tc>
        <w:tc>
          <w:tcPr>
            <w:tcW w:w="1115" w:type="pct"/>
            <w:shd w:val="clear" w:color="auto" w:fill="auto"/>
            <w:tcMar>
              <w:top w:w="15" w:type="dxa"/>
              <w:left w:w="15" w:type="dxa"/>
              <w:bottom w:w="15" w:type="dxa"/>
              <w:right w:w="15" w:type="dxa"/>
            </w:tcMar>
            <w:vAlign w:val="center"/>
          </w:tcPr>
          <w:p w14:paraId="33EC4DF4">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cs="Times New Roman"/>
                <w:color w:val="000000"/>
                <w:sz w:val="18"/>
                <w:szCs w:val="18"/>
                <w:highlight w:val="none"/>
                <w:lang w:val="en-US" w:eastAsia="zh-CN" w:bidi="ar-SA"/>
              </w:rPr>
              <w:t>3L</w:t>
            </w:r>
          </w:p>
        </w:tc>
        <w:tc>
          <w:tcPr>
            <w:tcW w:w="951" w:type="pct"/>
            <w:shd w:val="clear" w:color="auto" w:fill="auto"/>
            <w:vAlign w:val="center"/>
          </w:tcPr>
          <w:p w14:paraId="02A85C59">
            <w:pPr>
              <w:spacing w:line="240" w:lineRule="auto"/>
              <w:jc w:val="center"/>
              <w:rPr>
                <w:rFonts w:hint="default" w:ascii="Times New Roman" w:hAnsi="Times New Roman" w:eastAsia="宋体" w:cs="Times New Roman"/>
                <w:sz w:val="18"/>
                <w:szCs w:val="18"/>
                <w:highlight w:val="none"/>
                <w:lang w:val="en-US" w:eastAsia="zh-CN" w:bidi="ar-SA"/>
              </w:rPr>
            </w:pPr>
            <w:r>
              <w:rPr>
                <w:rFonts w:hint="default" w:ascii="Times New Roman" w:hAnsi="Times New Roman" w:cs="Times New Roman"/>
                <w:sz w:val="18"/>
                <w:szCs w:val="18"/>
                <w:highlight w:val="none"/>
                <w:lang w:val="en-US" w:eastAsia="zh-CN" w:bidi="ar-SA"/>
              </w:rPr>
              <w:t>度</w:t>
            </w:r>
          </w:p>
        </w:tc>
        <w:tc>
          <w:tcPr>
            <w:tcW w:w="951" w:type="pct"/>
            <w:shd w:val="clear" w:color="auto" w:fill="auto"/>
            <w:vAlign w:val="center"/>
          </w:tcPr>
          <w:p w14:paraId="678C06BE">
            <w:pPr>
              <w:adjustRightInd w:val="0"/>
              <w:snapToGrid w:val="0"/>
              <w:spacing w:line="240" w:lineRule="auto"/>
              <w:jc w:val="center"/>
              <w:rPr>
                <w:rFonts w:hint="default" w:ascii="Times New Roman" w:hAnsi="Times New Roman" w:cs="Times New Roman"/>
                <w:sz w:val="18"/>
                <w:szCs w:val="18"/>
                <w:highlight w:val="none"/>
                <w:lang w:val="en-US" w:eastAsia="zh-CN" w:bidi="ar-SA"/>
              </w:rPr>
            </w:pPr>
            <w:r>
              <w:rPr>
                <w:rFonts w:hint="default" w:ascii="Times New Roman" w:hAnsi="Times New Roman" w:eastAsia="宋体" w:cs="Times New Roman"/>
                <w:b w:val="0"/>
                <w:bCs w:val="0"/>
                <w:sz w:val="18"/>
                <w:szCs w:val="18"/>
              </w:rPr>
              <w:t>≤10</w:t>
            </w:r>
          </w:p>
        </w:tc>
        <w:tc>
          <w:tcPr>
            <w:tcW w:w="951" w:type="pct"/>
            <w:shd w:val="clear" w:color="auto" w:fill="auto"/>
            <w:vAlign w:val="center"/>
          </w:tcPr>
          <w:p w14:paraId="0A9BEA98">
            <w:pPr>
              <w:spacing w:line="240" w:lineRule="auto"/>
              <w:jc w:val="center"/>
              <w:rPr>
                <w:rFonts w:hint="default" w:ascii="Times New Roman" w:hAnsi="Times New Roman" w:cs="Times New Roman"/>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达标</w:t>
            </w:r>
          </w:p>
        </w:tc>
      </w:tr>
      <w:tr w14:paraId="2C0464A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8" w:type="pct"/>
            <w:tcMar>
              <w:top w:w="15" w:type="dxa"/>
              <w:left w:w="15" w:type="dxa"/>
              <w:bottom w:w="15" w:type="dxa"/>
              <w:right w:w="15" w:type="dxa"/>
            </w:tcMar>
            <w:vAlign w:val="center"/>
          </w:tcPr>
          <w:p w14:paraId="1D8CC47E">
            <w:pPr>
              <w:spacing w:line="24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五日生化</w:t>
            </w:r>
          </w:p>
          <w:p w14:paraId="023C34D7">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需氧量</w:t>
            </w:r>
          </w:p>
        </w:tc>
        <w:tc>
          <w:tcPr>
            <w:tcW w:w="1115" w:type="pct"/>
            <w:shd w:val="clear" w:color="auto" w:fill="auto"/>
            <w:tcMar>
              <w:top w:w="15" w:type="dxa"/>
              <w:left w:w="15" w:type="dxa"/>
              <w:bottom w:w="15" w:type="dxa"/>
              <w:right w:w="15" w:type="dxa"/>
            </w:tcMar>
            <w:vAlign w:val="center"/>
          </w:tcPr>
          <w:p w14:paraId="5D189EC7">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cs="Times New Roman"/>
                <w:color w:val="000000"/>
                <w:sz w:val="18"/>
                <w:szCs w:val="18"/>
                <w:highlight w:val="none"/>
                <w:lang w:val="en-US" w:eastAsia="zh-CN" w:bidi="ar-SA"/>
              </w:rPr>
              <w:t>4.3</w:t>
            </w:r>
          </w:p>
        </w:tc>
        <w:tc>
          <w:tcPr>
            <w:tcW w:w="951" w:type="pct"/>
            <w:shd w:val="clear" w:color="auto" w:fill="auto"/>
            <w:vAlign w:val="center"/>
          </w:tcPr>
          <w:p w14:paraId="287FE867">
            <w:pPr>
              <w:spacing w:line="240" w:lineRule="auto"/>
              <w:jc w:val="center"/>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mg/L</w:t>
            </w:r>
          </w:p>
        </w:tc>
        <w:tc>
          <w:tcPr>
            <w:tcW w:w="951" w:type="pct"/>
            <w:shd w:val="clear" w:color="auto" w:fill="auto"/>
            <w:vAlign w:val="center"/>
          </w:tcPr>
          <w:p w14:paraId="6769DD13">
            <w:pPr>
              <w:adjustRightInd w:val="0"/>
              <w:snapToGrid w:val="0"/>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b w:val="0"/>
                <w:bCs w:val="0"/>
                <w:sz w:val="18"/>
                <w:szCs w:val="18"/>
              </w:rPr>
              <w:t>≤10</w:t>
            </w:r>
          </w:p>
        </w:tc>
        <w:tc>
          <w:tcPr>
            <w:tcW w:w="951" w:type="pct"/>
            <w:shd w:val="clear" w:color="auto" w:fill="auto"/>
            <w:vAlign w:val="center"/>
          </w:tcPr>
          <w:p w14:paraId="3613186E">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达标</w:t>
            </w:r>
          </w:p>
        </w:tc>
      </w:tr>
      <w:tr w14:paraId="5811652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8" w:type="pct"/>
            <w:tcMar>
              <w:top w:w="15" w:type="dxa"/>
              <w:left w:w="15" w:type="dxa"/>
              <w:bottom w:w="15" w:type="dxa"/>
              <w:right w:w="15" w:type="dxa"/>
            </w:tcMar>
            <w:vAlign w:val="center"/>
          </w:tcPr>
          <w:p w14:paraId="664FEFA5">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氨氮</w:t>
            </w:r>
          </w:p>
        </w:tc>
        <w:tc>
          <w:tcPr>
            <w:tcW w:w="1115" w:type="pct"/>
            <w:shd w:val="clear" w:color="auto" w:fill="auto"/>
            <w:tcMar>
              <w:top w:w="15" w:type="dxa"/>
              <w:left w:w="15" w:type="dxa"/>
              <w:bottom w:w="15" w:type="dxa"/>
              <w:right w:w="15" w:type="dxa"/>
            </w:tcMar>
            <w:vAlign w:val="center"/>
          </w:tcPr>
          <w:p w14:paraId="78F58ECE">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cs="Times New Roman"/>
                <w:color w:val="000000"/>
                <w:sz w:val="18"/>
                <w:szCs w:val="18"/>
                <w:highlight w:val="none"/>
                <w:lang w:val="en-US" w:eastAsia="zh-CN" w:bidi="ar-SA"/>
              </w:rPr>
              <w:t>2.95</w:t>
            </w:r>
          </w:p>
        </w:tc>
        <w:tc>
          <w:tcPr>
            <w:tcW w:w="951" w:type="pct"/>
            <w:shd w:val="clear" w:color="auto" w:fill="auto"/>
            <w:vAlign w:val="center"/>
          </w:tcPr>
          <w:p w14:paraId="12E76A59">
            <w:pPr>
              <w:spacing w:line="240" w:lineRule="auto"/>
              <w:jc w:val="center"/>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mg/L</w:t>
            </w:r>
          </w:p>
        </w:tc>
        <w:tc>
          <w:tcPr>
            <w:tcW w:w="951" w:type="pct"/>
            <w:shd w:val="clear" w:color="auto" w:fill="auto"/>
            <w:vAlign w:val="center"/>
          </w:tcPr>
          <w:p w14:paraId="180828C8">
            <w:pPr>
              <w:adjustRightInd w:val="0"/>
              <w:snapToGrid w:val="0"/>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b w:val="0"/>
                <w:bCs w:val="0"/>
                <w:sz w:val="18"/>
                <w:szCs w:val="18"/>
              </w:rPr>
              <w:t>≤8</w:t>
            </w:r>
          </w:p>
        </w:tc>
        <w:tc>
          <w:tcPr>
            <w:tcW w:w="951" w:type="pct"/>
            <w:shd w:val="clear" w:color="auto" w:fill="auto"/>
            <w:vAlign w:val="center"/>
          </w:tcPr>
          <w:p w14:paraId="184257B7">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达标</w:t>
            </w:r>
          </w:p>
        </w:tc>
      </w:tr>
      <w:tr w14:paraId="4A7AD95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8" w:type="pct"/>
            <w:tcMar>
              <w:top w:w="15" w:type="dxa"/>
              <w:left w:w="15" w:type="dxa"/>
              <w:bottom w:w="15" w:type="dxa"/>
              <w:right w:w="15" w:type="dxa"/>
            </w:tcMar>
            <w:vAlign w:val="center"/>
          </w:tcPr>
          <w:p w14:paraId="2DDFC42D">
            <w:pPr>
              <w:spacing w:line="24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阴离子表面</w:t>
            </w:r>
          </w:p>
          <w:p w14:paraId="71E79743">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活性剂</w:t>
            </w:r>
          </w:p>
        </w:tc>
        <w:tc>
          <w:tcPr>
            <w:tcW w:w="1115" w:type="pct"/>
            <w:tcMar>
              <w:top w:w="15" w:type="dxa"/>
              <w:left w:w="15" w:type="dxa"/>
              <w:bottom w:w="15" w:type="dxa"/>
              <w:right w:w="15" w:type="dxa"/>
            </w:tcMar>
            <w:vAlign w:val="center"/>
          </w:tcPr>
          <w:p w14:paraId="47423122">
            <w:pPr>
              <w:keepNext w:val="0"/>
              <w:keepLines w:val="0"/>
              <w:widowControl/>
              <w:suppressLineNumbers w:val="0"/>
              <w:spacing w:line="240" w:lineRule="auto"/>
              <w:jc w:val="center"/>
              <w:textAlignment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0.05L</w:t>
            </w:r>
          </w:p>
        </w:tc>
        <w:tc>
          <w:tcPr>
            <w:tcW w:w="951" w:type="pct"/>
            <w:vAlign w:val="center"/>
          </w:tcPr>
          <w:p w14:paraId="1E9E1365">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mg/L</w:t>
            </w:r>
          </w:p>
        </w:tc>
        <w:tc>
          <w:tcPr>
            <w:tcW w:w="951" w:type="pct"/>
            <w:vAlign w:val="center"/>
          </w:tcPr>
          <w:p w14:paraId="62C5D831">
            <w:pPr>
              <w:adjustRightInd w:val="0"/>
              <w:snapToGrid w:val="0"/>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b w:val="0"/>
                <w:bCs w:val="0"/>
                <w:sz w:val="18"/>
                <w:szCs w:val="18"/>
              </w:rPr>
              <w:t>≤0.5</w:t>
            </w:r>
          </w:p>
        </w:tc>
        <w:tc>
          <w:tcPr>
            <w:tcW w:w="951" w:type="pct"/>
            <w:vAlign w:val="center"/>
          </w:tcPr>
          <w:p w14:paraId="5902BB94">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达标</w:t>
            </w:r>
          </w:p>
        </w:tc>
      </w:tr>
      <w:tr w14:paraId="518B1D5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8" w:type="pct"/>
            <w:tcMar>
              <w:top w:w="15" w:type="dxa"/>
              <w:left w:w="15" w:type="dxa"/>
              <w:bottom w:w="15" w:type="dxa"/>
              <w:right w:w="15" w:type="dxa"/>
            </w:tcMar>
            <w:vAlign w:val="center"/>
          </w:tcPr>
          <w:p w14:paraId="4DDAEFE0">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溶解性总固体</w:t>
            </w:r>
          </w:p>
        </w:tc>
        <w:tc>
          <w:tcPr>
            <w:tcW w:w="1115" w:type="pct"/>
            <w:tcMar>
              <w:top w:w="15" w:type="dxa"/>
              <w:left w:w="15" w:type="dxa"/>
              <w:bottom w:w="15" w:type="dxa"/>
              <w:right w:w="15" w:type="dxa"/>
            </w:tcMar>
            <w:vAlign w:val="center"/>
          </w:tcPr>
          <w:p w14:paraId="5E713C19">
            <w:pPr>
              <w:keepNext w:val="0"/>
              <w:keepLines w:val="0"/>
              <w:widowControl/>
              <w:suppressLineNumbers w:val="0"/>
              <w:spacing w:line="240" w:lineRule="auto"/>
              <w:jc w:val="center"/>
              <w:textAlignment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159</w:t>
            </w:r>
          </w:p>
        </w:tc>
        <w:tc>
          <w:tcPr>
            <w:tcW w:w="951" w:type="pct"/>
            <w:vAlign w:val="center"/>
          </w:tcPr>
          <w:p w14:paraId="7F0581BF">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mg/L</w:t>
            </w:r>
          </w:p>
        </w:tc>
        <w:tc>
          <w:tcPr>
            <w:tcW w:w="951" w:type="pct"/>
            <w:vAlign w:val="center"/>
          </w:tcPr>
          <w:p w14:paraId="3BBBB1E8">
            <w:pPr>
              <w:adjustRightInd w:val="0"/>
              <w:snapToGrid w:val="0"/>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b w:val="0"/>
                <w:bCs w:val="0"/>
                <w:sz w:val="18"/>
                <w:szCs w:val="18"/>
              </w:rPr>
              <w:t>≤1000(2000)</w:t>
            </w:r>
            <w:r>
              <w:rPr>
                <w:rFonts w:hint="default" w:ascii="Times New Roman" w:hAnsi="Times New Roman" w:eastAsia="宋体" w:cs="Times New Roman"/>
                <w:b w:val="0"/>
                <w:bCs w:val="0"/>
                <w:sz w:val="18"/>
                <w:szCs w:val="18"/>
                <w:vertAlign w:val="superscript"/>
              </w:rPr>
              <w:t>a</w:t>
            </w:r>
          </w:p>
        </w:tc>
        <w:tc>
          <w:tcPr>
            <w:tcW w:w="951" w:type="pct"/>
            <w:vAlign w:val="center"/>
          </w:tcPr>
          <w:p w14:paraId="5E3892B5">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达标</w:t>
            </w:r>
          </w:p>
        </w:tc>
      </w:tr>
      <w:tr w14:paraId="364D3CA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8" w:type="pct"/>
            <w:tcMar>
              <w:top w:w="15" w:type="dxa"/>
              <w:left w:w="15" w:type="dxa"/>
              <w:bottom w:w="15" w:type="dxa"/>
              <w:right w:w="15" w:type="dxa"/>
            </w:tcMar>
            <w:vAlign w:val="center"/>
          </w:tcPr>
          <w:p w14:paraId="7BD3DAEB">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溶解氧</w:t>
            </w:r>
          </w:p>
        </w:tc>
        <w:tc>
          <w:tcPr>
            <w:tcW w:w="1115" w:type="pct"/>
            <w:tcMar>
              <w:top w:w="15" w:type="dxa"/>
              <w:left w:w="15" w:type="dxa"/>
              <w:bottom w:w="15" w:type="dxa"/>
              <w:right w:w="15" w:type="dxa"/>
            </w:tcMar>
            <w:vAlign w:val="center"/>
          </w:tcPr>
          <w:p w14:paraId="7FB44DE8">
            <w:pPr>
              <w:keepNext w:val="0"/>
              <w:keepLines w:val="0"/>
              <w:widowControl/>
              <w:suppressLineNumbers w:val="0"/>
              <w:spacing w:line="240" w:lineRule="auto"/>
              <w:jc w:val="center"/>
              <w:textAlignment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7.41</w:t>
            </w:r>
          </w:p>
        </w:tc>
        <w:tc>
          <w:tcPr>
            <w:tcW w:w="951" w:type="pct"/>
            <w:vAlign w:val="center"/>
          </w:tcPr>
          <w:p w14:paraId="600A237D">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mg/L</w:t>
            </w:r>
          </w:p>
        </w:tc>
        <w:tc>
          <w:tcPr>
            <w:tcW w:w="951" w:type="pct"/>
            <w:vAlign w:val="center"/>
          </w:tcPr>
          <w:p w14:paraId="7EBFF3BE">
            <w:pPr>
              <w:adjustRightInd w:val="0"/>
              <w:snapToGrid w:val="0"/>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b w:val="0"/>
                <w:bCs w:val="0"/>
                <w:sz w:val="18"/>
                <w:szCs w:val="18"/>
              </w:rPr>
              <w:t>≥2.0</w:t>
            </w:r>
          </w:p>
        </w:tc>
        <w:tc>
          <w:tcPr>
            <w:tcW w:w="951" w:type="pct"/>
            <w:vAlign w:val="center"/>
          </w:tcPr>
          <w:p w14:paraId="1687B78C">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达标</w:t>
            </w:r>
          </w:p>
        </w:tc>
      </w:tr>
      <w:tr w14:paraId="00A37F9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8" w:type="pct"/>
            <w:tcMar>
              <w:top w:w="15" w:type="dxa"/>
              <w:left w:w="15" w:type="dxa"/>
              <w:bottom w:w="15" w:type="dxa"/>
              <w:right w:w="15" w:type="dxa"/>
            </w:tcMar>
            <w:vAlign w:val="center"/>
          </w:tcPr>
          <w:p w14:paraId="439A70DB">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总氯</w:t>
            </w:r>
          </w:p>
        </w:tc>
        <w:tc>
          <w:tcPr>
            <w:tcW w:w="1115" w:type="pct"/>
            <w:tcMar>
              <w:top w:w="15" w:type="dxa"/>
              <w:left w:w="15" w:type="dxa"/>
              <w:bottom w:w="15" w:type="dxa"/>
              <w:right w:w="15" w:type="dxa"/>
            </w:tcMar>
            <w:vAlign w:val="center"/>
          </w:tcPr>
          <w:p w14:paraId="19A418C9">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0.60</w:t>
            </w:r>
          </w:p>
        </w:tc>
        <w:tc>
          <w:tcPr>
            <w:tcW w:w="951" w:type="pct"/>
            <w:vAlign w:val="center"/>
          </w:tcPr>
          <w:p w14:paraId="14DC3B7F">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mg/L</w:t>
            </w:r>
          </w:p>
        </w:tc>
        <w:tc>
          <w:tcPr>
            <w:tcW w:w="951" w:type="pct"/>
            <w:vAlign w:val="center"/>
          </w:tcPr>
          <w:p w14:paraId="42EC6B1B">
            <w:pPr>
              <w:adjustRightInd w:val="0"/>
              <w:snapToGrid w:val="0"/>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b w:val="0"/>
                <w:bCs w:val="0"/>
                <w:sz w:val="18"/>
                <w:szCs w:val="18"/>
              </w:rPr>
              <w:t>≥1.0（出厂），0.2</w:t>
            </w:r>
            <w:r>
              <w:rPr>
                <w:rFonts w:hint="default" w:ascii="Times New Roman" w:hAnsi="Times New Roman" w:eastAsia="宋体" w:cs="Times New Roman"/>
                <w:b w:val="0"/>
                <w:bCs w:val="0"/>
                <w:sz w:val="18"/>
                <w:szCs w:val="18"/>
                <w:vertAlign w:val="superscript"/>
              </w:rPr>
              <w:t>b</w:t>
            </w:r>
            <w:r>
              <w:rPr>
                <w:rFonts w:hint="default" w:ascii="Times New Roman" w:hAnsi="Times New Roman" w:cs="Times New Roman"/>
                <w:b w:val="0"/>
                <w:bCs w:val="0"/>
                <w:sz w:val="18"/>
                <w:szCs w:val="18"/>
                <w:vertAlign w:val="superscript"/>
                <w:lang w:eastAsia="zh-CN"/>
              </w:rPr>
              <w:t>（</w:t>
            </w:r>
            <w:r>
              <w:rPr>
                <w:rFonts w:hint="default" w:ascii="Times New Roman" w:hAnsi="Times New Roman" w:eastAsia="宋体" w:cs="Times New Roman"/>
                <w:b w:val="0"/>
                <w:bCs w:val="0"/>
                <w:sz w:val="18"/>
                <w:szCs w:val="18"/>
              </w:rPr>
              <w:t>管网末端</w:t>
            </w:r>
            <w:r>
              <w:rPr>
                <w:rFonts w:hint="default" w:ascii="Times New Roman" w:hAnsi="Times New Roman" w:cs="Times New Roman"/>
                <w:b w:val="0"/>
                <w:bCs w:val="0"/>
                <w:sz w:val="18"/>
                <w:szCs w:val="18"/>
                <w:lang w:eastAsia="zh-CN"/>
              </w:rPr>
              <w:t>）</w:t>
            </w:r>
          </w:p>
        </w:tc>
        <w:tc>
          <w:tcPr>
            <w:tcW w:w="951" w:type="pct"/>
            <w:vAlign w:val="center"/>
          </w:tcPr>
          <w:p w14:paraId="534E6BFE">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达标</w:t>
            </w:r>
          </w:p>
        </w:tc>
      </w:tr>
      <w:tr w14:paraId="3F6F4DE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8" w:type="pct"/>
            <w:tcMar>
              <w:top w:w="15" w:type="dxa"/>
              <w:left w:w="15" w:type="dxa"/>
              <w:bottom w:w="15" w:type="dxa"/>
              <w:right w:w="15" w:type="dxa"/>
            </w:tcMar>
            <w:vAlign w:val="center"/>
          </w:tcPr>
          <w:p w14:paraId="0BBAFA4F">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大肠埃希氏菌</w:t>
            </w:r>
          </w:p>
        </w:tc>
        <w:tc>
          <w:tcPr>
            <w:tcW w:w="1115" w:type="pct"/>
            <w:tcMar>
              <w:top w:w="15" w:type="dxa"/>
              <w:left w:w="15" w:type="dxa"/>
              <w:bottom w:w="15" w:type="dxa"/>
              <w:right w:w="15" w:type="dxa"/>
            </w:tcMar>
            <w:vAlign w:val="center"/>
          </w:tcPr>
          <w:p w14:paraId="753B1F04">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w:t>
            </w:r>
          </w:p>
        </w:tc>
        <w:tc>
          <w:tcPr>
            <w:tcW w:w="951" w:type="pct"/>
            <w:vAlign w:val="center"/>
          </w:tcPr>
          <w:p w14:paraId="0364A143">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MPN/100</w:t>
            </w:r>
            <w:r>
              <w:rPr>
                <w:rFonts w:hint="default" w:ascii="Times New Roman" w:hAnsi="Times New Roman" w:eastAsia="宋体" w:cs="Times New Roman"/>
                <w:kern w:val="2"/>
                <w:sz w:val="18"/>
                <w:szCs w:val="18"/>
                <w:highlight w:val="none"/>
                <w:lang w:val="en-US" w:eastAsia="zh-CN"/>
              </w:rPr>
              <w:t>mL</w:t>
            </w:r>
          </w:p>
        </w:tc>
        <w:tc>
          <w:tcPr>
            <w:tcW w:w="951" w:type="pct"/>
            <w:vAlign w:val="center"/>
          </w:tcPr>
          <w:p w14:paraId="1BFF06FF">
            <w:pPr>
              <w:adjustRightInd w:val="0"/>
              <w:snapToGrid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eastAsia="宋体" w:cs="Times New Roman"/>
                <w:b w:val="0"/>
                <w:bCs w:val="0"/>
                <w:sz w:val="18"/>
                <w:szCs w:val="18"/>
              </w:rPr>
              <w:t>无（不应检出）</w:t>
            </w:r>
          </w:p>
        </w:tc>
        <w:tc>
          <w:tcPr>
            <w:tcW w:w="951" w:type="pct"/>
            <w:vAlign w:val="center"/>
          </w:tcPr>
          <w:p w14:paraId="2E8E254D">
            <w:pP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达标</w:t>
            </w:r>
          </w:p>
        </w:tc>
      </w:tr>
    </w:tbl>
    <w:p w14:paraId="3B0D6DB2">
      <w:pPr>
        <w:adjustRightInd w:val="0"/>
        <w:snapToGrid w:val="0"/>
        <w:spacing w:line="360" w:lineRule="auto"/>
        <w:jc w:val="left"/>
        <w:rPr>
          <w:rFonts w:hint="default" w:ascii="Times New Roman" w:hAnsi="Times New Roman" w:cs="Times New Roman" w:eastAsiaTheme="minorEastAsia"/>
          <w:b/>
          <w:bCs/>
          <w:color w:val="auto"/>
          <w:sz w:val="24"/>
          <w:szCs w:val="24"/>
          <w:lang w:val="en-US" w:eastAsia="zh-CN"/>
        </w:rPr>
      </w:pPr>
    </w:p>
    <w:p w14:paraId="22B7B3DE">
      <w:pPr>
        <w:adjustRightInd w:val="0"/>
        <w:snapToGrid w:val="0"/>
        <w:spacing w:line="360" w:lineRule="auto"/>
        <w:jc w:val="left"/>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snapToGrid w:val="0"/>
          <w:color w:val="auto"/>
          <w:kern w:val="0"/>
          <w:sz w:val="24"/>
          <w:szCs w:val="24"/>
        </w:rPr>
        <w:t>废气</w:t>
      </w:r>
    </w:p>
    <w:p w14:paraId="145CEB15">
      <w:pPr>
        <w:snapToGrid w:val="0"/>
        <w:spacing w:line="360" w:lineRule="auto"/>
        <w:ind w:firstLine="480" w:firstLineChars="200"/>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
          <w:color w:val="000000"/>
          <w:sz w:val="24"/>
          <w:szCs w:val="24"/>
        </w:rPr>
        <w:t>地下开采废气：</w:t>
      </w:r>
      <w:r>
        <w:rPr>
          <w:rFonts w:hint="default" w:ascii="Times New Roman" w:hAnsi="Times New Roman" w:cs="Times New Roman" w:eastAsiaTheme="minorEastAsia"/>
          <w:color w:val="000000"/>
          <w:sz w:val="24"/>
          <w:szCs w:val="24"/>
        </w:rPr>
        <w:t>采矿过程中在采取湿式作业、加强通风，废气通过采矿工程风井口集中排至地表。</w:t>
      </w:r>
    </w:p>
    <w:p w14:paraId="449ECF37">
      <w:pPr>
        <w:snapToGrid w:val="0"/>
        <w:spacing w:line="360" w:lineRule="auto"/>
        <w:ind w:firstLine="480" w:firstLineChars="200"/>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
          <w:color w:val="000000"/>
          <w:sz w:val="24"/>
          <w:szCs w:val="24"/>
        </w:rPr>
        <w:t>原矿堆场、废石场、道路扬尘：</w:t>
      </w:r>
      <w:r>
        <w:rPr>
          <w:rFonts w:hint="default" w:ascii="Times New Roman" w:hAnsi="Times New Roman" w:cs="Times New Roman" w:eastAsiaTheme="minorEastAsia"/>
          <w:color w:val="000000"/>
          <w:sz w:val="24"/>
          <w:szCs w:val="24"/>
        </w:rPr>
        <w:t>已配备一辆洒水车，每天不定时对原矿堆场、废石场、矿区道路等产尘场所进行洒水降尘，减少原矿堆场无组织粉尘污染。</w:t>
      </w:r>
    </w:p>
    <w:p w14:paraId="2DACBB7A">
      <w:pPr>
        <w:snapToGrid w:val="0"/>
        <w:spacing w:line="360" w:lineRule="auto"/>
        <w:ind w:firstLine="480" w:firstLineChars="200"/>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
          <w:color w:val="000000"/>
          <w:sz w:val="24"/>
          <w:szCs w:val="24"/>
        </w:rPr>
        <w:t>废石加工场扬尘：</w:t>
      </w:r>
      <w:r>
        <w:rPr>
          <w:rFonts w:hint="default" w:ascii="Times New Roman" w:hAnsi="Times New Roman" w:cs="Times New Roman" w:eastAsiaTheme="minorEastAsia"/>
          <w:color w:val="000000"/>
          <w:sz w:val="24"/>
          <w:szCs w:val="24"/>
        </w:rPr>
        <w:t>废石场破碎、输送、筛分、堆场采用喷雾降尘处理措施，已设置了6台R40风送式喷雾机对废石场各产尘点源进行喷雾降尘、抑尘。</w:t>
      </w:r>
    </w:p>
    <w:p w14:paraId="559EA8E2">
      <w:pPr>
        <w:snapToGrid w:val="0"/>
        <w:spacing w:line="360" w:lineRule="auto"/>
        <w:ind w:firstLine="480" w:firstLineChars="200"/>
        <w:rPr>
          <w:rFonts w:hint="default" w:ascii="Times New Roman" w:hAnsi="Times New Roman" w:cs="Times New Roman" w:eastAsiaTheme="minorEastAsia"/>
          <w:b/>
          <w:color w:val="000000"/>
          <w:sz w:val="24"/>
          <w:szCs w:val="24"/>
        </w:rPr>
      </w:pPr>
      <w:r>
        <w:rPr>
          <w:rFonts w:hint="default" w:ascii="Times New Roman" w:hAnsi="Times New Roman" w:cs="Times New Roman" w:eastAsiaTheme="minorEastAsia"/>
          <w:b/>
          <w:color w:val="000000"/>
          <w:sz w:val="24"/>
          <w:szCs w:val="24"/>
        </w:rPr>
        <w:t>汽车尾气：</w:t>
      </w:r>
      <w:r>
        <w:rPr>
          <w:rFonts w:hint="default" w:ascii="Times New Roman" w:hAnsi="Times New Roman" w:cs="Times New Roman" w:eastAsiaTheme="minorEastAsia"/>
          <w:color w:val="000000"/>
          <w:sz w:val="24"/>
          <w:szCs w:val="24"/>
        </w:rPr>
        <w:t>项目作业设备及运输车辆采用柴油作能源，产生尾气经绿化吸收和自然扩散后对周围环境影响不大</w:t>
      </w:r>
    </w:p>
    <w:p w14:paraId="13C536B2">
      <w:pPr>
        <w:snapToGrid w:val="0"/>
        <w:spacing w:line="360" w:lineRule="auto"/>
        <w:ind w:firstLine="480" w:firstLineChars="200"/>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
          <w:color w:val="000000"/>
          <w:sz w:val="24"/>
          <w:szCs w:val="24"/>
        </w:rPr>
        <w:t>食堂油烟：</w:t>
      </w:r>
      <w:r>
        <w:rPr>
          <w:rFonts w:hint="default" w:ascii="Times New Roman" w:hAnsi="Times New Roman" w:cs="Times New Roman" w:eastAsiaTheme="minorEastAsia"/>
          <w:color w:val="000000"/>
          <w:sz w:val="24"/>
          <w:szCs w:val="24"/>
        </w:rPr>
        <w:t>在铁矿生活区现有的两个职工食堂各安装1台油烟净化器，对食堂产生的油烟进行净化处理。</w:t>
      </w:r>
    </w:p>
    <w:p w14:paraId="24678CA9">
      <w:pPr>
        <w:pStyle w:val="39"/>
        <w:spacing w:line="360" w:lineRule="auto"/>
        <w:ind w:firstLine="480"/>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
          <w:bCs/>
          <w:color w:val="000000"/>
          <w:sz w:val="24"/>
          <w:szCs w:val="24"/>
        </w:rPr>
        <w:t>异味：</w:t>
      </w:r>
      <w:r>
        <w:rPr>
          <w:rFonts w:hint="default" w:ascii="Times New Roman" w:hAnsi="Times New Roman" w:cs="Times New Roman" w:eastAsiaTheme="minorEastAsia"/>
          <w:color w:val="000000"/>
          <w:sz w:val="24"/>
          <w:szCs w:val="24"/>
        </w:rPr>
        <w:t>主要来源于生活污水处理站处理过程等，属无组织排放，对周围环境影响不大。</w:t>
      </w:r>
    </w:p>
    <w:p w14:paraId="4C474BB1">
      <w:pPr>
        <w:pStyle w:val="39"/>
        <w:spacing w:line="360" w:lineRule="auto"/>
        <w:ind w:firstLine="480"/>
        <w:rPr>
          <w:rFonts w:hint="default" w:ascii="Times New Roman" w:hAnsi="Times New Roman" w:cs="Times New Roman" w:eastAsiaTheme="minorEastAsia"/>
          <w:color w:val="0066FF"/>
          <w:sz w:val="24"/>
          <w:szCs w:val="24"/>
        </w:rPr>
      </w:pPr>
      <w:r>
        <w:rPr>
          <w:rFonts w:hint="default" w:ascii="Times New Roman" w:hAnsi="Times New Roman" w:cs="Times New Roman" w:eastAsiaTheme="minorEastAsia"/>
          <w:color w:val="000000"/>
          <w:sz w:val="24"/>
          <w:szCs w:val="24"/>
        </w:rPr>
        <w:t>根据</w:t>
      </w:r>
      <w:r>
        <w:rPr>
          <w:rFonts w:hint="default" w:ascii="Times New Roman" w:hAnsi="Times New Roman" w:cs="Times New Roman" w:eastAsiaTheme="minorEastAsia"/>
          <w:color w:val="auto"/>
          <w:sz w:val="24"/>
          <w:szCs w:val="24"/>
        </w:rPr>
        <w:t>《云南新平仙福矿冶有限公司鲁奎山铁矿35万t/a开采项目竣工环境保护验收（噪声、固体废物）调查报告》</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000000"/>
          <w:sz w:val="24"/>
          <w:szCs w:val="24"/>
          <w:lang w:val="en-US" w:eastAsia="zh-CN"/>
        </w:rPr>
        <w:t>矿山</w:t>
      </w:r>
      <w:r>
        <w:rPr>
          <w:rFonts w:hint="default" w:ascii="Times New Roman" w:hAnsi="Times New Roman" w:cs="Times New Roman" w:eastAsiaTheme="minorEastAsia"/>
          <w:color w:val="000000"/>
          <w:sz w:val="24"/>
          <w:szCs w:val="24"/>
        </w:rPr>
        <w:t>无组织粉尘排放浓度范围为0.133</w:t>
      </w:r>
      <w:r>
        <w:rPr>
          <w:rFonts w:hint="default" w:ascii="Times New Roman" w:hAnsi="Times New Roman"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rPr>
        <w:t>0.978mg/Nm</w:t>
      </w:r>
      <w:r>
        <w:rPr>
          <w:rFonts w:hint="default" w:ascii="Times New Roman" w:hAnsi="Times New Roman" w:cs="Times New Roman" w:eastAsiaTheme="minorEastAsia"/>
          <w:color w:val="000000"/>
          <w:sz w:val="24"/>
          <w:szCs w:val="24"/>
          <w:vertAlign w:val="superscript"/>
        </w:rPr>
        <w:t>3</w:t>
      </w:r>
      <w:r>
        <w:rPr>
          <w:rFonts w:hint="default" w:ascii="Times New Roman" w:hAnsi="Times New Roman" w:cs="Times New Roman" w:eastAsiaTheme="minorEastAsia"/>
          <w:color w:val="000000"/>
          <w:sz w:val="24"/>
          <w:szCs w:val="24"/>
        </w:rPr>
        <w:t>，无组织粉尘排放满足《大气污染物综合排放标准》（GB16297-1996）表2新污染源大气污染物排放限值，即：总悬浮颗粒物无组织排放周界外最高点浓度≤1.0mg/Nm</w:t>
      </w:r>
      <w:r>
        <w:rPr>
          <w:rFonts w:hint="default" w:ascii="Times New Roman" w:hAnsi="Times New Roman" w:cs="Times New Roman" w:eastAsiaTheme="minorEastAsia"/>
          <w:color w:val="000000"/>
          <w:sz w:val="24"/>
          <w:szCs w:val="24"/>
          <w:vertAlign w:val="superscript"/>
        </w:rPr>
        <w:t>3</w:t>
      </w:r>
      <w:r>
        <w:rPr>
          <w:rFonts w:hint="default" w:ascii="Times New Roman" w:hAnsi="Times New Roman" w:cs="Times New Roman" w:eastAsiaTheme="minorEastAsia"/>
          <w:color w:val="000000"/>
          <w:sz w:val="24"/>
          <w:szCs w:val="24"/>
        </w:rPr>
        <w:t>；满足《铁矿采选工业污染物排放标准》（GB28661-2012）表7中规定的限值，即：颗粒物无组织排放浓度≤1.0mg/Nm</w:t>
      </w:r>
      <w:r>
        <w:rPr>
          <w:rFonts w:hint="default" w:ascii="Times New Roman" w:hAnsi="Times New Roman" w:cs="Times New Roman" w:eastAsiaTheme="minorEastAsia"/>
          <w:color w:val="000000"/>
          <w:sz w:val="24"/>
          <w:szCs w:val="24"/>
          <w:vertAlign w:val="superscript"/>
        </w:rPr>
        <w:t>3</w:t>
      </w:r>
      <w:r>
        <w:rPr>
          <w:rFonts w:hint="default" w:ascii="Times New Roman" w:hAnsi="Times New Roman" w:cs="Times New Roman" w:eastAsiaTheme="minorEastAsia"/>
          <w:color w:val="000000"/>
          <w:sz w:val="24"/>
          <w:szCs w:val="24"/>
        </w:rPr>
        <w:t>。</w:t>
      </w:r>
    </w:p>
    <w:p w14:paraId="2C6680A7">
      <w:pPr>
        <w:adjustRightInd w:val="0"/>
        <w:snapToGrid w:val="0"/>
        <w:spacing w:line="360" w:lineRule="auto"/>
        <w:jc w:val="left"/>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snapToGrid w:val="0"/>
          <w:color w:val="auto"/>
          <w:kern w:val="0"/>
          <w:sz w:val="24"/>
          <w:szCs w:val="24"/>
        </w:rPr>
        <w:t>噪声</w:t>
      </w:r>
    </w:p>
    <w:p w14:paraId="567E2A95">
      <w:pPr>
        <w:pStyle w:val="39"/>
        <w:spacing w:line="360" w:lineRule="auto"/>
        <w:ind w:firstLine="480"/>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运营期噪声主要为潜孔钻机、空压机、风机、水泵、提升设备、破碎机、运输车辆等，设备噪声源强65~105dB（A）。</w:t>
      </w:r>
      <w:r>
        <w:rPr>
          <w:rFonts w:hint="default" w:ascii="Times New Roman" w:hAnsi="Times New Roman" w:cs="Times New Roman" w:eastAsiaTheme="minorEastAsia"/>
          <w:color w:val="000000"/>
          <w:sz w:val="24"/>
          <w:szCs w:val="24"/>
          <w:lang w:val="en-US" w:eastAsia="zh-CN"/>
        </w:rPr>
        <w:t>设备安装减振垫，</w:t>
      </w:r>
      <w:r>
        <w:rPr>
          <w:rFonts w:hint="default" w:ascii="Times New Roman" w:hAnsi="Times New Roman" w:cs="Times New Roman" w:eastAsiaTheme="minorEastAsia"/>
          <w:color w:val="000000"/>
          <w:sz w:val="24"/>
          <w:szCs w:val="24"/>
        </w:rPr>
        <w:t>定期进行检修，禁止带病生产；废石场颚式破碎机破坏物料撞击处加装耐磨的橡胶作为衬板，以</w:t>
      </w:r>
      <w:r>
        <w:rPr>
          <w:rFonts w:hint="default" w:ascii="Times New Roman" w:hAnsi="Times New Roman" w:cs="Times New Roman" w:eastAsiaTheme="minorEastAsia"/>
          <w:color w:val="000000"/>
          <w:sz w:val="24"/>
          <w:szCs w:val="24"/>
          <w:lang w:val="en-US" w:eastAsia="zh-CN"/>
        </w:rPr>
        <w:t>减</w:t>
      </w:r>
      <w:r>
        <w:rPr>
          <w:rFonts w:hint="default" w:ascii="Times New Roman" w:hAnsi="Times New Roman" w:cs="Times New Roman" w:eastAsiaTheme="minorEastAsia"/>
          <w:color w:val="000000"/>
          <w:sz w:val="24"/>
          <w:szCs w:val="24"/>
        </w:rPr>
        <w:t>少撞击过大造成的噪音；同时加强操作人员个体防护，戴耳塞作业；加强运输道路维护，在路口设置提示牌、运输车辆减速慢行。根据《云南新平仙福矿冶有限公司鲁奎山铁矿35万t/a开采项目竣工环境保护验收（噪声、固体废物）调查报告》</w:t>
      </w:r>
      <w:r>
        <w:rPr>
          <w:rFonts w:hint="default" w:ascii="Times New Roman" w:hAnsi="Times New Roman"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rPr>
        <w:t>各厂界噪声满足《工业企业厂界环境噪声排放标准》（GB12348-2008）2类区标准，即：昼间60dB(A)、夜间50dB(A)。</w:t>
      </w:r>
    </w:p>
    <w:p w14:paraId="6E2F1BB6">
      <w:pPr>
        <w:adjustRightInd w:val="0"/>
        <w:snapToGrid w:val="0"/>
        <w:spacing w:line="360" w:lineRule="auto"/>
        <w:jc w:val="left"/>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4、</w:t>
      </w:r>
      <w:r>
        <w:rPr>
          <w:rFonts w:hint="default" w:ascii="Times New Roman" w:hAnsi="Times New Roman" w:cs="Times New Roman" w:eastAsiaTheme="minorEastAsia"/>
          <w:b/>
          <w:bCs/>
          <w:snapToGrid w:val="0"/>
          <w:color w:val="auto"/>
          <w:kern w:val="0"/>
          <w:sz w:val="24"/>
          <w:szCs w:val="24"/>
        </w:rPr>
        <w:t>固体废物</w:t>
      </w:r>
    </w:p>
    <w:p w14:paraId="0449F7C3">
      <w:pPr>
        <w:snapToGrid w:val="0"/>
        <w:spacing w:line="360" w:lineRule="auto"/>
        <w:ind w:firstLine="480" w:firstLineChars="200"/>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
          <w:color w:val="000000"/>
          <w:sz w:val="24"/>
          <w:szCs w:val="24"/>
        </w:rPr>
        <w:t>废石：</w:t>
      </w:r>
      <w:r>
        <w:rPr>
          <w:rFonts w:hint="default" w:ascii="Times New Roman" w:hAnsi="Times New Roman" w:cs="Times New Roman" w:eastAsiaTheme="minorEastAsia"/>
          <w:color w:val="000000"/>
          <w:sz w:val="24"/>
          <w:szCs w:val="24"/>
        </w:rPr>
        <w:t>经对本项目废石进行浸出毒性和腐蚀性鉴定，废石为Ⅰ类一般工业固废。南排渣场底部1450米处建一个长60米、高6米的拦渣坝，开挖截洪沟。已对北部废石场停止排石工作，对部分高陡边坡按规范进行削坡减载，北排土场部分裸露地区种植了大量桉树、车桑籽苗等植物，现已初见成效。废石堆放于南排渣场，用于废石加工场利用。</w:t>
      </w:r>
    </w:p>
    <w:p w14:paraId="0C56F664">
      <w:pPr>
        <w:snapToGrid w:val="0"/>
        <w:spacing w:line="360" w:lineRule="auto"/>
        <w:ind w:firstLine="480" w:firstLineChars="200"/>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
          <w:color w:val="000000"/>
          <w:sz w:val="24"/>
          <w:szCs w:val="24"/>
        </w:rPr>
        <w:t>废机油：</w:t>
      </w:r>
      <w:r>
        <w:rPr>
          <w:rFonts w:hint="default" w:ascii="Times New Roman" w:hAnsi="Times New Roman" w:cs="Times New Roman" w:eastAsiaTheme="minorEastAsia"/>
          <w:color w:val="000000"/>
          <w:sz w:val="24"/>
          <w:szCs w:val="24"/>
        </w:rPr>
        <w:t>项目已在矿区生活区旁设置了一间危废暂存间，</w:t>
      </w:r>
      <w:r>
        <w:rPr>
          <w:rFonts w:hint="default" w:ascii="Times New Roman" w:hAnsi="Times New Roman" w:cs="Times New Roman" w:eastAsiaTheme="minorEastAsia"/>
          <w:color w:val="000000"/>
          <w:sz w:val="24"/>
          <w:szCs w:val="24"/>
          <w:lang w:val="en-US" w:eastAsia="zh-CN"/>
        </w:rPr>
        <w:t>面积约15㎡，</w:t>
      </w:r>
      <w:r>
        <w:rPr>
          <w:rFonts w:hint="default" w:ascii="Times New Roman" w:hAnsi="Times New Roman" w:cs="Times New Roman" w:eastAsiaTheme="minorEastAsia"/>
          <w:color w:val="000000"/>
          <w:sz w:val="24"/>
          <w:szCs w:val="24"/>
        </w:rPr>
        <w:t>并建立储存规范管理台账。废机油经收集后并入集团</w:t>
      </w:r>
      <w:r>
        <w:rPr>
          <w:rFonts w:hint="default" w:ascii="Times New Roman" w:hAnsi="Times New Roman"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rPr>
        <w:t>公司统一由公司一起交给具备处理资质的单位处置。</w:t>
      </w:r>
    </w:p>
    <w:p w14:paraId="4F86405F">
      <w:pPr>
        <w:pStyle w:val="53"/>
        <w:spacing w:line="360" w:lineRule="auto"/>
        <w:ind w:firstLine="480" w:firstLineChars="200"/>
        <w:jc w:val="left"/>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
          <w:color w:val="000000"/>
          <w:sz w:val="24"/>
          <w:szCs w:val="24"/>
        </w:rPr>
        <w:t>生活垃圾：</w:t>
      </w:r>
      <w:r>
        <w:rPr>
          <w:rFonts w:hint="default" w:ascii="Times New Roman" w:hAnsi="Times New Roman" w:cs="Times New Roman" w:eastAsiaTheme="minorEastAsia"/>
          <w:color w:val="000000"/>
          <w:sz w:val="24"/>
          <w:szCs w:val="24"/>
        </w:rPr>
        <w:t>项目在矿区内新建一个生活垃圾池，垃圾池底部已作防渗处理，生活垃圾经收集后并定期清运至扬武镇生活垃圾集中收集点，统一处置。</w:t>
      </w:r>
    </w:p>
    <w:bookmarkEnd w:id="219"/>
    <w:p w14:paraId="4795C26C">
      <w:pPr>
        <w:pStyle w:val="6"/>
        <w:bidi w:val="0"/>
        <w:rPr>
          <w:rFonts w:hint="default" w:ascii="Times New Roman" w:hAnsi="Times New Roman" w:cs="Times New Roman"/>
          <w:color w:val="auto"/>
          <w:lang w:val="en-US" w:eastAsia="zh-CN"/>
        </w:rPr>
      </w:pPr>
      <w:bookmarkStart w:id="223" w:name="_Toc165816729"/>
      <w:bookmarkStart w:id="224" w:name="_Toc16886"/>
      <w:r>
        <w:rPr>
          <w:rFonts w:hint="default" w:ascii="Times New Roman" w:hAnsi="Times New Roman" w:cs="Times New Roman"/>
          <w:color w:val="auto"/>
          <w:lang w:val="en-US" w:eastAsia="zh-CN"/>
        </w:rPr>
        <w:t>3.1.9鲁奎山铁矿近三年各级督察、检查以及整改完善情况</w:t>
      </w:r>
    </w:p>
    <w:p w14:paraId="42E7662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第二轮省</w:t>
      </w:r>
      <w:r>
        <w:rPr>
          <w:rFonts w:hint="default" w:ascii="Times New Roman" w:hAnsi="Times New Roman" w:eastAsia="宋体" w:cs="Times New Roman"/>
          <w:color w:val="auto"/>
          <w:sz w:val="24"/>
          <w:szCs w:val="24"/>
          <w:lang w:val="en-US" w:eastAsia="zh-CN"/>
        </w:rPr>
        <w:t>生态环境保护督察反馈问题指出：</w:t>
      </w:r>
      <w:r>
        <w:rPr>
          <w:rFonts w:hint="default" w:ascii="Times New Roman" w:hAnsi="Times New Roman" w:eastAsia="宋体" w:cs="Times New Roman"/>
          <w:color w:val="auto"/>
          <w:sz w:val="24"/>
          <w:szCs w:val="24"/>
        </w:rPr>
        <w:t>玉溪仙福矿冶有限公司鲁奎山铁矿仍有51.08亩未开展治理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2023年11月2日，新平县自然资源局和规划局组织新平县有关部门到现场检查下发：“关于加快鲁奎山铁矿生态修复工作的通知”。矿山于2023年12月开始至今开展治理工作：进行削坡分级、覆土、种树及种草，效果明显。完成 BW1 治理（12）面积44.6亩 ；BW2治理（13）面积85.5亩，治理（21）面积27.5亩；BW3治理（6）面积35.34亩。</w:t>
      </w:r>
    </w:p>
    <w:p w14:paraId="2A0D97A7">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t>.1.</w:t>
      </w:r>
      <w:r>
        <w:rPr>
          <w:rFonts w:hint="default" w:ascii="Times New Roman" w:hAnsi="Times New Roman" w:cs="Times New Roman"/>
          <w:color w:val="auto"/>
          <w:lang w:val="en-US" w:eastAsia="zh-CN"/>
        </w:rPr>
        <w:t>10本项目依托工程</w:t>
      </w:r>
      <w:r>
        <w:rPr>
          <w:rFonts w:hint="default" w:ascii="Times New Roman" w:hAnsi="Times New Roman" w:cs="Times New Roman"/>
          <w:color w:val="auto"/>
        </w:rPr>
        <w:t>存在的环境保护问题</w:t>
      </w:r>
      <w:r>
        <w:rPr>
          <w:rFonts w:hint="default" w:ascii="Times New Roman" w:hAnsi="Times New Roman" w:cs="Times New Roman"/>
          <w:color w:val="auto"/>
          <w:lang w:val="en-US" w:eastAsia="zh-CN"/>
        </w:rPr>
        <w:t>及</w:t>
      </w:r>
      <w:r>
        <w:rPr>
          <w:rFonts w:hint="default" w:ascii="Times New Roman" w:hAnsi="Times New Roman" w:cs="Times New Roman"/>
          <w:color w:val="auto"/>
        </w:rPr>
        <w:t>整改措施</w:t>
      </w:r>
      <w:bookmarkEnd w:id="223"/>
      <w:bookmarkEnd w:id="224"/>
    </w:p>
    <w:p w14:paraId="22CDD8BA">
      <w:pPr>
        <w:pStyle w:val="7"/>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.1.</w:t>
      </w:r>
      <w:r>
        <w:rPr>
          <w:rFonts w:hint="default" w:ascii="Times New Roman" w:hAnsi="Times New Roman" w:cs="Times New Roman"/>
          <w:lang w:val="en-US" w:eastAsia="zh-CN"/>
        </w:rPr>
        <w:t>10</w:t>
      </w:r>
      <w:r>
        <w:rPr>
          <w:rFonts w:hint="default" w:ascii="Times New Roman" w:hAnsi="Times New Roman" w:cs="Times New Roman"/>
        </w:rPr>
        <w:t>.1存在的环境保护问题</w:t>
      </w:r>
    </w:p>
    <w:p w14:paraId="532E6ECC">
      <w:pPr>
        <w:spacing w:line="360" w:lineRule="auto"/>
        <w:ind w:firstLine="480" w:firstLineChars="200"/>
        <w:rPr>
          <w:rFonts w:hint="default" w:ascii="Times New Roman" w:hAnsi="Times New Roman" w:cs="Times New Roman" w:eastAsiaTheme="minorEastAsia"/>
          <w:bCs/>
          <w:color w:val="auto"/>
          <w:sz w:val="24"/>
          <w:szCs w:val="24"/>
          <w:lang w:val="en-US" w:eastAsia="zh-CN"/>
        </w:rPr>
      </w:pPr>
      <w:r>
        <w:rPr>
          <w:rFonts w:hint="default" w:ascii="Times New Roman" w:hAnsi="Times New Roman" w:cs="Times New Roman" w:eastAsiaTheme="minorEastAsia"/>
          <w:bCs/>
          <w:color w:val="auto"/>
          <w:sz w:val="24"/>
          <w:szCs w:val="24"/>
          <w:lang w:val="en-US" w:eastAsia="zh-CN"/>
        </w:rPr>
        <w:t>1、6号料场未设置初期雨水收集池。</w:t>
      </w:r>
    </w:p>
    <w:p w14:paraId="70294E75">
      <w:pPr>
        <w:spacing w:line="360" w:lineRule="auto"/>
        <w:ind w:firstLine="480" w:firstLineChars="200"/>
        <w:rPr>
          <w:rFonts w:hint="default" w:ascii="Times New Roman" w:hAnsi="Times New Roman" w:cs="Times New Roman" w:eastAsiaTheme="minorEastAsia"/>
          <w:bCs/>
          <w:sz w:val="24"/>
          <w:szCs w:val="24"/>
          <w:lang w:val="en-US" w:eastAsia="zh-CN"/>
        </w:rPr>
      </w:pPr>
      <w:r>
        <w:rPr>
          <w:rFonts w:hint="default" w:ascii="Times New Roman" w:hAnsi="Times New Roman" w:cs="Times New Roman" w:eastAsiaTheme="minorEastAsia"/>
          <w:bCs/>
          <w:sz w:val="24"/>
          <w:szCs w:val="24"/>
          <w:lang w:val="en-US" w:eastAsia="zh-CN"/>
        </w:rPr>
        <w:t>2、6号料场原料堆为露天式，地面</w:t>
      </w:r>
      <w:r>
        <w:rPr>
          <w:rFonts w:hint="default" w:ascii="Times New Roman" w:hAnsi="Times New Roman" w:cs="Times New Roman" w:eastAsiaTheme="minorEastAsia"/>
          <w:bCs/>
          <w:color w:val="auto"/>
          <w:sz w:val="24"/>
          <w:szCs w:val="24"/>
          <w:lang w:val="en-US" w:eastAsia="zh-CN"/>
        </w:rPr>
        <w:t>未进行防渗。</w:t>
      </w:r>
    </w:p>
    <w:p w14:paraId="09A015BD">
      <w:pPr>
        <w:spacing w:line="360" w:lineRule="auto"/>
        <w:ind w:firstLine="480" w:firstLineChars="200"/>
        <w:rPr>
          <w:rFonts w:hint="default" w:ascii="Times New Roman" w:hAnsi="Times New Roman" w:cs="Times New Roman" w:eastAsiaTheme="minorEastAsia"/>
          <w:color w:val="0070C0"/>
          <w:sz w:val="24"/>
          <w:szCs w:val="24"/>
        </w:rPr>
      </w:pPr>
      <w:r>
        <w:rPr>
          <w:rFonts w:hint="default" w:ascii="Times New Roman" w:hAnsi="Times New Roman" w:cs="Times New Roman" w:eastAsiaTheme="minorEastAsia"/>
          <w:bCs/>
          <w:sz w:val="24"/>
          <w:szCs w:val="24"/>
          <w:lang w:val="en-US" w:eastAsia="zh-CN"/>
        </w:rPr>
        <w:t>3、矿山现有危废暂存间建设不符合</w:t>
      </w:r>
      <w:r>
        <w:rPr>
          <w:rFonts w:hint="default" w:ascii="Times New Roman" w:hAnsi="Times New Roman" w:cs="Times New Roman" w:eastAsiaTheme="minorEastAsia"/>
          <w:bCs/>
          <w:sz w:val="24"/>
          <w:szCs w:val="24"/>
        </w:rPr>
        <w:t>《危险废物贮存污染控制标准》（GB 18597-2023）</w:t>
      </w:r>
      <w:r>
        <w:rPr>
          <w:rFonts w:hint="default" w:ascii="Times New Roman" w:hAnsi="Times New Roman" w:cs="Times New Roman" w:eastAsiaTheme="minorEastAsia"/>
          <w:bCs/>
          <w:sz w:val="24"/>
          <w:szCs w:val="24"/>
          <w:lang w:val="en-US" w:eastAsia="zh-CN"/>
        </w:rPr>
        <w:t>要求</w:t>
      </w:r>
      <w:r>
        <w:rPr>
          <w:rFonts w:hint="default" w:ascii="Times New Roman" w:hAnsi="Times New Roman" w:cs="Times New Roman" w:eastAsiaTheme="minorEastAsia"/>
          <w:bCs/>
          <w:sz w:val="24"/>
          <w:szCs w:val="24"/>
          <w:lang w:eastAsia="zh-CN"/>
        </w:rPr>
        <w:t>。</w:t>
      </w:r>
      <w:r>
        <w:rPr>
          <w:rFonts w:hint="default" w:ascii="Times New Roman" w:hAnsi="Times New Roman" w:cs="Times New Roman" w:eastAsiaTheme="minorEastAsia"/>
          <w:bCs/>
          <w:sz w:val="24"/>
          <w:szCs w:val="24"/>
          <w:lang w:val="en-US" w:eastAsia="zh-CN"/>
        </w:rPr>
        <w:t>墙体采用砖块砌筑，缝隙较大；地面及裙脚未进行重点防渗；</w:t>
      </w:r>
      <w:r>
        <w:rPr>
          <w:rFonts w:hint="default" w:ascii="Times New Roman" w:hAnsi="Times New Roman" w:cs="Times New Roman" w:eastAsiaTheme="minorEastAsia"/>
          <w:sz w:val="24"/>
          <w:szCs w:val="24"/>
        </w:rPr>
        <w:t>《危险废物识别标志设置技术规范》 （HJ 1276-2022）已于2022年12月30日发布，2023年7月1日起实施。根据新标准要求，危险废物识别标志，危险废物贮存分区标志，危险废物贮存设施标志已更新，</w:t>
      </w:r>
      <w:r>
        <w:rPr>
          <w:rFonts w:hint="default" w:ascii="Times New Roman" w:hAnsi="Times New Roman" w:cs="Times New Roman" w:eastAsiaTheme="minorEastAsia"/>
          <w:sz w:val="24"/>
          <w:szCs w:val="24"/>
          <w:lang w:val="en-US" w:eastAsia="zh-CN"/>
        </w:rPr>
        <w:t>矿山</w:t>
      </w:r>
      <w:r>
        <w:rPr>
          <w:rFonts w:hint="default" w:ascii="Times New Roman" w:hAnsi="Times New Roman" w:cs="Times New Roman" w:eastAsiaTheme="minorEastAsia"/>
          <w:bCs/>
          <w:sz w:val="24"/>
          <w:szCs w:val="24"/>
          <w:lang w:val="en-US" w:eastAsia="zh-CN"/>
        </w:rPr>
        <w:t>危废暂存间</w:t>
      </w:r>
      <w:r>
        <w:rPr>
          <w:rFonts w:hint="default" w:ascii="Times New Roman" w:hAnsi="Times New Roman" w:cs="Times New Roman" w:eastAsiaTheme="minorEastAsia"/>
          <w:sz w:val="24"/>
          <w:szCs w:val="24"/>
        </w:rPr>
        <w:t>危险废物相关标志牌尚未进行更新。</w:t>
      </w:r>
    </w:p>
    <w:p w14:paraId="5BF459D0">
      <w:pPr>
        <w:pStyle w:val="7"/>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.1.</w:t>
      </w:r>
      <w:r>
        <w:rPr>
          <w:rFonts w:hint="default" w:ascii="Times New Roman" w:hAnsi="Times New Roman" w:cs="Times New Roman"/>
          <w:lang w:val="en-US" w:eastAsia="zh-CN"/>
        </w:rPr>
        <w:t>10</w:t>
      </w:r>
      <w:r>
        <w:rPr>
          <w:rFonts w:hint="default" w:ascii="Times New Roman" w:hAnsi="Times New Roman" w:cs="Times New Roman"/>
        </w:rPr>
        <w:t>.2整改措施</w:t>
      </w:r>
    </w:p>
    <w:p w14:paraId="562C2980">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针对</w:t>
      </w:r>
      <w:r>
        <w:rPr>
          <w:rFonts w:hint="default" w:ascii="Times New Roman" w:hAnsi="Times New Roman" w:cs="Times New Roman" w:eastAsiaTheme="minorEastAsia"/>
          <w:sz w:val="24"/>
          <w:szCs w:val="24"/>
          <w:lang w:val="en-US" w:eastAsia="zh-CN"/>
        </w:rPr>
        <w:t>以上</w:t>
      </w:r>
      <w:r>
        <w:rPr>
          <w:rFonts w:hint="default" w:ascii="Times New Roman" w:hAnsi="Times New Roman" w:cs="Times New Roman" w:eastAsiaTheme="minorEastAsia"/>
          <w:sz w:val="24"/>
          <w:szCs w:val="24"/>
        </w:rPr>
        <w:t>环境问题，拟采取的整改措施如下：</w:t>
      </w:r>
    </w:p>
    <w:p w14:paraId="43A3A626">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1、6号料场占地面积约17800㎡，建设初期雨水收集池，收集6号料场及本项目产生的初期雨水，沉淀后用于场地洒水降尘。</w:t>
      </w:r>
    </w:p>
    <w:p w14:paraId="4482A8AD">
      <w:pPr>
        <w:pStyle w:val="38"/>
        <w:jc w:val="both"/>
        <w:rPr>
          <w:rFonts w:hint="default" w:ascii="Times New Roman" w:hAnsi="Times New Roman" w:cs="Times New Roman"/>
          <w:color w:val="auto"/>
          <w:lang w:val="en-US" w:eastAsia="zh-CN"/>
        </w:rPr>
      </w:pPr>
      <w:r>
        <w:rPr>
          <w:rFonts w:hint="default" w:ascii="Times New Roman" w:hAnsi="Times New Roman" w:cs="Times New Roman" w:eastAsiaTheme="minorEastAsia"/>
          <w:color w:val="auto"/>
          <w:sz w:val="24"/>
          <w:szCs w:val="24"/>
          <w:lang w:val="en-US" w:eastAsia="zh-CN"/>
        </w:rPr>
        <w:t>2、对6号料场原料堆建设半封闭式大棚，地面进行防渗，达到一般防渗要求。</w:t>
      </w:r>
    </w:p>
    <w:p w14:paraId="0126B430">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3、矿山现有危险废物暂存间按照</w:t>
      </w:r>
      <w:r>
        <w:rPr>
          <w:rFonts w:hint="default" w:ascii="Times New Roman" w:hAnsi="Times New Roman" w:cs="Times New Roman" w:eastAsiaTheme="minorEastAsia"/>
          <w:color w:val="auto"/>
          <w:sz w:val="24"/>
          <w:szCs w:val="24"/>
        </w:rPr>
        <w:t>《危险废物贮存污染控制标准》（GB 18597-2023）</w:t>
      </w:r>
      <w:r>
        <w:rPr>
          <w:rFonts w:hint="default" w:ascii="Times New Roman" w:hAnsi="Times New Roman" w:cs="Times New Roman" w:eastAsiaTheme="minorEastAsia"/>
          <w:color w:val="auto"/>
          <w:sz w:val="24"/>
          <w:szCs w:val="24"/>
          <w:lang w:val="en-US" w:eastAsia="zh-CN"/>
        </w:rPr>
        <w:t>进行改建，墙体等应采用坚固的材料建造，表面无裂缝。达到防风、防雨、防晒、防渗、防流失及扬散要求。</w:t>
      </w:r>
      <w:r>
        <w:rPr>
          <w:rFonts w:hint="default" w:ascii="Times New Roman" w:hAnsi="Times New Roman" w:cs="Times New Roman" w:eastAsiaTheme="minorEastAsia"/>
          <w:color w:val="auto"/>
          <w:sz w:val="24"/>
          <w:szCs w:val="24"/>
        </w:rPr>
        <w:t>并按照《危险废物识别标志设置技术规范》（HJ 1276-2022）要求，更新危险废物识别标志，</w:t>
      </w:r>
      <w:r>
        <w:rPr>
          <w:rFonts w:hint="default" w:ascii="Times New Roman" w:hAnsi="Times New Roman" w:cs="Times New Roman" w:eastAsiaTheme="minorEastAsia"/>
          <w:color w:val="auto"/>
          <w:sz w:val="24"/>
          <w:szCs w:val="24"/>
          <w:lang w:eastAsia="zh-CN"/>
        </w:rPr>
        <w:t>危险</w:t>
      </w:r>
      <w:r>
        <w:rPr>
          <w:rFonts w:hint="default" w:ascii="Times New Roman" w:hAnsi="Times New Roman" w:cs="Times New Roman" w:eastAsiaTheme="minorEastAsia"/>
          <w:color w:val="auto"/>
          <w:sz w:val="24"/>
          <w:szCs w:val="24"/>
        </w:rPr>
        <w:t>废物贮存分区标志，危险废物贮存设施标志。</w:t>
      </w:r>
    </w:p>
    <w:p w14:paraId="69AB7799">
      <w:pPr>
        <w:pStyle w:val="5"/>
        <w:bidi w:val="0"/>
        <w:rPr>
          <w:rFonts w:hint="default" w:ascii="Times New Roman" w:hAnsi="Times New Roman" w:cs="Times New Roman"/>
        </w:rPr>
      </w:pPr>
      <w:bookmarkStart w:id="225" w:name="_Toc11282"/>
      <w:bookmarkStart w:id="226" w:name="_Toc165816730"/>
      <w:bookmarkStart w:id="227" w:name="_Toc3848"/>
      <w:bookmarkStart w:id="228" w:name="_Toc18640"/>
      <w:bookmarkStart w:id="229" w:name="_Toc15760"/>
      <w:bookmarkStart w:id="230" w:name="_Toc13196"/>
      <w:r>
        <w:rPr>
          <w:rFonts w:hint="default" w:ascii="Times New Roman" w:hAnsi="Times New Roman" w:cs="Times New Roman"/>
          <w:lang w:val="en-US" w:eastAsia="zh-CN"/>
        </w:rPr>
        <w:t>3</w:t>
      </w:r>
      <w:r>
        <w:rPr>
          <w:rFonts w:hint="default" w:ascii="Times New Roman" w:hAnsi="Times New Roman" w:cs="Times New Roman"/>
        </w:rPr>
        <w:t>.2建设项目概况</w:t>
      </w:r>
      <w:bookmarkEnd w:id="225"/>
      <w:bookmarkEnd w:id="226"/>
      <w:bookmarkEnd w:id="227"/>
      <w:bookmarkEnd w:id="228"/>
      <w:bookmarkEnd w:id="229"/>
      <w:bookmarkEnd w:id="230"/>
    </w:p>
    <w:p w14:paraId="42F23554">
      <w:pPr>
        <w:pStyle w:val="6"/>
        <w:bidi w:val="0"/>
        <w:rPr>
          <w:rFonts w:hint="default" w:ascii="Times New Roman" w:hAnsi="Times New Roman" w:cs="Times New Roman"/>
        </w:rPr>
      </w:pPr>
      <w:bookmarkStart w:id="231" w:name="_Toc10221"/>
      <w:bookmarkStart w:id="232" w:name="_Toc165816731"/>
      <w:r>
        <w:rPr>
          <w:rFonts w:hint="default" w:ascii="Times New Roman" w:hAnsi="Times New Roman" w:cs="Times New Roman"/>
          <w:lang w:val="en-US" w:eastAsia="zh-CN"/>
        </w:rPr>
        <w:t>3</w:t>
      </w:r>
      <w:r>
        <w:rPr>
          <w:rFonts w:hint="default" w:ascii="Times New Roman" w:hAnsi="Times New Roman" w:cs="Times New Roman"/>
        </w:rPr>
        <w:t>.2.1项目基本情况</w:t>
      </w:r>
      <w:bookmarkEnd w:id="231"/>
      <w:bookmarkEnd w:id="232"/>
    </w:p>
    <w:p w14:paraId="3573789A">
      <w:pPr>
        <w:spacing w:line="360" w:lineRule="auto"/>
        <w:ind w:firstLine="482"/>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sz w:val="24"/>
          <w:szCs w:val="24"/>
        </w:rPr>
        <w:t>项目名称：云南新平仙福矿冶有限公司废石加工资源综合利用项目</w:t>
      </w:r>
    </w:p>
    <w:p w14:paraId="04A902AD">
      <w:pPr>
        <w:spacing w:line="360" w:lineRule="auto"/>
        <w:ind w:firstLine="480" w:firstLineChars="200"/>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sz w:val="24"/>
          <w:szCs w:val="24"/>
        </w:rPr>
        <w:t>项目代码：2404-530427-04-01-771767</w:t>
      </w:r>
    </w:p>
    <w:p w14:paraId="2A10EBEC">
      <w:pPr>
        <w:spacing w:line="360" w:lineRule="auto"/>
        <w:ind w:firstLine="482"/>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sz w:val="24"/>
          <w:szCs w:val="24"/>
        </w:rPr>
        <w:t>建设单位：云南新平仙福矿冶有限公司</w:t>
      </w:r>
    </w:p>
    <w:p w14:paraId="189BEE5D">
      <w:pPr>
        <w:spacing w:line="360" w:lineRule="auto"/>
        <w:ind w:firstLine="482"/>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sz w:val="24"/>
          <w:szCs w:val="24"/>
        </w:rPr>
        <w:t>项目性质：新建</w:t>
      </w:r>
    </w:p>
    <w:p w14:paraId="2C33FAE5">
      <w:pPr>
        <w:pStyle w:val="39"/>
        <w:spacing w:line="360" w:lineRule="auto"/>
        <w:ind w:firstLine="482"/>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sz w:val="24"/>
          <w:szCs w:val="24"/>
        </w:rPr>
        <w:t>项目投资</w:t>
      </w:r>
      <w:r>
        <w:rPr>
          <w:rFonts w:hint="default" w:ascii="Times New Roman" w:hAnsi="Times New Roman" w:cs="Times New Roman" w:eastAsiaTheme="minorEastAsia"/>
          <w:b w:val="0"/>
          <w:bCs w:val="0"/>
          <w:color w:val="auto"/>
          <w:sz w:val="24"/>
          <w:szCs w:val="24"/>
        </w:rPr>
        <w:t>：本项目总投资</w:t>
      </w:r>
      <w:r>
        <w:rPr>
          <w:rFonts w:hint="default" w:ascii="Times New Roman" w:hAnsi="Times New Roman" w:cs="Times New Roman" w:eastAsiaTheme="minorEastAsia"/>
          <w:b w:val="0"/>
          <w:bCs w:val="0"/>
          <w:color w:val="auto"/>
          <w:sz w:val="24"/>
          <w:szCs w:val="24"/>
          <w:lang w:val="en-US" w:eastAsia="zh-CN"/>
        </w:rPr>
        <w:t>330</w:t>
      </w:r>
      <w:r>
        <w:rPr>
          <w:rFonts w:hint="default" w:ascii="Times New Roman" w:hAnsi="Times New Roman" w:cs="Times New Roman" w:eastAsiaTheme="minorEastAsia"/>
          <w:b w:val="0"/>
          <w:bCs w:val="0"/>
          <w:color w:val="auto"/>
          <w:sz w:val="24"/>
          <w:szCs w:val="24"/>
        </w:rPr>
        <w:t>万元，环保投资为</w:t>
      </w:r>
      <w:r>
        <w:rPr>
          <w:rFonts w:hint="default" w:ascii="Times New Roman" w:hAnsi="Times New Roman" w:cs="Times New Roman" w:eastAsiaTheme="minorEastAsia"/>
          <w:b w:val="0"/>
          <w:bCs w:val="0"/>
          <w:color w:val="auto"/>
          <w:sz w:val="24"/>
          <w:szCs w:val="24"/>
          <w:lang w:val="en-US" w:eastAsia="zh-CN"/>
        </w:rPr>
        <w:t>69.9</w:t>
      </w:r>
      <w:r>
        <w:rPr>
          <w:rFonts w:hint="default" w:ascii="Times New Roman" w:hAnsi="Times New Roman" w:cs="Times New Roman" w:eastAsiaTheme="minorEastAsia"/>
          <w:b w:val="0"/>
          <w:bCs w:val="0"/>
          <w:color w:val="auto"/>
          <w:sz w:val="24"/>
          <w:szCs w:val="24"/>
        </w:rPr>
        <w:t>万元，占总投资的</w:t>
      </w:r>
      <w:r>
        <w:rPr>
          <w:rFonts w:hint="default" w:ascii="Times New Roman" w:hAnsi="Times New Roman" w:cs="Times New Roman" w:eastAsiaTheme="minorEastAsia"/>
          <w:b w:val="0"/>
          <w:bCs w:val="0"/>
          <w:color w:val="auto"/>
          <w:sz w:val="24"/>
          <w:szCs w:val="24"/>
          <w:lang w:val="en-US" w:eastAsia="zh-CN"/>
        </w:rPr>
        <w:t>21.18</w:t>
      </w:r>
      <w:r>
        <w:rPr>
          <w:rFonts w:hint="default" w:ascii="Times New Roman" w:hAnsi="Times New Roman" w:cs="Times New Roman" w:eastAsiaTheme="minorEastAsia"/>
          <w:b w:val="0"/>
          <w:bCs w:val="0"/>
          <w:color w:val="auto"/>
          <w:sz w:val="24"/>
          <w:szCs w:val="24"/>
        </w:rPr>
        <w:t>%。</w:t>
      </w:r>
    </w:p>
    <w:p w14:paraId="589F67A5">
      <w:pPr>
        <w:spacing w:line="360" w:lineRule="auto"/>
        <w:ind w:firstLine="482"/>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sz w:val="24"/>
          <w:szCs w:val="24"/>
        </w:rPr>
        <w:t>建设地点：云南省玉溪市新平彝族傣族自治县扬武镇</w:t>
      </w:r>
      <w:r>
        <w:rPr>
          <w:rFonts w:hint="default" w:ascii="Times New Roman" w:hAnsi="Times New Roman" w:cs="Times New Roman" w:eastAsiaTheme="minorEastAsia"/>
          <w:b w:val="0"/>
          <w:bCs w:val="0"/>
          <w:sz w:val="24"/>
          <w:szCs w:val="24"/>
          <w:lang w:val="en-US" w:eastAsia="zh-CN"/>
        </w:rPr>
        <w:t>大开门鲁奎山铁矿35万吨开采项目</w:t>
      </w:r>
      <w:r>
        <w:rPr>
          <w:rFonts w:hint="default" w:ascii="Times New Roman" w:hAnsi="Times New Roman" w:cs="Times New Roman" w:eastAsiaTheme="minorEastAsia"/>
          <w:b w:val="0"/>
          <w:bCs w:val="0"/>
          <w:color w:val="auto"/>
          <w:sz w:val="24"/>
          <w:szCs w:val="24"/>
          <w:lang w:val="en-US" w:eastAsia="zh-CN"/>
        </w:rPr>
        <w:t>6号料场</w:t>
      </w:r>
      <w:r>
        <w:rPr>
          <w:rFonts w:hint="default" w:ascii="Times New Roman" w:hAnsi="Times New Roman" w:cs="Times New Roman" w:eastAsiaTheme="minorEastAsia"/>
          <w:b w:val="0"/>
          <w:bCs w:val="0"/>
          <w:sz w:val="24"/>
          <w:szCs w:val="24"/>
        </w:rPr>
        <w:t>。</w:t>
      </w:r>
    </w:p>
    <w:p w14:paraId="6E15806D">
      <w:pPr>
        <w:spacing w:line="360" w:lineRule="auto"/>
        <w:ind w:firstLine="480" w:firstLineChars="200"/>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sz w:val="24"/>
          <w:szCs w:val="24"/>
        </w:rPr>
        <w:t>建设规模：本项目占地</w:t>
      </w:r>
      <w:r>
        <w:rPr>
          <w:rFonts w:hint="default" w:ascii="Times New Roman" w:hAnsi="Times New Roman" w:cs="Times New Roman" w:eastAsiaTheme="minorEastAsia"/>
          <w:b w:val="0"/>
          <w:bCs w:val="0"/>
          <w:color w:val="auto"/>
          <w:sz w:val="24"/>
          <w:szCs w:val="24"/>
        </w:rPr>
        <w:t>面积</w:t>
      </w:r>
      <w:r>
        <w:rPr>
          <w:rFonts w:hint="default" w:ascii="Times New Roman" w:hAnsi="Times New Roman" w:cs="Times New Roman" w:eastAsiaTheme="minorEastAsia"/>
          <w:b w:val="0"/>
          <w:bCs w:val="0"/>
          <w:color w:val="auto"/>
          <w:sz w:val="24"/>
          <w:szCs w:val="24"/>
          <w:lang w:val="en-US" w:eastAsia="zh-CN"/>
        </w:rPr>
        <w:t>3000</w:t>
      </w:r>
      <w:r>
        <w:rPr>
          <w:rFonts w:hint="default" w:ascii="Times New Roman" w:hAnsi="Times New Roman" w:cs="Times New Roman" w:eastAsiaTheme="minorEastAsia"/>
          <w:b w:val="0"/>
          <w:bCs w:val="0"/>
          <w:color w:val="auto"/>
          <w:sz w:val="24"/>
          <w:szCs w:val="24"/>
        </w:rPr>
        <w:t>m</w:t>
      </w:r>
      <w:r>
        <w:rPr>
          <w:rFonts w:hint="default" w:ascii="Times New Roman" w:hAnsi="Times New Roman" w:cs="Times New Roman" w:eastAsiaTheme="minorEastAsia"/>
          <w:b w:val="0"/>
          <w:bCs w:val="0"/>
          <w:color w:val="auto"/>
          <w:sz w:val="24"/>
          <w:szCs w:val="24"/>
          <w:vertAlign w:val="superscript"/>
        </w:rPr>
        <w:t>2</w:t>
      </w:r>
      <w:r>
        <w:rPr>
          <w:rFonts w:hint="default" w:ascii="Times New Roman" w:hAnsi="Times New Roman" w:cs="Times New Roman" w:eastAsiaTheme="minorEastAsia"/>
          <w:b w:val="0"/>
          <w:bCs w:val="0"/>
          <w:color w:val="auto"/>
          <w:sz w:val="24"/>
          <w:szCs w:val="24"/>
        </w:rPr>
        <w:t>，</w:t>
      </w:r>
      <w:bookmarkStart w:id="233" w:name="_Hlk162516053"/>
      <w:r>
        <w:rPr>
          <w:rFonts w:hint="default" w:ascii="Times New Roman" w:hAnsi="Times New Roman" w:cs="Times New Roman" w:eastAsiaTheme="minorEastAsia"/>
          <w:b w:val="0"/>
          <w:bCs w:val="0"/>
          <w:color w:val="auto"/>
          <w:sz w:val="24"/>
          <w:szCs w:val="24"/>
        </w:rPr>
        <w:t>利用矿区内</w:t>
      </w:r>
      <w:r>
        <w:rPr>
          <w:rFonts w:hint="default" w:ascii="Times New Roman" w:hAnsi="Times New Roman" w:cs="Times New Roman" w:eastAsiaTheme="minorEastAsia"/>
          <w:b w:val="0"/>
          <w:bCs w:val="0"/>
          <w:color w:val="auto"/>
          <w:sz w:val="24"/>
          <w:szCs w:val="24"/>
          <w:lang w:val="en-US" w:eastAsia="zh-CN"/>
        </w:rPr>
        <w:t>6号料场空地</w:t>
      </w:r>
      <w:r>
        <w:rPr>
          <w:rFonts w:hint="default" w:ascii="Times New Roman" w:hAnsi="Times New Roman" w:cs="Times New Roman" w:eastAsiaTheme="minorEastAsia"/>
          <w:b w:val="0"/>
          <w:bCs w:val="0"/>
          <w:color w:val="auto"/>
          <w:sz w:val="24"/>
          <w:szCs w:val="24"/>
        </w:rPr>
        <w:t>进行建设，不新增占地，</w:t>
      </w:r>
      <w:bookmarkStart w:id="234" w:name="_Hlk161849006"/>
      <w:r>
        <w:rPr>
          <w:rFonts w:hint="default" w:ascii="Times New Roman" w:hAnsi="Times New Roman" w:cs="Times New Roman" w:eastAsiaTheme="minorEastAsia"/>
          <w:b w:val="0"/>
          <w:bCs w:val="0"/>
          <w:color w:val="auto"/>
          <w:sz w:val="24"/>
          <w:szCs w:val="24"/>
        </w:rPr>
        <w:t>用地性质为</w:t>
      </w:r>
      <w:r>
        <w:rPr>
          <w:rFonts w:hint="default" w:ascii="Times New Roman" w:hAnsi="Times New Roman" w:cs="Times New Roman" w:eastAsiaTheme="minorEastAsia"/>
          <w:b w:val="0"/>
          <w:bCs w:val="0"/>
          <w:color w:val="auto"/>
          <w:sz w:val="24"/>
          <w:szCs w:val="24"/>
          <w:lang w:val="en-US" w:eastAsia="zh-CN"/>
        </w:rPr>
        <w:t>采矿</w:t>
      </w:r>
      <w:r>
        <w:rPr>
          <w:rFonts w:hint="default" w:ascii="Times New Roman" w:hAnsi="Times New Roman" w:cs="Times New Roman" w:eastAsiaTheme="minorEastAsia"/>
          <w:b w:val="0"/>
          <w:bCs w:val="0"/>
          <w:color w:val="auto"/>
          <w:sz w:val="24"/>
          <w:szCs w:val="24"/>
        </w:rPr>
        <w:t>用地</w:t>
      </w:r>
      <w:bookmarkEnd w:id="234"/>
      <w:r>
        <w:rPr>
          <w:rFonts w:hint="default" w:ascii="Times New Roman" w:hAnsi="Times New Roman" w:cs="Times New Roman" w:eastAsiaTheme="minorEastAsia"/>
          <w:b w:val="0"/>
          <w:bCs w:val="0"/>
          <w:color w:val="auto"/>
          <w:sz w:val="24"/>
          <w:szCs w:val="24"/>
        </w:rPr>
        <w:t>。</w:t>
      </w:r>
      <w:bookmarkEnd w:id="233"/>
      <w:bookmarkStart w:id="235" w:name="_Hlk161849072"/>
      <w:r>
        <w:rPr>
          <w:rFonts w:hint="default" w:ascii="Times New Roman" w:hAnsi="Times New Roman" w:cs="Times New Roman" w:eastAsiaTheme="minorEastAsia"/>
          <w:b w:val="0"/>
          <w:bCs w:val="0"/>
          <w:color w:val="auto"/>
          <w:sz w:val="24"/>
          <w:szCs w:val="24"/>
        </w:rPr>
        <w:t>项</w:t>
      </w:r>
      <w:r>
        <w:rPr>
          <w:rFonts w:hint="default" w:ascii="Times New Roman" w:hAnsi="Times New Roman" w:cs="Times New Roman" w:eastAsiaTheme="minorEastAsia"/>
          <w:b w:val="0"/>
          <w:bCs w:val="0"/>
          <w:sz w:val="24"/>
          <w:szCs w:val="24"/>
        </w:rPr>
        <w:t>目建成后具备菱铁矿选矿</w:t>
      </w:r>
      <w:r>
        <w:rPr>
          <w:rFonts w:hint="default" w:ascii="Times New Roman" w:hAnsi="Times New Roman" w:cs="Times New Roman" w:eastAsiaTheme="minorEastAsia"/>
          <w:b w:val="0"/>
          <w:bCs w:val="0"/>
          <w:sz w:val="24"/>
          <w:szCs w:val="24"/>
          <w:lang w:val="en-US" w:eastAsia="zh-CN"/>
        </w:rPr>
        <w:t>1</w:t>
      </w:r>
      <w:r>
        <w:rPr>
          <w:rFonts w:hint="default" w:ascii="Times New Roman" w:hAnsi="Times New Roman" w:cs="Times New Roman" w:eastAsiaTheme="minorEastAsia"/>
          <w:b w:val="0"/>
          <w:bCs w:val="0"/>
          <w:sz w:val="24"/>
          <w:szCs w:val="24"/>
        </w:rPr>
        <w:t>0万吨生产能力。</w:t>
      </w:r>
    </w:p>
    <w:bookmarkEnd w:id="235"/>
    <w:p w14:paraId="0ED8FB51">
      <w:pPr>
        <w:spacing w:line="360" w:lineRule="auto"/>
        <w:ind w:firstLine="480" w:firstLineChars="200"/>
        <w:rPr>
          <w:rFonts w:hint="default" w:ascii="Times New Roman" w:hAnsi="Times New Roman" w:cs="Times New Roman" w:eastAsiaTheme="minorEastAsia"/>
          <w:b w:val="0"/>
          <w:bCs w:val="0"/>
          <w:sz w:val="24"/>
          <w:szCs w:val="24"/>
        </w:rPr>
      </w:pPr>
      <w:bookmarkStart w:id="236" w:name="_Hlk161849038"/>
      <w:r>
        <w:rPr>
          <w:rFonts w:hint="default" w:ascii="Times New Roman" w:hAnsi="Times New Roman" w:cs="Times New Roman" w:eastAsiaTheme="minorEastAsia"/>
          <w:b w:val="0"/>
          <w:bCs w:val="0"/>
          <w:sz w:val="24"/>
          <w:szCs w:val="24"/>
        </w:rPr>
        <w:t>建设内容</w:t>
      </w:r>
      <w:bookmarkEnd w:id="236"/>
      <w:r>
        <w:rPr>
          <w:rFonts w:hint="default" w:ascii="Times New Roman" w:hAnsi="Times New Roman" w:cs="Times New Roman" w:eastAsiaTheme="minorEastAsia"/>
          <w:b w:val="0"/>
          <w:bCs w:val="0"/>
          <w:sz w:val="24"/>
          <w:szCs w:val="24"/>
        </w:rPr>
        <w:t>：</w:t>
      </w:r>
      <w:bookmarkStart w:id="237" w:name="_Hlk161849061"/>
      <w:r>
        <w:rPr>
          <w:rFonts w:hint="default" w:ascii="Times New Roman" w:hAnsi="Times New Roman" w:cs="Times New Roman" w:eastAsiaTheme="minorEastAsia"/>
          <w:b w:val="0"/>
          <w:bCs w:val="0"/>
          <w:color w:val="auto"/>
          <w:sz w:val="24"/>
          <w:szCs w:val="24"/>
          <w:lang w:val="en-US" w:eastAsia="zh-CN"/>
        </w:rPr>
        <w:t>为1套破碎－筛分－磁选的铁矿石选矿生产线</w:t>
      </w:r>
      <w:r>
        <w:rPr>
          <w:rFonts w:hint="default" w:ascii="Times New Roman" w:hAnsi="Times New Roman" w:cs="Times New Roman" w:eastAsiaTheme="minorEastAsia"/>
          <w:b w:val="0"/>
          <w:bCs w:val="0"/>
          <w:color w:val="auto"/>
          <w:sz w:val="24"/>
          <w:szCs w:val="24"/>
        </w:rPr>
        <w:t>。主要布置破碎设备、筛分设备</w:t>
      </w:r>
      <w:r>
        <w:rPr>
          <w:rFonts w:hint="default"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lang w:val="en-US" w:eastAsia="zh-CN"/>
        </w:rPr>
        <w:t>磁选设备</w:t>
      </w:r>
      <w:r>
        <w:rPr>
          <w:rFonts w:hint="default" w:ascii="Times New Roman" w:hAnsi="Times New Roman" w:cs="Times New Roman" w:eastAsiaTheme="minorEastAsia"/>
          <w:b w:val="0"/>
          <w:bCs w:val="0"/>
          <w:color w:val="auto"/>
          <w:sz w:val="24"/>
          <w:szCs w:val="24"/>
        </w:rPr>
        <w:t>及输送机等设备</w:t>
      </w:r>
      <w:r>
        <w:rPr>
          <w:rFonts w:hint="default" w:ascii="Times New Roman" w:hAnsi="Times New Roman" w:cs="Times New Roman" w:eastAsiaTheme="minorEastAsia"/>
          <w:b w:val="0"/>
          <w:bCs w:val="0"/>
          <w:sz w:val="24"/>
          <w:szCs w:val="24"/>
        </w:rPr>
        <w:t>。</w:t>
      </w:r>
    </w:p>
    <w:bookmarkEnd w:id="237"/>
    <w:p w14:paraId="06594AF5">
      <w:pPr>
        <w:adjustRightInd w:val="0"/>
        <w:snapToGrid w:val="0"/>
        <w:spacing w:line="360" w:lineRule="auto"/>
        <w:ind w:firstLine="480" w:firstLineChars="200"/>
        <w:rPr>
          <w:rFonts w:hint="default" w:ascii="Times New Roman" w:hAnsi="Times New Roman" w:cs="Times New Roman" w:eastAsiaTheme="minorEastAsia"/>
          <w:b w:val="0"/>
          <w:bCs w:val="0"/>
          <w:kern w:val="24"/>
          <w:sz w:val="24"/>
          <w:szCs w:val="24"/>
        </w:rPr>
      </w:pPr>
      <w:r>
        <w:rPr>
          <w:rFonts w:hint="default" w:ascii="Times New Roman" w:hAnsi="Times New Roman" w:cs="Times New Roman" w:eastAsiaTheme="minorEastAsia"/>
          <w:b w:val="0"/>
          <w:bCs w:val="0"/>
          <w:kern w:val="24"/>
          <w:sz w:val="24"/>
          <w:szCs w:val="24"/>
        </w:rPr>
        <w:t>工作制度：</w:t>
      </w:r>
      <w:bookmarkStart w:id="238" w:name="_Hlk161851576"/>
      <w:r>
        <w:rPr>
          <w:rFonts w:hint="default" w:ascii="Times New Roman" w:hAnsi="Times New Roman" w:cs="Times New Roman" w:eastAsiaTheme="minorEastAsia"/>
          <w:b w:val="0"/>
          <w:bCs w:val="0"/>
          <w:kern w:val="24"/>
          <w:sz w:val="24"/>
          <w:szCs w:val="24"/>
        </w:rPr>
        <w:t>本项目年工作时间300天，实行</w:t>
      </w:r>
      <w:r>
        <w:rPr>
          <w:rFonts w:hint="default" w:ascii="Times New Roman" w:hAnsi="Times New Roman" w:cs="Times New Roman" w:eastAsiaTheme="minorEastAsia"/>
          <w:b w:val="0"/>
          <w:bCs w:val="0"/>
          <w:kern w:val="24"/>
          <w:sz w:val="24"/>
          <w:szCs w:val="24"/>
          <w:lang w:val="en-US" w:eastAsia="zh-CN"/>
        </w:rPr>
        <w:t>一</w:t>
      </w:r>
      <w:r>
        <w:rPr>
          <w:rFonts w:hint="default" w:ascii="Times New Roman" w:hAnsi="Times New Roman" w:cs="Times New Roman" w:eastAsiaTheme="minorEastAsia"/>
          <w:b w:val="0"/>
          <w:bCs w:val="0"/>
          <w:kern w:val="24"/>
          <w:sz w:val="24"/>
          <w:szCs w:val="24"/>
        </w:rPr>
        <w:t>班工作制，每班工作8小时，年运行</w:t>
      </w:r>
      <w:r>
        <w:rPr>
          <w:rFonts w:hint="default" w:ascii="Times New Roman" w:hAnsi="Times New Roman" w:cs="Times New Roman" w:eastAsiaTheme="minorEastAsia"/>
          <w:b w:val="0"/>
          <w:bCs w:val="0"/>
          <w:kern w:val="24"/>
          <w:sz w:val="24"/>
          <w:szCs w:val="24"/>
          <w:lang w:val="en-US" w:eastAsia="zh-CN"/>
        </w:rPr>
        <w:t>2400</w:t>
      </w:r>
      <w:r>
        <w:rPr>
          <w:rFonts w:hint="default" w:ascii="Times New Roman" w:hAnsi="Times New Roman" w:cs="Times New Roman" w:eastAsiaTheme="minorEastAsia"/>
          <w:b w:val="0"/>
          <w:bCs w:val="0"/>
          <w:kern w:val="24"/>
          <w:sz w:val="24"/>
          <w:szCs w:val="24"/>
        </w:rPr>
        <w:t>小时。</w:t>
      </w:r>
    </w:p>
    <w:bookmarkEnd w:id="238"/>
    <w:p w14:paraId="6A895C2D">
      <w:pPr>
        <w:adjustRightInd w:val="0"/>
        <w:snapToGrid w:val="0"/>
        <w:spacing w:line="360" w:lineRule="auto"/>
        <w:ind w:firstLine="480" w:firstLineChars="200"/>
        <w:jc w:val="left"/>
        <w:rPr>
          <w:rFonts w:hint="default" w:ascii="Times New Roman" w:hAnsi="Times New Roman" w:cs="Times New Roman" w:eastAsiaTheme="minorEastAsia"/>
          <w:b w:val="0"/>
          <w:bCs w:val="0"/>
          <w:kern w:val="24"/>
          <w:sz w:val="24"/>
          <w:szCs w:val="24"/>
        </w:rPr>
      </w:pPr>
      <w:r>
        <w:rPr>
          <w:rFonts w:hint="default" w:ascii="Times New Roman" w:hAnsi="Times New Roman" w:cs="Times New Roman" w:eastAsiaTheme="minorEastAsia"/>
          <w:b w:val="0"/>
          <w:bCs w:val="0"/>
          <w:kern w:val="24"/>
          <w:sz w:val="24"/>
          <w:szCs w:val="24"/>
        </w:rPr>
        <w:t>劳动定员：</w:t>
      </w:r>
      <w:bookmarkStart w:id="239" w:name="_Hlk161851583"/>
      <w:r>
        <w:rPr>
          <w:rFonts w:hint="default" w:ascii="Times New Roman" w:hAnsi="Times New Roman" w:cs="Times New Roman" w:eastAsiaTheme="minorEastAsia"/>
          <w:b w:val="0"/>
          <w:bCs w:val="0"/>
          <w:kern w:val="24"/>
          <w:sz w:val="24"/>
          <w:szCs w:val="24"/>
        </w:rPr>
        <w:t>项目员工</w:t>
      </w:r>
      <w:r>
        <w:rPr>
          <w:rFonts w:hint="default" w:ascii="Times New Roman" w:hAnsi="Times New Roman" w:cs="Times New Roman" w:eastAsiaTheme="minorEastAsia"/>
          <w:b w:val="0"/>
          <w:bCs w:val="0"/>
          <w:kern w:val="24"/>
          <w:sz w:val="24"/>
          <w:szCs w:val="24"/>
          <w:lang w:val="en-US" w:eastAsia="zh-CN"/>
        </w:rPr>
        <w:t>5</w:t>
      </w:r>
      <w:r>
        <w:rPr>
          <w:rFonts w:hint="default" w:ascii="Times New Roman" w:hAnsi="Times New Roman" w:cs="Times New Roman" w:eastAsiaTheme="minorEastAsia"/>
          <w:b w:val="0"/>
          <w:bCs w:val="0"/>
          <w:kern w:val="24"/>
          <w:sz w:val="24"/>
          <w:szCs w:val="24"/>
        </w:rPr>
        <w:t>人。员工食宿依托</w:t>
      </w:r>
      <w:r>
        <w:rPr>
          <w:rFonts w:hint="default" w:ascii="Times New Roman" w:hAnsi="Times New Roman" w:cs="Times New Roman" w:eastAsiaTheme="minorEastAsia"/>
          <w:b w:val="0"/>
          <w:bCs w:val="0"/>
          <w:kern w:val="24"/>
          <w:sz w:val="24"/>
          <w:szCs w:val="24"/>
          <w:lang w:val="en-US" w:eastAsia="zh-CN"/>
        </w:rPr>
        <w:t>鲁奎山铁矿</w:t>
      </w:r>
      <w:r>
        <w:rPr>
          <w:rFonts w:hint="default" w:ascii="Times New Roman" w:hAnsi="Times New Roman" w:cs="Times New Roman" w:eastAsiaTheme="minorEastAsia"/>
          <w:b w:val="0"/>
          <w:bCs w:val="0"/>
          <w:sz w:val="24"/>
          <w:szCs w:val="24"/>
        </w:rPr>
        <w:t>厂区内食堂、宿舍楼</w:t>
      </w:r>
      <w:r>
        <w:rPr>
          <w:rFonts w:hint="default" w:ascii="Times New Roman" w:hAnsi="Times New Roman" w:cs="Times New Roman" w:eastAsiaTheme="minorEastAsia"/>
          <w:b w:val="0"/>
          <w:bCs w:val="0"/>
          <w:kern w:val="24"/>
          <w:sz w:val="24"/>
          <w:szCs w:val="24"/>
        </w:rPr>
        <w:t>。</w:t>
      </w:r>
    </w:p>
    <w:bookmarkEnd w:id="239"/>
    <w:p w14:paraId="31764A26">
      <w:pPr>
        <w:bidi w:val="0"/>
        <w:spacing w:line="360" w:lineRule="auto"/>
        <w:ind w:firstLine="480" w:firstLineChars="200"/>
        <w:rPr>
          <w:rFonts w:hint="default" w:ascii="Times New Roman" w:hAnsi="Times New Roman" w:cs="Times New Roman" w:eastAsiaTheme="minorEastAsia"/>
          <w:bCs/>
          <w:color w:val="auto"/>
          <w:sz w:val="24"/>
          <w:szCs w:val="24"/>
          <w:lang w:val="en-US" w:eastAsia="zh-CN"/>
        </w:rPr>
      </w:pPr>
      <w:bookmarkStart w:id="240" w:name="_Toc29722"/>
      <w:bookmarkStart w:id="241" w:name="_Toc165816732"/>
      <w:r>
        <w:rPr>
          <w:rFonts w:hint="default" w:ascii="Times New Roman" w:hAnsi="Times New Roman" w:cs="Times New Roman"/>
          <w:color w:val="auto"/>
          <w:sz w:val="24"/>
          <w:szCs w:val="24"/>
          <w:lang w:val="en-US" w:eastAsia="zh-CN"/>
        </w:rPr>
        <w:t>建设时间：主体</w:t>
      </w:r>
      <w:r>
        <w:rPr>
          <w:rFonts w:hint="default" w:ascii="Times New Roman" w:hAnsi="Times New Roman" w:eastAsia="宋体" w:cs="Times New Roman"/>
          <w:color w:val="auto"/>
          <w:sz w:val="24"/>
          <w:szCs w:val="24"/>
          <w:lang w:val="en-US" w:eastAsia="zh-CN"/>
        </w:rPr>
        <w:t>工程</w:t>
      </w:r>
      <w:r>
        <w:rPr>
          <w:rFonts w:hint="default" w:ascii="Times New Roman" w:hAnsi="Times New Roman" w:cs="Times New Roman"/>
          <w:color w:val="auto"/>
          <w:sz w:val="24"/>
          <w:szCs w:val="24"/>
          <w:lang w:val="en-US" w:eastAsia="zh-CN"/>
        </w:rPr>
        <w:t>于</w:t>
      </w:r>
      <w:r>
        <w:rPr>
          <w:rFonts w:hint="default" w:ascii="Times New Roman" w:hAnsi="Times New Roman" w:cs="Times New Roman" w:eastAsiaTheme="minorEastAsia"/>
          <w:bCs/>
          <w:color w:val="auto"/>
          <w:sz w:val="24"/>
          <w:szCs w:val="24"/>
          <w:lang w:val="en-US" w:eastAsia="zh-CN"/>
        </w:rPr>
        <w:t>2021年2月开始建设，于2021年5月完成。未建工程计划于2025年1月开工，工期6个月。</w:t>
      </w:r>
    </w:p>
    <w:p w14:paraId="1FF5254A">
      <w:pPr>
        <w:bidi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已建工程情况</w:t>
      </w:r>
      <w:r>
        <w:rPr>
          <w:rFonts w:hint="default" w:ascii="Times New Roman" w:hAnsi="Times New Roman" w:cs="Times New Roman"/>
          <w:color w:val="auto"/>
          <w:sz w:val="24"/>
          <w:szCs w:val="24"/>
          <w:lang w:val="en-US" w:eastAsia="zh-CN"/>
        </w:rPr>
        <w:t>及存在问题</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本项目已建破碎</w:t>
      </w:r>
      <w:r>
        <w:rPr>
          <w:rFonts w:hint="default" w:ascii="Times New Roman" w:hAnsi="Times New Roman" w:cs="Times New Roman"/>
          <w:color w:val="auto"/>
          <w:sz w:val="24"/>
          <w:szCs w:val="24"/>
          <w:lang w:val="en-US" w:eastAsia="zh-CN"/>
        </w:rPr>
        <w:t>筛分磁选生产</w:t>
      </w:r>
      <w:r>
        <w:rPr>
          <w:rFonts w:hint="default" w:ascii="Times New Roman" w:hAnsi="Times New Roman" w:eastAsia="宋体" w:cs="Times New Roman"/>
          <w:color w:val="auto"/>
          <w:sz w:val="24"/>
          <w:szCs w:val="24"/>
        </w:rPr>
        <w:t>线</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采用</w:t>
      </w:r>
      <w:r>
        <w:rPr>
          <w:rFonts w:hint="default" w:ascii="Times New Roman" w:hAnsi="Times New Roman" w:eastAsia="宋体" w:cs="Times New Roman"/>
          <w:color w:val="auto"/>
          <w:sz w:val="24"/>
          <w:szCs w:val="24"/>
          <w:lang w:val="en-US" w:eastAsia="zh-CN"/>
        </w:rPr>
        <w:t>露天布置</w:t>
      </w:r>
      <w:r>
        <w:rPr>
          <w:rFonts w:hint="default" w:ascii="Times New Roman" w:hAnsi="Times New Roman" w:eastAsia="宋体" w:cs="Times New Roman"/>
          <w:color w:val="auto"/>
          <w:sz w:val="24"/>
          <w:szCs w:val="24"/>
        </w:rPr>
        <w:t>，粉尘无组织排放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成品及砂石料露天堆放，地面未进行硬化防渗。</w:t>
      </w:r>
    </w:p>
    <w:p w14:paraId="1E704CC8">
      <w:pPr>
        <w:pStyle w:val="6"/>
        <w:bidi w:val="0"/>
        <w:rPr>
          <w:rFonts w:hint="default" w:ascii="Times New Roman" w:hAnsi="Times New Roman" w:cs="Times New Roman"/>
          <w:lang w:val="en-US" w:eastAsia="zh-CN"/>
        </w:rPr>
      </w:pPr>
      <w:bookmarkStart w:id="242" w:name="_Toc6109"/>
      <w:r>
        <w:rPr>
          <w:rFonts w:hint="default" w:ascii="Times New Roman" w:hAnsi="Times New Roman" w:cs="Times New Roman"/>
          <w:lang w:val="en-US" w:eastAsia="zh-CN"/>
        </w:rPr>
        <w:t>3.2.2拟建地块（鲁奎山铁矿6号料场）存在的历史问题</w:t>
      </w:r>
      <w:bookmarkEnd w:id="242"/>
    </w:p>
    <w:p w14:paraId="4E79A7C6">
      <w:pPr>
        <w:bidi w:val="0"/>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szCs w:val="24"/>
          <w:lang w:val="en-US" w:eastAsia="zh-CN"/>
        </w:rPr>
        <w:t>6号料场约2003年建设，作为鲁奎山铁矿原矿堆场使用。面积约17800㎡，目前堆存矿山经人工分选后的低品位原矿约20万吨，堆放占地约4000㎡。露天堆放，地面未做防渗，周边建设截排水沟，未建设初期雨水收集池。</w:t>
      </w:r>
    </w:p>
    <w:p w14:paraId="20E9A78D">
      <w:pPr>
        <w:bidi w:val="0"/>
        <w:spacing w:line="360" w:lineRule="auto"/>
        <w:ind w:firstLine="480" w:firstLineChars="200"/>
        <w:rPr>
          <w:rFonts w:hint="default" w:ascii="Times New Roman" w:hAnsi="Times New Roman" w:cs="Times New Roman"/>
          <w:color w:val="0000FF"/>
          <w:sz w:val="24"/>
          <w:szCs w:val="24"/>
          <w:lang w:val="en-US" w:eastAsia="zh-CN"/>
        </w:rPr>
      </w:pPr>
      <w:r>
        <w:rPr>
          <w:rFonts w:hint="default" w:ascii="Times New Roman" w:hAnsi="Times New Roman" w:eastAsia="宋体" w:cs="Times New Roman"/>
          <w:color w:val="auto"/>
          <w:lang w:val="en-US" w:eastAsia="zh-CN"/>
        </w:rPr>
        <w:t>建设单位于</w:t>
      </w:r>
      <w:r>
        <w:rPr>
          <w:rFonts w:hint="default" w:ascii="Times New Roman" w:hAnsi="Times New Roman" w:cs="Times New Roman"/>
          <w:szCs w:val="21"/>
          <w:highlight w:val="none"/>
          <w:lang w:val="en-US" w:eastAsia="zh-CN"/>
        </w:rPr>
        <w:t>2</w:t>
      </w:r>
      <w:r>
        <w:rPr>
          <w:rFonts w:hint="default" w:ascii="Times New Roman" w:hAnsi="Times New Roman" w:cs="Times New Roman"/>
          <w:color w:val="auto"/>
          <w:szCs w:val="21"/>
          <w:highlight w:val="none"/>
          <w:lang w:val="en-US" w:eastAsia="zh-CN"/>
        </w:rPr>
        <w:t>024.06.20</w:t>
      </w:r>
      <w:r>
        <w:rPr>
          <w:rFonts w:hint="default" w:ascii="Times New Roman" w:hAnsi="Times New Roman" w:eastAsia="宋体" w:cs="Times New Roman"/>
          <w:color w:val="auto"/>
          <w:lang w:val="en-US"/>
        </w:rPr>
        <w:t>委托</w:t>
      </w:r>
      <w:r>
        <w:rPr>
          <w:rFonts w:hint="default" w:ascii="Times New Roman" w:hAnsi="Times New Roman" w:cs="Times New Roman" w:eastAsiaTheme="minorEastAsia"/>
          <w:color w:val="auto"/>
          <w:kern w:val="0"/>
          <w:sz w:val="24"/>
          <w:szCs w:val="24"/>
          <w:highlight w:val="none"/>
        </w:rPr>
        <w:t>云南浩辰环保科技有限公司、江西志科检测技术有限公司</w:t>
      </w:r>
      <w:r>
        <w:rPr>
          <w:rFonts w:hint="default" w:ascii="Times New Roman" w:hAnsi="Times New Roman" w:eastAsia="宋体" w:cs="Times New Roman"/>
          <w:color w:val="auto"/>
          <w:lang w:val="en-US"/>
        </w:rPr>
        <w:t>对项目区</w:t>
      </w:r>
      <w:r>
        <w:rPr>
          <w:rFonts w:hint="default" w:ascii="Times New Roman" w:hAnsi="Times New Roman" w:eastAsia="宋体" w:cs="Times New Roman"/>
          <w:color w:val="auto"/>
          <w:lang w:val="en-US" w:eastAsia="zh-CN"/>
        </w:rPr>
        <w:t>土壤</w:t>
      </w:r>
      <w:r>
        <w:rPr>
          <w:rFonts w:hint="default" w:ascii="Times New Roman" w:hAnsi="Times New Roman" w:eastAsia="宋体" w:cs="Times New Roman"/>
          <w:color w:val="auto"/>
          <w:lang w:val="en-US"/>
        </w:rPr>
        <w:t>进行</w:t>
      </w:r>
      <w:r>
        <w:rPr>
          <w:rFonts w:hint="default" w:ascii="Times New Roman" w:hAnsi="Times New Roman" w:eastAsia="宋体" w:cs="Times New Roman"/>
          <w:color w:val="auto"/>
          <w:lang w:val="en-US" w:eastAsia="zh-CN"/>
        </w:rPr>
        <w:t>了</w:t>
      </w:r>
      <w:r>
        <w:rPr>
          <w:rFonts w:hint="default" w:ascii="Times New Roman" w:hAnsi="Times New Roman" w:eastAsia="宋体" w:cs="Times New Roman"/>
          <w:color w:val="auto"/>
          <w:lang w:val="en-US"/>
        </w:rPr>
        <w:t>监测</w:t>
      </w:r>
      <w:r>
        <w:rPr>
          <w:rFonts w:hint="default" w:ascii="Times New Roman" w:hAnsi="Times New Roman" w:eastAsia="宋体" w:cs="Times New Roman"/>
          <w:color w:val="auto"/>
          <w:lang w:val="en-US" w:eastAsia="zh-CN"/>
        </w:rPr>
        <w:t>，根据监测结果可知，本项目占地范围</w:t>
      </w:r>
      <w:r>
        <w:rPr>
          <w:rFonts w:hint="default" w:ascii="Times New Roman" w:hAnsi="Times New Roman" w:eastAsia="宋体" w:cs="Times New Roman"/>
          <w:color w:val="auto"/>
          <w:lang w:val="en-US"/>
        </w:rPr>
        <w:t>内土壤环境各项监测指标均小于</w:t>
      </w:r>
      <w:r>
        <w:rPr>
          <w:rFonts w:hint="default" w:ascii="Times New Roman" w:hAnsi="Times New Roman" w:eastAsia="宋体" w:cs="Times New Roman"/>
          <w:color w:val="auto"/>
        </w:rPr>
        <w:t>《土壤环境质量</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建设用地土壤污染风险管控标准（试行）》（GB</w:t>
      </w:r>
      <w:r>
        <w:rPr>
          <w:rFonts w:hint="default" w:ascii="Times New Roman" w:hAnsi="Times New Roman" w:eastAsia="宋体" w:cs="Times New Roman"/>
          <w:color w:val="auto"/>
          <w:lang w:val="en-US"/>
        </w:rPr>
        <w:t xml:space="preserve"> </w:t>
      </w:r>
      <w:r>
        <w:rPr>
          <w:rFonts w:hint="default" w:ascii="Times New Roman" w:hAnsi="Times New Roman" w:eastAsia="宋体" w:cs="Times New Roman"/>
          <w:color w:val="auto"/>
        </w:rPr>
        <w:t>36600-2018）中第二类用地标准中筛选值</w:t>
      </w:r>
      <w:r>
        <w:rPr>
          <w:rFonts w:hint="default" w:ascii="Times New Roman" w:hAnsi="Times New Roman" w:eastAsia="宋体" w:cs="Times New Roman"/>
          <w:color w:val="auto"/>
          <w:lang w:eastAsia="zh-CN"/>
        </w:rPr>
        <w:t>，项目区土壤环境质量较好。</w:t>
      </w:r>
    </w:p>
    <w:p w14:paraId="7E82DB3C">
      <w:pPr>
        <w:pStyle w:val="6"/>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.2.</w:t>
      </w:r>
      <w:r>
        <w:rPr>
          <w:rFonts w:hint="default" w:ascii="Times New Roman" w:hAnsi="Times New Roman" w:cs="Times New Roman"/>
          <w:lang w:val="en-US" w:eastAsia="zh-CN"/>
        </w:rPr>
        <w:t>3</w:t>
      </w:r>
      <w:r>
        <w:rPr>
          <w:rFonts w:hint="default" w:ascii="Times New Roman" w:hAnsi="Times New Roman" w:cs="Times New Roman"/>
        </w:rPr>
        <w:t>项目组成及建设内容</w:t>
      </w:r>
      <w:bookmarkEnd w:id="240"/>
      <w:bookmarkEnd w:id="241"/>
    </w:p>
    <w:p w14:paraId="480BB5D8">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本项目主要建设内容分为主体工程、辅助工程、公用工程、储运工程及环保工程，项目组成见表</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.2</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-1。</w:t>
      </w:r>
    </w:p>
    <w:p w14:paraId="05D8A821">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.2</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-1  建设项目组成一览表</w:t>
      </w:r>
    </w:p>
    <w:tbl>
      <w:tblPr>
        <w:tblStyle w:val="29"/>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557"/>
        <w:gridCol w:w="6"/>
        <w:gridCol w:w="837"/>
        <w:gridCol w:w="5715"/>
        <w:gridCol w:w="1433"/>
      </w:tblGrid>
      <w:tr w14:paraId="700A0F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tcBorders>
              <w:tl2br w:val="nil"/>
              <w:tr2bl w:val="nil"/>
            </w:tcBorders>
            <w:vAlign w:val="center"/>
          </w:tcPr>
          <w:p w14:paraId="6E6421B3">
            <w:pPr>
              <w:autoSpaceDE w:val="0"/>
              <w:autoSpaceDN w:val="0"/>
              <w:adjustRightInd w:val="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工程类别</w:t>
            </w:r>
          </w:p>
        </w:tc>
        <w:tc>
          <w:tcPr>
            <w:tcW w:w="3832" w:type="pct"/>
            <w:gridSpan w:val="4"/>
            <w:tcBorders>
              <w:tl2br w:val="nil"/>
              <w:tr2bl w:val="nil"/>
            </w:tcBorders>
            <w:vAlign w:val="center"/>
          </w:tcPr>
          <w:p w14:paraId="737CEDA3">
            <w:pPr>
              <w:autoSpaceDE w:val="0"/>
              <w:autoSpaceDN w:val="0"/>
              <w:adjustRightInd w:val="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工程内容</w:t>
            </w:r>
          </w:p>
        </w:tc>
        <w:tc>
          <w:tcPr>
            <w:tcW w:w="772" w:type="pct"/>
            <w:tcBorders>
              <w:tl2br w:val="nil"/>
              <w:tr2bl w:val="nil"/>
            </w:tcBorders>
            <w:vAlign w:val="center"/>
          </w:tcPr>
          <w:p w14:paraId="31588DC2">
            <w:pPr>
              <w:autoSpaceDE w:val="0"/>
              <w:autoSpaceDN w:val="0"/>
              <w:adjustRightInd w:val="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备注</w:t>
            </w:r>
          </w:p>
        </w:tc>
      </w:tr>
      <w:tr w14:paraId="592F08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3" w:hRule="atLeast"/>
        </w:trPr>
        <w:tc>
          <w:tcPr>
            <w:tcW w:w="394" w:type="pct"/>
            <w:tcBorders>
              <w:tl2br w:val="nil"/>
              <w:tr2bl w:val="nil"/>
            </w:tcBorders>
            <w:vAlign w:val="center"/>
          </w:tcPr>
          <w:p w14:paraId="5253848D">
            <w:pPr>
              <w:autoSpaceDE w:val="0"/>
              <w:autoSpaceDN w:val="0"/>
              <w:adjustRightInd w:val="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主体工程</w:t>
            </w:r>
          </w:p>
        </w:tc>
        <w:tc>
          <w:tcPr>
            <w:tcW w:w="754" w:type="pct"/>
            <w:gridSpan w:val="3"/>
            <w:tcBorders>
              <w:tl2br w:val="nil"/>
              <w:tr2bl w:val="nil"/>
            </w:tcBorders>
            <w:vAlign w:val="center"/>
          </w:tcPr>
          <w:p w14:paraId="45558876">
            <w:pPr>
              <w:autoSpaceDE w:val="0"/>
              <w:autoSpaceDN w:val="0"/>
              <w:adjustRightIn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选矿生产线</w:t>
            </w:r>
          </w:p>
        </w:tc>
        <w:tc>
          <w:tcPr>
            <w:tcW w:w="3077" w:type="pct"/>
            <w:tcBorders>
              <w:tl2br w:val="nil"/>
              <w:tr2bl w:val="nil"/>
            </w:tcBorders>
            <w:vAlign w:val="center"/>
          </w:tcPr>
          <w:p w14:paraId="16D17CDB">
            <w:pPr>
              <w:autoSpaceDE w:val="0"/>
              <w:autoSpaceDN w:val="0"/>
              <w:adjustRightInd w:val="0"/>
              <w:ind w:firstLine="360" w:firstLineChars="200"/>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snapToGrid w:val="0"/>
                <w:color w:val="auto"/>
                <w:sz w:val="18"/>
                <w:szCs w:val="18"/>
              </w:rPr>
              <w:t>位于鲁奎山铁矿</w:t>
            </w:r>
            <w:r>
              <w:rPr>
                <w:rFonts w:hint="default" w:ascii="Times New Roman" w:hAnsi="Times New Roman" w:eastAsia="宋体" w:cs="Times New Roman"/>
                <w:snapToGrid w:val="0"/>
                <w:color w:val="auto"/>
                <w:sz w:val="18"/>
                <w:szCs w:val="18"/>
                <w:lang w:val="en-US" w:eastAsia="zh-CN"/>
              </w:rPr>
              <w:t>6#料场内</w:t>
            </w:r>
            <w:r>
              <w:rPr>
                <w:rFonts w:hint="default" w:ascii="Times New Roman" w:hAnsi="Times New Roman" w:eastAsia="宋体" w:cs="Times New Roman"/>
                <w:snapToGrid w:val="0"/>
                <w:color w:val="auto"/>
                <w:sz w:val="18"/>
                <w:szCs w:val="18"/>
                <w:lang w:eastAsia="zh-CN"/>
              </w:rPr>
              <w:t>，</w:t>
            </w:r>
            <w:r>
              <w:rPr>
                <w:rFonts w:hint="default" w:ascii="Times New Roman" w:hAnsi="Times New Roman" w:eastAsia="宋体" w:cs="Times New Roman"/>
                <w:snapToGrid w:val="0"/>
                <w:color w:val="auto"/>
                <w:sz w:val="18"/>
                <w:szCs w:val="18"/>
              </w:rPr>
              <w:t>设计生产能力为</w:t>
            </w:r>
            <w:r>
              <w:rPr>
                <w:rFonts w:hint="default" w:ascii="Times New Roman" w:hAnsi="Times New Roman" w:eastAsia="宋体" w:cs="Times New Roman"/>
                <w:snapToGrid w:val="0"/>
                <w:color w:val="auto"/>
                <w:sz w:val="18"/>
                <w:szCs w:val="18"/>
                <w:lang w:val="en-US" w:eastAsia="zh-CN"/>
              </w:rPr>
              <w:t>10</w:t>
            </w:r>
            <w:r>
              <w:rPr>
                <w:rFonts w:hint="default" w:ascii="Times New Roman" w:hAnsi="Times New Roman" w:eastAsia="宋体" w:cs="Times New Roman"/>
                <w:snapToGrid w:val="0"/>
                <w:color w:val="auto"/>
                <w:sz w:val="18"/>
                <w:szCs w:val="18"/>
              </w:rPr>
              <w:t>万</w:t>
            </w:r>
            <w:r>
              <w:rPr>
                <w:rFonts w:hint="default" w:ascii="Times New Roman" w:hAnsi="Times New Roman" w:eastAsia="宋体" w:cs="Times New Roman"/>
                <w:snapToGrid w:val="0"/>
                <w:color w:val="auto"/>
                <w:sz w:val="18"/>
                <w:szCs w:val="18"/>
                <w:lang w:val="en-US" w:eastAsia="zh-CN"/>
              </w:rPr>
              <w:t>t</w:t>
            </w:r>
            <w:r>
              <w:rPr>
                <w:rFonts w:hint="default" w:ascii="Times New Roman" w:hAnsi="Times New Roman" w:eastAsia="宋体" w:cs="Times New Roman"/>
                <w:snapToGrid w:val="0"/>
                <w:color w:val="auto"/>
                <w:sz w:val="18"/>
                <w:szCs w:val="18"/>
              </w:rPr>
              <w:t>/a</w:t>
            </w:r>
            <w:r>
              <w:rPr>
                <w:rFonts w:hint="default" w:ascii="Times New Roman" w:hAnsi="Times New Roman" w:cs="Times New Roman"/>
                <w:snapToGrid w:val="0"/>
                <w:color w:val="auto"/>
                <w:sz w:val="18"/>
                <w:szCs w:val="18"/>
                <w:lang w:eastAsia="zh-CN"/>
              </w:rPr>
              <w:t>。</w:t>
            </w:r>
            <w:r>
              <w:rPr>
                <w:rFonts w:hint="default" w:ascii="Times New Roman" w:hAnsi="Times New Roman" w:eastAsia="宋体" w:cs="Times New Roman"/>
                <w:snapToGrid w:val="0"/>
                <w:color w:val="auto"/>
                <w:sz w:val="18"/>
                <w:szCs w:val="18"/>
              </w:rPr>
              <w:t>主要由1台</w:t>
            </w:r>
            <w:r>
              <w:rPr>
                <w:rFonts w:hint="default" w:ascii="Times New Roman" w:hAnsi="Times New Roman" w:eastAsia="宋体" w:cs="Times New Roman"/>
                <w:snapToGrid w:val="0"/>
                <w:color w:val="auto"/>
                <w:sz w:val="18"/>
                <w:szCs w:val="18"/>
                <w:lang w:val="en-US" w:eastAsia="zh-CN"/>
              </w:rPr>
              <w:t>对辊</w:t>
            </w:r>
            <w:r>
              <w:rPr>
                <w:rFonts w:hint="default" w:ascii="Times New Roman" w:hAnsi="Times New Roman" w:eastAsia="宋体" w:cs="Times New Roman"/>
                <w:snapToGrid w:val="0"/>
                <w:color w:val="auto"/>
                <w:sz w:val="18"/>
                <w:szCs w:val="18"/>
              </w:rPr>
              <w:t>式破碎机、1台</w:t>
            </w:r>
            <w:r>
              <w:rPr>
                <w:rFonts w:hint="default" w:ascii="Times New Roman" w:hAnsi="Times New Roman" w:eastAsia="宋体" w:cs="Times New Roman"/>
                <w:snapToGrid w:val="0"/>
                <w:color w:val="auto"/>
                <w:sz w:val="18"/>
                <w:szCs w:val="18"/>
                <w:lang w:val="en-US" w:eastAsia="zh-CN"/>
              </w:rPr>
              <w:t>颚</w:t>
            </w:r>
            <w:r>
              <w:rPr>
                <w:rFonts w:hint="default" w:ascii="Times New Roman" w:hAnsi="Times New Roman" w:eastAsia="宋体" w:cs="Times New Roman"/>
                <w:snapToGrid w:val="0"/>
                <w:color w:val="auto"/>
                <w:sz w:val="18"/>
                <w:szCs w:val="18"/>
              </w:rPr>
              <w:t>式破碎机、</w:t>
            </w:r>
            <w:r>
              <w:rPr>
                <w:rFonts w:hint="default" w:ascii="Times New Roman" w:hAnsi="Times New Roman" w:eastAsia="宋体" w:cs="Times New Roman"/>
                <w:snapToGrid w:val="0"/>
                <w:color w:val="auto"/>
                <w:sz w:val="18"/>
                <w:szCs w:val="18"/>
                <w:lang w:val="en-US" w:eastAsia="zh-CN"/>
              </w:rPr>
              <w:t>3</w:t>
            </w:r>
            <w:r>
              <w:rPr>
                <w:rFonts w:hint="default" w:ascii="Times New Roman" w:hAnsi="Times New Roman" w:eastAsia="宋体" w:cs="Times New Roman"/>
                <w:snapToGrid w:val="0"/>
                <w:color w:val="auto"/>
                <w:sz w:val="18"/>
                <w:szCs w:val="18"/>
              </w:rPr>
              <w:t>台给料机、</w:t>
            </w:r>
            <w:r>
              <w:rPr>
                <w:rFonts w:hint="default" w:ascii="Times New Roman" w:hAnsi="Times New Roman" w:eastAsia="宋体" w:cs="Times New Roman"/>
                <w:snapToGrid w:val="0"/>
                <w:color w:val="auto"/>
                <w:sz w:val="18"/>
                <w:szCs w:val="18"/>
                <w:lang w:val="en-US" w:eastAsia="zh-CN"/>
              </w:rPr>
              <w:t>3</w:t>
            </w:r>
            <w:r>
              <w:rPr>
                <w:rFonts w:hint="default" w:ascii="Times New Roman" w:hAnsi="Times New Roman" w:eastAsia="宋体" w:cs="Times New Roman"/>
                <w:snapToGrid w:val="0"/>
                <w:color w:val="auto"/>
                <w:sz w:val="18"/>
                <w:szCs w:val="18"/>
              </w:rPr>
              <w:t>台振动筛、</w:t>
            </w:r>
            <w:r>
              <w:rPr>
                <w:rFonts w:hint="default" w:ascii="Times New Roman" w:hAnsi="Times New Roman" w:eastAsia="宋体" w:cs="Times New Roman"/>
                <w:snapToGrid w:val="0"/>
                <w:color w:val="auto"/>
                <w:sz w:val="18"/>
                <w:szCs w:val="18"/>
                <w:lang w:val="en-US" w:eastAsia="zh-CN"/>
              </w:rPr>
              <w:t>2台磁选机、</w:t>
            </w:r>
            <w:r>
              <w:rPr>
                <w:rFonts w:hint="default" w:ascii="Times New Roman" w:hAnsi="Times New Roman" w:cs="Times New Roman"/>
                <w:snapToGrid w:val="0"/>
                <w:color w:val="auto"/>
                <w:sz w:val="18"/>
                <w:szCs w:val="18"/>
                <w:lang w:val="en-US" w:eastAsia="zh-CN"/>
              </w:rPr>
              <w:t>8</w:t>
            </w:r>
            <w:r>
              <w:rPr>
                <w:rFonts w:hint="default" w:ascii="Times New Roman" w:hAnsi="Times New Roman" w:eastAsia="宋体" w:cs="Times New Roman"/>
                <w:snapToGrid w:val="0"/>
                <w:color w:val="auto"/>
                <w:sz w:val="18"/>
                <w:szCs w:val="18"/>
              </w:rPr>
              <w:t>条皮带</w:t>
            </w:r>
            <w:r>
              <w:rPr>
                <w:rFonts w:hint="default" w:ascii="Times New Roman" w:hAnsi="Times New Roman" w:cs="Times New Roman"/>
                <w:snapToGrid w:val="0"/>
                <w:color w:val="auto"/>
                <w:sz w:val="18"/>
                <w:szCs w:val="18"/>
                <w:lang w:eastAsia="zh-CN"/>
              </w:rPr>
              <w:t>、</w:t>
            </w:r>
            <w:r>
              <w:rPr>
                <w:rFonts w:hint="default" w:ascii="Times New Roman" w:hAnsi="Times New Roman" w:cs="Times New Roman"/>
                <w:snapToGrid w:val="0"/>
                <w:color w:val="auto"/>
                <w:sz w:val="18"/>
                <w:szCs w:val="18"/>
                <w:lang w:val="en-US" w:eastAsia="zh-CN"/>
              </w:rPr>
              <w:t>两个进料口</w:t>
            </w:r>
            <w:r>
              <w:rPr>
                <w:rFonts w:hint="default" w:ascii="Times New Roman" w:hAnsi="Times New Roman" w:eastAsia="宋体" w:cs="Times New Roman"/>
                <w:snapToGrid w:val="0"/>
                <w:color w:val="auto"/>
                <w:sz w:val="18"/>
                <w:szCs w:val="18"/>
              </w:rPr>
              <w:t>等组成。</w:t>
            </w:r>
            <w:r>
              <w:rPr>
                <w:rFonts w:hint="default" w:ascii="Times New Roman" w:hAnsi="Times New Roman" w:cs="Times New Roman"/>
                <w:snapToGrid w:val="0"/>
                <w:color w:val="auto"/>
                <w:sz w:val="18"/>
                <w:szCs w:val="18"/>
                <w:lang w:val="en-US" w:eastAsia="zh-CN"/>
              </w:rPr>
              <w:t>进入对辊破碎机的2号进料口现已停用。原矿</w:t>
            </w:r>
            <w:r>
              <w:rPr>
                <w:rFonts w:hint="default" w:ascii="Times New Roman" w:hAnsi="Times New Roman" w:eastAsia="宋体" w:cs="Times New Roman"/>
                <w:snapToGrid w:val="0"/>
                <w:color w:val="auto"/>
                <w:sz w:val="18"/>
                <w:szCs w:val="18"/>
              </w:rPr>
              <w:t>进料口通过彩钢板三面</w:t>
            </w:r>
            <w:r>
              <w:rPr>
                <w:rFonts w:hint="default" w:ascii="Times New Roman" w:hAnsi="Times New Roman" w:cs="Times New Roman"/>
                <w:snapToGrid w:val="0"/>
                <w:color w:val="auto"/>
                <w:sz w:val="18"/>
                <w:szCs w:val="18"/>
                <w:lang w:val="en-US" w:eastAsia="zh-CN"/>
              </w:rPr>
              <w:t>围挡</w:t>
            </w:r>
            <w:r>
              <w:rPr>
                <w:rFonts w:hint="default" w:ascii="Times New Roman" w:hAnsi="Times New Roman" w:eastAsia="宋体" w:cs="Times New Roman"/>
                <w:snapToGrid w:val="0"/>
                <w:color w:val="auto"/>
                <w:sz w:val="18"/>
                <w:szCs w:val="18"/>
              </w:rPr>
              <w:t>，预留口为铲车卸料口。将破碎机、筛分机、</w:t>
            </w:r>
            <w:r>
              <w:rPr>
                <w:rFonts w:hint="default" w:ascii="Times New Roman" w:hAnsi="Times New Roman" w:eastAsia="宋体" w:cs="Times New Roman"/>
                <w:snapToGrid w:val="0"/>
                <w:color w:val="auto"/>
                <w:sz w:val="18"/>
                <w:szCs w:val="18"/>
                <w:lang w:val="en-US" w:eastAsia="zh-CN"/>
              </w:rPr>
              <w:t>磁选机</w:t>
            </w:r>
            <w:r>
              <w:rPr>
                <w:rFonts w:hint="default" w:ascii="Times New Roman" w:hAnsi="Times New Roman" w:eastAsia="宋体" w:cs="Times New Roman"/>
                <w:snapToGrid w:val="0"/>
                <w:color w:val="auto"/>
                <w:sz w:val="18"/>
                <w:szCs w:val="18"/>
              </w:rPr>
              <w:t>等设备使用彩钢板进行封闭，运输皮带封闭，每台设备彩钢板预留口安装集气罩收集粉尘，引至配备的布袋除尘器处置。</w:t>
            </w:r>
          </w:p>
        </w:tc>
        <w:tc>
          <w:tcPr>
            <w:tcW w:w="772" w:type="pct"/>
            <w:tcBorders>
              <w:tl2br w:val="nil"/>
              <w:tr2bl w:val="nil"/>
            </w:tcBorders>
            <w:vAlign w:val="center"/>
          </w:tcPr>
          <w:p w14:paraId="62839809">
            <w:pPr>
              <w:autoSpaceDE w:val="0"/>
              <w:autoSpaceDN w:val="0"/>
              <w:adjustRightInd w:val="0"/>
              <w:jc w:val="lef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color w:val="auto"/>
                <w:sz w:val="18"/>
                <w:szCs w:val="18"/>
              </w:rPr>
              <w:t>已建敞开式生产线，本次整改</w:t>
            </w:r>
            <w:r>
              <w:rPr>
                <w:rFonts w:hint="default" w:ascii="Times New Roman" w:hAnsi="Times New Roman" w:eastAsia="宋体" w:cs="Times New Roman"/>
                <w:color w:val="auto"/>
                <w:sz w:val="18"/>
                <w:szCs w:val="18"/>
                <w:lang w:val="en-US" w:eastAsia="zh-CN"/>
              </w:rPr>
              <w:t>将</w:t>
            </w:r>
            <w:r>
              <w:rPr>
                <w:rFonts w:hint="default" w:ascii="Times New Roman" w:hAnsi="Times New Roman" w:eastAsia="宋体" w:cs="Times New Roman"/>
                <w:color w:val="auto"/>
                <w:sz w:val="18"/>
                <w:szCs w:val="18"/>
              </w:rPr>
              <w:t>破碎机、筛分机、</w:t>
            </w:r>
            <w:r>
              <w:rPr>
                <w:rFonts w:hint="default" w:ascii="Times New Roman" w:hAnsi="Times New Roman" w:eastAsia="宋体" w:cs="Times New Roman"/>
                <w:color w:val="auto"/>
                <w:sz w:val="18"/>
                <w:szCs w:val="18"/>
                <w:lang w:val="en-US" w:eastAsia="zh-CN"/>
              </w:rPr>
              <w:t>磁选机</w:t>
            </w:r>
            <w:r>
              <w:rPr>
                <w:rFonts w:hint="default" w:ascii="Times New Roman" w:hAnsi="Times New Roman" w:eastAsia="宋体" w:cs="Times New Roman"/>
                <w:color w:val="auto"/>
                <w:sz w:val="18"/>
                <w:szCs w:val="18"/>
              </w:rPr>
              <w:t>等设备使用彩钢板进行封闭</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snapToGrid w:val="0"/>
                <w:color w:val="auto"/>
                <w:sz w:val="18"/>
                <w:szCs w:val="18"/>
              </w:rPr>
              <w:t>进料口通过</w:t>
            </w:r>
            <w:r>
              <w:rPr>
                <w:rFonts w:hint="default" w:ascii="Times New Roman" w:hAnsi="Times New Roman" w:eastAsia="宋体" w:cs="Times New Roman"/>
                <w:snapToGrid w:val="0"/>
                <w:color w:val="auto"/>
                <w:sz w:val="18"/>
                <w:szCs w:val="18"/>
                <w:lang w:val="en-US" w:eastAsia="zh-CN"/>
              </w:rPr>
              <w:t>彩钢板</w:t>
            </w:r>
            <w:r>
              <w:rPr>
                <w:rFonts w:hint="default" w:ascii="Times New Roman" w:hAnsi="Times New Roman" w:eastAsia="宋体" w:cs="Times New Roman"/>
                <w:snapToGrid w:val="0"/>
                <w:color w:val="auto"/>
                <w:sz w:val="18"/>
                <w:szCs w:val="18"/>
              </w:rPr>
              <w:t>三面</w:t>
            </w:r>
            <w:r>
              <w:rPr>
                <w:rFonts w:hint="default" w:ascii="Times New Roman" w:hAnsi="Times New Roman" w:eastAsia="宋体" w:cs="Times New Roman"/>
                <w:snapToGrid w:val="0"/>
                <w:color w:val="auto"/>
                <w:sz w:val="18"/>
                <w:szCs w:val="18"/>
                <w:lang w:val="en-US" w:eastAsia="zh-CN"/>
              </w:rPr>
              <w:t>围挡</w:t>
            </w:r>
            <w:r>
              <w:rPr>
                <w:rFonts w:hint="default" w:ascii="Times New Roman" w:hAnsi="Times New Roman" w:cs="Times New Roman"/>
                <w:color w:val="auto"/>
                <w:sz w:val="18"/>
                <w:szCs w:val="18"/>
                <w:lang w:eastAsia="zh-CN"/>
              </w:rPr>
              <w:t>。</w:t>
            </w:r>
          </w:p>
        </w:tc>
      </w:tr>
      <w:tr w14:paraId="337C29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restart"/>
            <w:tcBorders>
              <w:tl2br w:val="nil"/>
              <w:tr2bl w:val="nil"/>
            </w:tcBorders>
            <w:vAlign w:val="center"/>
          </w:tcPr>
          <w:p w14:paraId="7B7F6645">
            <w:pPr>
              <w:autoSpaceDE w:val="0"/>
              <w:autoSpaceDN w:val="0"/>
              <w:adjustRightInd w:val="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公用工程</w:t>
            </w:r>
          </w:p>
        </w:tc>
        <w:tc>
          <w:tcPr>
            <w:tcW w:w="754" w:type="pct"/>
            <w:gridSpan w:val="3"/>
            <w:tcBorders>
              <w:tl2br w:val="nil"/>
              <w:tr2bl w:val="nil"/>
            </w:tcBorders>
            <w:vAlign w:val="center"/>
          </w:tcPr>
          <w:p w14:paraId="4C1BDC57">
            <w:pPr>
              <w:autoSpaceDE w:val="0"/>
              <w:autoSpaceDN w:val="0"/>
              <w:adjustRightInd w:val="0"/>
              <w:jc w:val="center"/>
              <w:rPr>
                <w:rFonts w:hint="default" w:ascii="Times New Roman" w:hAnsi="Times New Roman" w:eastAsia="宋体" w:cs="Times New Roman"/>
                <w:bCs/>
                <w:sz w:val="18"/>
                <w:szCs w:val="18"/>
              </w:rPr>
            </w:pPr>
            <w:r>
              <w:rPr>
                <w:rFonts w:hint="default" w:ascii="Times New Roman" w:hAnsi="Times New Roman" w:eastAsia="宋体" w:cs="Times New Roman"/>
                <w:color w:val="000000"/>
                <w:sz w:val="18"/>
                <w:szCs w:val="18"/>
              </w:rPr>
              <w:t>供水</w:t>
            </w:r>
          </w:p>
        </w:tc>
        <w:tc>
          <w:tcPr>
            <w:tcW w:w="3077" w:type="pct"/>
            <w:tcBorders>
              <w:tl2br w:val="nil"/>
              <w:tr2bl w:val="nil"/>
            </w:tcBorders>
            <w:vAlign w:val="center"/>
          </w:tcPr>
          <w:p w14:paraId="17AA47FA">
            <w:pPr>
              <w:autoSpaceDE w:val="0"/>
              <w:autoSpaceDN w:val="0"/>
              <w:adjustRightInd w:val="0"/>
              <w:ind w:firstLine="360" w:firstLineChars="200"/>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生活用水由该矿山东侧的新平鲁电矿业有限公司自走铁矿供给，通过管道输送至矿山目前已建成的800m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水池内</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rPr>
              <w:t>生产用水主要为矿山采矿坑道中的出水</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采用</w:t>
            </w:r>
            <w:r>
              <w:rPr>
                <w:rFonts w:hint="default" w:ascii="Times New Roman" w:hAnsi="Times New Roman" w:eastAsia="宋体" w:cs="Times New Roman"/>
                <w:color w:val="auto"/>
                <w:sz w:val="18"/>
                <w:szCs w:val="18"/>
              </w:rPr>
              <w:t>水池收集使用。</w:t>
            </w:r>
          </w:p>
        </w:tc>
        <w:tc>
          <w:tcPr>
            <w:tcW w:w="772" w:type="pct"/>
            <w:tcBorders>
              <w:tl2br w:val="nil"/>
              <w:tr2bl w:val="nil"/>
            </w:tcBorders>
            <w:vAlign w:val="center"/>
          </w:tcPr>
          <w:p w14:paraId="2DDDA156">
            <w:pPr>
              <w:autoSpaceDE w:val="0"/>
              <w:autoSpaceDN w:val="0"/>
              <w:adjustRightInd w:val="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snapToGrid w:val="0"/>
                <w:color w:val="auto"/>
                <w:sz w:val="18"/>
                <w:szCs w:val="18"/>
              </w:rPr>
              <w:t>依托</w:t>
            </w:r>
            <w:r>
              <w:rPr>
                <w:rFonts w:hint="default" w:ascii="Times New Roman" w:hAnsi="Times New Roman" w:cs="Times New Roman"/>
                <w:snapToGrid w:val="0"/>
                <w:color w:val="auto"/>
                <w:sz w:val="18"/>
                <w:szCs w:val="18"/>
                <w:lang w:val="en-US" w:eastAsia="zh-CN"/>
              </w:rPr>
              <w:t>鲁奎山铁矿</w:t>
            </w:r>
          </w:p>
        </w:tc>
      </w:tr>
      <w:tr w14:paraId="15D8A1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684D6A78">
            <w:pPr>
              <w:autoSpaceDE w:val="0"/>
              <w:autoSpaceDN w:val="0"/>
              <w:adjustRightInd w:val="0"/>
              <w:jc w:val="center"/>
              <w:rPr>
                <w:rFonts w:hint="default" w:ascii="Times New Roman" w:hAnsi="Times New Roman" w:eastAsia="宋体" w:cs="Times New Roman"/>
                <w:b/>
                <w:sz w:val="18"/>
                <w:szCs w:val="18"/>
              </w:rPr>
            </w:pPr>
          </w:p>
        </w:tc>
        <w:tc>
          <w:tcPr>
            <w:tcW w:w="754" w:type="pct"/>
            <w:gridSpan w:val="3"/>
            <w:tcBorders>
              <w:tl2br w:val="nil"/>
              <w:tr2bl w:val="nil"/>
            </w:tcBorders>
            <w:vAlign w:val="center"/>
          </w:tcPr>
          <w:p w14:paraId="567F60FD">
            <w:pPr>
              <w:autoSpaceDE w:val="0"/>
              <w:autoSpaceDN w:val="0"/>
              <w:adjustRightInd w:val="0"/>
              <w:jc w:val="center"/>
              <w:rPr>
                <w:rFonts w:hint="default" w:ascii="Times New Roman" w:hAnsi="Times New Roman" w:eastAsia="宋体" w:cs="Times New Roman"/>
                <w:bCs/>
                <w:sz w:val="18"/>
                <w:szCs w:val="18"/>
              </w:rPr>
            </w:pPr>
            <w:r>
              <w:rPr>
                <w:rFonts w:hint="default" w:ascii="Times New Roman" w:hAnsi="Times New Roman" w:eastAsia="宋体" w:cs="Times New Roman"/>
                <w:color w:val="000000"/>
                <w:sz w:val="18"/>
                <w:szCs w:val="18"/>
              </w:rPr>
              <w:t>排水</w:t>
            </w:r>
          </w:p>
        </w:tc>
        <w:tc>
          <w:tcPr>
            <w:tcW w:w="3077" w:type="pct"/>
            <w:tcBorders>
              <w:tl2br w:val="nil"/>
              <w:tr2bl w:val="nil"/>
            </w:tcBorders>
            <w:vAlign w:val="center"/>
          </w:tcPr>
          <w:p w14:paraId="25B0BD3E">
            <w:pPr>
              <w:autoSpaceDE w:val="0"/>
              <w:autoSpaceDN w:val="0"/>
              <w:adjustRightInd w:val="0"/>
              <w:ind w:firstLine="360" w:firstLineChars="200"/>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项目采用雨污分流，本项目厂区内不设置生活区，生活区依托</w:t>
            </w:r>
            <w:r>
              <w:rPr>
                <w:rFonts w:hint="default" w:ascii="Times New Roman" w:hAnsi="Times New Roman" w:cs="Times New Roman"/>
                <w:color w:val="auto"/>
                <w:sz w:val="18"/>
                <w:szCs w:val="18"/>
                <w:lang w:val="en-US" w:eastAsia="zh-CN"/>
              </w:rPr>
              <w:t>鲁奎山铁矿</w:t>
            </w:r>
            <w:r>
              <w:rPr>
                <w:rFonts w:hint="default" w:ascii="Times New Roman" w:hAnsi="Times New Roman" w:eastAsia="宋体" w:cs="Times New Roman"/>
                <w:color w:val="auto"/>
                <w:sz w:val="18"/>
                <w:szCs w:val="18"/>
              </w:rPr>
              <w:t>，新增生活污水利用</w:t>
            </w:r>
            <w:r>
              <w:rPr>
                <w:rFonts w:hint="default" w:ascii="Times New Roman" w:hAnsi="Times New Roman" w:cs="Times New Roman"/>
                <w:color w:val="auto"/>
                <w:sz w:val="18"/>
                <w:szCs w:val="18"/>
                <w:lang w:val="en-US" w:eastAsia="zh-CN"/>
              </w:rPr>
              <w:t>矿山</w:t>
            </w:r>
            <w:r>
              <w:rPr>
                <w:rFonts w:hint="default" w:ascii="Times New Roman" w:hAnsi="Times New Roman" w:eastAsia="宋体" w:cs="Times New Roman"/>
                <w:color w:val="auto"/>
                <w:sz w:val="18"/>
                <w:szCs w:val="18"/>
              </w:rPr>
              <w:t>生活区已建污水管网。</w:t>
            </w:r>
            <w:r>
              <w:rPr>
                <w:rFonts w:hint="default" w:ascii="Times New Roman" w:hAnsi="Times New Roman" w:eastAsia="宋体" w:cs="Times New Roman"/>
                <w:color w:val="auto"/>
                <w:sz w:val="18"/>
                <w:szCs w:val="18"/>
                <w:lang w:val="en-US" w:eastAsia="zh-CN"/>
              </w:rPr>
              <w:t>本次环评提出</w:t>
            </w:r>
            <w:r>
              <w:rPr>
                <w:rFonts w:hint="default" w:ascii="Times New Roman" w:hAnsi="Times New Roman" w:cs="Times New Roman"/>
                <w:color w:val="auto"/>
                <w:sz w:val="18"/>
                <w:szCs w:val="18"/>
                <w:lang w:val="en-US" w:eastAsia="zh-CN"/>
              </w:rPr>
              <w:t>在</w:t>
            </w:r>
            <w:r>
              <w:rPr>
                <w:rFonts w:hint="default" w:ascii="Times New Roman" w:hAnsi="Times New Roman" w:eastAsia="宋体" w:cs="Times New Roman"/>
                <w:color w:val="auto"/>
                <w:sz w:val="18"/>
                <w:szCs w:val="18"/>
                <w:lang w:val="en-US" w:eastAsia="zh-CN"/>
              </w:rPr>
              <w:t>6号料场建设雨水沟及初期雨水收集池，初期雨水沉淀后</w:t>
            </w:r>
            <w:r>
              <w:rPr>
                <w:rFonts w:hint="default" w:ascii="Times New Roman" w:hAnsi="Times New Roman" w:eastAsia="宋体" w:cs="Times New Roman"/>
                <w:color w:val="auto"/>
                <w:sz w:val="18"/>
                <w:szCs w:val="18"/>
              </w:rPr>
              <w:t>用于项目区抑尘，不外排。</w:t>
            </w:r>
          </w:p>
        </w:tc>
        <w:tc>
          <w:tcPr>
            <w:tcW w:w="772" w:type="pct"/>
            <w:tcBorders>
              <w:tl2br w:val="nil"/>
              <w:tr2bl w:val="nil"/>
            </w:tcBorders>
            <w:vAlign w:val="center"/>
          </w:tcPr>
          <w:p w14:paraId="396B353F">
            <w:pPr>
              <w:autoSpaceDE w:val="0"/>
              <w:autoSpaceDN w:val="0"/>
              <w:adjustRightInd w:val="0"/>
              <w:jc w:val="left"/>
              <w:rPr>
                <w:rFonts w:hint="default" w:ascii="Times New Roman" w:hAnsi="Times New Roman" w:eastAsia="宋体" w:cs="Times New Roman"/>
                <w:bCs/>
                <w:color w:val="auto"/>
                <w:sz w:val="18"/>
                <w:szCs w:val="18"/>
              </w:rPr>
            </w:pPr>
            <w:r>
              <w:rPr>
                <w:rFonts w:hint="default" w:ascii="Times New Roman" w:hAnsi="Times New Roman" w:cs="Times New Roman"/>
                <w:bCs/>
                <w:color w:val="auto"/>
                <w:sz w:val="18"/>
                <w:szCs w:val="18"/>
                <w:lang w:val="en-US" w:eastAsia="zh-CN"/>
              </w:rPr>
              <w:t>生活污水依托鲁奎山铁矿废水处理设施及管网，雨水沟、初期雨水收集池</w:t>
            </w:r>
            <w:r>
              <w:rPr>
                <w:rFonts w:hint="default" w:ascii="Times New Roman" w:hAnsi="Times New Roman" w:eastAsia="宋体" w:cs="Times New Roman"/>
                <w:bCs/>
                <w:color w:val="auto"/>
                <w:sz w:val="18"/>
                <w:szCs w:val="18"/>
              </w:rPr>
              <w:t>新建</w:t>
            </w:r>
          </w:p>
        </w:tc>
      </w:tr>
      <w:tr w14:paraId="16243F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5AF2326E">
            <w:pPr>
              <w:autoSpaceDE w:val="0"/>
              <w:autoSpaceDN w:val="0"/>
              <w:adjustRightInd w:val="0"/>
              <w:jc w:val="center"/>
              <w:rPr>
                <w:rFonts w:hint="default" w:ascii="Times New Roman" w:hAnsi="Times New Roman" w:eastAsia="宋体" w:cs="Times New Roman"/>
                <w:b/>
                <w:sz w:val="18"/>
                <w:szCs w:val="18"/>
              </w:rPr>
            </w:pPr>
          </w:p>
        </w:tc>
        <w:tc>
          <w:tcPr>
            <w:tcW w:w="754" w:type="pct"/>
            <w:gridSpan w:val="3"/>
            <w:tcBorders>
              <w:tl2br w:val="nil"/>
              <w:tr2bl w:val="nil"/>
            </w:tcBorders>
            <w:vAlign w:val="center"/>
          </w:tcPr>
          <w:p w14:paraId="4078965D">
            <w:pPr>
              <w:autoSpaceDE w:val="0"/>
              <w:autoSpaceDN w:val="0"/>
              <w:adjustRightInd w:val="0"/>
              <w:jc w:val="center"/>
              <w:rPr>
                <w:rFonts w:hint="default" w:ascii="Times New Roman" w:hAnsi="Times New Roman" w:eastAsia="宋体" w:cs="Times New Roman"/>
                <w:bCs/>
                <w:sz w:val="18"/>
                <w:szCs w:val="18"/>
              </w:rPr>
            </w:pPr>
            <w:r>
              <w:rPr>
                <w:rFonts w:hint="default" w:ascii="Times New Roman" w:hAnsi="Times New Roman" w:eastAsia="宋体" w:cs="Times New Roman"/>
                <w:color w:val="000000"/>
                <w:sz w:val="18"/>
                <w:szCs w:val="18"/>
              </w:rPr>
              <w:t>供电</w:t>
            </w:r>
          </w:p>
        </w:tc>
        <w:tc>
          <w:tcPr>
            <w:tcW w:w="3077" w:type="pct"/>
            <w:tcBorders>
              <w:tl2br w:val="nil"/>
              <w:tr2bl w:val="nil"/>
            </w:tcBorders>
            <w:vAlign w:val="center"/>
          </w:tcPr>
          <w:p w14:paraId="3BAE84A5">
            <w:pPr>
              <w:autoSpaceDE w:val="0"/>
              <w:autoSpaceDN w:val="0"/>
              <w:adjustRightInd w:val="0"/>
              <w:ind w:firstLine="360" w:firstLineChars="200"/>
              <w:jc w:val="both"/>
              <w:rPr>
                <w:rFonts w:hint="default" w:ascii="Times New Roman" w:hAnsi="Times New Roman" w:eastAsia="宋体" w:cs="Times New Roman"/>
                <w:bCs/>
                <w:sz w:val="18"/>
                <w:szCs w:val="18"/>
              </w:rPr>
            </w:pPr>
            <w:r>
              <w:rPr>
                <w:rFonts w:hint="default" w:ascii="Times New Roman" w:hAnsi="Times New Roman" w:eastAsia="宋体" w:cs="Times New Roman"/>
                <w:sz w:val="18"/>
                <w:szCs w:val="18"/>
              </w:rPr>
              <w:t>矿山供电网络为新平县供电电网。</w:t>
            </w:r>
          </w:p>
        </w:tc>
        <w:tc>
          <w:tcPr>
            <w:tcW w:w="772" w:type="pct"/>
            <w:tcBorders>
              <w:tl2br w:val="nil"/>
              <w:tr2bl w:val="nil"/>
            </w:tcBorders>
            <w:vAlign w:val="center"/>
          </w:tcPr>
          <w:p w14:paraId="47F1B54A">
            <w:pPr>
              <w:autoSpaceDE w:val="0"/>
              <w:autoSpaceDN w:val="0"/>
              <w:adjustRightInd w:val="0"/>
              <w:jc w:val="left"/>
              <w:rPr>
                <w:rFonts w:hint="default" w:ascii="Times New Roman" w:hAnsi="Times New Roman" w:eastAsia="宋体" w:cs="Times New Roman"/>
                <w:bCs/>
                <w:sz w:val="18"/>
                <w:szCs w:val="18"/>
              </w:rPr>
            </w:pPr>
            <w:r>
              <w:rPr>
                <w:rFonts w:hint="default" w:ascii="Times New Roman" w:hAnsi="Times New Roman" w:eastAsia="宋体" w:cs="Times New Roman"/>
                <w:snapToGrid w:val="0"/>
                <w:color w:val="auto"/>
                <w:sz w:val="18"/>
                <w:szCs w:val="18"/>
              </w:rPr>
              <w:t>依托</w:t>
            </w:r>
            <w:r>
              <w:rPr>
                <w:rFonts w:hint="default" w:ascii="Times New Roman" w:hAnsi="Times New Roman" w:cs="Times New Roman"/>
                <w:snapToGrid w:val="0"/>
                <w:color w:val="auto"/>
                <w:sz w:val="18"/>
                <w:szCs w:val="18"/>
                <w:lang w:val="en-US" w:eastAsia="zh-CN"/>
              </w:rPr>
              <w:t>鲁奎山铁矿</w:t>
            </w:r>
          </w:p>
        </w:tc>
      </w:tr>
      <w:tr w14:paraId="0EE0D7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restart"/>
            <w:tcBorders>
              <w:tl2br w:val="nil"/>
              <w:tr2bl w:val="nil"/>
            </w:tcBorders>
            <w:vAlign w:val="center"/>
          </w:tcPr>
          <w:p w14:paraId="7092F865">
            <w:pPr>
              <w:autoSpaceDE w:val="0"/>
              <w:autoSpaceDN w:val="0"/>
              <w:adjustRightInd w:val="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储运工程</w:t>
            </w:r>
          </w:p>
        </w:tc>
        <w:tc>
          <w:tcPr>
            <w:tcW w:w="754" w:type="pct"/>
            <w:gridSpan w:val="3"/>
            <w:tcBorders>
              <w:tl2br w:val="nil"/>
              <w:tr2bl w:val="nil"/>
            </w:tcBorders>
            <w:vAlign w:val="center"/>
          </w:tcPr>
          <w:p w14:paraId="32B5DCEB">
            <w:pPr>
              <w:autoSpaceDE w:val="0"/>
              <w:autoSpaceDN w:val="0"/>
              <w:adjustRightInd w:val="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原料堆场</w:t>
            </w:r>
          </w:p>
        </w:tc>
        <w:tc>
          <w:tcPr>
            <w:tcW w:w="3077" w:type="pct"/>
            <w:tcBorders>
              <w:tl2br w:val="nil"/>
              <w:tr2bl w:val="nil"/>
            </w:tcBorders>
            <w:vAlign w:val="center"/>
          </w:tcPr>
          <w:p w14:paraId="08B61531">
            <w:pPr>
              <w:autoSpaceDE w:val="0"/>
              <w:autoSpaceDN w:val="0"/>
              <w:adjustRightInd w:val="0"/>
              <w:ind w:firstLine="360" w:firstLineChars="200"/>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lang w:val="en-US" w:eastAsia="zh-CN"/>
              </w:rPr>
              <w:t>本项目</w:t>
            </w:r>
            <w:r>
              <w:rPr>
                <w:rFonts w:hint="default" w:ascii="Times New Roman" w:hAnsi="Times New Roman" w:cs="Times New Roman"/>
                <w:color w:val="auto"/>
                <w:sz w:val="18"/>
                <w:szCs w:val="18"/>
                <w:lang w:val="en-US" w:eastAsia="zh-CN"/>
              </w:rPr>
              <w:t>依托鲁奎山铁矿6号料场矿石堆场，</w:t>
            </w:r>
            <w:r>
              <w:rPr>
                <w:rFonts w:hint="default" w:ascii="Times New Roman" w:hAnsi="Times New Roman" w:eastAsia="宋体" w:cs="Times New Roman"/>
                <w:color w:val="auto"/>
                <w:sz w:val="18"/>
                <w:szCs w:val="18"/>
                <w:lang w:val="en-US" w:eastAsia="zh-CN"/>
              </w:rPr>
              <w:t>环评提出</w:t>
            </w:r>
            <w:r>
              <w:rPr>
                <w:rFonts w:hint="default" w:ascii="Times New Roman" w:hAnsi="Times New Roman" w:cs="Times New Roman"/>
                <w:color w:val="auto"/>
                <w:sz w:val="18"/>
                <w:szCs w:val="18"/>
                <w:lang w:val="en-US" w:eastAsia="zh-CN"/>
              </w:rPr>
              <w:t>建设“三面围挡＋彩钢瓦顶棚”的半封闭式料棚</w:t>
            </w:r>
            <w:r>
              <w:rPr>
                <w:rFonts w:hint="default" w:ascii="Times New Roman" w:hAnsi="Times New Roman" w:eastAsia="宋体" w:cs="Times New Roman"/>
                <w:color w:val="auto"/>
                <w:sz w:val="18"/>
                <w:szCs w:val="18"/>
                <w:lang w:val="en-US" w:eastAsia="zh-CN"/>
              </w:rPr>
              <w:t>，</w:t>
            </w:r>
            <w:r>
              <w:rPr>
                <w:rFonts w:hint="default" w:ascii="Times New Roman" w:hAnsi="Times New Roman" w:cs="Times New Roman"/>
                <w:color w:val="auto"/>
                <w:sz w:val="18"/>
                <w:szCs w:val="18"/>
                <w:lang w:val="en-US" w:eastAsia="zh-CN"/>
              </w:rPr>
              <w:t>并对地面进行防渗，面积约4000</w:t>
            </w:r>
            <w:r>
              <w:rPr>
                <w:rFonts w:hint="default" w:ascii="Times New Roman" w:hAnsi="Times New Roman" w:cs="Times New Roman"/>
                <w:color w:val="auto"/>
                <w:sz w:val="18"/>
                <w:szCs w:val="18"/>
                <w:vertAlign w:val="baseline"/>
                <w:lang w:val="en-US" w:eastAsia="zh-CN"/>
              </w:rPr>
              <w:t>㎡</w:t>
            </w:r>
            <w:r>
              <w:rPr>
                <w:rFonts w:hint="default" w:ascii="Times New Roman" w:hAnsi="Times New Roman" w:cs="Times New Roman"/>
                <w:color w:val="auto"/>
                <w:sz w:val="18"/>
                <w:szCs w:val="18"/>
                <w:lang w:val="en-US" w:eastAsia="zh-CN"/>
              </w:rPr>
              <w:t>。</w:t>
            </w:r>
          </w:p>
        </w:tc>
        <w:tc>
          <w:tcPr>
            <w:tcW w:w="772" w:type="pct"/>
            <w:tcBorders>
              <w:tl2br w:val="nil"/>
              <w:tr2bl w:val="nil"/>
            </w:tcBorders>
            <w:vAlign w:val="center"/>
          </w:tcPr>
          <w:p w14:paraId="20350A31">
            <w:pPr>
              <w:autoSpaceDE w:val="0"/>
              <w:autoSpaceDN w:val="0"/>
              <w:adjustRightInd w:val="0"/>
              <w:jc w:val="left"/>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依托改造</w:t>
            </w:r>
          </w:p>
        </w:tc>
      </w:tr>
      <w:tr w14:paraId="29B897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348841B6">
            <w:pPr>
              <w:autoSpaceDE w:val="0"/>
              <w:autoSpaceDN w:val="0"/>
              <w:adjustRightInd w:val="0"/>
              <w:jc w:val="center"/>
              <w:rPr>
                <w:rFonts w:hint="default" w:ascii="Times New Roman" w:hAnsi="Times New Roman" w:eastAsia="宋体" w:cs="Times New Roman"/>
                <w:b/>
                <w:sz w:val="18"/>
                <w:szCs w:val="18"/>
              </w:rPr>
            </w:pPr>
          </w:p>
        </w:tc>
        <w:tc>
          <w:tcPr>
            <w:tcW w:w="754" w:type="pct"/>
            <w:gridSpan w:val="3"/>
            <w:tcBorders>
              <w:tl2br w:val="nil"/>
              <w:tr2bl w:val="nil"/>
            </w:tcBorders>
            <w:vAlign w:val="center"/>
          </w:tcPr>
          <w:p w14:paraId="7F86AFA9">
            <w:pPr>
              <w:autoSpaceDE w:val="0"/>
              <w:autoSpaceDN w:val="0"/>
              <w:adjustRightInd w:val="0"/>
              <w:jc w:val="center"/>
              <w:rPr>
                <w:rFonts w:hint="default" w:ascii="Times New Roman" w:hAnsi="Times New Roman" w:eastAsia="宋体" w:cs="Times New Roman"/>
                <w:bCs/>
                <w:sz w:val="18"/>
                <w:szCs w:val="18"/>
              </w:rPr>
            </w:pPr>
            <w:r>
              <w:rPr>
                <w:rFonts w:hint="default" w:ascii="Times New Roman" w:hAnsi="Times New Roman" w:eastAsia="宋体" w:cs="Times New Roman"/>
                <w:color w:val="000000"/>
                <w:sz w:val="18"/>
                <w:szCs w:val="18"/>
                <w:lang w:val="en-US" w:eastAsia="zh-CN"/>
              </w:rPr>
              <w:t>铁矿石</w:t>
            </w:r>
            <w:r>
              <w:rPr>
                <w:rFonts w:hint="default" w:ascii="Times New Roman" w:hAnsi="Times New Roman" w:eastAsia="宋体" w:cs="Times New Roman"/>
                <w:color w:val="000000"/>
                <w:sz w:val="18"/>
                <w:szCs w:val="18"/>
              </w:rPr>
              <w:t>堆场</w:t>
            </w:r>
          </w:p>
        </w:tc>
        <w:tc>
          <w:tcPr>
            <w:tcW w:w="3077" w:type="pct"/>
            <w:tcBorders>
              <w:tl2br w:val="nil"/>
              <w:tr2bl w:val="nil"/>
            </w:tcBorders>
            <w:vAlign w:val="center"/>
          </w:tcPr>
          <w:p w14:paraId="74128535">
            <w:pPr>
              <w:autoSpaceDE w:val="0"/>
              <w:autoSpaceDN w:val="0"/>
              <w:adjustRightInd w:val="0"/>
              <w:ind w:firstLine="360" w:firstLineChars="200"/>
              <w:jc w:val="left"/>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color w:val="auto"/>
                <w:sz w:val="18"/>
                <w:szCs w:val="18"/>
                <w:lang w:val="en-US" w:eastAsia="zh-CN"/>
              </w:rPr>
              <w:t>位于项目磁选机铁矿石落料点，设置为</w:t>
            </w:r>
            <w:r>
              <w:rPr>
                <w:rFonts w:hint="default" w:ascii="Times New Roman" w:hAnsi="Times New Roman" w:cs="Times New Roman"/>
                <w:color w:val="auto"/>
                <w:sz w:val="18"/>
                <w:szCs w:val="18"/>
              </w:rPr>
              <w:t>“三面围挡+彩钢瓦顶棚”的半</w:t>
            </w:r>
            <w:r>
              <w:rPr>
                <w:rFonts w:hint="default" w:ascii="Times New Roman" w:hAnsi="Times New Roman" w:cs="Times New Roman"/>
                <w:color w:val="auto"/>
                <w:sz w:val="18"/>
                <w:szCs w:val="18"/>
                <w:lang w:val="en-US" w:eastAsia="zh-CN"/>
              </w:rPr>
              <w:t>封闭</w:t>
            </w:r>
            <w:r>
              <w:rPr>
                <w:rFonts w:hint="default" w:ascii="Times New Roman" w:hAnsi="Times New Roman" w:cs="Times New Roman"/>
                <w:color w:val="auto"/>
                <w:sz w:val="18"/>
                <w:szCs w:val="18"/>
              </w:rPr>
              <w:t>式</w:t>
            </w:r>
            <w:r>
              <w:rPr>
                <w:rFonts w:hint="default" w:ascii="Times New Roman" w:hAnsi="Times New Roman" w:eastAsia="宋体" w:cs="Times New Roman"/>
                <w:color w:val="auto"/>
                <w:sz w:val="18"/>
                <w:szCs w:val="18"/>
                <w:lang w:val="en-US" w:eastAsia="zh-CN"/>
              </w:rPr>
              <w:t>，面积</w:t>
            </w:r>
            <w:r>
              <w:rPr>
                <w:rFonts w:hint="default" w:ascii="Times New Roman" w:hAnsi="Times New Roman" w:cs="Times New Roman"/>
                <w:color w:val="auto"/>
                <w:sz w:val="18"/>
                <w:szCs w:val="18"/>
                <w:lang w:val="en-US" w:eastAsia="zh-CN"/>
              </w:rPr>
              <w:t>100</w:t>
            </w:r>
            <w:r>
              <w:rPr>
                <w:rFonts w:hint="default" w:ascii="Times New Roman" w:hAnsi="Times New Roman" w:eastAsia="宋体" w:cs="Times New Roman"/>
                <w:color w:val="auto"/>
                <w:sz w:val="18"/>
                <w:szCs w:val="18"/>
                <w:lang w:val="en-US" w:eastAsia="zh-CN"/>
              </w:rPr>
              <w:t>㎡</w:t>
            </w:r>
            <w:r>
              <w:rPr>
                <w:rFonts w:hint="default" w:ascii="Times New Roman" w:hAnsi="Times New Roman" w:cs="Times New Roman"/>
                <w:color w:val="auto"/>
                <w:sz w:val="18"/>
                <w:szCs w:val="18"/>
                <w:lang w:val="en-US" w:eastAsia="zh-CN"/>
              </w:rPr>
              <w:t>，地面进行防渗。</w:t>
            </w:r>
          </w:p>
        </w:tc>
        <w:tc>
          <w:tcPr>
            <w:tcW w:w="772" w:type="pct"/>
            <w:tcBorders>
              <w:tl2br w:val="nil"/>
              <w:tr2bl w:val="nil"/>
            </w:tcBorders>
            <w:vAlign w:val="center"/>
          </w:tcPr>
          <w:p w14:paraId="35E22C6C">
            <w:pPr>
              <w:autoSpaceDE w:val="0"/>
              <w:autoSpaceDN w:val="0"/>
              <w:adjustRightInd w:val="0"/>
              <w:jc w:val="center"/>
              <w:rPr>
                <w:rFonts w:hint="default" w:ascii="Times New Roman" w:hAnsi="Times New Roman" w:eastAsia="宋体" w:cs="Times New Roman"/>
                <w:bCs/>
                <w:color w:val="0066FF"/>
                <w:sz w:val="18"/>
                <w:szCs w:val="18"/>
                <w:lang w:val="en-US" w:eastAsia="zh-CN"/>
              </w:rPr>
            </w:pPr>
            <w:r>
              <w:rPr>
                <w:rFonts w:hint="default" w:ascii="Times New Roman" w:hAnsi="Times New Roman" w:eastAsia="宋体" w:cs="Times New Roman"/>
                <w:color w:val="auto"/>
                <w:sz w:val="18"/>
                <w:szCs w:val="18"/>
                <w:lang w:val="en-US" w:eastAsia="zh-CN"/>
              </w:rPr>
              <w:t>环评提出新建</w:t>
            </w:r>
          </w:p>
        </w:tc>
      </w:tr>
      <w:tr w14:paraId="0D6EE2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31BBC481">
            <w:pPr>
              <w:autoSpaceDE w:val="0"/>
              <w:autoSpaceDN w:val="0"/>
              <w:adjustRightInd w:val="0"/>
              <w:jc w:val="center"/>
              <w:rPr>
                <w:rFonts w:hint="default" w:ascii="Times New Roman" w:hAnsi="Times New Roman" w:eastAsia="宋体" w:cs="Times New Roman"/>
                <w:b/>
                <w:sz w:val="18"/>
                <w:szCs w:val="18"/>
              </w:rPr>
            </w:pPr>
          </w:p>
        </w:tc>
        <w:tc>
          <w:tcPr>
            <w:tcW w:w="754" w:type="pct"/>
            <w:gridSpan w:val="3"/>
            <w:tcBorders>
              <w:tl2br w:val="nil"/>
              <w:tr2bl w:val="nil"/>
            </w:tcBorders>
            <w:vAlign w:val="center"/>
          </w:tcPr>
          <w:p w14:paraId="2EC3C5FB">
            <w:pPr>
              <w:autoSpaceDE w:val="0"/>
              <w:autoSpaceDN w:val="0"/>
              <w:adjustRightInd w:val="0"/>
              <w:jc w:val="center"/>
              <w:rPr>
                <w:rFonts w:hint="default" w:ascii="Times New Roman" w:hAnsi="Times New Roman" w:eastAsia="宋体" w:cs="Times New Roman"/>
                <w:color w:val="000000"/>
                <w:sz w:val="18"/>
                <w:szCs w:val="18"/>
              </w:rPr>
            </w:pPr>
            <w:r>
              <w:rPr>
                <w:rFonts w:hint="default" w:ascii="Times New Roman" w:hAnsi="Times New Roman" w:cs="Times New Roman"/>
                <w:i w:val="0"/>
                <w:iCs w:val="0"/>
                <w:color w:val="auto"/>
                <w:kern w:val="0"/>
                <w:sz w:val="18"/>
                <w:szCs w:val="18"/>
                <w:u w:val="none"/>
                <w:lang w:val="en-US" w:eastAsia="zh-CN" w:bidi="ar"/>
              </w:rPr>
              <w:t>砂石料堆场</w:t>
            </w:r>
          </w:p>
        </w:tc>
        <w:tc>
          <w:tcPr>
            <w:tcW w:w="3077" w:type="pct"/>
            <w:tcBorders>
              <w:tl2br w:val="nil"/>
              <w:tr2bl w:val="nil"/>
            </w:tcBorders>
            <w:vAlign w:val="center"/>
          </w:tcPr>
          <w:p w14:paraId="12A111AB">
            <w:pPr>
              <w:autoSpaceDE w:val="0"/>
              <w:autoSpaceDN w:val="0"/>
              <w:adjustRightInd w:val="0"/>
              <w:ind w:firstLine="360" w:firstLineChars="200"/>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位于项目磁选机</w:t>
            </w:r>
            <w:r>
              <w:rPr>
                <w:rFonts w:hint="default" w:ascii="Times New Roman" w:hAnsi="Times New Roman" w:cs="Times New Roman"/>
                <w:color w:val="auto"/>
                <w:sz w:val="18"/>
                <w:szCs w:val="18"/>
                <w:lang w:val="en-US" w:eastAsia="zh-CN"/>
              </w:rPr>
              <w:t>砂石料</w:t>
            </w:r>
            <w:r>
              <w:rPr>
                <w:rFonts w:hint="default" w:ascii="Times New Roman" w:hAnsi="Times New Roman" w:eastAsia="宋体" w:cs="Times New Roman"/>
                <w:color w:val="auto"/>
                <w:sz w:val="18"/>
                <w:szCs w:val="18"/>
                <w:lang w:val="en-US" w:eastAsia="zh-CN"/>
              </w:rPr>
              <w:t>落料点，设置为</w:t>
            </w:r>
            <w:r>
              <w:rPr>
                <w:rFonts w:hint="default" w:ascii="Times New Roman" w:hAnsi="Times New Roman" w:cs="Times New Roman"/>
                <w:color w:val="auto"/>
                <w:sz w:val="18"/>
                <w:szCs w:val="18"/>
              </w:rPr>
              <w:t>“三面围挡+彩钢瓦顶棚”的半</w:t>
            </w:r>
            <w:r>
              <w:rPr>
                <w:rFonts w:hint="default" w:ascii="Times New Roman" w:hAnsi="Times New Roman" w:cs="Times New Roman"/>
                <w:color w:val="auto"/>
                <w:sz w:val="18"/>
                <w:szCs w:val="18"/>
                <w:lang w:val="en-US" w:eastAsia="zh-CN"/>
              </w:rPr>
              <w:t>封闭</w:t>
            </w:r>
            <w:r>
              <w:rPr>
                <w:rFonts w:hint="default" w:ascii="Times New Roman" w:hAnsi="Times New Roman" w:cs="Times New Roman"/>
                <w:color w:val="auto"/>
                <w:sz w:val="18"/>
                <w:szCs w:val="18"/>
              </w:rPr>
              <w:t>式</w:t>
            </w:r>
            <w:r>
              <w:rPr>
                <w:rFonts w:hint="default" w:ascii="Times New Roman" w:hAnsi="Times New Roman" w:eastAsia="宋体" w:cs="Times New Roman"/>
                <w:color w:val="auto"/>
                <w:sz w:val="18"/>
                <w:szCs w:val="18"/>
                <w:lang w:val="en-US" w:eastAsia="zh-CN"/>
              </w:rPr>
              <w:t>，面积</w:t>
            </w:r>
            <w:r>
              <w:rPr>
                <w:rFonts w:hint="default" w:ascii="Times New Roman" w:hAnsi="Times New Roman" w:cs="Times New Roman"/>
                <w:color w:val="auto"/>
                <w:sz w:val="18"/>
                <w:szCs w:val="18"/>
                <w:lang w:val="en-US" w:eastAsia="zh-CN"/>
              </w:rPr>
              <w:t>30</w:t>
            </w:r>
            <w:r>
              <w:rPr>
                <w:rFonts w:hint="default" w:ascii="Times New Roman" w:hAnsi="Times New Roman" w:eastAsia="宋体" w:cs="Times New Roman"/>
                <w:color w:val="auto"/>
                <w:sz w:val="18"/>
                <w:szCs w:val="18"/>
                <w:lang w:val="en-US" w:eastAsia="zh-CN"/>
              </w:rPr>
              <w:t>0㎡</w:t>
            </w:r>
            <w:r>
              <w:rPr>
                <w:rFonts w:hint="default" w:ascii="Times New Roman" w:hAnsi="Times New Roman" w:cs="Times New Roman"/>
                <w:color w:val="auto"/>
                <w:sz w:val="18"/>
                <w:szCs w:val="18"/>
                <w:lang w:val="en-US" w:eastAsia="zh-CN"/>
              </w:rPr>
              <w:t>，地面进行防渗。</w:t>
            </w:r>
          </w:p>
        </w:tc>
        <w:tc>
          <w:tcPr>
            <w:tcW w:w="772" w:type="pct"/>
            <w:tcBorders>
              <w:tl2br w:val="nil"/>
              <w:tr2bl w:val="nil"/>
            </w:tcBorders>
            <w:vAlign w:val="center"/>
          </w:tcPr>
          <w:p w14:paraId="4BD455D0">
            <w:pPr>
              <w:autoSpaceDE w:val="0"/>
              <w:autoSpaceDN w:val="0"/>
              <w:adjustRightInd w:val="0"/>
              <w:jc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color w:val="auto"/>
                <w:sz w:val="18"/>
                <w:szCs w:val="18"/>
                <w:lang w:val="en-US" w:eastAsia="zh-CN"/>
              </w:rPr>
              <w:t>环评提出新建</w:t>
            </w:r>
          </w:p>
        </w:tc>
      </w:tr>
      <w:tr w14:paraId="465767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6D7F5411">
            <w:pPr>
              <w:autoSpaceDE w:val="0"/>
              <w:autoSpaceDN w:val="0"/>
              <w:adjustRightInd w:val="0"/>
              <w:jc w:val="center"/>
              <w:rPr>
                <w:rFonts w:hint="default" w:ascii="Times New Roman" w:hAnsi="Times New Roman" w:eastAsia="宋体" w:cs="Times New Roman"/>
                <w:b/>
                <w:sz w:val="18"/>
                <w:szCs w:val="18"/>
              </w:rPr>
            </w:pPr>
          </w:p>
        </w:tc>
        <w:tc>
          <w:tcPr>
            <w:tcW w:w="754" w:type="pct"/>
            <w:gridSpan w:val="3"/>
            <w:tcBorders>
              <w:tl2br w:val="nil"/>
              <w:tr2bl w:val="nil"/>
            </w:tcBorders>
            <w:vAlign w:val="center"/>
          </w:tcPr>
          <w:p w14:paraId="2A81AFB9">
            <w:pPr>
              <w:autoSpaceDE w:val="0"/>
              <w:autoSpaceDN w:val="0"/>
              <w:adjustRightIn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bCs/>
                <w:color w:val="auto"/>
                <w:sz w:val="18"/>
                <w:szCs w:val="18"/>
              </w:rPr>
              <w:t>配套</w:t>
            </w:r>
            <w:r>
              <w:rPr>
                <w:rFonts w:hint="default" w:ascii="Times New Roman" w:hAnsi="Times New Roman" w:eastAsia="宋体" w:cs="Times New Roman"/>
                <w:color w:val="auto"/>
                <w:sz w:val="18"/>
                <w:szCs w:val="18"/>
              </w:rPr>
              <w:t>传送带</w:t>
            </w:r>
          </w:p>
        </w:tc>
        <w:tc>
          <w:tcPr>
            <w:tcW w:w="3077" w:type="pct"/>
            <w:tcBorders>
              <w:tl2br w:val="nil"/>
              <w:tr2bl w:val="nil"/>
            </w:tcBorders>
            <w:vAlign w:val="center"/>
          </w:tcPr>
          <w:p w14:paraId="1313C6D3">
            <w:pPr>
              <w:autoSpaceDE w:val="0"/>
              <w:autoSpaceDN w:val="0"/>
              <w:adjustRightInd w:val="0"/>
              <w:ind w:firstLine="360" w:firstLineChars="200"/>
              <w:jc w:val="left"/>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rPr>
              <w:t>设置</w:t>
            </w:r>
            <w:r>
              <w:rPr>
                <w:rFonts w:hint="default" w:ascii="Times New Roman" w:hAnsi="Times New Roman" w:cs="Times New Roman"/>
                <w:snapToGrid w:val="0"/>
                <w:color w:val="auto"/>
                <w:sz w:val="18"/>
                <w:szCs w:val="18"/>
                <w:lang w:val="en-US" w:eastAsia="zh-CN"/>
              </w:rPr>
              <w:t>8</w:t>
            </w:r>
            <w:r>
              <w:rPr>
                <w:rFonts w:hint="default" w:ascii="Times New Roman" w:hAnsi="Times New Roman" w:eastAsia="宋体" w:cs="Times New Roman"/>
                <w:snapToGrid w:val="0"/>
                <w:color w:val="auto"/>
                <w:sz w:val="18"/>
                <w:szCs w:val="18"/>
              </w:rPr>
              <w:t>条传送胶带，用于生产线内</w:t>
            </w:r>
            <w:r>
              <w:rPr>
                <w:rFonts w:hint="default" w:ascii="Times New Roman" w:hAnsi="Times New Roman" w:cs="Times New Roman"/>
                <w:snapToGrid w:val="0"/>
                <w:color w:val="auto"/>
                <w:sz w:val="18"/>
                <w:szCs w:val="18"/>
                <w:lang w:val="en-US" w:eastAsia="zh-CN"/>
              </w:rPr>
              <w:t>石料</w:t>
            </w:r>
            <w:r>
              <w:rPr>
                <w:rFonts w:hint="default" w:ascii="Times New Roman" w:hAnsi="Times New Roman" w:eastAsia="宋体" w:cs="Times New Roman"/>
                <w:snapToGrid w:val="0"/>
                <w:color w:val="auto"/>
                <w:sz w:val="18"/>
                <w:szCs w:val="18"/>
              </w:rPr>
              <w:t>运输。本次改造为封闭式廊道</w:t>
            </w:r>
          </w:p>
        </w:tc>
        <w:tc>
          <w:tcPr>
            <w:tcW w:w="772" w:type="pct"/>
            <w:tcBorders>
              <w:tl2br w:val="nil"/>
              <w:tr2bl w:val="nil"/>
            </w:tcBorders>
            <w:vAlign w:val="center"/>
          </w:tcPr>
          <w:p w14:paraId="5915A453">
            <w:pPr>
              <w:autoSpaceDE w:val="0"/>
              <w:autoSpaceDN w:val="0"/>
              <w:adjustRightInd w:val="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已建敞开式传送带，本次整改为封闭式廊道</w:t>
            </w:r>
          </w:p>
        </w:tc>
      </w:tr>
      <w:tr w14:paraId="26AEEE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53970527">
            <w:pPr>
              <w:autoSpaceDE w:val="0"/>
              <w:autoSpaceDN w:val="0"/>
              <w:adjustRightInd w:val="0"/>
              <w:jc w:val="center"/>
              <w:rPr>
                <w:rFonts w:hint="default" w:ascii="Times New Roman" w:hAnsi="Times New Roman" w:eastAsia="宋体" w:cs="Times New Roman"/>
                <w:b/>
                <w:sz w:val="18"/>
                <w:szCs w:val="18"/>
              </w:rPr>
            </w:pPr>
          </w:p>
        </w:tc>
        <w:tc>
          <w:tcPr>
            <w:tcW w:w="754" w:type="pct"/>
            <w:gridSpan w:val="3"/>
            <w:tcBorders>
              <w:tl2br w:val="nil"/>
              <w:tr2bl w:val="nil"/>
            </w:tcBorders>
            <w:vAlign w:val="center"/>
          </w:tcPr>
          <w:p w14:paraId="5343948F">
            <w:pPr>
              <w:autoSpaceDE w:val="0"/>
              <w:autoSpaceDN w:val="0"/>
              <w:adjustRightIn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进厂道路</w:t>
            </w:r>
          </w:p>
        </w:tc>
        <w:tc>
          <w:tcPr>
            <w:tcW w:w="3077" w:type="pct"/>
            <w:tcBorders>
              <w:tl2br w:val="nil"/>
              <w:tr2bl w:val="nil"/>
            </w:tcBorders>
            <w:vAlign w:val="center"/>
          </w:tcPr>
          <w:p w14:paraId="1C45D5D2">
            <w:pPr>
              <w:autoSpaceDE w:val="0"/>
              <w:autoSpaceDN w:val="0"/>
              <w:adjustRightInd w:val="0"/>
              <w:ind w:firstLine="360" w:firstLineChars="200"/>
              <w:jc w:val="left"/>
              <w:rPr>
                <w:rFonts w:hint="default" w:ascii="Times New Roman" w:hAnsi="Times New Roman" w:eastAsia="宋体" w:cs="Times New Roman"/>
                <w:snapToGrid w:val="0"/>
                <w:color w:val="auto"/>
                <w:sz w:val="18"/>
                <w:szCs w:val="18"/>
                <w:lang w:val="en-US" w:eastAsia="zh-CN"/>
              </w:rPr>
            </w:pPr>
            <w:r>
              <w:rPr>
                <w:rFonts w:hint="default" w:ascii="Times New Roman" w:hAnsi="Times New Roman" w:cs="Times New Roman"/>
                <w:snapToGrid w:val="0"/>
                <w:color w:val="auto"/>
                <w:sz w:val="18"/>
                <w:szCs w:val="18"/>
                <w:lang w:val="en-US" w:eastAsia="zh-CN"/>
              </w:rPr>
              <w:t>依托矿山道路，环评提出采用碎石硬化</w:t>
            </w:r>
          </w:p>
        </w:tc>
        <w:tc>
          <w:tcPr>
            <w:tcW w:w="772" w:type="pct"/>
            <w:tcBorders>
              <w:tl2br w:val="nil"/>
              <w:tr2bl w:val="nil"/>
            </w:tcBorders>
            <w:vAlign w:val="center"/>
          </w:tcPr>
          <w:p w14:paraId="3E362F6F">
            <w:pPr>
              <w:autoSpaceDE w:val="0"/>
              <w:autoSpaceDN w:val="0"/>
              <w:adjustRightInd w:val="0"/>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依托鲁奎山铁矿</w:t>
            </w:r>
          </w:p>
        </w:tc>
      </w:tr>
      <w:tr w14:paraId="7EE4C8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4" w:type="pct"/>
            <w:tcBorders>
              <w:tl2br w:val="nil"/>
              <w:tr2bl w:val="nil"/>
            </w:tcBorders>
            <w:vAlign w:val="center"/>
          </w:tcPr>
          <w:p w14:paraId="7BDEEEDB">
            <w:pPr>
              <w:autoSpaceDE w:val="0"/>
              <w:autoSpaceDN w:val="0"/>
              <w:adjustRightInd w:val="0"/>
              <w:jc w:val="center"/>
              <w:rPr>
                <w:rFonts w:hint="default" w:ascii="Times New Roman" w:hAnsi="Times New Roman" w:eastAsia="宋体" w:cs="Times New Roman"/>
                <w:b/>
                <w:sz w:val="18"/>
                <w:szCs w:val="18"/>
              </w:rPr>
            </w:pPr>
            <w:r>
              <w:rPr>
                <w:rFonts w:hint="default" w:ascii="Times New Roman" w:hAnsi="Times New Roman" w:cs="Times New Roman"/>
                <w:b/>
                <w:sz w:val="18"/>
                <w:szCs w:val="18"/>
                <w:lang w:val="en-US" w:eastAsia="zh-CN"/>
              </w:rPr>
              <w:t>辅助</w:t>
            </w:r>
            <w:r>
              <w:rPr>
                <w:rFonts w:hint="default" w:ascii="Times New Roman" w:hAnsi="Times New Roman" w:eastAsia="宋体" w:cs="Times New Roman"/>
                <w:b/>
                <w:sz w:val="18"/>
                <w:szCs w:val="18"/>
              </w:rPr>
              <w:t>工程</w:t>
            </w:r>
          </w:p>
        </w:tc>
        <w:tc>
          <w:tcPr>
            <w:tcW w:w="754" w:type="pct"/>
            <w:gridSpan w:val="3"/>
            <w:tcBorders>
              <w:tl2br w:val="nil"/>
              <w:tr2bl w:val="nil"/>
            </w:tcBorders>
            <w:vAlign w:val="center"/>
          </w:tcPr>
          <w:p w14:paraId="372CF6F8">
            <w:pPr>
              <w:autoSpaceDE w:val="0"/>
              <w:autoSpaceDN w:val="0"/>
              <w:adjustRightInd w:val="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办公生活区</w:t>
            </w:r>
          </w:p>
        </w:tc>
        <w:tc>
          <w:tcPr>
            <w:tcW w:w="3077" w:type="pct"/>
            <w:tcBorders>
              <w:tl2br w:val="nil"/>
              <w:tr2bl w:val="nil"/>
            </w:tcBorders>
            <w:vAlign w:val="center"/>
          </w:tcPr>
          <w:p w14:paraId="224E5745">
            <w:pPr>
              <w:autoSpaceDE w:val="0"/>
              <w:autoSpaceDN w:val="0"/>
              <w:adjustRightInd w:val="0"/>
              <w:ind w:firstLine="360" w:firstLineChars="200"/>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依托</w:t>
            </w:r>
            <w:r>
              <w:rPr>
                <w:rFonts w:hint="default" w:ascii="Times New Roman" w:hAnsi="Times New Roman" w:cs="Times New Roman"/>
                <w:color w:val="auto"/>
                <w:sz w:val="18"/>
                <w:szCs w:val="18"/>
                <w:lang w:val="en-US" w:eastAsia="zh-CN"/>
              </w:rPr>
              <w:t>鲁奎山铁矿</w:t>
            </w:r>
            <w:r>
              <w:rPr>
                <w:rFonts w:hint="default" w:ascii="Times New Roman" w:hAnsi="Times New Roman" w:eastAsia="宋体" w:cs="Times New Roman"/>
                <w:color w:val="auto"/>
                <w:sz w:val="18"/>
                <w:szCs w:val="18"/>
              </w:rPr>
              <w:t>办公生活区，内设办公室、职工宿舍、沐浴室。</w:t>
            </w:r>
          </w:p>
        </w:tc>
        <w:tc>
          <w:tcPr>
            <w:tcW w:w="772" w:type="pct"/>
            <w:tcBorders>
              <w:tl2br w:val="nil"/>
              <w:tr2bl w:val="nil"/>
            </w:tcBorders>
            <w:vAlign w:val="center"/>
          </w:tcPr>
          <w:p w14:paraId="61EE704D">
            <w:pPr>
              <w:autoSpaceDE w:val="0"/>
              <w:autoSpaceDN w:val="0"/>
              <w:adjustRightInd w:val="0"/>
              <w:jc w:val="left"/>
              <w:rPr>
                <w:rFonts w:hint="default" w:ascii="Times New Roman" w:hAnsi="Times New Roman" w:eastAsia="宋体" w:cs="Times New Roman"/>
                <w:bCs/>
                <w:color w:val="auto"/>
                <w:sz w:val="18"/>
                <w:szCs w:val="18"/>
              </w:rPr>
            </w:pPr>
            <w:r>
              <w:rPr>
                <w:rFonts w:hint="default" w:ascii="Times New Roman" w:hAnsi="Times New Roman" w:cs="Times New Roman"/>
                <w:color w:val="auto"/>
                <w:sz w:val="18"/>
                <w:szCs w:val="18"/>
                <w:lang w:val="en-US" w:eastAsia="zh-CN"/>
              </w:rPr>
              <w:t>依托鲁奎山铁矿</w:t>
            </w:r>
          </w:p>
        </w:tc>
      </w:tr>
      <w:tr w14:paraId="02C7CE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4" w:type="pct"/>
            <w:vMerge w:val="restart"/>
            <w:tcBorders>
              <w:tl2br w:val="nil"/>
              <w:tr2bl w:val="nil"/>
            </w:tcBorders>
            <w:vAlign w:val="center"/>
          </w:tcPr>
          <w:p w14:paraId="366A5B54">
            <w:pPr>
              <w:autoSpaceDE w:val="0"/>
              <w:autoSpaceDN w:val="0"/>
              <w:adjustRightInd w:val="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环保工程</w:t>
            </w:r>
          </w:p>
        </w:tc>
        <w:tc>
          <w:tcPr>
            <w:tcW w:w="300" w:type="pct"/>
            <w:tcBorders>
              <w:tl2br w:val="nil"/>
              <w:tr2bl w:val="nil"/>
            </w:tcBorders>
            <w:vAlign w:val="center"/>
          </w:tcPr>
          <w:p w14:paraId="3BD8A297">
            <w:pPr>
              <w:autoSpaceDE w:val="0"/>
              <w:autoSpaceDN w:val="0"/>
              <w:adjustRightInd w:val="0"/>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有组织粉尘</w:t>
            </w:r>
          </w:p>
        </w:tc>
        <w:tc>
          <w:tcPr>
            <w:tcW w:w="454" w:type="pct"/>
            <w:gridSpan w:val="2"/>
            <w:tcBorders>
              <w:tl2br w:val="nil"/>
              <w:tr2bl w:val="nil"/>
            </w:tcBorders>
            <w:vAlign w:val="center"/>
          </w:tcPr>
          <w:p w14:paraId="279A2F2C">
            <w:pPr>
              <w:autoSpaceDE w:val="0"/>
              <w:autoSpaceDN w:val="0"/>
              <w:adjustRightIn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color w:val="auto"/>
                <w:sz w:val="18"/>
                <w:szCs w:val="18"/>
                <w:lang w:val="en-US" w:eastAsia="zh-CN"/>
              </w:rPr>
              <w:t>生产过程产生的粉尘</w:t>
            </w:r>
          </w:p>
        </w:tc>
        <w:tc>
          <w:tcPr>
            <w:tcW w:w="3077" w:type="pct"/>
            <w:tcBorders>
              <w:tl2br w:val="nil"/>
              <w:tr2bl w:val="nil"/>
            </w:tcBorders>
            <w:vAlign w:val="center"/>
          </w:tcPr>
          <w:p w14:paraId="722332A6">
            <w:pPr>
              <w:autoSpaceDE w:val="0"/>
              <w:autoSpaceDN w:val="0"/>
              <w:adjustRightInd w:val="0"/>
              <w:ind w:firstLine="360" w:firstLineChars="200"/>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将破碎机、筛分机、</w:t>
            </w:r>
            <w:r>
              <w:rPr>
                <w:rFonts w:hint="default" w:ascii="Times New Roman" w:hAnsi="Times New Roman" w:eastAsia="宋体" w:cs="Times New Roman"/>
                <w:color w:val="auto"/>
                <w:sz w:val="18"/>
                <w:szCs w:val="18"/>
                <w:lang w:val="en-US" w:eastAsia="zh-CN"/>
              </w:rPr>
              <w:t>磁选</w:t>
            </w:r>
            <w:r>
              <w:rPr>
                <w:rFonts w:hint="default" w:ascii="Times New Roman" w:hAnsi="Times New Roman" w:eastAsia="宋体" w:cs="Times New Roman"/>
                <w:color w:val="auto"/>
                <w:sz w:val="18"/>
                <w:szCs w:val="18"/>
              </w:rPr>
              <w:t>机等设备使用彩钢板进行封闭</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每台设备彩钢板预留口安装集气罩收集粉尘，产生的粉尘引至除尘器处置，</w:t>
            </w:r>
            <w:r>
              <w:rPr>
                <w:rFonts w:hint="default" w:ascii="Times New Roman" w:hAnsi="Times New Roman" w:eastAsia="宋体" w:cs="Times New Roman"/>
                <w:color w:val="auto"/>
                <w:sz w:val="18"/>
                <w:szCs w:val="18"/>
                <w:lang w:val="en-US" w:eastAsia="zh-CN"/>
              </w:rPr>
              <w:t>共</w:t>
            </w:r>
            <w:r>
              <w:rPr>
                <w:rFonts w:hint="default" w:ascii="Times New Roman" w:hAnsi="Times New Roman" w:eastAsia="宋体" w:cs="Times New Roman"/>
                <w:color w:val="auto"/>
                <w:sz w:val="18"/>
                <w:szCs w:val="18"/>
              </w:rPr>
              <w:t>设置1套</w:t>
            </w:r>
            <w:r>
              <w:rPr>
                <w:rFonts w:hint="default" w:ascii="Times New Roman" w:hAnsi="Times New Roman" w:cs="Times New Roman"/>
                <w:color w:val="auto"/>
                <w:sz w:val="18"/>
                <w:szCs w:val="18"/>
                <w:lang w:val="en-US" w:eastAsia="zh-CN"/>
              </w:rPr>
              <w:t>布袋</w:t>
            </w:r>
            <w:r>
              <w:rPr>
                <w:rFonts w:hint="default" w:ascii="Times New Roman" w:hAnsi="Times New Roman" w:eastAsia="宋体" w:cs="Times New Roman"/>
                <w:color w:val="auto"/>
                <w:sz w:val="18"/>
                <w:szCs w:val="18"/>
              </w:rPr>
              <w:t>除尘设备，处理效率99</w:t>
            </w:r>
            <w:r>
              <w:rPr>
                <w:rFonts w:hint="default" w:ascii="Times New Roman" w:hAnsi="Times New Roman" w:cs="Times New Roman"/>
                <w:color w:val="auto"/>
                <w:sz w:val="18"/>
                <w:szCs w:val="18"/>
                <w:lang w:val="en-US" w:eastAsia="zh-CN"/>
              </w:rPr>
              <w:t>.5</w:t>
            </w:r>
            <w:r>
              <w:rPr>
                <w:rFonts w:hint="default" w:ascii="Times New Roman" w:hAnsi="Times New Roman" w:eastAsia="宋体" w:cs="Times New Roman"/>
                <w:color w:val="auto"/>
                <w:sz w:val="18"/>
                <w:szCs w:val="18"/>
              </w:rPr>
              <w:t>%，处理后粉尘经15m高排气筒</w:t>
            </w:r>
            <w:r>
              <w:rPr>
                <w:rFonts w:hint="default" w:ascii="Times New Roman" w:hAnsi="Times New Roman" w:eastAsia="宋体" w:cs="Times New Roman"/>
                <w:color w:val="auto"/>
                <w:sz w:val="18"/>
                <w:szCs w:val="18"/>
                <w:lang w:val="en-US" w:eastAsia="zh-CN"/>
              </w:rPr>
              <w:t>DA001</w:t>
            </w:r>
            <w:r>
              <w:rPr>
                <w:rFonts w:hint="default" w:ascii="Times New Roman" w:hAnsi="Times New Roman" w:eastAsia="宋体" w:cs="Times New Roman"/>
                <w:color w:val="auto"/>
                <w:sz w:val="18"/>
                <w:szCs w:val="18"/>
              </w:rPr>
              <w:t>排放</w:t>
            </w:r>
          </w:p>
        </w:tc>
        <w:tc>
          <w:tcPr>
            <w:tcW w:w="772" w:type="pct"/>
            <w:tcBorders>
              <w:tl2br w:val="nil"/>
              <w:tr2bl w:val="nil"/>
            </w:tcBorders>
            <w:vAlign w:val="center"/>
          </w:tcPr>
          <w:p w14:paraId="098BC75E">
            <w:pPr>
              <w:autoSpaceDE w:val="0"/>
              <w:autoSpaceDN w:val="0"/>
              <w:adjustRightInd w:val="0"/>
              <w:jc w:val="left"/>
              <w:rPr>
                <w:rFonts w:hint="default" w:ascii="Times New Roman" w:hAnsi="Times New Roman" w:eastAsia="宋体" w:cs="Times New Roman"/>
                <w:bCs/>
                <w:color w:val="0066FF"/>
                <w:sz w:val="18"/>
                <w:szCs w:val="18"/>
                <w:lang w:val="en-US" w:eastAsia="zh-CN"/>
              </w:rPr>
            </w:pPr>
            <w:r>
              <w:rPr>
                <w:rFonts w:hint="default" w:ascii="Times New Roman" w:hAnsi="Times New Roman" w:eastAsia="宋体" w:cs="Times New Roman"/>
                <w:color w:val="auto"/>
                <w:sz w:val="18"/>
                <w:szCs w:val="18"/>
                <w:lang w:val="en-US" w:eastAsia="zh-CN"/>
              </w:rPr>
              <w:t>环评提出新建</w:t>
            </w:r>
          </w:p>
        </w:tc>
      </w:tr>
      <w:tr w14:paraId="23CEA3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29AD791F">
            <w:pPr>
              <w:autoSpaceDE w:val="0"/>
              <w:autoSpaceDN w:val="0"/>
              <w:adjustRightInd w:val="0"/>
              <w:jc w:val="center"/>
              <w:rPr>
                <w:rFonts w:hint="default" w:ascii="Times New Roman" w:hAnsi="Times New Roman" w:eastAsia="宋体" w:cs="Times New Roman"/>
                <w:b/>
                <w:sz w:val="18"/>
                <w:szCs w:val="18"/>
              </w:rPr>
            </w:pPr>
          </w:p>
        </w:tc>
        <w:tc>
          <w:tcPr>
            <w:tcW w:w="300" w:type="pct"/>
            <w:vMerge w:val="restart"/>
            <w:tcBorders>
              <w:tl2br w:val="nil"/>
              <w:tr2bl w:val="nil"/>
            </w:tcBorders>
            <w:vAlign w:val="center"/>
          </w:tcPr>
          <w:p w14:paraId="62C5A3CB">
            <w:pPr>
              <w:autoSpaceDE w:val="0"/>
              <w:autoSpaceDN w:val="0"/>
              <w:adjustRightInd w:val="0"/>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无组织粉尘</w:t>
            </w:r>
          </w:p>
        </w:tc>
        <w:tc>
          <w:tcPr>
            <w:tcW w:w="454" w:type="pct"/>
            <w:gridSpan w:val="2"/>
            <w:tcBorders>
              <w:tl2br w:val="nil"/>
              <w:tr2bl w:val="nil"/>
            </w:tcBorders>
            <w:vAlign w:val="center"/>
          </w:tcPr>
          <w:p w14:paraId="7D66FC90">
            <w:pPr>
              <w:autoSpaceDE w:val="0"/>
              <w:autoSpaceDN w:val="0"/>
              <w:adjustRightIn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进料扬尘</w:t>
            </w:r>
          </w:p>
        </w:tc>
        <w:tc>
          <w:tcPr>
            <w:tcW w:w="3077" w:type="pct"/>
            <w:tcBorders>
              <w:tl2br w:val="nil"/>
              <w:tr2bl w:val="nil"/>
            </w:tcBorders>
            <w:vAlign w:val="center"/>
          </w:tcPr>
          <w:p w14:paraId="4A6AB526">
            <w:pPr>
              <w:autoSpaceDE w:val="0"/>
              <w:autoSpaceDN w:val="0"/>
              <w:adjustRightInd w:val="0"/>
              <w:ind w:firstLine="360" w:firstLineChars="200"/>
              <w:jc w:val="left"/>
              <w:rPr>
                <w:rFonts w:hint="default" w:ascii="Times New Roman" w:hAnsi="Times New Roman" w:eastAsia="宋体" w:cs="Times New Roman"/>
                <w:color w:val="auto"/>
                <w:sz w:val="18"/>
                <w:szCs w:val="18"/>
                <w:lang w:val="en-US"/>
              </w:rPr>
            </w:pPr>
            <w:r>
              <w:rPr>
                <w:rFonts w:hint="default" w:ascii="Times New Roman" w:hAnsi="Times New Roman" w:cs="Times New Roman"/>
                <w:color w:val="auto"/>
                <w:sz w:val="18"/>
                <w:szCs w:val="18"/>
                <w:lang w:val="en-US" w:eastAsia="zh-CN"/>
              </w:rPr>
              <w:t>进</w:t>
            </w:r>
            <w:r>
              <w:rPr>
                <w:rFonts w:hint="default" w:ascii="Times New Roman" w:hAnsi="Times New Roman" w:eastAsia="宋体" w:cs="Times New Roman"/>
                <w:color w:val="auto"/>
                <w:sz w:val="18"/>
                <w:szCs w:val="18"/>
                <w:lang w:val="en-US" w:eastAsia="zh-CN"/>
              </w:rPr>
              <w:t>料斗</w:t>
            </w:r>
            <w:r>
              <w:rPr>
                <w:rFonts w:hint="default" w:ascii="Times New Roman" w:hAnsi="Times New Roman" w:cs="Times New Roman"/>
                <w:color w:val="auto"/>
                <w:sz w:val="18"/>
                <w:szCs w:val="18"/>
                <w:lang w:val="en-US" w:eastAsia="zh-CN"/>
              </w:rPr>
              <w:t>采用彩钢板</w:t>
            </w:r>
            <w:r>
              <w:rPr>
                <w:rFonts w:hint="default" w:ascii="Times New Roman" w:hAnsi="Times New Roman" w:eastAsia="宋体" w:cs="Times New Roman"/>
                <w:color w:val="auto"/>
                <w:sz w:val="18"/>
                <w:szCs w:val="18"/>
                <w:lang w:val="en-US" w:eastAsia="zh-CN"/>
              </w:rPr>
              <w:t>三面围挡，</w:t>
            </w:r>
            <w:r>
              <w:rPr>
                <w:rFonts w:hint="default" w:ascii="Times New Roman" w:hAnsi="Times New Roman" w:cs="Times New Roman"/>
                <w:color w:val="auto"/>
                <w:sz w:val="18"/>
                <w:szCs w:val="18"/>
              </w:rPr>
              <w:t>设置喷雾除尘</w:t>
            </w:r>
            <w:r>
              <w:rPr>
                <w:rFonts w:hint="default" w:ascii="Times New Roman" w:hAnsi="Times New Roman" w:cs="Times New Roman"/>
                <w:color w:val="auto"/>
                <w:sz w:val="18"/>
                <w:szCs w:val="18"/>
                <w:lang w:val="en-US" w:eastAsia="zh-CN"/>
              </w:rPr>
              <w:t>装置</w:t>
            </w:r>
          </w:p>
        </w:tc>
        <w:tc>
          <w:tcPr>
            <w:tcW w:w="772" w:type="pct"/>
            <w:tcBorders>
              <w:tl2br w:val="nil"/>
              <w:tr2bl w:val="nil"/>
            </w:tcBorders>
            <w:vAlign w:val="center"/>
          </w:tcPr>
          <w:p w14:paraId="137A3740">
            <w:pPr>
              <w:autoSpaceDE w:val="0"/>
              <w:autoSpaceDN w:val="0"/>
              <w:adjustRightInd w:val="0"/>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环评提出新建</w:t>
            </w:r>
          </w:p>
        </w:tc>
      </w:tr>
      <w:tr w14:paraId="0C8122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01AE6F3A">
            <w:pPr>
              <w:autoSpaceDE w:val="0"/>
              <w:autoSpaceDN w:val="0"/>
              <w:adjustRightInd w:val="0"/>
              <w:jc w:val="center"/>
              <w:rPr>
                <w:rFonts w:hint="default" w:ascii="Times New Roman" w:hAnsi="Times New Roman" w:eastAsia="宋体" w:cs="Times New Roman"/>
                <w:b/>
                <w:sz w:val="18"/>
                <w:szCs w:val="18"/>
              </w:rPr>
            </w:pPr>
          </w:p>
        </w:tc>
        <w:tc>
          <w:tcPr>
            <w:tcW w:w="300" w:type="pct"/>
            <w:vMerge w:val="continue"/>
            <w:tcBorders>
              <w:tl2br w:val="nil"/>
              <w:tr2bl w:val="nil"/>
            </w:tcBorders>
            <w:vAlign w:val="center"/>
          </w:tcPr>
          <w:p w14:paraId="132332C4">
            <w:pPr>
              <w:autoSpaceDE w:val="0"/>
              <w:autoSpaceDN w:val="0"/>
              <w:adjustRightInd w:val="0"/>
              <w:jc w:val="center"/>
              <w:rPr>
                <w:rFonts w:hint="default" w:ascii="Times New Roman" w:hAnsi="Times New Roman" w:eastAsia="宋体" w:cs="Times New Roman"/>
                <w:bCs/>
                <w:sz w:val="18"/>
                <w:szCs w:val="18"/>
                <w:lang w:val="en-US" w:eastAsia="zh-CN"/>
              </w:rPr>
            </w:pPr>
          </w:p>
        </w:tc>
        <w:tc>
          <w:tcPr>
            <w:tcW w:w="454" w:type="pct"/>
            <w:gridSpan w:val="2"/>
            <w:tcBorders>
              <w:tl2br w:val="nil"/>
              <w:tr2bl w:val="nil"/>
            </w:tcBorders>
            <w:vAlign w:val="center"/>
          </w:tcPr>
          <w:p w14:paraId="5F1308B7">
            <w:pPr>
              <w:autoSpaceDE w:val="0"/>
              <w:autoSpaceDN w:val="0"/>
              <w:adjustRightInd w:val="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一次筛分落料点粉尘</w:t>
            </w:r>
          </w:p>
        </w:tc>
        <w:tc>
          <w:tcPr>
            <w:tcW w:w="3077" w:type="pct"/>
            <w:tcBorders>
              <w:tl2br w:val="nil"/>
              <w:tr2bl w:val="nil"/>
            </w:tcBorders>
            <w:vAlign w:val="center"/>
          </w:tcPr>
          <w:p w14:paraId="27A15E5B">
            <w:pPr>
              <w:autoSpaceDE w:val="0"/>
              <w:autoSpaceDN w:val="0"/>
              <w:adjustRightInd w:val="0"/>
              <w:ind w:firstLine="360" w:firstLineChars="20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落料点采用彩钢板三面围挡，</w:t>
            </w:r>
            <w:r>
              <w:rPr>
                <w:rFonts w:hint="default" w:ascii="Times New Roman" w:hAnsi="Times New Roman" w:cs="Times New Roman"/>
                <w:color w:val="auto"/>
                <w:sz w:val="18"/>
                <w:szCs w:val="18"/>
              </w:rPr>
              <w:t>设置喷雾除尘</w:t>
            </w:r>
            <w:r>
              <w:rPr>
                <w:rFonts w:hint="default" w:ascii="Times New Roman" w:hAnsi="Times New Roman" w:cs="Times New Roman"/>
                <w:color w:val="auto"/>
                <w:sz w:val="18"/>
                <w:szCs w:val="18"/>
                <w:lang w:val="en-US" w:eastAsia="zh-CN"/>
              </w:rPr>
              <w:t>装置</w:t>
            </w:r>
          </w:p>
        </w:tc>
        <w:tc>
          <w:tcPr>
            <w:tcW w:w="772" w:type="pct"/>
            <w:tcBorders>
              <w:tl2br w:val="nil"/>
              <w:tr2bl w:val="nil"/>
            </w:tcBorders>
            <w:vAlign w:val="center"/>
          </w:tcPr>
          <w:p w14:paraId="39000EBC">
            <w:pPr>
              <w:autoSpaceDE w:val="0"/>
              <w:autoSpaceDN w:val="0"/>
              <w:adjustRightInd w:val="0"/>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环评提出新建</w:t>
            </w:r>
          </w:p>
        </w:tc>
      </w:tr>
      <w:tr w14:paraId="0DFC9A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2AE0E8CE">
            <w:pPr>
              <w:autoSpaceDE w:val="0"/>
              <w:autoSpaceDN w:val="0"/>
              <w:adjustRightInd w:val="0"/>
              <w:jc w:val="center"/>
              <w:rPr>
                <w:rFonts w:hint="default" w:ascii="Times New Roman" w:hAnsi="Times New Roman" w:eastAsia="宋体" w:cs="Times New Roman"/>
                <w:b/>
                <w:sz w:val="18"/>
                <w:szCs w:val="18"/>
              </w:rPr>
            </w:pPr>
          </w:p>
        </w:tc>
        <w:tc>
          <w:tcPr>
            <w:tcW w:w="300" w:type="pct"/>
            <w:vMerge w:val="continue"/>
            <w:tcBorders>
              <w:tl2br w:val="nil"/>
              <w:tr2bl w:val="nil"/>
            </w:tcBorders>
            <w:vAlign w:val="center"/>
          </w:tcPr>
          <w:p w14:paraId="6309E36A">
            <w:pPr>
              <w:autoSpaceDE w:val="0"/>
              <w:autoSpaceDN w:val="0"/>
              <w:adjustRightInd w:val="0"/>
              <w:jc w:val="center"/>
              <w:rPr>
                <w:rFonts w:hint="default" w:ascii="Times New Roman" w:hAnsi="Times New Roman" w:eastAsia="宋体" w:cs="Times New Roman"/>
                <w:bCs/>
                <w:sz w:val="18"/>
                <w:szCs w:val="18"/>
              </w:rPr>
            </w:pPr>
          </w:p>
        </w:tc>
        <w:tc>
          <w:tcPr>
            <w:tcW w:w="454" w:type="pct"/>
            <w:gridSpan w:val="2"/>
            <w:tcBorders>
              <w:tl2br w:val="nil"/>
              <w:tr2bl w:val="nil"/>
            </w:tcBorders>
            <w:vAlign w:val="center"/>
          </w:tcPr>
          <w:p w14:paraId="52744236">
            <w:pPr>
              <w:autoSpaceDE w:val="0"/>
              <w:autoSpaceDN w:val="0"/>
              <w:adjustRightInd w:val="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传送带粉尘</w:t>
            </w:r>
          </w:p>
        </w:tc>
        <w:tc>
          <w:tcPr>
            <w:tcW w:w="3077" w:type="pct"/>
            <w:tcBorders>
              <w:tl2br w:val="nil"/>
              <w:tr2bl w:val="nil"/>
            </w:tcBorders>
            <w:vAlign w:val="center"/>
          </w:tcPr>
          <w:p w14:paraId="7DC18458">
            <w:pPr>
              <w:autoSpaceDE w:val="0"/>
              <w:autoSpaceDN w:val="0"/>
              <w:adjustRightInd w:val="0"/>
              <w:ind w:firstLine="360" w:firstLineChars="200"/>
              <w:jc w:val="both"/>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传送带改造为封闭式廊道</w:t>
            </w:r>
          </w:p>
        </w:tc>
        <w:tc>
          <w:tcPr>
            <w:tcW w:w="772" w:type="pct"/>
            <w:tcBorders>
              <w:tl2br w:val="nil"/>
              <w:tr2bl w:val="nil"/>
            </w:tcBorders>
            <w:vAlign w:val="center"/>
          </w:tcPr>
          <w:p w14:paraId="14A054B8">
            <w:pPr>
              <w:autoSpaceDE w:val="0"/>
              <w:autoSpaceDN w:val="0"/>
              <w:adjustRightInd w:val="0"/>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lang w:val="en-US" w:eastAsia="zh-CN"/>
              </w:rPr>
              <w:t>环评提出新建</w:t>
            </w:r>
          </w:p>
        </w:tc>
      </w:tr>
      <w:tr w14:paraId="158E86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94" w:type="pct"/>
            <w:vMerge w:val="continue"/>
            <w:tcBorders>
              <w:tl2br w:val="nil"/>
              <w:tr2bl w:val="nil"/>
            </w:tcBorders>
            <w:vAlign w:val="center"/>
          </w:tcPr>
          <w:p w14:paraId="5497841C">
            <w:pPr>
              <w:autoSpaceDE w:val="0"/>
              <w:autoSpaceDN w:val="0"/>
              <w:adjustRightInd w:val="0"/>
              <w:jc w:val="center"/>
              <w:rPr>
                <w:rFonts w:hint="default" w:ascii="Times New Roman" w:hAnsi="Times New Roman" w:eastAsia="宋体" w:cs="Times New Roman"/>
                <w:b/>
                <w:sz w:val="18"/>
                <w:szCs w:val="18"/>
              </w:rPr>
            </w:pPr>
          </w:p>
        </w:tc>
        <w:tc>
          <w:tcPr>
            <w:tcW w:w="300" w:type="pct"/>
            <w:vMerge w:val="continue"/>
            <w:tcBorders>
              <w:tl2br w:val="nil"/>
              <w:tr2bl w:val="nil"/>
            </w:tcBorders>
            <w:vAlign w:val="center"/>
          </w:tcPr>
          <w:p w14:paraId="290E0292">
            <w:pPr>
              <w:autoSpaceDE w:val="0"/>
              <w:autoSpaceDN w:val="0"/>
              <w:adjustRightInd w:val="0"/>
              <w:jc w:val="center"/>
              <w:rPr>
                <w:rFonts w:hint="default" w:ascii="Times New Roman" w:hAnsi="Times New Roman" w:eastAsia="宋体" w:cs="Times New Roman"/>
                <w:bCs/>
                <w:sz w:val="18"/>
                <w:szCs w:val="18"/>
              </w:rPr>
            </w:pPr>
          </w:p>
        </w:tc>
        <w:tc>
          <w:tcPr>
            <w:tcW w:w="454" w:type="pct"/>
            <w:gridSpan w:val="2"/>
            <w:tcBorders>
              <w:tl2br w:val="nil"/>
              <w:tr2bl w:val="nil"/>
            </w:tcBorders>
            <w:vAlign w:val="center"/>
          </w:tcPr>
          <w:p w14:paraId="42DA4F06">
            <w:pPr>
              <w:pStyle w:val="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4"/>
                <w:sz w:val="18"/>
                <w:szCs w:val="18"/>
                <w:lang w:val="en-US" w:eastAsia="zh-CN"/>
              </w:rPr>
            </w:pPr>
            <w:r>
              <w:rPr>
                <w:rFonts w:hint="default" w:ascii="Times New Roman" w:hAnsi="Times New Roman" w:cs="Times New Roman"/>
                <w:color w:val="auto"/>
                <w:sz w:val="18"/>
                <w:szCs w:val="18"/>
                <w:lang w:val="en-US" w:eastAsia="zh-CN"/>
              </w:rPr>
              <w:t>铁矿石</w:t>
            </w:r>
            <w:r>
              <w:rPr>
                <w:rFonts w:hint="default" w:ascii="Times New Roman" w:hAnsi="Times New Roman" w:cs="Times New Roman"/>
                <w:color w:val="auto"/>
                <w:sz w:val="18"/>
                <w:szCs w:val="18"/>
              </w:rPr>
              <w:t>堆场扬尘</w:t>
            </w:r>
          </w:p>
        </w:tc>
        <w:tc>
          <w:tcPr>
            <w:tcW w:w="3077" w:type="pct"/>
            <w:tcBorders>
              <w:tl2br w:val="nil"/>
              <w:tr2bl w:val="nil"/>
            </w:tcBorders>
            <w:vAlign w:val="center"/>
          </w:tcPr>
          <w:p w14:paraId="488BA241">
            <w:pPr>
              <w:pStyle w:val="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设置为</w:t>
            </w:r>
            <w:r>
              <w:rPr>
                <w:rFonts w:hint="default" w:ascii="Times New Roman" w:hAnsi="Times New Roman" w:cs="Times New Roman"/>
                <w:color w:val="auto"/>
                <w:sz w:val="18"/>
                <w:szCs w:val="18"/>
              </w:rPr>
              <w:t>“三面围挡+彩钢瓦顶棚”半敞开式</w:t>
            </w:r>
            <w:r>
              <w:rPr>
                <w:rFonts w:hint="default" w:ascii="Times New Roman" w:hAnsi="Times New Roman" w:cs="Times New Roman"/>
                <w:color w:val="auto"/>
                <w:sz w:val="18"/>
                <w:szCs w:val="18"/>
                <w:lang w:val="en-US" w:eastAsia="zh-CN"/>
              </w:rPr>
              <w:t>堆场</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同时</w:t>
            </w:r>
            <w:r>
              <w:rPr>
                <w:rFonts w:hint="default" w:ascii="Times New Roman" w:hAnsi="Times New Roman" w:cs="Times New Roman"/>
                <w:color w:val="auto"/>
                <w:sz w:val="18"/>
                <w:szCs w:val="18"/>
              </w:rPr>
              <w:t>采取喷雾降尘</w:t>
            </w:r>
            <w:r>
              <w:rPr>
                <w:rFonts w:hint="default" w:ascii="Times New Roman" w:hAnsi="Times New Roman" w:cs="Times New Roman"/>
                <w:color w:val="auto"/>
                <w:sz w:val="18"/>
                <w:szCs w:val="18"/>
                <w:lang w:val="en-US" w:eastAsia="zh-CN"/>
              </w:rPr>
              <w:t>及采取编织物覆盖措施</w:t>
            </w:r>
          </w:p>
        </w:tc>
        <w:tc>
          <w:tcPr>
            <w:tcW w:w="772" w:type="pct"/>
            <w:tcBorders>
              <w:tl2br w:val="nil"/>
              <w:tr2bl w:val="nil"/>
            </w:tcBorders>
            <w:vAlign w:val="center"/>
          </w:tcPr>
          <w:p w14:paraId="7C2746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color w:val="auto"/>
                <w:sz w:val="18"/>
                <w:szCs w:val="18"/>
                <w:lang w:val="en-US" w:eastAsia="zh-CN"/>
              </w:rPr>
              <w:t>环评提出新建</w:t>
            </w:r>
          </w:p>
        </w:tc>
      </w:tr>
      <w:tr w14:paraId="1A5F38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94" w:type="pct"/>
            <w:vMerge w:val="continue"/>
            <w:tcBorders>
              <w:tl2br w:val="nil"/>
              <w:tr2bl w:val="nil"/>
            </w:tcBorders>
            <w:vAlign w:val="center"/>
          </w:tcPr>
          <w:p w14:paraId="5F5B8938">
            <w:pPr>
              <w:autoSpaceDE w:val="0"/>
              <w:autoSpaceDN w:val="0"/>
              <w:adjustRightInd w:val="0"/>
              <w:jc w:val="center"/>
              <w:rPr>
                <w:rFonts w:hint="default" w:ascii="Times New Roman" w:hAnsi="Times New Roman" w:eastAsia="宋体" w:cs="Times New Roman"/>
                <w:b/>
                <w:sz w:val="18"/>
                <w:szCs w:val="18"/>
              </w:rPr>
            </w:pPr>
          </w:p>
        </w:tc>
        <w:tc>
          <w:tcPr>
            <w:tcW w:w="300" w:type="pct"/>
            <w:vMerge w:val="continue"/>
            <w:tcBorders>
              <w:tl2br w:val="nil"/>
              <w:tr2bl w:val="nil"/>
            </w:tcBorders>
            <w:vAlign w:val="center"/>
          </w:tcPr>
          <w:p w14:paraId="22FF1762">
            <w:pPr>
              <w:autoSpaceDE w:val="0"/>
              <w:autoSpaceDN w:val="0"/>
              <w:adjustRightInd w:val="0"/>
              <w:jc w:val="center"/>
              <w:rPr>
                <w:rFonts w:hint="default" w:ascii="Times New Roman" w:hAnsi="Times New Roman" w:eastAsia="宋体" w:cs="Times New Roman"/>
                <w:bCs/>
                <w:sz w:val="18"/>
                <w:szCs w:val="18"/>
              </w:rPr>
            </w:pPr>
          </w:p>
        </w:tc>
        <w:tc>
          <w:tcPr>
            <w:tcW w:w="454" w:type="pct"/>
            <w:gridSpan w:val="2"/>
            <w:tcBorders>
              <w:tl2br w:val="nil"/>
              <w:tr2bl w:val="nil"/>
            </w:tcBorders>
            <w:vAlign w:val="center"/>
          </w:tcPr>
          <w:p w14:paraId="05CACC35">
            <w:pPr>
              <w:pStyle w:val="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4"/>
                <w:sz w:val="18"/>
                <w:szCs w:val="18"/>
                <w:lang w:val="en-US" w:eastAsia="zh-CN"/>
              </w:rPr>
            </w:pPr>
            <w:r>
              <w:rPr>
                <w:rFonts w:hint="default" w:ascii="Times New Roman" w:hAnsi="Times New Roman" w:cs="Times New Roman"/>
                <w:color w:val="auto"/>
                <w:sz w:val="18"/>
                <w:szCs w:val="18"/>
                <w:lang w:val="en-US" w:eastAsia="zh-CN"/>
              </w:rPr>
              <w:t>砂石料</w:t>
            </w:r>
            <w:r>
              <w:rPr>
                <w:rFonts w:hint="default" w:ascii="Times New Roman" w:hAnsi="Times New Roman" w:cs="Times New Roman"/>
                <w:color w:val="auto"/>
                <w:sz w:val="18"/>
                <w:szCs w:val="18"/>
              </w:rPr>
              <w:t>堆场扬尘</w:t>
            </w:r>
          </w:p>
        </w:tc>
        <w:tc>
          <w:tcPr>
            <w:tcW w:w="3077" w:type="pct"/>
            <w:tcBorders>
              <w:tl2br w:val="nil"/>
              <w:tr2bl w:val="nil"/>
            </w:tcBorders>
            <w:vAlign w:val="center"/>
          </w:tcPr>
          <w:p w14:paraId="11C1DE36">
            <w:pPr>
              <w:pStyle w:val="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设置为</w:t>
            </w:r>
            <w:r>
              <w:rPr>
                <w:rFonts w:hint="default" w:ascii="Times New Roman" w:hAnsi="Times New Roman" w:cs="Times New Roman"/>
                <w:color w:val="auto"/>
                <w:sz w:val="18"/>
                <w:szCs w:val="18"/>
              </w:rPr>
              <w:t>“三面围挡+彩钢瓦顶棚”半敞开式</w:t>
            </w:r>
            <w:r>
              <w:rPr>
                <w:rFonts w:hint="default" w:ascii="Times New Roman" w:hAnsi="Times New Roman" w:cs="Times New Roman"/>
                <w:color w:val="auto"/>
                <w:sz w:val="18"/>
                <w:szCs w:val="18"/>
                <w:lang w:val="en-US" w:eastAsia="zh-CN"/>
              </w:rPr>
              <w:t>堆场</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同时</w:t>
            </w:r>
            <w:r>
              <w:rPr>
                <w:rFonts w:hint="default" w:ascii="Times New Roman" w:hAnsi="Times New Roman" w:cs="Times New Roman"/>
                <w:color w:val="auto"/>
                <w:sz w:val="18"/>
                <w:szCs w:val="18"/>
              </w:rPr>
              <w:t>采取喷雾降尘</w:t>
            </w:r>
            <w:r>
              <w:rPr>
                <w:rFonts w:hint="default" w:ascii="Times New Roman" w:hAnsi="Times New Roman" w:cs="Times New Roman"/>
                <w:color w:val="auto"/>
                <w:sz w:val="18"/>
                <w:szCs w:val="18"/>
                <w:lang w:val="en-US" w:eastAsia="zh-CN"/>
              </w:rPr>
              <w:t>及采取编织物覆盖措施</w:t>
            </w:r>
          </w:p>
        </w:tc>
        <w:tc>
          <w:tcPr>
            <w:tcW w:w="772" w:type="pct"/>
            <w:tcBorders>
              <w:tl2br w:val="nil"/>
              <w:tr2bl w:val="nil"/>
            </w:tcBorders>
            <w:vAlign w:val="center"/>
          </w:tcPr>
          <w:p w14:paraId="28156D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color w:val="auto"/>
                <w:sz w:val="18"/>
                <w:szCs w:val="18"/>
                <w:lang w:val="en-US" w:eastAsia="zh-CN"/>
              </w:rPr>
              <w:t>环评提出新建</w:t>
            </w:r>
          </w:p>
        </w:tc>
      </w:tr>
      <w:tr w14:paraId="5D6622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94" w:type="pct"/>
            <w:vMerge w:val="continue"/>
            <w:tcBorders>
              <w:tl2br w:val="nil"/>
              <w:tr2bl w:val="nil"/>
            </w:tcBorders>
            <w:vAlign w:val="center"/>
          </w:tcPr>
          <w:p w14:paraId="74217803">
            <w:pPr>
              <w:autoSpaceDE w:val="0"/>
              <w:autoSpaceDN w:val="0"/>
              <w:adjustRightInd w:val="0"/>
              <w:jc w:val="center"/>
              <w:rPr>
                <w:rFonts w:hint="default" w:ascii="Times New Roman" w:hAnsi="Times New Roman" w:eastAsia="宋体" w:cs="Times New Roman"/>
                <w:b/>
                <w:sz w:val="18"/>
                <w:szCs w:val="18"/>
              </w:rPr>
            </w:pPr>
          </w:p>
        </w:tc>
        <w:tc>
          <w:tcPr>
            <w:tcW w:w="300" w:type="pct"/>
            <w:vMerge w:val="continue"/>
            <w:tcBorders>
              <w:tl2br w:val="nil"/>
              <w:tr2bl w:val="nil"/>
            </w:tcBorders>
            <w:vAlign w:val="center"/>
          </w:tcPr>
          <w:p w14:paraId="4203BC78">
            <w:pPr>
              <w:autoSpaceDE w:val="0"/>
              <w:autoSpaceDN w:val="0"/>
              <w:adjustRightInd w:val="0"/>
              <w:jc w:val="center"/>
              <w:rPr>
                <w:rFonts w:hint="default" w:ascii="Times New Roman" w:hAnsi="Times New Roman" w:eastAsia="宋体" w:cs="Times New Roman"/>
                <w:bCs/>
                <w:sz w:val="18"/>
                <w:szCs w:val="18"/>
              </w:rPr>
            </w:pPr>
          </w:p>
        </w:tc>
        <w:tc>
          <w:tcPr>
            <w:tcW w:w="454" w:type="pct"/>
            <w:gridSpan w:val="2"/>
            <w:tcBorders>
              <w:tl2br w:val="nil"/>
              <w:tr2bl w:val="nil"/>
            </w:tcBorders>
            <w:vAlign w:val="center"/>
          </w:tcPr>
          <w:p w14:paraId="18D76971">
            <w:pPr>
              <w:pStyle w:val="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原料堆场</w:t>
            </w:r>
          </w:p>
        </w:tc>
        <w:tc>
          <w:tcPr>
            <w:tcW w:w="3077" w:type="pct"/>
            <w:tcBorders>
              <w:tl2br w:val="nil"/>
              <w:tr2bl w:val="nil"/>
            </w:tcBorders>
            <w:vAlign w:val="center"/>
          </w:tcPr>
          <w:p w14:paraId="0EB72B0E">
            <w:pPr>
              <w:pStyle w:val="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设置为</w:t>
            </w:r>
            <w:r>
              <w:rPr>
                <w:rFonts w:hint="default" w:ascii="Times New Roman" w:hAnsi="Times New Roman" w:cs="Times New Roman"/>
                <w:color w:val="auto"/>
                <w:sz w:val="18"/>
                <w:szCs w:val="18"/>
              </w:rPr>
              <w:t>“三面围挡+彩钢瓦顶棚”半敞开式</w:t>
            </w:r>
            <w:r>
              <w:rPr>
                <w:rFonts w:hint="default" w:ascii="Times New Roman" w:hAnsi="Times New Roman" w:cs="Times New Roman"/>
                <w:color w:val="auto"/>
                <w:sz w:val="18"/>
                <w:szCs w:val="18"/>
                <w:lang w:val="en-US" w:eastAsia="zh-CN"/>
              </w:rPr>
              <w:t>堆场</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同时</w:t>
            </w:r>
            <w:r>
              <w:rPr>
                <w:rFonts w:hint="default" w:ascii="Times New Roman" w:hAnsi="Times New Roman" w:cs="Times New Roman"/>
                <w:color w:val="auto"/>
                <w:sz w:val="18"/>
                <w:szCs w:val="18"/>
              </w:rPr>
              <w:t>采取喷雾降尘</w:t>
            </w:r>
            <w:r>
              <w:rPr>
                <w:rFonts w:hint="default" w:ascii="Times New Roman" w:hAnsi="Times New Roman" w:cs="Times New Roman"/>
                <w:color w:val="auto"/>
                <w:sz w:val="18"/>
                <w:szCs w:val="18"/>
                <w:lang w:val="en-US" w:eastAsia="zh-CN"/>
              </w:rPr>
              <w:t>及采取编织物覆盖措施</w:t>
            </w:r>
          </w:p>
        </w:tc>
        <w:tc>
          <w:tcPr>
            <w:tcW w:w="772" w:type="pct"/>
            <w:tcBorders>
              <w:tl2br w:val="nil"/>
              <w:tr2bl w:val="nil"/>
            </w:tcBorders>
            <w:vAlign w:val="center"/>
          </w:tcPr>
          <w:p w14:paraId="034D23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kern w:val="0"/>
                <w:sz w:val="18"/>
                <w:szCs w:val="18"/>
                <w:lang w:val="en-US" w:eastAsia="zh-CN" w:bidi="ar"/>
              </w:rPr>
              <w:t>依托改造</w:t>
            </w:r>
          </w:p>
        </w:tc>
      </w:tr>
      <w:tr w14:paraId="1791CB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94" w:type="pct"/>
            <w:vMerge w:val="continue"/>
            <w:tcBorders>
              <w:tl2br w:val="nil"/>
              <w:tr2bl w:val="nil"/>
            </w:tcBorders>
            <w:vAlign w:val="center"/>
          </w:tcPr>
          <w:p w14:paraId="563F2D21">
            <w:pPr>
              <w:autoSpaceDE w:val="0"/>
              <w:autoSpaceDN w:val="0"/>
              <w:adjustRightInd w:val="0"/>
              <w:jc w:val="center"/>
              <w:rPr>
                <w:rFonts w:hint="default" w:ascii="Times New Roman" w:hAnsi="Times New Roman" w:eastAsia="宋体" w:cs="Times New Roman"/>
                <w:b/>
                <w:sz w:val="18"/>
                <w:szCs w:val="18"/>
              </w:rPr>
            </w:pPr>
          </w:p>
        </w:tc>
        <w:tc>
          <w:tcPr>
            <w:tcW w:w="300" w:type="pct"/>
            <w:vMerge w:val="continue"/>
            <w:tcBorders>
              <w:tl2br w:val="nil"/>
              <w:tr2bl w:val="nil"/>
            </w:tcBorders>
            <w:vAlign w:val="center"/>
          </w:tcPr>
          <w:p w14:paraId="591E61A0">
            <w:pPr>
              <w:autoSpaceDE w:val="0"/>
              <w:autoSpaceDN w:val="0"/>
              <w:adjustRightInd w:val="0"/>
              <w:jc w:val="center"/>
              <w:rPr>
                <w:rFonts w:hint="default" w:ascii="Times New Roman" w:hAnsi="Times New Roman" w:eastAsia="宋体" w:cs="Times New Roman"/>
                <w:bCs/>
                <w:sz w:val="18"/>
                <w:szCs w:val="18"/>
              </w:rPr>
            </w:pPr>
          </w:p>
        </w:tc>
        <w:tc>
          <w:tcPr>
            <w:tcW w:w="454" w:type="pct"/>
            <w:gridSpan w:val="2"/>
            <w:tcBorders>
              <w:tl2br w:val="nil"/>
              <w:tr2bl w:val="nil"/>
            </w:tcBorders>
            <w:vAlign w:val="center"/>
          </w:tcPr>
          <w:p w14:paraId="45A97617">
            <w:pPr>
              <w:pStyle w:val="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运输道路扬尘</w:t>
            </w:r>
          </w:p>
        </w:tc>
        <w:tc>
          <w:tcPr>
            <w:tcW w:w="3077" w:type="pct"/>
            <w:tcBorders>
              <w:tl2br w:val="nil"/>
              <w:tr2bl w:val="nil"/>
            </w:tcBorders>
            <w:vAlign w:val="center"/>
          </w:tcPr>
          <w:p w14:paraId="1F558ECB">
            <w:pPr>
              <w:pStyle w:val="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地面硬化、洒水降尘</w:t>
            </w:r>
          </w:p>
        </w:tc>
        <w:tc>
          <w:tcPr>
            <w:tcW w:w="772" w:type="pct"/>
            <w:tcBorders>
              <w:tl2br w:val="nil"/>
              <w:tr2bl w:val="nil"/>
            </w:tcBorders>
            <w:vAlign w:val="center"/>
          </w:tcPr>
          <w:p w14:paraId="41CB9B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环评提出新建</w:t>
            </w:r>
          </w:p>
        </w:tc>
      </w:tr>
      <w:tr w14:paraId="6D7074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1D92EAD5">
            <w:pPr>
              <w:autoSpaceDE w:val="0"/>
              <w:autoSpaceDN w:val="0"/>
              <w:adjustRightInd w:val="0"/>
              <w:jc w:val="center"/>
              <w:rPr>
                <w:rFonts w:hint="default" w:ascii="Times New Roman" w:hAnsi="Times New Roman" w:eastAsia="宋体" w:cs="Times New Roman"/>
                <w:b/>
                <w:sz w:val="18"/>
                <w:szCs w:val="18"/>
              </w:rPr>
            </w:pPr>
          </w:p>
        </w:tc>
        <w:tc>
          <w:tcPr>
            <w:tcW w:w="300" w:type="pct"/>
            <w:vMerge w:val="restart"/>
            <w:tcBorders>
              <w:tl2br w:val="nil"/>
              <w:tr2bl w:val="nil"/>
            </w:tcBorders>
            <w:vAlign w:val="center"/>
          </w:tcPr>
          <w:p w14:paraId="0F29A835">
            <w:pPr>
              <w:autoSpaceDE w:val="0"/>
              <w:autoSpaceDN w:val="0"/>
              <w:adjustRightInd w:val="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废水处理</w:t>
            </w:r>
          </w:p>
        </w:tc>
        <w:tc>
          <w:tcPr>
            <w:tcW w:w="454" w:type="pct"/>
            <w:gridSpan w:val="2"/>
            <w:tcBorders>
              <w:tl2br w:val="nil"/>
              <w:tr2bl w:val="nil"/>
            </w:tcBorders>
            <w:vAlign w:val="center"/>
          </w:tcPr>
          <w:p w14:paraId="1E40F78D">
            <w:pPr>
              <w:autoSpaceDE w:val="0"/>
              <w:autoSpaceDN w:val="0"/>
              <w:adjustRightIn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生活污水</w:t>
            </w:r>
          </w:p>
        </w:tc>
        <w:tc>
          <w:tcPr>
            <w:tcW w:w="3077" w:type="pct"/>
            <w:tcBorders>
              <w:tl2br w:val="nil"/>
              <w:tr2bl w:val="nil"/>
            </w:tcBorders>
            <w:vAlign w:val="center"/>
          </w:tcPr>
          <w:p w14:paraId="3C7D73BE">
            <w:pPr>
              <w:ind w:firstLine="360" w:firstLineChars="2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依托</w:t>
            </w:r>
            <w:r>
              <w:rPr>
                <w:rFonts w:hint="default" w:ascii="Times New Roman" w:hAnsi="Times New Roman" w:cs="Times New Roman"/>
                <w:color w:val="auto"/>
                <w:sz w:val="18"/>
                <w:szCs w:val="18"/>
                <w:lang w:val="en-US" w:eastAsia="zh-CN"/>
              </w:rPr>
              <w:t>鲁奎山铁矿</w:t>
            </w:r>
            <w:r>
              <w:rPr>
                <w:rFonts w:hint="default" w:ascii="Times New Roman" w:hAnsi="Times New Roman" w:eastAsia="宋体" w:cs="Times New Roman"/>
                <w:color w:val="auto"/>
                <w:sz w:val="18"/>
                <w:szCs w:val="18"/>
              </w:rPr>
              <w:t>污水处理设施</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000000"/>
                <w:sz w:val="18"/>
                <w:szCs w:val="18"/>
              </w:rPr>
              <w:t>废水经处理后晴天回用于矿区洒水降尘，雨天暂存于回水池，不外排。</w:t>
            </w:r>
          </w:p>
        </w:tc>
        <w:tc>
          <w:tcPr>
            <w:tcW w:w="772" w:type="pct"/>
            <w:tcBorders>
              <w:tl2br w:val="nil"/>
              <w:tr2bl w:val="nil"/>
            </w:tcBorders>
            <w:vAlign w:val="center"/>
          </w:tcPr>
          <w:p w14:paraId="140CB7A2">
            <w:pPr>
              <w:autoSpaceDE w:val="0"/>
              <w:autoSpaceDN w:val="0"/>
              <w:adjustRightInd w:val="0"/>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依托鲁奎山铁矿</w:t>
            </w:r>
          </w:p>
        </w:tc>
      </w:tr>
      <w:tr w14:paraId="3D7839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641BB8B9">
            <w:pPr>
              <w:autoSpaceDE w:val="0"/>
              <w:autoSpaceDN w:val="0"/>
              <w:adjustRightInd w:val="0"/>
              <w:jc w:val="center"/>
              <w:rPr>
                <w:rFonts w:hint="default" w:ascii="Times New Roman" w:hAnsi="Times New Roman" w:eastAsia="宋体" w:cs="Times New Roman"/>
                <w:b/>
                <w:sz w:val="18"/>
                <w:szCs w:val="18"/>
              </w:rPr>
            </w:pPr>
          </w:p>
        </w:tc>
        <w:tc>
          <w:tcPr>
            <w:tcW w:w="300" w:type="pct"/>
            <w:vMerge w:val="continue"/>
            <w:tcBorders>
              <w:tl2br w:val="nil"/>
              <w:tr2bl w:val="nil"/>
            </w:tcBorders>
            <w:vAlign w:val="center"/>
          </w:tcPr>
          <w:p w14:paraId="1C7CA17D">
            <w:pPr>
              <w:autoSpaceDE w:val="0"/>
              <w:autoSpaceDN w:val="0"/>
              <w:adjustRightInd w:val="0"/>
              <w:jc w:val="center"/>
              <w:rPr>
                <w:rFonts w:hint="default" w:ascii="Times New Roman" w:hAnsi="Times New Roman" w:eastAsia="宋体" w:cs="Times New Roman"/>
                <w:bCs/>
                <w:sz w:val="18"/>
                <w:szCs w:val="18"/>
              </w:rPr>
            </w:pPr>
          </w:p>
        </w:tc>
        <w:tc>
          <w:tcPr>
            <w:tcW w:w="454" w:type="pct"/>
            <w:gridSpan w:val="2"/>
            <w:tcBorders>
              <w:tl2br w:val="nil"/>
              <w:tr2bl w:val="nil"/>
            </w:tcBorders>
            <w:vAlign w:val="center"/>
          </w:tcPr>
          <w:p w14:paraId="00D39149">
            <w:pPr>
              <w:autoSpaceDE w:val="0"/>
              <w:autoSpaceDN w:val="0"/>
              <w:adjustRightInd w:val="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初期雨水</w:t>
            </w:r>
          </w:p>
        </w:tc>
        <w:tc>
          <w:tcPr>
            <w:tcW w:w="3077" w:type="pct"/>
            <w:tcBorders>
              <w:tl2br w:val="nil"/>
              <w:tr2bl w:val="nil"/>
            </w:tcBorders>
            <w:vAlign w:val="center"/>
          </w:tcPr>
          <w:p w14:paraId="289446B0">
            <w:pPr>
              <w:autoSpaceDE w:val="0"/>
              <w:autoSpaceDN w:val="0"/>
              <w:adjustRightInd w:val="0"/>
              <w:ind w:firstLine="360" w:firstLineChars="200"/>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新建325m³初期雨水收集池，用于收集本项目及6号料场初期雨水，沉淀后</w:t>
            </w:r>
            <w:r>
              <w:rPr>
                <w:rFonts w:hint="default" w:ascii="Times New Roman" w:hAnsi="Times New Roman" w:eastAsia="宋体" w:cs="Times New Roman"/>
                <w:color w:val="auto"/>
                <w:sz w:val="18"/>
                <w:szCs w:val="18"/>
              </w:rPr>
              <w:t>用于</w:t>
            </w:r>
            <w:r>
              <w:rPr>
                <w:rFonts w:hint="default" w:ascii="Times New Roman" w:hAnsi="Times New Roman" w:cs="Times New Roman"/>
                <w:color w:val="auto"/>
                <w:sz w:val="18"/>
                <w:szCs w:val="18"/>
                <w:lang w:val="en-US" w:eastAsia="zh-CN"/>
              </w:rPr>
              <w:t>洒水</w:t>
            </w:r>
            <w:r>
              <w:rPr>
                <w:rFonts w:hint="default" w:ascii="Times New Roman" w:hAnsi="Times New Roman" w:eastAsia="宋体" w:cs="Times New Roman"/>
                <w:color w:val="auto"/>
                <w:sz w:val="18"/>
                <w:szCs w:val="18"/>
              </w:rPr>
              <w:t>抑尘，不外排。</w:t>
            </w:r>
          </w:p>
        </w:tc>
        <w:tc>
          <w:tcPr>
            <w:tcW w:w="772" w:type="pct"/>
            <w:tcBorders>
              <w:tl2br w:val="nil"/>
              <w:tr2bl w:val="nil"/>
            </w:tcBorders>
            <w:vAlign w:val="center"/>
          </w:tcPr>
          <w:p w14:paraId="7825939C">
            <w:pPr>
              <w:autoSpaceDE w:val="0"/>
              <w:autoSpaceDN w:val="0"/>
              <w:adjustRightInd w:val="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环评提出新建</w:t>
            </w:r>
          </w:p>
        </w:tc>
      </w:tr>
      <w:tr w14:paraId="280159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0D302E8F">
            <w:pPr>
              <w:autoSpaceDE w:val="0"/>
              <w:autoSpaceDN w:val="0"/>
              <w:adjustRightInd w:val="0"/>
              <w:jc w:val="center"/>
              <w:rPr>
                <w:rFonts w:hint="default" w:ascii="Times New Roman" w:hAnsi="Times New Roman" w:eastAsia="宋体" w:cs="Times New Roman"/>
                <w:b/>
                <w:sz w:val="18"/>
                <w:szCs w:val="18"/>
              </w:rPr>
            </w:pPr>
          </w:p>
        </w:tc>
        <w:tc>
          <w:tcPr>
            <w:tcW w:w="754" w:type="pct"/>
            <w:gridSpan w:val="3"/>
            <w:tcBorders>
              <w:tl2br w:val="nil"/>
              <w:tr2bl w:val="nil"/>
            </w:tcBorders>
            <w:vAlign w:val="center"/>
          </w:tcPr>
          <w:p w14:paraId="1293482C">
            <w:pPr>
              <w:autoSpaceDE w:val="0"/>
              <w:autoSpaceDN w:val="0"/>
              <w:adjustRightInd w:val="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噪声处理</w:t>
            </w:r>
          </w:p>
        </w:tc>
        <w:tc>
          <w:tcPr>
            <w:tcW w:w="3077" w:type="pct"/>
            <w:tcBorders>
              <w:tl2br w:val="nil"/>
              <w:tr2bl w:val="nil"/>
            </w:tcBorders>
            <w:vAlign w:val="center"/>
          </w:tcPr>
          <w:p w14:paraId="01950C02">
            <w:pPr>
              <w:autoSpaceDE w:val="0"/>
              <w:autoSpaceDN w:val="0"/>
              <w:adjustRightInd w:val="0"/>
              <w:ind w:firstLine="360" w:firstLineChars="200"/>
              <w:jc w:val="left"/>
              <w:rPr>
                <w:rFonts w:hint="default" w:ascii="Times New Roman" w:hAnsi="Times New Roman" w:eastAsia="宋体" w:cs="Times New Roman"/>
                <w:bCs/>
                <w:sz w:val="18"/>
                <w:szCs w:val="18"/>
              </w:rPr>
            </w:pPr>
            <w:r>
              <w:rPr>
                <w:rFonts w:hint="default" w:ascii="Times New Roman" w:hAnsi="Times New Roman" w:eastAsia="宋体" w:cs="Times New Roman"/>
                <w:color w:val="000000"/>
                <w:sz w:val="18"/>
                <w:szCs w:val="18"/>
              </w:rPr>
              <w:t>项目采取合理布局，通过隔声、减震、加强设备的维护保养等措施降低噪声排放。</w:t>
            </w:r>
          </w:p>
        </w:tc>
        <w:tc>
          <w:tcPr>
            <w:tcW w:w="772" w:type="pct"/>
            <w:tcBorders>
              <w:tl2br w:val="nil"/>
              <w:tr2bl w:val="nil"/>
            </w:tcBorders>
            <w:vAlign w:val="center"/>
          </w:tcPr>
          <w:p w14:paraId="059C1D32">
            <w:pPr>
              <w:autoSpaceDE w:val="0"/>
              <w:autoSpaceDN w:val="0"/>
              <w:adjustRightInd w:val="0"/>
              <w:jc w:val="left"/>
              <w:rPr>
                <w:rFonts w:hint="default" w:ascii="Times New Roman" w:hAnsi="Times New Roman" w:eastAsia="宋体" w:cs="Times New Roman"/>
                <w:bCs/>
                <w:sz w:val="18"/>
                <w:szCs w:val="18"/>
                <w:lang w:val="en-US" w:eastAsia="zh-CN"/>
              </w:rPr>
            </w:pPr>
            <w:r>
              <w:rPr>
                <w:rFonts w:hint="default" w:ascii="Times New Roman" w:hAnsi="Times New Roman" w:cs="Times New Roman"/>
                <w:bCs/>
                <w:sz w:val="18"/>
                <w:szCs w:val="18"/>
                <w:lang w:val="en-US" w:eastAsia="zh-CN"/>
              </w:rPr>
              <w:t>/</w:t>
            </w:r>
          </w:p>
        </w:tc>
      </w:tr>
      <w:tr w14:paraId="714A0C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0DCD0916">
            <w:pPr>
              <w:autoSpaceDE w:val="0"/>
              <w:autoSpaceDN w:val="0"/>
              <w:adjustRightInd w:val="0"/>
              <w:jc w:val="center"/>
              <w:rPr>
                <w:rFonts w:hint="default" w:ascii="Times New Roman" w:hAnsi="Times New Roman" w:eastAsia="宋体" w:cs="Times New Roman"/>
                <w:b/>
                <w:sz w:val="18"/>
                <w:szCs w:val="18"/>
              </w:rPr>
            </w:pPr>
          </w:p>
        </w:tc>
        <w:tc>
          <w:tcPr>
            <w:tcW w:w="303" w:type="pct"/>
            <w:gridSpan w:val="2"/>
            <w:vMerge w:val="restart"/>
            <w:tcBorders>
              <w:tl2br w:val="nil"/>
              <w:tr2bl w:val="nil"/>
            </w:tcBorders>
            <w:vAlign w:val="center"/>
          </w:tcPr>
          <w:p w14:paraId="0E9A0244">
            <w:pPr>
              <w:autoSpaceDE w:val="0"/>
              <w:autoSpaceDN w:val="0"/>
              <w:adjustRightInd w:val="0"/>
              <w:jc w:val="center"/>
              <w:rPr>
                <w:rFonts w:hint="default" w:ascii="Times New Roman" w:hAnsi="Times New Roman" w:eastAsia="宋体" w:cs="Times New Roman"/>
                <w:bCs/>
                <w:sz w:val="18"/>
                <w:szCs w:val="18"/>
              </w:rPr>
            </w:pPr>
            <w:r>
              <w:rPr>
                <w:rFonts w:hint="default" w:ascii="Times New Roman" w:hAnsi="Times New Roman" w:eastAsia="宋体" w:cs="Times New Roman"/>
                <w:color w:val="000000"/>
                <w:sz w:val="18"/>
                <w:szCs w:val="18"/>
              </w:rPr>
              <w:t>固废治理</w:t>
            </w:r>
          </w:p>
        </w:tc>
        <w:tc>
          <w:tcPr>
            <w:tcW w:w="451" w:type="pct"/>
            <w:tcBorders>
              <w:tl2br w:val="nil"/>
              <w:tr2bl w:val="nil"/>
            </w:tcBorders>
            <w:vAlign w:val="center"/>
          </w:tcPr>
          <w:p w14:paraId="6B9E894D">
            <w:pPr>
              <w:autoSpaceDE w:val="0"/>
              <w:autoSpaceDN w:val="0"/>
              <w:adjustRightInd w:val="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生活垃圾</w:t>
            </w:r>
          </w:p>
        </w:tc>
        <w:tc>
          <w:tcPr>
            <w:tcW w:w="3077" w:type="pct"/>
            <w:tcBorders>
              <w:tl2br w:val="nil"/>
              <w:tr2bl w:val="nil"/>
            </w:tcBorders>
            <w:vAlign w:val="center"/>
          </w:tcPr>
          <w:p w14:paraId="205B8FE4">
            <w:pPr>
              <w:autoSpaceDE w:val="0"/>
              <w:autoSpaceDN w:val="0"/>
              <w:adjustRightInd w:val="0"/>
              <w:ind w:firstLine="360" w:firstLineChars="200"/>
              <w:jc w:val="both"/>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lang w:val="en-US" w:eastAsia="zh-CN"/>
              </w:rPr>
              <w:t>依托</w:t>
            </w:r>
            <w:r>
              <w:rPr>
                <w:rFonts w:hint="default" w:ascii="Times New Roman" w:hAnsi="Times New Roman" w:cs="Times New Roman"/>
                <w:color w:val="auto"/>
                <w:sz w:val="18"/>
                <w:szCs w:val="18"/>
                <w:lang w:val="en-US" w:eastAsia="zh-CN"/>
              </w:rPr>
              <w:t>鲁奎山铁矿</w:t>
            </w:r>
            <w:r>
              <w:rPr>
                <w:rFonts w:hint="default" w:ascii="Times New Roman" w:hAnsi="Times New Roman" w:eastAsia="宋体" w:cs="Times New Roman"/>
                <w:color w:val="auto"/>
                <w:sz w:val="18"/>
                <w:szCs w:val="18"/>
              </w:rPr>
              <w:t>生活垃圾收集池，定期</w:t>
            </w:r>
            <w:r>
              <w:rPr>
                <w:rFonts w:hint="default" w:ascii="Times New Roman" w:hAnsi="Times New Roman" w:cs="Times New Roman"/>
                <w:color w:val="auto"/>
                <w:sz w:val="18"/>
                <w:szCs w:val="18"/>
                <w:lang w:val="en-US" w:eastAsia="zh-CN"/>
              </w:rPr>
              <w:t>清运至扬武镇</w:t>
            </w:r>
            <w:r>
              <w:rPr>
                <w:rFonts w:hint="default" w:ascii="Times New Roman" w:hAnsi="Times New Roman" w:cs="Times New Roman"/>
                <w:color w:val="auto"/>
                <w:sz w:val="18"/>
                <w:szCs w:val="18"/>
              </w:rPr>
              <w:t>生活垃圾收集点</w:t>
            </w:r>
            <w:r>
              <w:rPr>
                <w:rFonts w:hint="default" w:ascii="Times New Roman" w:hAnsi="Times New Roman" w:cs="Times New Roman"/>
                <w:color w:val="auto"/>
                <w:sz w:val="18"/>
                <w:szCs w:val="18"/>
                <w:lang w:val="en-US" w:eastAsia="zh-CN"/>
              </w:rPr>
              <w:t>，由环卫部门统一处置</w:t>
            </w:r>
            <w:r>
              <w:rPr>
                <w:rFonts w:hint="default" w:ascii="Times New Roman" w:hAnsi="Times New Roman" w:eastAsia="宋体" w:cs="Times New Roman"/>
                <w:color w:val="auto"/>
                <w:sz w:val="18"/>
                <w:szCs w:val="18"/>
              </w:rPr>
              <w:t>。</w:t>
            </w:r>
          </w:p>
        </w:tc>
        <w:tc>
          <w:tcPr>
            <w:tcW w:w="772" w:type="pct"/>
            <w:tcBorders>
              <w:tl2br w:val="nil"/>
              <w:tr2bl w:val="nil"/>
            </w:tcBorders>
            <w:vAlign w:val="center"/>
          </w:tcPr>
          <w:p w14:paraId="3E9604B3">
            <w:pPr>
              <w:autoSpaceDE w:val="0"/>
              <w:autoSpaceDN w:val="0"/>
              <w:adjustRightInd w:val="0"/>
              <w:jc w:val="left"/>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color w:val="auto"/>
                <w:sz w:val="18"/>
                <w:szCs w:val="18"/>
                <w:lang w:val="en-US" w:eastAsia="zh-CN"/>
              </w:rPr>
              <w:t>依托鲁奎山铁矿</w:t>
            </w:r>
          </w:p>
        </w:tc>
      </w:tr>
      <w:tr w14:paraId="299B66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4392EAC1">
            <w:pPr>
              <w:autoSpaceDE w:val="0"/>
              <w:autoSpaceDN w:val="0"/>
              <w:adjustRightInd w:val="0"/>
              <w:jc w:val="center"/>
              <w:rPr>
                <w:rFonts w:hint="default" w:ascii="Times New Roman" w:hAnsi="Times New Roman" w:eastAsia="宋体" w:cs="Times New Roman"/>
                <w:b/>
                <w:sz w:val="18"/>
                <w:szCs w:val="18"/>
              </w:rPr>
            </w:pPr>
          </w:p>
        </w:tc>
        <w:tc>
          <w:tcPr>
            <w:tcW w:w="303" w:type="pct"/>
            <w:gridSpan w:val="2"/>
            <w:vMerge w:val="continue"/>
            <w:tcBorders>
              <w:tl2br w:val="nil"/>
              <w:tr2bl w:val="nil"/>
            </w:tcBorders>
            <w:vAlign w:val="center"/>
          </w:tcPr>
          <w:p w14:paraId="6DFA1327">
            <w:pPr>
              <w:autoSpaceDE w:val="0"/>
              <w:autoSpaceDN w:val="0"/>
              <w:adjustRightInd w:val="0"/>
              <w:jc w:val="center"/>
              <w:rPr>
                <w:rFonts w:hint="default" w:ascii="Times New Roman" w:hAnsi="Times New Roman" w:eastAsia="宋体" w:cs="Times New Roman"/>
                <w:bCs/>
                <w:sz w:val="18"/>
                <w:szCs w:val="18"/>
              </w:rPr>
            </w:pPr>
          </w:p>
        </w:tc>
        <w:tc>
          <w:tcPr>
            <w:tcW w:w="451" w:type="pct"/>
            <w:tcBorders>
              <w:tl2br w:val="nil"/>
              <w:tr2bl w:val="nil"/>
            </w:tcBorders>
            <w:vAlign w:val="center"/>
          </w:tcPr>
          <w:p w14:paraId="7E5DB329">
            <w:pPr>
              <w:autoSpaceDE w:val="0"/>
              <w:autoSpaceDN w:val="0"/>
              <w:adjustRightInd w:val="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除尘灰</w:t>
            </w:r>
          </w:p>
        </w:tc>
        <w:tc>
          <w:tcPr>
            <w:tcW w:w="3077" w:type="pct"/>
            <w:tcBorders>
              <w:tl2br w:val="nil"/>
              <w:tr2bl w:val="nil"/>
            </w:tcBorders>
            <w:vAlign w:val="center"/>
          </w:tcPr>
          <w:p w14:paraId="060B553A">
            <w:pPr>
              <w:autoSpaceDE w:val="0"/>
              <w:autoSpaceDN w:val="0"/>
              <w:adjustRightInd w:val="0"/>
              <w:ind w:firstLine="360" w:firstLineChars="200"/>
              <w:jc w:val="both"/>
              <w:rPr>
                <w:rFonts w:hint="default" w:ascii="Times New Roman" w:hAnsi="Times New Roman" w:eastAsia="宋体" w:cs="Times New Roman"/>
                <w:bCs/>
                <w:color w:val="auto"/>
                <w:sz w:val="18"/>
                <w:szCs w:val="18"/>
                <w:lang w:val="en-US"/>
              </w:rPr>
            </w:pPr>
            <w:r>
              <w:rPr>
                <w:rFonts w:hint="default" w:ascii="Times New Roman" w:hAnsi="Times New Roman" w:cs="Times New Roman"/>
                <w:color w:val="auto"/>
                <w:sz w:val="18"/>
                <w:szCs w:val="18"/>
                <w:lang w:val="en-US" w:eastAsia="zh-CN"/>
              </w:rPr>
              <w:t>外售新平甬福环保有限公司用于矿渣微粉生产线使用，清理收集后暂存砂石料堆场，及时清运出厂。</w:t>
            </w:r>
          </w:p>
        </w:tc>
        <w:tc>
          <w:tcPr>
            <w:tcW w:w="772" w:type="pct"/>
            <w:tcBorders>
              <w:tl2br w:val="nil"/>
              <w:tr2bl w:val="nil"/>
            </w:tcBorders>
            <w:vAlign w:val="center"/>
          </w:tcPr>
          <w:p w14:paraId="47B837D4">
            <w:pPr>
              <w:autoSpaceDE w:val="0"/>
              <w:autoSpaceDN w:val="0"/>
              <w:adjustRightInd w:val="0"/>
              <w:jc w:val="left"/>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color w:val="auto"/>
                <w:sz w:val="18"/>
                <w:szCs w:val="18"/>
                <w:lang w:val="en-US" w:eastAsia="zh-CN"/>
              </w:rPr>
              <w:t>/</w:t>
            </w:r>
          </w:p>
        </w:tc>
      </w:tr>
      <w:tr w14:paraId="23CDC6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0FB42A88">
            <w:pPr>
              <w:autoSpaceDE w:val="0"/>
              <w:autoSpaceDN w:val="0"/>
              <w:adjustRightInd w:val="0"/>
              <w:jc w:val="center"/>
              <w:rPr>
                <w:rFonts w:hint="default" w:ascii="Times New Roman" w:hAnsi="Times New Roman" w:eastAsia="宋体" w:cs="Times New Roman"/>
                <w:b/>
                <w:sz w:val="18"/>
                <w:szCs w:val="18"/>
              </w:rPr>
            </w:pPr>
          </w:p>
        </w:tc>
        <w:tc>
          <w:tcPr>
            <w:tcW w:w="303" w:type="pct"/>
            <w:gridSpan w:val="2"/>
            <w:vMerge w:val="continue"/>
            <w:tcBorders>
              <w:tl2br w:val="nil"/>
              <w:tr2bl w:val="nil"/>
            </w:tcBorders>
            <w:vAlign w:val="center"/>
          </w:tcPr>
          <w:p w14:paraId="0D63D489">
            <w:pPr>
              <w:autoSpaceDE w:val="0"/>
              <w:autoSpaceDN w:val="0"/>
              <w:adjustRightInd w:val="0"/>
              <w:jc w:val="center"/>
              <w:rPr>
                <w:rFonts w:hint="default" w:ascii="Times New Roman" w:hAnsi="Times New Roman" w:eastAsia="宋体" w:cs="Times New Roman"/>
                <w:bCs/>
                <w:sz w:val="18"/>
                <w:szCs w:val="18"/>
              </w:rPr>
            </w:pPr>
          </w:p>
        </w:tc>
        <w:tc>
          <w:tcPr>
            <w:tcW w:w="451" w:type="pct"/>
            <w:tcBorders>
              <w:tl2br w:val="nil"/>
              <w:tr2bl w:val="nil"/>
            </w:tcBorders>
            <w:vAlign w:val="center"/>
          </w:tcPr>
          <w:p w14:paraId="5B42A1C1">
            <w:pPr>
              <w:autoSpaceDE w:val="0"/>
              <w:autoSpaceDN w:val="0"/>
              <w:adjustRightInd w:val="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废机油</w:t>
            </w:r>
          </w:p>
        </w:tc>
        <w:tc>
          <w:tcPr>
            <w:tcW w:w="3077" w:type="pct"/>
            <w:tcBorders>
              <w:tl2br w:val="nil"/>
              <w:tr2bl w:val="nil"/>
            </w:tcBorders>
            <w:vAlign w:val="center"/>
          </w:tcPr>
          <w:p w14:paraId="67254651">
            <w:pPr>
              <w:autoSpaceDE w:val="0"/>
              <w:autoSpaceDN w:val="0"/>
              <w:adjustRightInd w:val="0"/>
              <w:ind w:firstLine="360" w:firstLineChars="200"/>
              <w:jc w:val="left"/>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依托</w:t>
            </w:r>
            <w:r>
              <w:rPr>
                <w:rFonts w:hint="default" w:ascii="Times New Roman" w:hAnsi="Times New Roman" w:cs="Times New Roman"/>
                <w:color w:val="auto"/>
                <w:sz w:val="18"/>
                <w:szCs w:val="18"/>
                <w:lang w:val="en-US" w:eastAsia="zh-CN"/>
              </w:rPr>
              <w:t>鲁奎山铁矿</w:t>
            </w:r>
            <w:r>
              <w:rPr>
                <w:rFonts w:hint="default" w:ascii="Times New Roman" w:hAnsi="Times New Roman" w:eastAsia="宋体" w:cs="Times New Roman"/>
                <w:color w:val="auto"/>
                <w:sz w:val="18"/>
                <w:szCs w:val="18"/>
              </w:rPr>
              <w:t>危废暂存间</w:t>
            </w:r>
            <w:r>
              <w:rPr>
                <w:rFonts w:hint="default" w:ascii="Times New Roman" w:hAnsi="Times New Roman" w:eastAsia="宋体" w:cs="Times New Roman"/>
                <w:color w:val="auto"/>
                <w:sz w:val="18"/>
                <w:szCs w:val="18"/>
                <w:lang w:val="en-US" w:eastAsia="zh-CN"/>
              </w:rPr>
              <w:t>暂存</w:t>
            </w:r>
            <w:r>
              <w:rPr>
                <w:rFonts w:hint="default" w:ascii="Times New Roman" w:hAnsi="Times New Roman" w:eastAsia="宋体" w:cs="Times New Roman"/>
                <w:color w:val="auto"/>
                <w:sz w:val="18"/>
                <w:szCs w:val="18"/>
              </w:rPr>
              <w:t>，</w:t>
            </w:r>
            <w:r>
              <w:rPr>
                <w:rFonts w:hint="default" w:ascii="Times New Roman" w:hAnsi="Times New Roman" w:eastAsia="宋体" w:cs="Times New Roman"/>
                <w:b w:val="0"/>
                <w:bCs w:val="0"/>
                <w:color w:val="auto"/>
                <w:kern w:val="2"/>
                <w:sz w:val="18"/>
                <w:szCs w:val="18"/>
                <w:vertAlign w:val="baseline"/>
                <w:lang w:val="en-US" w:eastAsia="zh-CN" w:bidi="ar"/>
              </w:rPr>
              <w:t>危废暂存间按《危险废物贮存污染控制标准》（GB18597-2023）相关要求进行</w:t>
            </w:r>
            <w:r>
              <w:rPr>
                <w:rFonts w:hint="default" w:ascii="Times New Roman" w:hAnsi="Times New Roman" w:cs="Times New Roman"/>
                <w:b w:val="0"/>
                <w:bCs w:val="0"/>
                <w:color w:val="auto"/>
                <w:kern w:val="2"/>
                <w:sz w:val="18"/>
                <w:szCs w:val="18"/>
                <w:vertAlign w:val="baseline"/>
                <w:lang w:val="en-US" w:eastAsia="zh-CN" w:bidi="ar"/>
              </w:rPr>
              <w:t>改建</w:t>
            </w:r>
            <w:r>
              <w:rPr>
                <w:rFonts w:hint="default" w:ascii="Times New Roman" w:hAnsi="Times New Roman" w:eastAsia="宋体" w:cs="Times New Roman"/>
                <w:b w:val="0"/>
                <w:bCs w:val="0"/>
                <w:color w:val="auto"/>
                <w:kern w:val="2"/>
                <w:sz w:val="18"/>
                <w:szCs w:val="18"/>
                <w:vertAlign w:val="baseline"/>
                <w:lang w:val="en-US" w:eastAsia="zh-CN" w:bidi="ar"/>
              </w:rPr>
              <w:t>，墙体等应采用坚固的材料建造，表面无裂缝。</w:t>
            </w:r>
            <w:r>
              <w:rPr>
                <w:rFonts w:hint="default" w:ascii="Times New Roman" w:hAnsi="Times New Roman" w:cs="Times New Roman"/>
                <w:b w:val="0"/>
                <w:bCs w:val="0"/>
                <w:color w:val="auto"/>
                <w:kern w:val="2"/>
                <w:sz w:val="18"/>
                <w:szCs w:val="18"/>
                <w:vertAlign w:val="baseline"/>
                <w:lang w:val="en-US" w:eastAsia="zh-CN" w:bidi="ar"/>
              </w:rPr>
              <w:t>达到防风、防雨、防晒、防渗、防流失及扬散要求。</w:t>
            </w:r>
            <w:r>
              <w:rPr>
                <w:rFonts w:hint="default" w:ascii="Times New Roman" w:hAnsi="Times New Roman" w:eastAsia="宋体" w:cs="Times New Roman"/>
                <w:color w:val="auto"/>
                <w:sz w:val="18"/>
                <w:szCs w:val="18"/>
              </w:rPr>
              <w:t>废机油收集后交由集团公司</w:t>
            </w:r>
            <w:r>
              <w:rPr>
                <w:rFonts w:hint="default" w:ascii="Times New Roman" w:hAnsi="Times New Roman" w:cs="Times New Roman"/>
                <w:color w:val="auto"/>
                <w:sz w:val="18"/>
                <w:szCs w:val="18"/>
                <w:lang w:val="en-US" w:eastAsia="zh-CN"/>
              </w:rPr>
              <w:t>委托资质单位云南绿力环保科技有限公司</w:t>
            </w:r>
            <w:r>
              <w:rPr>
                <w:rFonts w:hint="default" w:ascii="Times New Roman" w:hAnsi="Times New Roman" w:eastAsia="宋体" w:cs="Times New Roman"/>
                <w:color w:val="auto"/>
                <w:sz w:val="18"/>
                <w:szCs w:val="18"/>
              </w:rPr>
              <w:t>统一处理。</w:t>
            </w:r>
          </w:p>
        </w:tc>
        <w:tc>
          <w:tcPr>
            <w:tcW w:w="772" w:type="pct"/>
            <w:tcBorders>
              <w:tl2br w:val="nil"/>
              <w:tr2bl w:val="nil"/>
            </w:tcBorders>
            <w:vAlign w:val="center"/>
          </w:tcPr>
          <w:p w14:paraId="385FBEF7">
            <w:pPr>
              <w:autoSpaceDE w:val="0"/>
              <w:autoSpaceDN w:val="0"/>
              <w:adjustRightInd w:val="0"/>
              <w:jc w:val="left"/>
              <w:rPr>
                <w:rFonts w:hint="default" w:ascii="Times New Roman" w:hAnsi="Times New Roman" w:eastAsia="宋体" w:cs="Times New Roman"/>
                <w:snapToGrid w:val="0"/>
                <w:color w:val="auto"/>
                <w:sz w:val="18"/>
                <w:szCs w:val="18"/>
                <w:lang w:val="en-US" w:eastAsia="zh-CN"/>
              </w:rPr>
            </w:pPr>
            <w:r>
              <w:rPr>
                <w:rFonts w:hint="default" w:ascii="Times New Roman" w:hAnsi="Times New Roman" w:eastAsia="宋体" w:cs="Times New Roman"/>
                <w:snapToGrid w:val="0"/>
                <w:color w:val="auto"/>
                <w:sz w:val="18"/>
                <w:szCs w:val="18"/>
                <w:lang w:val="en-US" w:eastAsia="zh-CN"/>
              </w:rPr>
              <w:t>改建</w:t>
            </w:r>
            <w:r>
              <w:rPr>
                <w:rFonts w:hint="default" w:ascii="Times New Roman" w:hAnsi="Times New Roman" w:cs="Times New Roman"/>
                <w:snapToGrid w:val="0"/>
                <w:color w:val="auto"/>
                <w:sz w:val="18"/>
                <w:szCs w:val="18"/>
                <w:lang w:val="en-US" w:eastAsia="zh-CN"/>
              </w:rPr>
              <w:t>，纳入本项目实施</w:t>
            </w:r>
          </w:p>
        </w:tc>
      </w:tr>
      <w:tr w14:paraId="41E53D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0A53FC81">
            <w:pPr>
              <w:autoSpaceDE w:val="0"/>
              <w:autoSpaceDN w:val="0"/>
              <w:adjustRightInd w:val="0"/>
              <w:jc w:val="center"/>
              <w:rPr>
                <w:rFonts w:hint="default" w:ascii="Times New Roman" w:hAnsi="Times New Roman" w:eastAsia="宋体" w:cs="Times New Roman"/>
                <w:b/>
                <w:sz w:val="18"/>
                <w:szCs w:val="18"/>
              </w:rPr>
            </w:pPr>
          </w:p>
        </w:tc>
        <w:tc>
          <w:tcPr>
            <w:tcW w:w="303" w:type="pct"/>
            <w:gridSpan w:val="2"/>
            <w:vMerge w:val="restart"/>
            <w:tcBorders>
              <w:tl2br w:val="nil"/>
              <w:tr2bl w:val="nil"/>
            </w:tcBorders>
            <w:vAlign w:val="center"/>
          </w:tcPr>
          <w:p w14:paraId="5C597B4C">
            <w:pPr>
              <w:autoSpaceDE w:val="0"/>
              <w:autoSpaceDN w:val="0"/>
              <w:adjustRightInd w:val="0"/>
              <w:jc w:val="center"/>
              <w:rPr>
                <w:rFonts w:hint="default" w:ascii="Times New Roman" w:hAnsi="Times New Roman" w:eastAsia="宋体" w:cs="Times New Roman"/>
                <w:bCs/>
                <w:sz w:val="18"/>
                <w:szCs w:val="18"/>
                <w:lang w:val="en-US" w:eastAsia="zh-CN"/>
              </w:rPr>
            </w:pPr>
            <w:r>
              <w:rPr>
                <w:rFonts w:hint="default" w:ascii="Times New Roman" w:hAnsi="Times New Roman" w:cs="Times New Roman"/>
                <w:color w:val="000000"/>
                <w:sz w:val="18"/>
                <w:szCs w:val="18"/>
                <w:lang w:val="en-US" w:eastAsia="zh-CN"/>
              </w:rPr>
              <w:t>地下水</w:t>
            </w:r>
          </w:p>
        </w:tc>
        <w:tc>
          <w:tcPr>
            <w:tcW w:w="451" w:type="pct"/>
            <w:tcBorders>
              <w:tl2br w:val="nil"/>
              <w:tr2bl w:val="nil"/>
            </w:tcBorders>
            <w:vAlign w:val="center"/>
          </w:tcPr>
          <w:p w14:paraId="155D11C8">
            <w:pPr>
              <w:autoSpaceDE w:val="0"/>
              <w:autoSpaceDN w:val="0"/>
              <w:adjustRightInd w:val="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重点防渗区</w:t>
            </w:r>
          </w:p>
        </w:tc>
        <w:tc>
          <w:tcPr>
            <w:tcW w:w="3077" w:type="pct"/>
            <w:tcBorders>
              <w:tl2br w:val="nil"/>
              <w:tr2bl w:val="nil"/>
            </w:tcBorders>
            <w:vAlign w:val="center"/>
          </w:tcPr>
          <w:p w14:paraId="362C548C">
            <w:pPr>
              <w:autoSpaceDE w:val="0"/>
              <w:autoSpaceDN w:val="0"/>
              <w:adjustRightInd w:val="0"/>
              <w:ind w:firstLine="360" w:firstLineChars="200"/>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sz w:val="18"/>
                <w:szCs w:val="18"/>
                <w:lang w:val="en-US" w:eastAsia="zh-CN"/>
              </w:rPr>
              <w:t>依托</w:t>
            </w:r>
            <w:r>
              <w:rPr>
                <w:rFonts w:hint="default" w:ascii="Times New Roman" w:hAnsi="Times New Roman" w:cs="Times New Roman"/>
                <w:color w:val="auto"/>
                <w:sz w:val="18"/>
                <w:szCs w:val="18"/>
                <w:lang w:val="en-US" w:eastAsia="zh-CN"/>
              </w:rPr>
              <w:t>鲁奎山铁矿</w:t>
            </w:r>
            <w:r>
              <w:rPr>
                <w:rFonts w:hint="default" w:ascii="Times New Roman" w:hAnsi="Times New Roman" w:eastAsia="宋体" w:cs="Times New Roman"/>
                <w:color w:val="auto"/>
                <w:sz w:val="18"/>
                <w:szCs w:val="18"/>
              </w:rPr>
              <w:t>危废暂存间</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b w:val="0"/>
                <w:bCs w:val="0"/>
                <w:color w:val="auto"/>
                <w:kern w:val="2"/>
                <w:sz w:val="18"/>
                <w:szCs w:val="18"/>
                <w:vertAlign w:val="baseline"/>
                <w:lang w:val="en-US" w:eastAsia="zh-CN" w:bidi="ar"/>
              </w:rPr>
              <w:t>危废暂存间按《危险废物贮存污染控制标准》（GB18597-2023）相关要求进行</w:t>
            </w:r>
            <w:r>
              <w:rPr>
                <w:rFonts w:hint="default" w:ascii="Times New Roman" w:hAnsi="Times New Roman" w:cs="Times New Roman"/>
                <w:b w:val="0"/>
                <w:bCs w:val="0"/>
                <w:color w:val="auto"/>
                <w:kern w:val="2"/>
                <w:sz w:val="18"/>
                <w:szCs w:val="18"/>
                <w:vertAlign w:val="baseline"/>
                <w:lang w:val="en-US" w:eastAsia="zh-CN" w:bidi="ar"/>
              </w:rPr>
              <w:t>改建</w:t>
            </w:r>
            <w:r>
              <w:rPr>
                <w:rFonts w:hint="default" w:ascii="Times New Roman" w:hAnsi="Times New Roman" w:eastAsia="宋体" w:cs="Times New Roman"/>
                <w:b w:val="0"/>
                <w:bCs w:val="0"/>
                <w:color w:val="auto"/>
                <w:kern w:val="2"/>
                <w:sz w:val="18"/>
                <w:szCs w:val="18"/>
                <w:vertAlign w:val="baseline"/>
                <w:lang w:val="en-US" w:eastAsia="zh-CN" w:bidi="ar"/>
              </w:rPr>
              <w:t>，贮存设施地面与裙脚应采取表面防渗措施；表面防渗材料应与所接触的物料或污染物相容，可采用抗渗混凝土、高密度聚乙烯膜、钠基膨润土防水毯或其他防渗性能等效的材料。</w:t>
            </w:r>
          </w:p>
        </w:tc>
        <w:tc>
          <w:tcPr>
            <w:tcW w:w="772" w:type="pct"/>
            <w:tcBorders>
              <w:tl2br w:val="nil"/>
              <w:tr2bl w:val="nil"/>
            </w:tcBorders>
            <w:vAlign w:val="center"/>
          </w:tcPr>
          <w:p w14:paraId="37166A8A">
            <w:pPr>
              <w:autoSpaceDE w:val="0"/>
              <w:autoSpaceDN w:val="0"/>
              <w:adjustRightInd w:val="0"/>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val="0"/>
                <w:color w:val="auto"/>
                <w:sz w:val="18"/>
                <w:szCs w:val="18"/>
                <w:lang w:val="en-US" w:eastAsia="zh-CN"/>
              </w:rPr>
              <w:t>改建</w:t>
            </w:r>
            <w:r>
              <w:rPr>
                <w:rFonts w:hint="default" w:ascii="Times New Roman" w:hAnsi="Times New Roman" w:cs="Times New Roman"/>
                <w:snapToGrid w:val="0"/>
                <w:color w:val="auto"/>
                <w:sz w:val="18"/>
                <w:szCs w:val="18"/>
                <w:lang w:val="en-US" w:eastAsia="zh-CN"/>
              </w:rPr>
              <w:t>，纳入本项目实施</w:t>
            </w:r>
          </w:p>
        </w:tc>
      </w:tr>
      <w:tr w14:paraId="2E8F1A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7C104CBE">
            <w:pPr>
              <w:autoSpaceDE w:val="0"/>
              <w:autoSpaceDN w:val="0"/>
              <w:adjustRightInd w:val="0"/>
              <w:jc w:val="center"/>
              <w:rPr>
                <w:rFonts w:hint="default" w:ascii="Times New Roman" w:hAnsi="Times New Roman" w:eastAsia="宋体" w:cs="Times New Roman"/>
                <w:b/>
                <w:sz w:val="18"/>
                <w:szCs w:val="18"/>
              </w:rPr>
            </w:pPr>
          </w:p>
        </w:tc>
        <w:tc>
          <w:tcPr>
            <w:tcW w:w="303" w:type="pct"/>
            <w:gridSpan w:val="2"/>
            <w:vMerge w:val="continue"/>
            <w:tcBorders>
              <w:tl2br w:val="nil"/>
              <w:tr2bl w:val="nil"/>
            </w:tcBorders>
            <w:vAlign w:val="center"/>
          </w:tcPr>
          <w:p w14:paraId="1C62B381">
            <w:pPr>
              <w:autoSpaceDE w:val="0"/>
              <w:autoSpaceDN w:val="0"/>
              <w:adjustRightInd w:val="0"/>
              <w:jc w:val="center"/>
              <w:rPr>
                <w:rFonts w:hint="default" w:ascii="Times New Roman" w:hAnsi="Times New Roman" w:cs="Times New Roman"/>
                <w:color w:val="000000"/>
                <w:sz w:val="18"/>
                <w:szCs w:val="18"/>
                <w:lang w:val="en-US" w:eastAsia="zh-CN"/>
              </w:rPr>
            </w:pPr>
          </w:p>
        </w:tc>
        <w:tc>
          <w:tcPr>
            <w:tcW w:w="451" w:type="pct"/>
            <w:tcBorders>
              <w:tl2br w:val="nil"/>
              <w:tr2bl w:val="nil"/>
            </w:tcBorders>
            <w:vAlign w:val="center"/>
          </w:tcPr>
          <w:p w14:paraId="30FC36E0">
            <w:pPr>
              <w:autoSpaceDE w:val="0"/>
              <w:autoSpaceDN w:val="0"/>
              <w:adjustRightInd w:val="0"/>
              <w:jc w:val="center"/>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一般防渗区</w:t>
            </w:r>
          </w:p>
        </w:tc>
        <w:tc>
          <w:tcPr>
            <w:tcW w:w="3077" w:type="pct"/>
            <w:tcBorders>
              <w:tl2br w:val="nil"/>
              <w:tr2bl w:val="nil"/>
            </w:tcBorders>
            <w:vAlign w:val="center"/>
          </w:tcPr>
          <w:p w14:paraId="0E1058FF">
            <w:pPr>
              <w:autoSpaceDE w:val="0"/>
              <w:autoSpaceDN w:val="0"/>
              <w:adjustRightInd w:val="0"/>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生产区域、原料及成品堆场、初期雨水收集池。等效黏土防渗层Mb≥1.5m，K≤1.0×10</w:t>
            </w:r>
            <w:r>
              <w:rPr>
                <w:rFonts w:hint="default" w:ascii="Times New Roman" w:hAnsi="Times New Roman" w:cs="Times New Roman"/>
                <w:color w:val="auto"/>
                <w:sz w:val="18"/>
                <w:szCs w:val="18"/>
                <w:vertAlign w:val="superscript"/>
                <w:lang w:val="en-US" w:eastAsia="zh-CN"/>
              </w:rPr>
              <w:t>-7</w:t>
            </w:r>
            <w:r>
              <w:rPr>
                <w:rFonts w:hint="default" w:ascii="Times New Roman" w:hAnsi="Times New Roman" w:cs="Times New Roman"/>
                <w:color w:val="auto"/>
                <w:sz w:val="18"/>
                <w:szCs w:val="18"/>
                <w:lang w:val="en-US" w:eastAsia="zh-CN"/>
              </w:rPr>
              <w:t>cm/s；或参照 GB 16889 执行。</w:t>
            </w:r>
          </w:p>
        </w:tc>
        <w:tc>
          <w:tcPr>
            <w:tcW w:w="772" w:type="pct"/>
            <w:tcBorders>
              <w:tl2br w:val="nil"/>
              <w:tr2bl w:val="nil"/>
            </w:tcBorders>
            <w:vAlign w:val="center"/>
          </w:tcPr>
          <w:p w14:paraId="03E69C60">
            <w:pPr>
              <w:autoSpaceDE w:val="0"/>
              <w:autoSpaceDN w:val="0"/>
              <w:adjustRightInd w:val="0"/>
              <w:jc w:val="left"/>
              <w:rPr>
                <w:rFonts w:hint="default" w:ascii="Times New Roman" w:hAnsi="Times New Roman" w:eastAsia="宋体" w:cs="Times New Roman"/>
                <w:snapToGrid w:val="0"/>
                <w:color w:val="auto"/>
                <w:sz w:val="18"/>
                <w:szCs w:val="18"/>
                <w:lang w:val="en-US" w:eastAsia="zh-CN"/>
              </w:rPr>
            </w:pPr>
            <w:r>
              <w:rPr>
                <w:rFonts w:hint="default" w:ascii="Times New Roman" w:hAnsi="Times New Roman" w:eastAsia="宋体" w:cs="Times New Roman"/>
                <w:color w:val="auto"/>
                <w:sz w:val="18"/>
                <w:szCs w:val="18"/>
                <w:lang w:val="en-US" w:eastAsia="zh-CN"/>
              </w:rPr>
              <w:t>环评提出新建</w:t>
            </w:r>
          </w:p>
        </w:tc>
      </w:tr>
      <w:tr w14:paraId="6E283C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3DA6A79C">
            <w:pPr>
              <w:autoSpaceDE w:val="0"/>
              <w:autoSpaceDN w:val="0"/>
              <w:adjustRightInd w:val="0"/>
              <w:jc w:val="center"/>
              <w:rPr>
                <w:rFonts w:hint="default" w:ascii="Times New Roman" w:hAnsi="Times New Roman" w:eastAsia="宋体" w:cs="Times New Roman"/>
                <w:b/>
                <w:sz w:val="18"/>
                <w:szCs w:val="18"/>
              </w:rPr>
            </w:pPr>
          </w:p>
        </w:tc>
        <w:tc>
          <w:tcPr>
            <w:tcW w:w="303" w:type="pct"/>
            <w:gridSpan w:val="2"/>
            <w:vMerge w:val="continue"/>
            <w:tcBorders>
              <w:tl2br w:val="nil"/>
              <w:tr2bl w:val="nil"/>
            </w:tcBorders>
            <w:vAlign w:val="center"/>
          </w:tcPr>
          <w:p w14:paraId="1E95DA0A">
            <w:pPr>
              <w:autoSpaceDE w:val="0"/>
              <w:autoSpaceDN w:val="0"/>
              <w:adjustRightInd w:val="0"/>
              <w:jc w:val="center"/>
              <w:rPr>
                <w:rFonts w:hint="default" w:ascii="Times New Roman" w:hAnsi="Times New Roman" w:eastAsia="宋体" w:cs="Times New Roman"/>
                <w:bCs/>
                <w:sz w:val="18"/>
                <w:szCs w:val="18"/>
              </w:rPr>
            </w:pPr>
          </w:p>
        </w:tc>
        <w:tc>
          <w:tcPr>
            <w:tcW w:w="451" w:type="pct"/>
            <w:tcBorders>
              <w:tl2br w:val="nil"/>
              <w:tr2bl w:val="nil"/>
            </w:tcBorders>
            <w:vAlign w:val="center"/>
          </w:tcPr>
          <w:p w14:paraId="2F2695DF">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简单防</w:t>
            </w:r>
          </w:p>
          <w:p w14:paraId="0B0E4724">
            <w:pPr>
              <w:autoSpaceDE w:val="0"/>
              <w:autoSpaceDN w:val="0"/>
              <w:adjustRightInd w:val="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lang w:bidi="ar"/>
              </w:rPr>
              <w:t>渗区</w:t>
            </w:r>
          </w:p>
        </w:tc>
        <w:tc>
          <w:tcPr>
            <w:tcW w:w="3077" w:type="pct"/>
            <w:tcBorders>
              <w:tl2br w:val="nil"/>
              <w:tr2bl w:val="nil"/>
            </w:tcBorders>
            <w:vAlign w:val="center"/>
          </w:tcPr>
          <w:p w14:paraId="02F2009F">
            <w:pPr>
              <w:autoSpaceDE w:val="0"/>
              <w:autoSpaceDN w:val="0"/>
              <w:adjustRightInd w:val="0"/>
              <w:ind w:firstLine="360" w:firstLineChars="200"/>
              <w:jc w:val="left"/>
              <w:rPr>
                <w:rFonts w:hint="default" w:ascii="Times New Roman" w:hAnsi="Times New Roman" w:eastAsia="宋体" w:cs="Times New Roman"/>
                <w:color w:val="auto"/>
                <w:sz w:val="18"/>
                <w:szCs w:val="18"/>
              </w:rPr>
            </w:pPr>
            <w:r>
              <w:rPr>
                <w:rFonts w:hint="default" w:ascii="Times New Roman" w:hAnsi="Times New Roman" w:cs="Times New Roman"/>
                <w:color w:val="auto"/>
                <w:kern w:val="0"/>
                <w:sz w:val="18"/>
                <w:szCs w:val="18"/>
                <w:lang w:val="en-US" w:eastAsia="zh-CN" w:bidi="ar"/>
              </w:rPr>
              <w:t>办公生活区，</w:t>
            </w:r>
            <w:r>
              <w:rPr>
                <w:rFonts w:hint="default" w:ascii="Times New Roman" w:hAnsi="Times New Roman" w:eastAsia="宋体" w:cs="Times New Roman"/>
                <w:color w:val="auto"/>
                <w:kern w:val="0"/>
                <w:sz w:val="18"/>
                <w:szCs w:val="18"/>
                <w:lang w:bidi="ar"/>
              </w:rPr>
              <w:t>采用一般混凝土硬化。</w:t>
            </w:r>
          </w:p>
        </w:tc>
        <w:tc>
          <w:tcPr>
            <w:tcW w:w="772" w:type="pct"/>
            <w:tcBorders>
              <w:tl2br w:val="nil"/>
              <w:tr2bl w:val="nil"/>
            </w:tcBorders>
            <w:vAlign w:val="center"/>
          </w:tcPr>
          <w:p w14:paraId="4B9260B2">
            <w:pPr>
              <w:autoSpaceDE w:val="0"/>
              <w:autoSpaceDN w:val="0"/>
              <w:adjustRightInd w:val="0"/>
              <w:jc w:val="left"/>
              <w:rPr>
                <w:rFonts w:hint="default" w:ascii="Times New Roman" w:hAnsi="Times New Roman" w:eastAsia="宋体" w:cs="Times New Roman"/>
                <w:bCs/>
                <w:color w:val="auto"/>
                <w:sz w:val="18"/>
                <w:szCs w:val="18"/>
                <w:lang w:eastAsia="zh-CN"/>
              </w:rPr>
            </w:pPr>
            <w:r>
              <w:rPr>
                <w:rFonts w:hint="default" w:ascii="Times New Roman" w:hAnsi="Times New Roman" w:eastAsia="宋体" w:cs="Times New Roman"/>
                <w:color w:val="auto"/>
                <w:sz w:val="18"/>
                <w:szCs w:val="18"/>
                <w:lang w:val="en-US" w:eastAsia="zh-CN"/>
              </w:rPr>
              <w:t>环评提出新建</w:t>
            </w:r>
          </w:p>
        </w:tc>
      </w:tr>
      <w:tr w14:paraId="25D4D5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4" w:type="pct"/>
            <w:vMerge w:val="continue"/>
            <w:tcBorders>
              <w:tl2br w:val="nil"/>
              <w:tr2bl w:val="nil"/>
            </w:tcBorders>
            <w:vAlign w:val="center"/>
          </w:tcPr>
          <w:p w14:paraId="335C2FBD">
            <w:pPr>
              <w:autoSpaceDE w:val="0"/>
              <w:autoSpaceDN w:val="0"/>
              <w:adjustRightInd w:val="0"/>
              <w:jc w:val="center"/>
              <w:rPr>
                <w:rFonts w:hint="default" w:ascii="Times New Roman" w:hAnsi="Times New Roman" w:eastAsia="宋体" w:cs="Times New Roman"/>
                <w:b/>
                <w:sz w:val="18"/>
                <w:szCs w:val="18"/>
              </w:rPr>
            </w:pPr>
          </w:p>
        </w:tc>
        <w:tc>
          <w:tcPr>
            <w:tcW w:w="303" w:type="pct"/>
            <w:gridSpan w:val="2"/>
            <w:vMerge w:val="continue"/>
            <w:tcBorders>
              <w:tl2br w:val="nil"/>
              <w:tr2bl w:val="nil"/>
            </w:tcBorders>
            <w:vAlign w:val="center"/>
          </w:tcPr>
          <w:p w14:paraId="7324B203">
            <w:pPr>
              <w:autoSpaceDE w:val="0"/>
              <w:autoSpaceDN w:val="0"/>
              <w:adjustRightInd w:val="0"/>
              <w:jc w:val="center"/>
              <w:rPr>
                <w:rFonts w:hint="default" w:ascii="Times New Roman" w:hAnsi="Times New Roman" w:eastAsia="宋体" w:cs="Times New Roman"/>
                <w:bCs/>
                <w:sz w:val="18"/>
                <w:szCs w:val="18"/>
              </w:rPr>
            </w:pPr>
          </w:p>
        </w:tc>
        <w:tc>
          <w:tcPr>
            <w:tcW w:w="451" w:type="pct"/>
            <w:tcBorders>
              <w:tl2br w:val="nil"/>
              <w:tr2bl w:val="nil"/>
            </w:tcBorders>
            <w:vAlign w:val="center"/>
          </w:tcPr>
          <w:p w14:paraId="54AA76C6">
            <w:pPr>
              <w:autoSpaceDE w:val="0"/>
              <w:autoSpaceDN w:val="0"/>
              <w:adjustRightInd w:val="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监测井</w:t>
            </w:r>
          </w:p>
        </w:tc>
        <w:tc>
          <w:tcPr>
            <w:tcW w:w="3077" w:type="pct"/>
            <w:tcBorders>
              <w:tl2br w:val="nil"/>
              <w:tr2bl w:val="nil"/>
            </w:tcBorders>
            <w:vAlign w:val="center"/>
          </w:tcPr>
          <w:p w14:paraId="50C296C0">
            <w:pPr>
              <w:autoSpaceDE w:val="0"/>
              <w:autoSpaceDN w:val="0"/>
              <w:adjustRightInd w:val="0"/>
              <w:ind w:firstLine="360" w:firstLineChars="200"/>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项目区地下水上游项目北侧600m泉水点设置为对照点，下游为初期雨水收集池下游10米监测井设置为跟踪监测点，鲁奎山铁矿1580m中段坑道地下水出水点作为项目的污染扩散监测点，每年监测一次，监测因子Fe、Mn、Pb、Zn、Cu、As、耗氧量。</w:t>
            </w:r>
          </w:p>
        </w:tc>
        <w:tc>
          <w:tcPr>
            <w:tcW w:w="772" w:type="pct"/>
            <w:tcBorders>
              <w:tl2br w:val="nil"/>
              <w:tr2bl w:val="nil"/>
            </w:tcBorders>
            <w:vAlign w:val="center"/>
          </w:tcPr>
          <w:p w14:paraId="21BED9F4">
            <w:pPr>
              <w:autoSpaceDE w:val="0"/>
              <w:autoSpaceDN w:val="0"/>
              <w:adjustRightInd w:val="0"/>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7E3C3D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394" w:type="pct"/>
            <w:vMerge w:val="restart"/>
            <w:tcBorders>
              <w:tl2br w:val="nil"/>
              <w:tr2bl w:val="nil"/>
            </w:tcBorders>
            <w:vAlign w:val="center"/>
          </w:tcPr>
          <w:p w14:paraId="2D8CD45B">
            <w:pPr>
              <w:autoSpaceDE w:val="0"/>
              <w:autoSpaceDN w:val="0"/>
              <w:adjustRightInd w:val="0"/>
              <w:jc w:val="center"/>
              <w:rPr>
                <w:rFonts w:hint="default" w:ascii="Times New Roman" w:hAnsi="Times New Roman" w:eastAsia="宋体" w:cs="Times New Roman"/>
                <w:b/>
                <w:sz w:val="18"/>
                <w:szCs w:val="18"/>
                <w:lang w:val="en-US" w:eastAsia="zh-CN"/>
              </w:rPr>
            </w:pPr>
            <w:bookmarkStart w:id="243" w:name="_Toc17776"/>
            <w:bookmarkStart w:id="244" w:name="_Toc165816733"/>
            <w:r>
              <w:rPr>
                <w:rFonts w:hint="default" w:ascii="Times New Roman" w:hAnsi="Times New Roman" w:cs="Times New Roman"/>
                <w:b/>
                <w:sz w:val="18"/>
                <w:szCs w:val="18"/>
                <w:lang w:val="en-US" w:eastAsia="zh-CN"/>
              </w:rPr>
              <w:t>依托工程</w:t>
            </w:r>
          </w:p>
        </w:tc>
        <w:tc>
          <w:tcPr>
            <w:tcW w:w="754" w:type="pct"/>
            <w:gridSpan w:val="3"/>
            <w:tcBorders>
              <w:tl2br w:val="nil"/>
              <w:tr2bl w:val="nil"/>
            </w:tcBorders>
            <w:vAlign w:val="center"/>
          </w:tcPr>
          <w:p w14:paraId="29CA3C45">
            <w:pPr>
              <w:autoSpaceDE w:val="0"/>
              <w:autoSpaceDN w:val="0"/>
              <w:adjustRightInd w:val="0"/>
              <w:jc w:val="center"/>
              <w:rPr>
                <w:rFonts w:hint="default" w:ascii="Times New Roman" w:hAnsi="Times New Roman" w:cs="Times New Roman"/>
                <w:color w:val="auto"/>
                <w:kern w:val="0"/>
                <w:sz w:val="18"/>
                <w:szCs w:val="18"/>
                <w:lang w:val="en-US" w:eastAsia="zh-CN" w:bidi="ar"/>
              </w:rPr>
            </w:pPr>
            <w:r>
              <w:rPr>
                <w:rFonts w:hint="default" w:ascii="Times New Roman" w:hAnsi="Times New Roman" w:eastAsia="宋体" w:cs="Times New Roman"/>
                <w:color w:val="auto"/>
                <w:sz w:val="18"/>
                <w:szCs w:val="18"/>
              </w:rPr>
              <w:t>原料堆场</w:t>
            </w:r>
          </w:p>
        </w:tc>
        <w:tc>
          <w:tcPr>
            <w:tcW w:w="3077" w:type="pct"/>
            <w:tcBorders>
              <w:tl2br w:val="nil"/>
              <w:tr2bl w:val="nil"/>
            </w:tcBorders>
            <w:vAlign w:val="center"/>
          </w:tcPr>
          <w:p w14:paraId="24CC57DD">
            <w:pPr>
              <w:autoSpaceDE w:val="0"/>
              <w:autoSpaceDN w:val="0"/>
              <w:adjustRightInd w:val="0"/>
              <w:ind w:firstLine="360" w:firstLineChars="200"/>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w:t>
            </w:r>
            <w:r>
              <w:rPr>
                <w:rFonts w:hint="default" w:ascii="Times New Roman" w:hAnsi="Times New Roman" w:cs="Times New Roman"/>
                <w:color w:val="auto"/>
                <w:sz w:val="18"/>
                <w:szCs w:val="18"/>
                <w:lang w:val="en-US" w:eastAsia="zh-CN"/>
              </w:rPr>
              <w:t>依托鲁奎山铁矿6号料场矿石堆场，环评提出建设“三面围挡＋彩钢瓦顶棚”的半封闭式料棚</w:t>
            </w:r>
            <w:r>
              <w:rPr>
                <w:rFonts w:hint="default" w:ascii="Times New Roman" w:hAnsi="Times New Roman" w:eastAsia="宋体" w:cs="Times New Roman"/>
                <w:color w:val="auto"/>
                <w:sz w:val="18"/>
                <w:szCs w:val="18"/>
                <w:lang w:val="en-US" w:eastAsia="zh-CN"/>
              </w:rPr>
              <w:t>，</w:t>
            </w:r>
            <w:r>
              <w:rPr>
                <w:rFonts w:hint="default" w:ascii="Times New Roman" w:hAnsi="Times New Roman" w:cs="Times New Roman"/>
                <w:color w:val="auto"/>
                <w:sz w:val="18"/>
                <w:szCs w:val="18"/>
                <w:lang w:val="en-US" w:eastAsia="zh-CN"/>
              </w:rPr>
              <w:t>并对地面进行防渗，面积约4000</w:t>
            </w:r>
            <w:r>
              <w:rPr>
                <w:rFonts w:hint="default" w:ascii="Times New Roman" w:hAnsi="Times New Roman" w:cs="Times New Roman"/>
                <w:color w:val="auto"/>
                <w:sz w:val="18"/>
                <w:szCs w:val="18"/>
                <w:vertAlign w:val="baseline"/>
                <w:lang w:val="en-US" w:eastAsia="zh-CN"/>
              </w:rPr>
              <w:t>㎡</w:t>
            </w:r>
            <w:r>
              <w:rPr>
                <w:rFonts w:hint="default" w:ascii="Times New Roman" w:hAnsi="Times New Roman" w:cs="Times New Roman"/>
                <w:color w:val="auto"/>
                <w:sz w:val="18"/>
                <w:szCs w:val="18"/>
                <w:lang w:val="en-US" w:eastAsia="zh-CN"/>
              </w:rPr>
              <w:t>。</w:t>
            </w:r>
          </w:p>
        </w:tc>
        <w:tc>
          <w:tcPr>
            <w:tcW w:w="772" w:type="pct"/>
            <w:tcBorders>
              <w:tl2br w:val="nil"/>
              <w:tr2bl w:val="nil"/>
            </w:tcBorders>
            <w:vAlign w:val="center"/>
          </w:tcPr>
          <w:p w14:paraId="04CC48A2">
            <w:pPr>
              <w:autoSpaceDE w:val="0"/>
              <w:autoSpaceDN w:val="0"/>
              <w:adjustRightInd w:val="0"/>
              <w:jc w:val="left"/>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依托改造</w:t>
            </w:r>
          </w:p>
        </w:tc>
      </w:tr>
      <w:tr w14:paraId="3510CA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394" w:type="pct"/>
            <w:vMerge w:val="continue"/>
            <w:tcBorders>
              <w:tl2br w:val="nil"/>
              <w:tr2bl w:val="nil"/>
            </w:tcBorders>
            <w:vAlign w:val="center"/>
          </w:tcPr>
          <w:p w14:paraId="0D1A659C">
            <w:pPr>
              <w:autoSpaceDE w:val="0"/>
              <w:autoSpaceDN w:val="0"/>
              <w:adjustRightInd w:val="0"/>
              <w:jc w:val="center"/>
              <w:rPr>
                <w:rFonts w:hint="default" w:ascii="Times New Roman" w:hAnsi="Times New Roman" w:eastAsia="宋体" w:cs="Times New Roman"/>
                <w:b/>
                <w:sz w:val="18"/>
                <w:szCs w:val="18"/>
                <w:lang w:val="en-US" w:eastAsia="zh-CN"/>
              </w:rPr>
            </w:pPr>
          </w:p>
        </w:tc>
        <w:tc>
          <w:tcPr>
            <w:tcW w:w="754" w:type="pct"/>
            <w:gridSpan w:val="3"/>
            <w:tcBorders>
              <w:tl2br w:val="nil"/>
              <w:tr2bl w:val="nil"/>
            </w:tcBorders>
            <w:vAlign w:val="center"/>
          </w:tcPr>
          <w:p w14:paraId="549A32F8">
            <w:pPr>
              <w:autoSpaceDE w:val="0"/>
              <w:autoSpaceDN w:val="0"/>
              <w:adjustRightInd w:val="0"/>
              <w:jc w:val="center"/>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危废暂存间</w:t>
            </w:r>
          </w:p>
        </w:tc>
        <w:tc>
          <w:tcPr>
            <w:tcW w:w="3077" w:type="pct"/>
            <w:tcBorders>
              <w:tl2br w:val="nil"/>
              <w:tr2bl w:val="nil"/>
            </w:tcBorders>
            <w:vAlign w:val="center"/>
          </w:tcPr>
          <w:p w14:paraId="1A536C64">
            <w:pPr>
              <w:autoSpaceDE w:val="0"/>
              <w:autoSpaceDN w:val="0"/>
              <w:adjustRightInd w:val="0"/>
              <w:ind w:firstLine="360" w:firstLineChars="200"/>
              <w:jc w:val="left"/>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sz w:val="18"/>
                <w:szCs w:val="18"/>
                <w:lang w:val="en-US" w:eastAsia="zh-CN"/>
              </w:rPr>
              <w:t>本项目对依托的鲁奎山铁矿现有</w:t>
            </w:r>
            <w:r>
              <w:rPr>
                <w:rFonts w:hint="default" w:ascii="Times New Roman" w:hAnsi="Times New Roman" w:eastAsia="宋体" w:cs="Times New Roman"/>
                <w:color w:val="auto"/>
                <w:sz w:val="18"/>
                <w:szCs w:val="18"/>
                <w:lang w:val="en-US" w:eastAsia="zh-CN"/>
              </w:rPr>
              <w:t>危废暂存间按照</w:t>
            </w:r>
            <w:r>
              <w:rPr>
                <w:rFonts w:hint="default" w:ascii="Times New Roman" w:hAnsi="Times New Roman" w:eastAsia="宋体" w:cs="Times New Roman"/>
                <w:kern w:val="24"/>
                <w:sz w:val="18"/>
                <w:szCs w:val="18"/>
              </w:rPr>
              <w:t>《危险废物贮存污染控制标准》（GB 18597-2023）标准</w:t>
            </w:r>
            <w:r>
              <w:rPr>
                <w:rFonts w:hint="default" w:ascii="Times New Roman" w:hAnsi="Times New Roman" w:eastAsia="宋体" w:cs="Times New Roman"/>
                <w:color w:val="auto"/>
                <w:sz w:val="18"/>
                <w:szCs w:val="18"/>
                <w:lang w:val="en-US" w:eastAsia="zh-CN"/>
              </w:rPr>
              <w:t>进行改建。</w:t>
            </w:r>
            <w:r>
              <w:rPr>
                <w:rFonts w:hint="default" w:ascii="Times New Roman" w:hAnsi="Times New Roman" w:eastAsia="宋体" w:cs="Times New Roman"/>
                <w:color w:val="auto"/>
                <w:sz w:val="18"/>
                <w:szCs w:val="18"/>
              </w:rPr>
              <w:t>废机油收集后交由集团公司</w:t>
            </w:r>
            <w:r>
              <w:rPr>
                <w:rFonts w:hint="default" w:ascii="Times New Roman" w:hAnsi="Times New Roman" w:cs="Times New Roman"/>
                <w:color w:val="auto"/>
                <w:sz w:val="18"/>
                <w:szCs w:val="18"/>
                <w:lang w:val="en-US" w:eastAsia="zh-CN"/>
              </w:rPr>
              <w:t>委托资质单位云南绿力环保科技有限公司</w:t>
            </w:r>
            <w:r>
              <w:rPr>
                <w:rFonts w:hint="default" w:ascii="Times New Roman" w:hAnsi="Times New Roman" w:eastAsia="宋体" w:cs="Times New Roman"/>
                <w:color w:val="auto"/>
                <w:sz w:val="18"/>
                <w:szCs w:val="18"/>
              </w:rPr>
              <w:t>统一处理。</w:t>
            </w:r>
          </w:p>
        </w:tc>
        <w:tc>
          <w:tcPr>
            <w:tcW w:w="772" w:type="pct"/>
            <w:tcBorders>
              <w:tl2br w:val="nil"/>
              <w:tr2bl w:val="nil"/>
            </w:tcBorders>
            <w:vAlign w:val="center"/>
          </w:tcPr>
          <w:p w14:paraId="3431DD31">
            <w:pPr>
              <w:autoSpaceDE w:val="0"/>
              <w:autoSpaceDN w:val="0"/>
              <w:adjustRightInd w:val="0"/>
              <w:jc w:val="left"/>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color w:val="auto"/>
                <w:kern w:val="0"/>
                <w:sz w:val="18"/>
                <w:szCs w:val="18"/>
                <w:lang w:val="en-US" w:eastAsia="zh-CN" w:bidi="ar"/>
              </w:rPr>
              <w:t>依托改造</w:t>
            </w:r>
          </w:p>
        </w:tc>
      </w:tr>
      <w:tr w14:paraId="2A6D03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394" w:type="pct"/>
            <w:vMerge w:val="continue"/>
            <w:tcBorders>
              <w:tl2br w:val="nil"/>
              <w:tr2bl w:val="nil"/>
            </w:tcBorders>
            <w:vAlign w:val="center"/>
          </w:tcPr>
          <w:p w14:paraId="33B1ADE0">
            <w:pPr>
              <w:autoSpaceDE w:val="0"/>
              <w:autoSpaceDN w:val="0"/>
              <w:adjustRightInd w:val="0"/>
              <w:jc w:val="left"/>
              <w:rPr>
                <w:rFonts w:hint="default" w:ascii="Times New Roman" w:hAnsi="Times New Roman" w:cs="Times New Roman"/>
                <w:color w:val="auto"/>
                <w:kern w:val="0"/>
                <w:sz w:val="18"/>
                <w:szCs w:val="18"/>
                <w:lang w:val="en-US" w:eastAsia="zh-CN" w:bidi="ar"/>
              </w:rPr>
            </w:pPr>
          </w:p>
        </w:tc>
        <w:tc>
          <w:tcPr>
            <w:tcW w:w="754" w:type="pct"/>
            <w:gridSpan w:val="3"/>
            <w:tcBorders>
              <w:tl2br w:val="nil"/>
              <w:tr2bl w:val="nil"/>
            </w:tcBorders>
            <w:vAlign w:val="center"/>
          </w:tcPr>
          <w:p w14:paraId="52C1A8E2">
            <w:pPr>
              <w:autoSpaceDE w:val="0"/>
              <w:autoSpaceDN w:val="0"/>
              <w:adjustRightInd w:val="0"/>
              <w:jc w:val="left"/>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办公生活区</w:t>
            </w:r>
          </w:p>
        </w:tc>
        <w:tc>
          <w:tcPr>
            <w:tcW w:w="3077" w:type="pct"/>
            <w:tcBorders>
              <w:tl2br w:val="nil"/>
              <w:tr2bl w:val="nil"/>
            </w:tcBorders>
            <w:vAlign w:val="center"/>
          </w:tcPr>
          <w:p w14:paraId="3BE0B062">
            <w:pPr>
              <w:autoSpaceDE w:val="0"/>
              <w:autoSpaceDN w:val="0"/>
              <w:adjustRightInd w:val="0"/>
              <w:ind w:firstLine="360" w:firstLineChars="200"/>
              <w:jc w:val="left"/>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鲁奎山铁矿办公生活区场地海拔分布于1875—1885m之间，地形坡度在1～5°左右，主要建设有办公室、职工宿舍、配电室、浴室、食堂、高位水池等，建（构）筑物为一、二层砖混结构房，场地内地面已硬化</w:t>
            </w:r>
          </w:p>
        </w:tc>
        <w:tc>
          <w:tcPr>
            <w:tcW w:w="772" w:type="pct"/>
            <w:tcBorders>
              <w:tl2br w:val="nil"/>
              <w:tr2bl w:val="nil"/>
            </w:tcBorders>
            <w:vAlign w:val="center"/>
          </w:tcPr>
          <w:p w14:paraId="3E902474">
            <w:pPr>
              <w:autoSpaceDE w:val="0"/>
              <w:autoSpaceDN w:val="0"/>
              <w:adjustRightInd w:val="0"/>
              <w:jc w:val="left"/>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依托</w:t>
            </w:r>
          </w:p>
        </w:tc>
      </w:tr>
      <w:tr w14:paraId="192459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394" w:type="pct"/>
            <w:vMerge w:val="continue"/>
            <w:tcBorders>
              <w:tl2br w:val="nil"/>
              <w:tr2bl w:val="nil"/>
            </w:tcBorders>
            <w:vAlign w:val="center"/>
          </w:tcPr>
          <w:p w14:paraId="40CCBA98">
            <w:pPr>
              <w:autoSpaceDE w:val="0"/>
              <w:autoSpaceDN w:val="0"/>
              <w:adjustRightInd w:val="0"/>
              <w:jc w:val="left"/>
              <w:rPr>
                <w:rFonts w:hint="default" w:ascii="Times New Roman" w:hAnsi="Times New Roman" w:cs="Times New Roman"/>
                <w:color w:val="auto"/>
                <w:kern w:val="0"/>
                <w:sz w:val="18"/>
                <w:szCs w:val="18"/>
                <w:lang w:val="en-US" w:eastAsia="zh-CN" w:bidi="ar"/>
              </w:rPr>
            </w:pPr>
          </w:p>
        </w:tc>
        <w:tc>
          <w:tcPr>
            <w:tcW w:w="754" w:type="pct"/>
            <w:gridSpan w:val="3"/>
            <w:tcBorders>
              <w:tl2br w:val="nil"/>
              <w:tr2bl w:val="nil"/>
            </w:tcBorders>
            <w:vAlign w:val="center"/>
          </w:tcPr>
          <w:p w14:paraId="4BC84ED6">
            <w:pPr>
              <w:autoSpaceDE w:val="0"/>
              <w:autoSpaceDN w:val="0"/>
              <w:adjustRightInd w:val="0"/>
              <w:jc w:val="left"/>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生活污水处理设施</w:t>
            </w:r>
          </w:p>
        </w:tc>
        <w:tc>
          <w:tcPr>
            <w:tcW w:w="3077" w:type="pct"/>
            <w:tcBorders>
              <w:tl2br w:val="nil"/>
              <w:tr2bl w:val="nil"/>
            </w:tcBorders>
            <w:vAlign w:val="center"/>
          </w:tcPr>
          <w:p w14:paraId="0F6846EE">
            <w:pPr>
              <w:autoSpaceDE w:val="0"/>
              <w:autoSpaceDN w:val="0"/>
              <w:adjustRightInd w:val="0"/>
              <w:ind w:firstLine="360" w:firstLineChars="200"/>
              <w:jc w:val="left"/>
              <w:rPr>
                <w:rFonts w:hint="default" w:ascii="Times New Roman" w:hAnsi="Times New Roman" w:cs="Times New Roman"/>
                <w:color w:val="auto"/>
                <w:kern w:val="0"/>
                <w:sz w:val="18"/>
                <w:szCs w:val="18"/>
                <w:lang w:val="en-US" w:eastAsia="zh-CN" w:bidi="ar"/>
              </w:rPr>
            </w:pPr>
            <w:r>
              <w:rPr>
                <w:rFonts w:hint="default" w:ascii="Times New Roman" w:hAnsi="Times New Roman" w:eastAsia="宋体" w:cs="Times New Roman"/>
                <w:color w:val="auto"/>
                <w:sz w:val="18"/>
                <w:szCs w:val="18"/>
              </w:rPr>
              <w:t>依托</w:t>
            </w:r>
            <w:r>
              <w:rPr>
                <w:rFonts w:hint="default" w:ascii="Times New Roman" w:hAnsi="Times New Roman" w:cs="Times New Roman"/>
                <w:color w:val="auto"/>
                <w:sz w:val="18"/>
                <w:szCs w:val="18"/>
                <w:lang w:val="en-US" w:eastAsia="zh-CN"/>
              </w:rPr>
              <w:t>鲁奎山铁矿</w:t>
            </w:r>
            <w:r>
              <w:rPr>
                <w:rFonts w:hint="default" w:ascii="Times New Roman" w:hAnsi="Times New Roman" w:eastAsia="宋体" w:cs="Times New Roman"/>
                <w:color w:val="auto"/>
                <w:sz w:val="18"/>
                <w:szCs w:val="18"/>
              </w:rPr>
              <w:t>污水处理设施，</w:t>
            </w:r>
            <w:r>
              <w:rPr>
                <w:rFonts w:hint="default" w:ascii="Times New Roman" w:hAnsi="Times New Roman" w:eastAsia="宋体" w:cs="Times New Roman"/>
                <w:color w:val="000000"/>
                <w:sz w:val="18"/>
                <w:szCs w:val="18"/>
              </w:rPr>
              <w:t>1个处理能力为20m³/d的一体化污水处理站，并建设1个25m³回水池。废水经处理后晴天回用于矿区洒水降尘，雨天暂存于回水池，不外排。</w:t>
            </w:r>
          </w:p>
        </w:tc>
        <w:tc>
          <w:tcPr>
            <w:tcW w:w="772" w:type="pct"/>
            <w:tcBorders>
              <w:tl2br w:val="nil"/>
              <w:tr2bl w:val="nil"/>
            </w:tcBorders>
            <w:vAlign w:val="center"/>
          </w:tcPr>
          <w:p w14:paraId="6D17D810">
            <w:pPr>
              <w:autoSpaceDE w:val="0"/>
              <w:autoSpaceDN w:val="0"/>
              <w:adjustRightInd w:val="0"/>
              <w:jc w:val="left"/>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依托</w:t>
            </w:r>
          </w:p>
        </w:tc>
      </w:tr>
      <w:tr w14:paraId="132178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394" w:type="pct"/>
            <w:vMerge w:val="continue"/>
            <w:tcBorders>
              <w:tl2br w:val="nil"/>
              <w:tr2bl w:val="nil"/>
            </w:tcBorders>
            <w:vAlign w:val="center"/>
          </w:tcPr>
          <w:p w14:paraId="5A81CDD4">
            <w:pPr>
              <w:autoSpaceDE w:val="0"/>
              <w:autoSpaceDN w:val="0"/>
              <w:adjustRightInd w:val="0"/>
              <w:jc w:val="left"/>
              <w:rPr>
                <w:rFonts w:hint="default" w:ascii="Times New Roman" w:hAnsi="Times New Roman" w:cs="Times New Roman"/>
                <w:color w:val="auto"/>
                <w:kern w:val="0"/>
                <w:sz w:val="18"/>
                <w:szCs w:val="18"/>
                <w:lang w:val="en-US" w:eastAsia="zh-CN" w:bidi="ar"/>
              </w:rPr>
            </w:pPr>
          </w:p>
        </w:tc>
        <w:tc>
          <w:tcPr>
            <w:tcW w:w="754" w:type="pct"/>
            <w:gridSpan w:val="3"/>
            <w:tcBorders>
              <w:tl2br w:val="nil"/>
              <w:tr2bl w:val="nil"/>
            </w:tcBorders>
            <w:vAlign w:val="center"/>
          </w:tcPr>
          <w:p w14:paraId="688471B9">
            <w:pPr>
              <w:autoSpaceDE w:val="0"/>
              <w:autoSpaceDN w:val="0"/>
              <w:adjustRightInd w:val="0"/>
              <w:jc w:val="center"/>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bCs/>
                <w:color w:val="auto"/>
                <w:sz w:val="18"/>
                <w:szCs w:val="18"/>
                <w:lang w:val="en-US" w:eastAsia="zh-CN"/>
              </w:rPr>
              <w:t>进厂道路</w:t>
            </w:r>
          </w:p>
        </w:tc>
        <w:tc>
          <w:tcPr>
            <w:tcW w:w="3077" w:type="pct"/>
            <w:tcBorders>
              <w:tl2br w:val="nil"/>
              <w:tr2bl w:val="nil"/>
            </w:tcBorders>
            <w:vAlign w:val="center"/>
          </w:tcPr>
          <w:p w14:paraId="1D1A53C7">
            <w:pPr>
              <w:autoSpaceDE w:val="0"/>
              <w:autoSpaceDN w:val="0"/>
              <w:adjustRightInd w:val="0"/>
              <w:ind w:firstLine="360" w:firstLineChars="200"/>
              <w:jc w:val="left"/>
              <w:rPr>
                <w:rFonts w:hint="default" w:ascii="Times New Roman" w:hAnsi="Times New Roman" w:eastAsia="宋体" w:cs="Times New Roman"/>
                <w:color w:val="auto"/>
                <w:sz w:val="18"/>
                <w:szCs w:val="18"/>
              </w:rPr>
            </w:pPr>
            <w:r>
              <w:rPr>
                <w:rFonts w:hint="default" w:ascii="Times New Roman" w:hAnsi="Times New Roman" w:cs="Times New Roman"/>
                <w:snapToGrid w:val="0"/>
                <w:color w:val="auto"/>
                <w:sz w:val="18"/>
                <w:szCs w:val="18"/>
                <w:lang w:val="en-US" w:eastAsia="zh-CN"/>
              </w:rPr>
              <w:t>依托矿山道路，环评提出采用碎石硬化</w:t>
            </w:r>
          </w:p>
        </w:tc>
        <w:tc>
          <w:tcPr>
            <w:tcW w:w="772" w:type="pct"/>
            <w:tcBorders>
              <w:tl2br w:val="nil"/>
              <w:tr2bl w:val="nil"/>
            </w:tcBorders>
            <w:vAlign w:val="center"/>
          </w:tcPr>
          <w:p w14:paraId="7D78BB6F">
            <w:pPr>
              <w:autoSpaceDE w:val="0"/>
              <w:autoSpaceDN w:val="0"/>
              <w:adjustRightInd w:val="0"/>
              <w:jc w:val="left"/>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sz w:val="18"/>
                <w:szCs w:val="18"/>
                <w:lang w:val="en-US" w:eastAsia="zh-CN"/>
              </w:rPr>
              <w:t>依托改造</w:t>
            </w:r>
          </w:p>
        </w:tc>
      </w:tr>
    </w:tbl>
    <w:p w14:paraId="41D7BDAC">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3.2.4环评提出的整改建设内容</w:t>
      </w:r>
    </w:p>
    <w:p w14:paraId="49435565">
      <w:pPr>
        <w:numPr>
          <w:ilvl w:val="0"/>
          <w:numId w:val="2"/>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厂区地面进行</w:t>
      </w:r>
      <w:r>
        <w:rPr>
          <w:rFonts w:hint="default" w:ascii="Times New Roman" w:hAnsi="Times New Roman" w:cs="Times New Roman"/>
          <w:color w:val="auto"/>
          <w:sz w:val="24"/>
          <w:szCs w:val="24"/>
          <w:lang w:val="en-US" w:eastAsia="zh-CN"/>
        </w:rPr>
        <w:t>防渗</w:t>
      </w:r>
      <w:r>
        <w:rPr>
          <w:rFonts w:hint="default" w:ascii="Times New Roman" w:hAnsi="Times New Roman" w:eastAsia="宋体" w:cs="Times New Roman"/>
          <w:color w:val="auto"/>
          <w:sz w:val="24"/>
          <w:szCs w:val="24"/>
          <w:lang w:val="en-US" w:eastAsia="zh-CN"/>
        </w:rPr>
        <w:t>。</w:t>
      </w:r>
    </w:p>
    <w:p w14:paraId="6DD019AA">
      <w:pPr>
        <w:numPr>
          <w:ilvl w:val="0"/>
          <w:numId w:val="2"/>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破碎机、筛分机、</w:t>
      </w:r>
      <w:r>
        <w:rPr>
          <w:rFonts w:hint="default" w:ascii="Times New Roman" w:hAnsi="Times New Roman" w:eastAsia="宋体" w:cs="Times New Roman"/>
          <w:color w:val="auto"/>
          <w:sz w:val="24"/>
          <w:szCs w:val="24"/>
          <w:lang w:val="en-US" w:eastAsia="zh-CN"/>
        </w:rPr>
        <w:t>磁选机</w:t>
      </w:r>
      <w:r>
        <w:rPr>
          <w:rFonts w:hint="default" w:ascii="Times New Roman" w:hAnsi="Times New Roman" w:eastAsia="宋体" w:cs="Times New Roman"/>
          <w:color w:val="auto"/>
          <w:sz w:val="24"/>
          <w:szCs w:val="24"/>
        </w:rPr>
        <w:t>等设备使用彩钢板进行封闭</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每台设备彩钢板预留口安装集气罩收集粉尘，产生的粉尘引至除尘器处置，处理后粉尘经15m高排气筒排放</w:t>
      </w:r>
      <w:r>
        <w:rPr>
          <w:rFonts w:hint="default" w:ascii="Times New Roman" w:hAnsi="Times New Roman" w:eastAsia="宋体" w:cs="Times New Roman"/>
          <w:color w:val="auto"/>
          <w:sz w:val="24"/>
          <w:szCs w:val="24"/>
          <w:lang w:eastAsia="zh-CN"/>
        </w:rPr>
        <w:t>。</w:t>
      </w:r>
    </w:p>
    <w:p w14:paraId="41A1DDE7">
      <w:pPr>
        <w:numPr>
          <w:ilvl w:val="0"/>
          <w:numId w:val="2"/>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铁矿石及</w:t>
      </w:r>
      <w:r>
        <w:rPr>
          <w:rFonts w:hint="default" w:ascii="Times New Roman" w:hAnsi="Times New Roman" w:cs="Times New Roman"/>
          <w:color w:val="auto"/>
          <w:sz w:val="24"/>
          <w:szCs w:val="24"/>
          <w:lang w:val="en-US" w:eastAsia="zh-CN"/>
        </w:rPr>
        <w:t>砂石料</w:t>
      </w:r>
      <w:r>
        <w:rPr>
          <w:rFonts w:hint="default" w:ascii="Times New Roman" w:hAnsi="Times New Roman" w:eastAsia="宋体" w:cs="Times New Roman"/>
          <w:color w:val="auto"/>
          <w:sz w:val="24"/>
          <w:szCs w:val="24"/>
          <w:lang w:val="en-US" w:eastAsia="zh-CN"/>
        </w:rPr>
        <w:t>堆场</w:t>
      </w:r>
      <w:r>
        <w:rPr>
          <w:rFonts w:hint="default" w:ascii="Times New Roman" w:hAnsi="Times New Roman" w:cs="Times New Roman"/>
          <w:color w:val="auto"/>
          <w:sz w:val="24"/>
          <w:szCs w:val="24"/>
          <w:lang w:val="en-US" w:eastAsia="zh-CN"/>
        </w:rPr>
        <w:t>建设</w:t>
      </w:r>
      <w:r>
        <w:rPr>
          <w:rFonts w:hint="default" w:ascii="Times New Roman" w:hAnsi="Times New Roman" w:eastAsia="宋体" w:cs="Times New Roman"/>
          <w:color w:val="auto"/>
          <w:sz w:val="24"/>
          <w:szCs w:val="24"/>
        </w:rPr>
        <w:t>“三面围挡+彩钢瓦顶棚”半敞开式</w:t>
      </w:r>
      <w:r>
        <w:rPr>
          <w:rFonts w:hint="default" w:ascii="Times New Roman" w:hAnsi="Times New Roman" w:cs="Times New Roman"/>
          <w:color w:val="auto"/>
          <w:sz w:val="24"/>
          <w:szCs w:val="24"/>
          <w:lang w:val="en-US" w:eastAsia="zh-CN"/>
        </w:rPr>
        <w:t>堆棚</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snapToGrid w:val="0"/>
          <w:color w:val="auto"/>
          <w:sz w:val="24"/>
          <w:szCs w:val="24"/>
        </w:rPr>
        <w:t>传送胶带改造为封闭式廊道</w:t>
      </w:r>
      <w:r>
        <w:rPr>
          <w:rFonts w:hint="default" w:ascii="Times New Roman" w:hAnsi="Times New Roman" w:eastAsia="宋体" w:cs="Times New Roman"/>
          <w:snapToGrid w:val="0"/>
          <w:color w:val="auto"/>
          <w:sz w:val="24"/>
          <w:szCs w:val="24"/>
          <w:lang w:eastAsia="zh-CN"/>
        </w:rPr>
        <w:t>，</w:t>
      </w:r>
      <w:r>
        <w:rPr>
          <w:rFonts w:hint="default" w:ascii="Times New Roman" w:hAnsi="Times New Roman" w:eastAsia="宋体" w:cs="Times New Roman"/>
          <w:snapToGrid w:val="0"/>
          <w:color w:val="auto"/>
          <w:sz w:val="24"/>
          <w:szCs w:val="24"/>
          <w:lang w:val="en-US" w:eastAsia="zh-CN"/>
        </w:rPr>
        <w:t>进料口及</w:t>
      </w:r>
      <w:r>
        <w:rPr>
          <w:rFonts w:hint="default" w:ascii="Times New Roman" w:hAnsi="Times New Roman" w:eastAsia="宋体" w:cs="Times New Roman"/>
          <w:color w:val="auto"/>
          <w:sz w:val="24"/>
          <w:szCs w:val="24"/>
          <w:lang w:val="en-US" w:eastAsia="zh-CN"/>
        </w:rPr>
        <w:t>一次筛分落料点采用彩钢板三面围挡，</w:t>
      </w:r>
      <w:r>
        <w:rPr>
          <w:rFonts w:hint="default" w:ascii="Times New Roman" w:hAnsi="Times New Roman" w:eastAsia="宋体" w:cs="Times New Roman"/>
          <w:color w:val="auto"/>
          <w:sz w:val="24"/>
          <w:szCs w:val="24"/>
        </w:rPr>
        <w:t>设置喷雾除尘</w:t>
      </w:r>
      <w:r>
        <w:rPr>
          <w:rFonts w:hint="default" w:ascii="Times New Roman" w:hAnsi="Times New Roman" w:eastAsia="宋体" w:cs="Times New Roman"/>
          <w:color w:val="auto"/>
          <w:sz w:val="24"/>
          <w:szCs w:val="24"/>
          <w:lang w:val="en-US" w:eastAsia="zh-CN"/>
        </w:rPr>
        <w:t>。</w:t>
      </w:r>
    </w:p>
    <w:p w14:paraId="5308EFB9">
      <w:pPr>
        <w:spacing w:line="360" w:lineRule="auto"/>
        <w:ind w:firstLine="480" w:firstLineChars="200"/>
        <w:rPr>
          <w:rFonts w:hint="default" w:ascii="Times New Roman" w:hAnsi="Times New Roman" w:eastAsia="宋体" w:cs="Times New Roman"/>
          <w:color w:val="0000FF"/>
          <w:sz w:val="24"/>
          <w:szCs w:val="24"/>
          <w:lang w:val="en-US" w:eastAsia="zh-CN"/>
        </w:rPr>
      </w:pPr>
      <w:r>
        <w:rPr>
          <w:rFonts w:hint="default" w:ascii="Times New Roman" w:hAnsi="Times New Roman" w:cs="Times New Roman"/>
          <w:color w:val="auto"/>
          <w:sz w:val="24"/>
          <w:szCs w:val="24"/>
          <w:lang w:val="en-US" w:eastAsia="zh-CN"/>
        </w:rPr>
        <w:t>4、对依托的鲁奎山铁矿6号料场原料堆</w:t>
      </w:r>
      <w:r>
        <w:rPr>
          <w:rFonts w:hint="default" w:ascii="Times New Roman" w:hAnsi="Times New Roman" w:cs="Times New Roman" w:eastAsiaTheme="minorEastAsia"/>
          <w:color w:val="auto"/>
          <w:sz w:val="24"/>
          <w:szCs w:val="24"/>
          <w:lang w:val="en-US" w:eastAsia="zh-CN"/>
        </w:rPr>
        <w:t>建设“三面围挡+彩钢瓦顶棚”的半敞开式堆棚，地面防渗，达到一般防渗要求</w:t>
      </w:r>
      <w:r>
        <w:rPr>
          <w:rFonts w:hint="default" w:ascii="Times New Roman" w:hAnsi="Times New Roman" w:cs="Times New Roman"/>
          <w:color w:val="auto"/>
          <w:kern w:val="24"/>
          <w:sz w:val="21"/>
          <w:szCs w:val="21"/>
          <w:lang w:eastAsia="zh-CN"/>
        </w:rPr>
        <w:t>。</w:t>
      </w:r>
    </w:p>
    <w:p w14:paraId="572F08B2">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建设一个</w:t>
      </w:r>
      <w:r>
        <w:rPr>
          <w:rFonts w:hint="default" w:ascii="Times New Roman" w:hAnsi="Times New Roman" w:cs="Times New Roman"/>
          <w:color w:val="auto"/>
          <w:sz w:val="24"/>
          <w:szCs w:val="24"/>
          <w:lang w:val="en-US" w:eastAsia="zh-CN"/>
        </w:rPr>
        <w:t>325</w:t>
      </w:r>
      <w:r>
        <w:rPr>
          <w:rFonts w:hint="default" w:ascii="Times New Roman" w:hAnsi="Times New Roman" w:eastAsia="宋体" w:cs="Times New Roman"/>
          <w:color w:val="auto"/>
          <w:sz w:val="24"/>
          <w:szCs w:val="24"/>
          <w:lang w:val="en-US" w:eastAsia="zh-CN"/>
        </w:rPr>
        <w:t>m³初期雨水收集池，收集本项目及整个6号料场初期雨水，收集沉淀后回用于项目区洒水降尘。</w:t>
      </w:r>
    </w:p>
    <w:p w14:paraId="32D77A77">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6、本项目</w:t>
      </w:r>
      <w:r>
        <w:rPr>
          <w:rFonts w:hint="default" w:ascii="Times New Roman" w:hAnsi="Times New Roman" w:eastAsia="宋体" w:cs="Times New Roman"/>
          <w:color w:val="auto"/>
          <w:sz w:val="24"/>
          <w:szCs w:val="24"/>
          <w:lang w:val="en-US" w:eastAsia="zh-CN"/>
        </w:rPr>
        <w:t>依托</w:t>
      </w:r>
      <w:r>
        <w:rPr>
          <w:rFonts w:hint="default" w:ascii="Times New Roman" w:hAnsi="Times New Roman" w:cs="Times New Roman"/>
          <w:color w:val="auto"/>
          <w:sz w:val="24"/>
          <w:szCs w:val="24"/>
          <w:lang w:val="en-US" w:eastAsia="zh-CN"/>
        </w:rPr>
        <w:t>鲁奎山铁矿</w:t>
      </w:r>
      <w:r>
        <w:rPr>
          <w:rFonts w:hint="default" w:ascii="Times New Roman" w:hAnsi="Times New Roman" w:eastAsia="宋体" w:cs="Times New Roman"/>
          <w:color w:val="auto"/>
          <w:sz w:val="24"/>
          <w:szCs w:val="24"/>
        </w:rPr>
        <w:t>危废暂存间，</w:t>
      </w:r>
      <w:r>
        <w:rPr>
          <w:rFonts w:hint="default" w:ascii="Times New Roman" w:hAnsi="Times New Roman" w:eastAsia="宋体" w:cs="Times New Roman"/>
          <w:b w:val="0"/>
          <w:bCs w:val="0"/>
          <w:color w:val="auto"/>
          <w:kern w:val="2"/>
          <w:sz w:val="24"/>
          <w:szCs w:val="24"/>
          <w:vertAlign w:val="baseline"/>
          <w:lang w:val="en-US" w:eastAsia="zh-CN" w:bidi="ar"/>
        </w:rPr>
        <w:t>危废暂存间按《危险废物贮存污染控制标准》（GB18597-2023）相关要求进行</w:t>
      </w:r>
      <w:r>
        <w:rPr>
          <w:rFonts w:hint="default" w:ascii="Times New Roman" w:hAnsi="Times New Roman" w:cs="Times New Roman"/>
          <w:b w:val="0"/>
          <w:bCs w:val="0"/>
          <w:color w:val="auto"/>
          <w:kern w:val="2"/>
          <w:sz w:val="24"/>
          <w:szCs w:val="24"/>
          <w:vertAlign w:val="baseline"/>
          <w:lang w:val="en-US" w:eastAsia="zh-CN" w:bidi="ar"/>
        </w:rPr>
        <w:t>改建</w:t>
      </w:r>
      <w:r>
        <w:rPr>
          <w:rFonts w:hint="default" w:ascii="Times New Roman" w:hAnsi="Times New Roman" w:eastAsia="宋体" w:cs="Times New Roman"/>
          <w:b w:val="0"/>
          <w:bCs w:val="0"/>
          <w:color w:val="auto"/>
          <w:kern w:val="2"/>
          <w:sz w:val="24"/>
          <w:szCs w:val="24"/>
          <w:vertAlign w:val="baseline"/>
          <w:lang w:val="en-US" w:eastAsia="zh-CN" w:bidi="ar"/>
        </w:rPr>
        <w:t>，墙体等应采用坚固的材料建造，表面无裂缝。</w:t>
      </w:r>
      <w:r>
        <w:rPr>
          <w:rFonts w:hint="default" w:ascii="Times New Roman" w:hAnsi="Times New Roman" w:cs="Times New Roman"/>
          <w:b w:val="0"/>
          <w:bCs w:val="0"/>
          <w:color w:val="auto"/>
          <w:kern w:val="2"/>
          <w:sz w:val="24"/>
          <w:szCs w:val="24"/>
          <w:vertAlign w:val="baseline"/>
          <w:lang w:val="en-US" w:eastAsia="zh-CN" w:bidi="ar"/>
        </w:rPr>
        <w:t>达到防风、防雨、防晒、防渗、防流失及扬散要求。</w:t>
      </w:r>
      <w:r>
        <w:rPr>
          <w:rFonts w:hint="default" w:ascii="Times New Roman" w:hAnsi="Times New Roman" w:eastAsia="宋体" w:cs="Times New Roman"/>
          <w:b w:val="0"/>
          <w:bCs w:val="0"/>
          <w:color w:val="auto"/>
          <w:kern w:val="2"/>
          <w:sz w:val="24"/>
          <w:szCs w:val="24"/>
          <w:vertAlign w:val="baseline"/>
          <w:lang w:val="en-US" w:eastAsia="zh-CN" w:bidi="ar"/>
        </w:rPr>
        <w:t>贮存设施地面与裙脚应采取表面防渗措施；表面防渗材料应与所接触的物料或污染物相容，可采用抗渗混凝土、高密度聚乙烯膜、钠基膨润土防水毯或其他防渗性能等效的材料。</w:t>
      </w:r>
    </w:p>
    <w:p w14:paraId="4F6F5C79">
      <w:pPr>
        <w:pStyle w:val="6"/>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.2.</w:t>
      </w:r>
      <w:r>
        <w:rPr>
          <w:rFonts w:hint="default" w:ascii="Times New Roman" w:hAnsi="Times New Roman" w:cs="Times New Roman"/>
          <w:lang w:val="en-US" w:eastAsia="zh-CN"/>
        </w:rPr>
        <w:t>5</w:t>
      </w:r>
      <w:r>
        <w:rPr>
          <w:rFonts w:hint="default" w:ascii="Times New Roman" w:hAnsi="Times New Roman" w:cs="Times New Roman"/>
        </w:rPr>
        <w:t>产品方案及规格</w:t>
      </w:r>
      <w:bookmarkEnd w:id="243"/>
      <w:bookmarkEnd w:id="244"/>
    </w:p>
    <w:p w14:paraId="57238FB0">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w:t>
      </w:r>
      <w:r>
        <w:rPr>
          <w:rFonts w:hint="default" w:ascii="Times New Roman" w:hAnsi="Times New Roman" w:cs="Times New Roman" w:eastAsiaTheme="minorEastAsia"/>
          <w:color w:val="auto"/>
          <w:sz w:val="24"/>
          <w:szCs w:val="24"/>
          <w:lang w:val="en-US" w:eastAsia="zh-CN"/>
        </w:rPr>
        <w:t>建设单位提供资料</w:t>
      </w:r>
      <w:r>
        <w:rPr>
          <w:rFonts w:hint="default" w:ascii="Times New Roman" w:hAnsi="Times New Roman" w:cs="Times New Roman" w:eastAsiaTheme="minorEastAsia"/>
          <w:color w:val="auto"/>
          <w:sz w:val="24"/>
          <w:szCs w:val="24"/>
        </w:rPr>
        <w:t>，项目原矿入选品位TFe</w:t>
      </w:r>
      <w:r>
        <w:rPr>
          <w:rFonts w:hint="default" w:ascii="Times New Roman" w:hAnsi="Times New Roman" w:cs="Times New Roman" w:eastAsiaTheme="minorEastAsia"/>
          <w:color w:val="auto"/>
          <w:sz w:val="24"/>
          <w:szCs w:val="24"/>
          <w:lang w:val="en-US" w:eastAsia="zh-CN"/>
        </w:rPr>
        <w:t>14.36</w:t>
      </w:r>
      <w:r>
        <w:rPr>
          <w:rFonts w:hint="default" w:ascii="Times New Roman" w:hAnsi="Times New Roman" w:cs="Times New Roman" w:eastAsiaTheme="minorEastAsia"/>
          <w:color w:val="auto"/>
          <w:sz w:val="24"/>
          <w:szCs w:val="24"/>
        </w:rPr>
        <w:t>%，设计产出2种产品，分别为</w:t>
      </w:r>
      <w:r>
        <w:rPr>
          <w:rFonts w:hint="default" w:ascii="Times New Roman" w:hAnsi="Times New Roman" w:cs="Times New Roman" w:eastAsiaTheme="minorEastAsia"/>
          <w:color w:val="auto"/>
          <w:sz w:val="24"/>
          <w:szCs w:val="24"/>
          <w:lang w:val="en-US" w:eastAsia="zh-CN"/>
        </w:rPr>
        <w:t>铁矿石</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砂石料</w:t>
      </w:r>
      <w:r>
        <w:rPr>
          <w:rFonts w:hint="default" w:ascii="Times New Roman" w:hAnsi="Times New Roman" w:cs="Times New Roman" w:eastAsiaTheme="minorEastAsia"/>
          <w:color w:val="auto"/>
          <w:sz w:val="24"/>
          <w:szCs w:val="24"/>
        </w:rPr>
        <w:t>。年处理</w:t>
      </w:r>
      <w:r>
        <w:rPr>
          <w:rFonts w:hint="default" w:ascii="Times New Roman" w:hAnsi="Times New Roman" w:cs="Times New Roman" w:eastAsiaTheme="minorEastAsia"/>
          <w:color w:val="auto"/>
          <w:sz w:val="24"/>
          <w:szCs w:val="24"/>
          <w:lang w:val="en-US" w:eastAsia="zh-CN"/>
        </w:rPr>
        <w:t>低品位原</w:t>
      </w:r>
      <w:r>
        <w:rPr>
          <w:rFonts w:hint="default" w:ascii="Times New Roman" w:hAnsi="Times New Roman" w:cs="Times New Roman" w:eastAsiaTheme="minorEastAsia"/>
          <w:color w:val="auto"/>
          <w:sz w:val="24"/>
          <w:szCs w:val="24"/>
        </w:rPr>
        <w:t>矿</w:t>
      </w:r>
      <w:r>
        <w:rPr>
          <w:rFonts w:hint="default"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rPr>
        <w:t>万吨，年产</w:t>
      </w:r>
      <w:r>
        <w:rPr>
          <w:rFonts w:hint="default" w:ascii="Times New Roman" w:hAnsi="Times New Roman" w:cs="Times New Roman" w:eastAsiaTheme="minorEastAsia"/>
          <w:color w:val="auto"/>
          <w:sz w:val="24"/>
          <w:szCs w:val="24"/>
          <w:lang w:val="en-US" w:eastAsia="zh-CN"/>
        </w:rPr>
        <w:t>27000</w:t>
      </w:r>
      <w:r>
        <w:rPr>
          <w:rFonts w:hint="default" w:ascii="Times New Roman" w:hAnsi="Times New Roman" w:cs="Times New Roman" w:eastAsiaTheme="minorEastAsia"/>
          <w:color w:val="auto"/>
          <w:sz w:val="24"/>
          <w:szCs w:val="24"/>
        </w:rPr>
        <w:t>吨铁</w:t>
      </w:r>
      <w:r>
        <w:rPr>
          <w:rFonts w:hint="default" w:ascii="Times New Roman" w:hAnsi="Times New Roman" w:cs="Times New Roman" w:eastAsiaTheme="minorEastAsia"/>
          <w:color w:val="auto"/>
          <w:sz w:val="24"/>
          <w:szCs w:val="24"/>
          <w:lang w:val="en-US" w:eastAsia="zh-CN"/>
        </w:rPr>
        <w:t>矿石</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62884</w:t>
      </w:r>
      <w:r>
        <w:rPr>
          <w:rFonts w:hint="default" w:ascii="Times New Roman" w:hAnsi="Times New Roman" w:cs="Times New Roman" w:eastAsiaTheme="minorEastAsia"/>
          <w:color w:val="auto"/>
          <w:sz w:val="24"/>
          <w:szCs w:val="24"/>
        </w:rPr>
        <w:t>吨</w:t>
      </w:r>
      <w:r>
        <w:rPr>
          <w:rFonts w:hint="default" w:ascii="Times New Roman" w:hAnsi="Times New Roman" w:cs="Times New Roman" w:eastAsiaTheme="minorEastAsia"/>
          <w:color w:val="auto"/>
          <w:sz w:val="24"/>
          <w:szCs w:val="24"/>
          <w:lang w:val="en-US" w:eastAsia="zh-CN"/>
        </w:rPr>
        <w:t>砂石料</w:t>
      </w:r>
      <w:r>
        <w:rPr>
          <w:rFonts w:hint="default" w:ascii="Times New Roman" w:hAnsi="Times New Roman" w:cs="Times New Roman" w:eastAsiaTheme="minorEastAsia"/>
          <w:color w:val="auto"/>
          <w:sz w:val="24"/>
          <w:szCs w:val="24"/>
        </w:rPr>
        <w:t>。</w:t>
      </w:r>
    </w:p>
    <w:p w14:paraId="3B70D458">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项目产品方案见表</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.2</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w:t>
      </w:r>
    </w:p>
    <w:p w14:paraId="29470624">
      <w:pPr>
        <w:spacing w:line="360" w:lineRule="auto"/>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表</w:t>
      </w:r>
      <w:r>
        <w:rPr>
          <w:rFonts w:hint="default" w:ascii="Times New Roman" w:hAnsi="Times New Roman" w:eastAsia="黑体" w:cs="Times New Roman"/>
          <w:b w:val="0"/>
          <w:bCs/>
          <w:color w:val="auto"/>
          <w:sz w:val="21"/>
          <w:szCs w:val="21"/>
          <w:lang w:val="en-US" w:eastAsia="zh-CN"/>
        </w:rPr>
        <w:t>3</w:t>
      </w:r>
      <w:r>
        <w:rPr>
          <w:rFonts w:hint="default" w:ascii="Times New Roman" w:hAnsi="Times New Roman" w:eastAsia="黑体" w:cs="Times New Roman"/>
          <w:b w:val="0"/>
          <w:bCs/>
          <w:color w:val="auto"/>
          <w:sz w:val="21"/>
          <w:szCs w:val="21"/>
        </w:rPr>
        <w:t>.2</w:t>
      </w:r>
      <w:r>
        <w:rPr>
          <w:rFonts w:hint="default" w:ascii="Times New Roman" w:hAnsi="Times New Roman" w:eastAsia="黑体" w:cs="Times New Roman"/>
          <w:b w:val="0"/>
          <w:bCs/>
          <w:color w:val="auto"/>
          <w:sz w:val="21"/>
          <w:szCs w:val="21"/>
          <w:lang w:val="en-US" w:eastAsia="zh-CN"/>
        </w:rPr>
        <w:t>.5</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1</w:t>
      </w:r>
      <w:r>
        <w:rPr>
          <w:rFonts w:hint="default" w:ascii="Times New Roman" w:hAnsi="Times New Roman" w:eastAsia="黑体" w:cs="Times New Roman"/>
          <w:b w:val="0"/>
          <w:bCs/>
          <w:color w:val="auto"/>
          <w:sz w:val="21"/>
          <w:szCs w:val="21"/>
        </w:rPr>
        <w:t xml:space="preserve">  项目产品方案表</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519"/>
        <w:gridCol w:w="1519"/>
        <w:gridCol w:w="2533"/>
        <w:gridCol w:w="2024"/>
      </w:tblGrid>
      <w:tr w14:paraId="21A38E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09" w:type="pct"/>
            <w:tcBorders>
              <w:tl2br w:val="nil"/>
              <w:tr2bl w:val="nil"/>
            </w:tcBorders>
            <w:vAlign w:val="center"/>
          </w:tcPr>
          <w:p w14:paraId="33DFAE9D">
            <w:pPr>
              <w:spacing w:line="240" w:lineRule="auto"/>
              <w:jc w:val="center"/>
              <w:rPr>
                <w:rFonts w:hint="default" w:ascii="Times New Roman" w:hAnsi="Times New Roman" w:eastAsia="宋体" w:cs="Times New Roman"/>
                <w:color w:val="auto"/>
                <w:sz w:val="18"/>
                <w:szCs w:val="18"/>
              </w:rPr>
            </w:pPr>
            <w:bookmarkStart w:id="245" w:name="_Hlk161849463"/>
            <w:r>
              <w:rPr>
                <w:rFonts w:hint="default" w:ascii="Times New Roman" w:hAnsi="Times New Roman" w:eastAsia="宋体" w:cs="Times New Roman"/>
                <w:color w:val="auto"/>
                <w:sz w:val="18"/>
                <w:szCs w:val="18"/>
              </w:rPr>
              <w:t>产品名称</w:t>
            </w:r>
          </w:p>
        </w:tc>
        <w:tc>
          <w:tcPr>
            <w:tcW w:w="818" w:type="pct"/>
            <w:tcBorders>
              <w:tl2br w:val="nil"/>
              <w:tr2bl w:val="nil"/>
            </w:tcBorders>
            <w:vAlign w:val="center"/>
          </w:tcPr>
          <w:p w14:paraId="01DD08C7">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产量（t/a）</w:t>
            </w:r>
          </w:p>
        </w:tc>
        <w:tc>
          <w:tcPr>
            <w:tcW w:w="818" w:type="pct"/>
            <w:tcBorders>
              <w:tl2br w:val="nil"/>
              <w:tr2bl w:val="nil"/>
            </w:tcBorders>
            <w:vAlign w:val="center"/>
          </w:tcPr>
          <w:p w14:paraId="703F831B">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粒径</w:t>
            </w:r>
          </w:p>
        </w:tc>
        <w:tc>
          <w:tcPr>
            <w:tcW w:w="1364" w:type="pct"/>
            <w:tcBorders>
              <w:tl2br w:val="nil"/>
              <w:tr2bl w:val="nil"/>
            </w:tcBorders>
            <w:vAlign w:val="center"/>
          </w:tcPr>
          <w:p w14:paraId="0B084EAE">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去向</w:t>
            </w:r>
          </w:p>
        </w:tc>
        <w:tc>
          <w:tcPr>
            <w:tcW w:w="1090" w:type="pct"/>
            <w:tcBorders>
              <w:tl2br w:val="nil"/>
              <w:tr2bl w:val="nil"/>
            </w:tcBorders>
            <w:vAlign w:val="center"/>
          </w:tcPr>
          <w:p w14:paraId="3B20FCAF">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包装及运输方式</w:t>
            </w:r>
          </w:p>
        </w:tc>
      </w:tr>
      <w:tr w14:paraId="2027E3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09" w:type="pct"/>
            <w:tcBorders>
              <w:tl2br w:val="nil"/>
              <w:tr2bl w:val="nil"/>
            </w:tcBorders>
            <w:vAlign w:val="center"/>
          </w:tcPr>
          <w:p w14:paraId="24C94F7B">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铁矿石</w:t>
            </w:r>
          </w:p>
        </w:tc>
        <w:tc>
          <w:tcPr>
            <w:tcW w:w="818" w:type="pct"/>
            <w:tcBorders>
              <w:tl2br w:val="nil"/>
              <w:tr2bl w:val="nil"/>
            </w:tcBorders>
            <w:vAlign w:val="center"/>
          </w:tcPr>
          <w:p w14:paraId="19E67987">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27000</w:t>
            </w:r>
          </w:p>
        </w:tc>
        <w:tc>
          <w:tcPr>
            <w:tcW w:w="818" w:type="pct"/>
            <w:tcBorders>
              <w:tl2br w:val="nil"/>
              <w:tr2bl w:val="nil"/>
            </w:tcBorders>
            <w:vAlign w:val="center"/>
          </w:tcPr>
          <w:p w14:paraId="309BF6FB">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r>
              <w:rPr>
                <w:rFonts w:hint="default" w:ascii="Times New Roman" w:hAnsi="Times New Roman" w:eastAsia="宋体" w:cs="Times New Roman"/>
                <w:color w:val="auto"/>
                <w:sz w:val="18"/>
                <w:szCs w:val="18"/>
              </w:rPr>
              <w:t>mm</w:t>
            </w:r>
          </w:p>
        </w:tc>
        <w:tc>
          <w:tcPr>
            <w:tcW w:w="1364" w:type="pct"/>
            <w:tcBorders>
              <w:tl2br w:val="nil"/>
              <w:tr2bl w:val="nil"/>
            </w:tcBorders>
            <w:vAlign w:val="center"/>
          </w:tcPr>
          <w:p w14:paraId="14C4E641">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云南玉溪仙福钢铁</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rPr>
              <w:t>集团</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rPr>
              <w:t>有限公司</w:t>
            </w:r>
          </w:p>
        </w:tc>
        <w:tc>
          <w:tcPr>
            <w:tcW w:w="1090" w:type="pct"/>
            <w:tcBorders>
              <w:tl2br w:val="nil"/>
              <w:tr2bl w:val="nil"/>
            </w:tcBorders>
            <w:vAlign w:val="center"/>
          </w:tcPr>
          <w:p w14:paraId="17C5482A">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散装汽车运输</w:t>
            </w:r>
          </w:p>
        </w:tc>
      </w:tr>
      <w:tr w14:paraId="3B2DD4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909" w:type="pct"/>
            <w:tcBorders>
              <w:tl2br w:val="nil"/>
              <w:tr2bl w:val="nil"/>
            </w:tcBorders>
            <w:vAlign w:val="center"/>
          </w:tcPr>
          <w:p w14:paraId="21DBAD76">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砂石料</w:t>
            </w:r>
          </w:p>
        </w:tc>
        <w:tc>
          <w:tcPr>
            <w:tcW w:w="818" w:type="pct"/>
            <w:tcBorders>
              <w:tl2br w:val="nil"/>
              <w:tr2bl w:val="nil"/>
            </w:tcBorders>
            <w:vAlign w:val="center"/>
          </w:tcPr>
          <w:p w14:paraId="722B13D3">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62884</w:t>
            </w:r>
          </w:p>
        </w:tc>
        <w:tc>
          <w:tcPr>
            <w:tcW w:w="818" w:type="pct"/>
            <w:tcBorders>
              <w:tl2br w:val="nil"/>
              <w:tr2bl w:val="nil"/>
            </w:tcBorders>
            <w:vAlign w:val="center"/>
          </w:tcPr>
          <w:p w14:paraId="0E973B06">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r>
              <w:rPr>
                <w:rFonts w:hint="default" w:ascii="Times New Roman" w:hAnsi="Times New Roman" w:eastAsia="宋体" w:cs="Times New Roman"/>
                <w:color w:val="auto"/>
                <w:sz w:val="18"/>
                <w:szCs w:val="18"/>
              </w:rPr>
              <w:t>mm</w:t>
            </w:r>
          </w:p>
        </w:tc>
        <w:tc>
          <w:tcPr>
            <w:tcW w:w="1364" w:type="pct"/>
            <w:tcBorders>
              <w:tl2br w:val="nil"/>
              <w:tr2bl w:val="nil"/>
            </w:tcBorders>
            <w:vAlign w:val="center"/>
          </w:tcPr>
          <w:p w14:paraId="6126C61A">
            <w:pPr>
              <w:spacing w:line="240" w:lineRule="auto"/>
              <w:jc w:val="center"/>
              <w:rPr>
                <w:rFonts w:hint="default" w:ascii="Times New Roman" w:hAnsi="Times New Roman" w:eastAsia="宋体" w:cs="Times New Roman"/>
                <w:color w:val="auto"/>
                <w:sz w:val="18"/>
                <w:szCs w:val="18"/>
                <w:lang w:eastAsia="zh-CN"/>
              </w:rPr>
            </w:pPr>
            <w:bookmarkStart w:id="246" w:name="_Hlk162883946"/>
            <w:r>
              <w:rPr>
                <w:rFonts w:hint="default" w:ascii="Times New Roman" w:hAnsi="Times New Roman" w:cs="Times New Roman"/>
                <w:color w:val="auto"/>
                <w:sz w:val="18"/>
                <w:szCs w:val="18"/>
                <w:lang w:val="en-US" w:eastAsia="zh-CN"/>
              </w:rPr>
              <w:t>工业场地建设、</w:t>
            </w:r>
            <w:r>
              <w:rPr>
                <w:rFonts w:hint="default" w:ascii="Times New Roman" w:hAnsi="Times New Roman" w:eastAsia="宋体" w:cs="Times New Roman"/>
                <w:color w:val="auto"/>
                <w:sz w:val="18"/>
                <w:szCs w:val="18"/>
                <w:lang w:val="en-US" w:eastAsia="zh-CN"/>
              </w:rPr>
              <w:t>外售</w:t>
            </w:r>
            <w:r>
              <w:rPr>
                <w:rFonts w:hint="default" w:ascii="Times New Roman" w:hAnsi="Times New Roman" w:eastAsia="宋体" w:cs="Times New Roman"/>
                <w:color w:val="auto"/>
                <w:sz w:val="18"/>
                <w:szCs w:val="18"/>
              </w:rPr>
              <w:t>建材</w:t>
            </w:r>
            <w:bookmarkEnd w:id="246"/>
            <w:r>
              <w:rPr>
                <w:rFonts w:hint="default" w:ascii="Times New Roman" w:hAnsi="Times New Roman" w:eastAsia="宋体" w:cs="Times New Roman"/>
                <w:color w:val="auto"/>
                <w:sz w:val="18"/>
                <w:szCs w:val="18"/>
                <w:lang w:val="en-US" w:eastAsia="zh-CN"/>
              </w:rPr>
              <w:t>公司</w:t>
            </w:r>
          </w:p>
        </w:tc>
        <w:tc>
          <w:tcPr>
            <w:tcW w:w="1090" w:type="pct"/>
            <w:tcBorders>
              <w:tl2br w:val="nil"/>
              <w:tr2bl w:val="nil"/>
            </w:tcBorders>
            <w:vAlign w:val="center"/>
          </w:tcPr>
          <w:p w14:paraId="7BA3AF72">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散装汽车运输</w:t>
            </w:r>
          </w:p>
        </w:tc>
      </w:tr>
      <w:bookmarkEnd w:id="245"/>
    </w:tbl>
    <w:p w14:paraId="5A747DE4">
      <w:pPr>
        <w:spacing w:before="163" w:beforeLines="50" w:line="360" w:lineRule="auto"/>
        <w:ind w:firstLine="480" w:firstLineChars="200"/>
        <w:jc w:val="both"/>
        <w:rPr>
          <w:rFonts w:hint="default" w:ascii="Times New Roman" w:hAnsi="Times New Roman" w:cs="Times New Roman" w:eastAsiaTheme="minorEastAsia"/>
          <w:b w:val="0"/>
          <w:bCs/>
          <w:sz w:val="24"/>
          <w:szCs w:val="24"/>
          <w:lang w:val="en-US" w:eastAsia="zh-CN"/>
        </w:rPr>
      </w:pPr>
      <w:r>
        <w:rPr>
          <w:rFonts w:hint="default" w:ascii="Times New Roman" w:hAnsi="Times New Roman" w:cs="Times New Roman" w:eastAsiaTheme="minorEastAsia"/>
          <w:b w:val="0"/>
          <w:bCs/>
          <w:sz w:val="24"/>
          <w:szCs w:val="24"/>
          <w:lang w:val="en-US" w:eastAsia="zh-CN"/>
        </w:rPr>
        <w:t>根据建设单位提供资料，项目生产的铁矿石主要成分如下：</w:t>
      </w:r>
    </w:p>
    <w:p w14:paraId="67CF052D">
      <w:pPr>
        <w:spacing w:before="163" w:beforeLines="50" w:line="360" w:lineRule="auto"/>
        <w:jc w:val="center"/>
        <w:rPr>
          <w:rFonts w:hint="default" w:ascii="Times New Roman" w:hAnsi="Times New Roman" w:eastAsia="黑体" w:cs="Times New Roman"/>
          <w:b w:val="0"/>
          <w:bCs/>
          <w:sz w:val="21"/>
          <w:szCs w:val="21"/>
          <w:lang w:val="en-US" w:eastAsia="zh-CN"/>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.2</w:t>
      </w:r>
      <w:r>
        <w:rPr>
          <w:rFonts w:hint="default" w:ascii="Times New Roman" w:hAnsi="Times New Roman" w:eastAsia="黑体" w:cs="Times New Roman"/>
          <w:b w:val="0"/>
          <w:bCs/>
          <w:sz w:val="21"/>
          <w:szCs w:val="21"/>
          <w:lang w:val="en-US" w:eastAsia="zh-CN"/>
        </w:rPr>
        <w:t>.5</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 xml:space="preserve"> </w:t>
      </w:r>
      <w:r>
        <w:rPr>
          <w:rFonts w:hint="default" w:ascii="Times New Roman" w:hAnsi="Times New Roman" w:eastAsia="黑体" w:cs="Times New Roman"/>
          <w:b w:val="0"/>
          <w:bCs/>
          <w:sz w:val="21"/>
          <w:szCs w:val="21"/>
          <w:lang w:val="en-US" w:eastAsia="zh-CN"/>
        </w:rPr>
        <w:t xml:space="preserve"> 铁矿石主要成分表</w:t>
      </w:r>
      <w:r>
        <w:rPr>
          <w:rFonts w:hint="default" w:ascii="Times New Roman" w:hAnsi="Times New Roman" w:eastAsia="黑体" w:cs="Times New Roman"/>
          <w:bCs/>
          <w:color w:val="auto"/>
          <w:kern w:val="0"/>
          <w:sz w:val="21"/>
          <w:szCs w:val="21"/>
          <w:highlight w:val="none"/>
          <w:lang w:val="en-US" w:eastAsia="zh-CN" w:bidi="ar-SA"/>
        </w:rPr>
        <w:t>（%）</w:t>
      </w:r>
    </w:p>
    <w:tbl>
      <w:tblPr>
        <w:tblStyle w:val="29"/>
        <w:tblW w:w="498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63"/>
        <w:gridCol w:w="529"/>
        <w:gridCol w:w="529"/>
        <w:gridCol w:w="529"/>
        <w:gridCol w:w="529"/>
        <w:gridCol w:w="529"/>
        <w:gridCol w:w="531"/>
        <w:gridCol w:w="531"/>
        <w:gridCol w:w="531"/>
        <w:gridCol w:w="531"/>
        <w:gridCol w:w="531"/>
        <w:gridCol w:w="531"/>
        <w:gridCol w:w="531"/>
        <w:gridCol w:w="531"/>
        <w:gridCol w:w="531"/>
        <w:gridCol w:w="533"/>
        <w:gridCol w:w="746"/>
      </w:tblGrid>
      <w:tr w14:paraId="0117DA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03" w:type="pct"/>
            <w:tcBorders>
              <w:tl2br w:val="nil"/>
              <w:tr2bl w:val="nil"/>
            </w:tcBorders>
            <w:shd w:val="clear" w:color="auto" w:fill="auto"/>
            <w:noWrap/>
            <w:vAlign w:val="center"/>
          </w:tcPr>
          <w:p w14:paraId="5E13F820">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名称</w:t>
            </w:r>
          </w:p>
        </w:tc>
        <w:tc>
          <w:tcPr>
            <w:tcW w:w="285" w:type="pct"/>
            <w:tcBorders>
              <w:tl2br w:val="nil"/>
              <w:tr2bl w:val="nil"/>
            </w:tcBorders>
            <w:shd w:val="clear" w:color="auto" w:fill="auto"/>
            <w:noWrap/>
            <w:vAlign w:val="center"/>
          </w:tcPr>
          <w:p w14:paraId="1DBC80CF">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Fe</w:t>
            </w:r>
          </w:p>
        </w:tc>
        <w:tc>
          <w:tcPr>
            <w:tcW w:w="285" w:type="pct"/>
            <w:tcBorders>
              <w:tl2br w:val="nil"/>
              <w:tr2bl w:val="nil"/>
            </w:tcBorders>
            <w:shd w:val="clear" w:color="auto" w:fill="auto"/>
            <w:noWrap/>
            <w:vAlign w:val="center"/>
          </w:tcPr>
          <w:p w14:paraId="7CA6EDBF">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SiO</w:t>
            </w:r>
            <w:r>
              <w:rPr>
                <w:rFonts w:hint="default" w:ascii="Times New Roman" w:hAnsi="Times New Roman" w:eastAsia="宋体" w:cs="Times New Roman"/>
                <w:i w:val="0"/>
                <w:iCs w:val="0"/>
                <w:color w:val="auto"/>
                <w:kern w:val="0"/>
                <w:sz w:val="11"/>
                <w:szCs w:val="11"/>
                <w:u w:val="none"/>
                <w:vertAlign w:val="subscript"/>
                <w:lang w:val="en-US" w:eastAsia="zh-CN" w:bidi="ar"/>
              </w:rPr>
              <w:t>2</w:t>
            </w:r>
          </w:p>
        </w:tc>
        <w:tc>
          <w:tcPr>
            <w:tcW w:w="285" w:type="pct"/>
            <w:tcBorders>
              <w:tl2br w:val="nil"/>
              <w:tr2bl w:val="nil"/>
            </w:tcBorders>
            <w:shd w:val="clear" w:color="auto" w:fill="auto"/>
            <w:noWrap/>
            <w:vAlign w:val="center"/>
          </w:tcPr>
          <w:p w14:paraId="58ECA01C">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P</w:t>
            </w:r>
          </w:p>
        </w:tc>
        <w:tc>
          <w:tcPr>
            <w:tcW w:w="285" w:type="pct"/>
            <w:tcBorders>
              <w:tl2br w:val="nil"/>
              <w:tr2bl w:val="nil"/>
            </w:tcBorders>
            <w:shd w:val="clear" w:color="auto" w:fill="auto"/>
            <w:noWrap/>
            <w:vAlign w:val="center"/>
          </w:tcPr>
          <w:p w14:paraId="09B38440">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S</w:t>
            </w:r>
          </w:p>
        </w:tc>
        <w:tc>
          <w:tcPr>
            <w:tcW w:w="285" w:type="pct"/>
            <w:tcBorders>
              <w:tl2br w:val="nil"/>
              <w:tr2bl w:val="nil"/>
            </w:tcBorders>
            <w:shd w:val="clear" w:color="auto" w:fill="auto"/>
            <w:noWrap/>
            <w:vAlign w:val="center"/>
          </w:tcPr>
          <w:p w14:paraId="67624BB5">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As</w:t>
            </w:r>
          </w:p>
        </w:tc>
        <w:tc>
          <w:tcPr>
            <w:tcW w:w="286" w:type="pct"/>
            <w:tcBorders>
              <w:tl2br w:val="nil"/>
              <w:tr2bl w:val="nil"/>
            </w:tcBorders>
            <w:shd w:val="clear" w:color="auto" w:fill="auto"/>
            <w:noWrap/>
            <w:vAlign w:val="center"/>
          </w:tcPr>
          <w:p w14:paraId="48B0B975">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Pb</w:t>
            </w:r>
          </w:p>
        </w:tc>
        <w:tc>
          <w:tcPr>
            <w:tcW w:w="286" w:type="pct"/>
            <w:tcBorders>
              <w:tl2br w:val="nil"/>
              <w:tr2bl w:val="nil"/>
            </w:tcBorders>
            <w:shd w:val="clear" w:color="auto" w:fill="auto"/>
            <w:noWrap/>
            <w:vAlign w:val="center"/>
          </w:tcPr>
          <w:p w14:paraId="4B34657C">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Zn</w:t>
            </w:r>
          </w:p>
        </w:tc>
        <w:tc>
          <w:tcPr>
            <w:tcW w:w="286" w:type="pct"/>
            <w:tcBorders>
              <w:tl2br w:val="nil"/>
              <w:tr2bl w:val="nil"/>
            </w:tcBorders>
            <w:shd w:val="clear" w:color="auto" w:fill="auto"/>
            <w:noWrap/>
            <w:vAlign w:val="center"/>
          </w:tcPr>
          <w:p w14:paraId="2C2BDA9D">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K</w:t>
            </w:r>
            <w:r>
              <w:rPr>
                <w:rFonts w:hint="default" w:ascii="Times New Roman" w:hAnsi="Times New Roman" w:eastAsia="宋体" w:cs="Times New Roman"/>
                <w:i w:val="0"/>
                <w:iCs w:val="0"/>
                <w:color w:val="auto"/>
                <w:kern w:val="0"/>
                <w:sz w:val="11"/>
                <w:szCs w:val="11"/>
                <w:u w:val="none"/>
                <w:vertAlign w:val="subscript"/>
                <w:lang w:val="en-US" w:eastAsia="zh-CN" w:bidi="ar"/>
              </w:rPr>
              <w:t>2</w:t>
            </w:r>
            <w:r>
              <w:rPr>
                <w:rFonts w:hint="default" w:ascii="Times New Roman" w:hAnsi="Times New Roman" w:eastAsia="宋体" w:cs="Times New Roman"/>
                <w:i w:val="0"/>
                <w:iCs w:val="0"/>
                <w:color w:val="auto"/>
                <w:kern w:val="0"/>
                <w:sz w:val="11"/>
                <w:szCs w:val="11"/>
                <w:u w:val="none"/>
                <w:lang w:val="en-US" w:eastAsia="zh-CN" w:bidi="ar"/>
              </w:rPr>
              <w:t>O</w:t>
            </w:r>
          </w:p>
        </w:tc>
        <w:tc>
          <w:tcPr>
            <w:tcW w:w="286" w:type="pct"/>
            <w:tcBorders>
              <w:tl2br w:val="nil"/>
              <w:tr2bl w:val="nil"/>
            </w:tcBorders>
            <w:shd w:val="clear" w:color="auto" w:fill="auto"/>
            <w:noWrap/>
            <w:vAlign w:val="center"/>
          </w:tcPr>
          <w:p w14:paraId="1DF78328">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Na</w:t>
            </w:r>
            <w:r>
              <w:rPr>
                <w:rFonts w:hint="default" w:ascii="Times New Roman" w:hAnsi="Times New Roman" w:cs="Times New Roman"/>
                <w:i w:val="0"/>
                <w:iCs w:val="0"/>
                <w:color w:val="auto"/>
                <w:kern w:val="0"/>
                <w:sz w:val="11"/>
                <w:szCs w:val="11"/>
                <w:u w:val="none"/>
                <w:vertAlign w:val="subscript"/>
                <w:lang w:val="en-US" w:eastAsia="zh-CN" w:bidi="ar"/>
              </w:rPr>
              <w:t>2</w:t>
            </w:r>
            <w:r>
              <w:rPr>
                <w:rFonts w:hint="default" w:ascii="Times New Roman" w:hAnsi="Times New Roman" w:eastAsia="宋体" w:cs="Times New Roman"/>
                <w:i w:val="0"/>
                <w:iCs w:val="0"/>
                <w:color w:val="auto"/>
                <w:kern w:val="0"/>
                <w:sz w:val="11"/>
                <w:szCs w:val="11"/>
                <w:u w:val="none"/>
                <w:lang w:val="en-US" w:eastAsia="zh-CN" w:bidi="ar"/>
              </w:rPr>
              <w:t>O</w:t>
            </w:r>
          </w:p>
        </w:tc>
        <w:tc>
          <w:tcPr>
            <w:tcW w:w="286" w:type="pct"/>
            <w:tcBorders>
              <w:tl2br w:val="nil"/>
              <w:tr2bl w:val="nil"/>
            </w:tcBorders>
            <w:shd w:val="clear" w:color="auto" w:fill="auto"/>
            <w:noWrap/>
            <w:vAlign w:val="center"/>
          </w:tcPr>
          <w:p w14:paraId="3A68EDF9">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Cu</w:t>
            </w:r>
          </w:p>
        </w:tc>
        <w:tc>
          <w:tcPr>
            <w:tcW w:w="286" w:type="pct"/>
            <w:tcBorders>
              <w:tl2br w:val="nil"/>
              <w:tr2bl w:val="nil"/>
            </w:tcBorders>
            <w:shd w:val="clear" w:color="auto" w:fill="auto"/>
            <w:noWrap/>
            <w:vAlign w:val="center"/>
          </w:tcPr>
          <w:p w14:paraId="4DBC2EF2">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Al</w:t>
            </w:r>
            <w:r>
              <w:rPr>
                <w:rFonts w:hint="default" w:ascii="Times New Roman" w:hAnsi="Times New Roman" w:eastAsia="宋体" w:cs="Times New Roman"/>
                <w:i w:val="0"/>
                <w:iCs w:val="0"/>
                <w:color w:val="auto"/>
                <w:kern w:val="0"/>
                <w:sz w:val="11"/>
                <w:szCs w:val="11"/>
                <w:u w:val="none"/>
                <w:vertAlign w:val="subscript"/>
                <w:lang w:val="en-US" w:eastAsia="zh-CN" w:bidi="ar"/>
              </w:rPr>
              <w:t>2</w:t>
            </w:r>
            <w:r>
              <w:rPr>
                <w:rFonts w:hint="default" w:ascii="Times New Roman" w:hAnsi="Times New Roman" w:eastAsia="宋体" w:cs="Times New Roman"/>
                <w:i w:val="0"/>
                <w:iCs w:val="0"/>
                <w:color w:val="auto"/>
                <w:kern w:val="0"/>
                <w:sz w:val="11"/>
                <w:szCs w:val="11"/>
                <w:u w:val="none"/>
                <w:lang w:val="en-US" w:eastAsia="zh-CN" w:bidi="ar"/>
              </w:rPr>
              <w:t>O</w:t>
            </w:r>
            <w:r>
              <w:rPr>
                <w:rFonts w:hint="default" w:ascii="Times New Roman" w:hAnsi="Times New Roman" w:eastAsia="宋体" w:cs="Times New Roman"/>
                <w:i w:val="0"/>
                <w:iCs w:val="0"/>
                <w:color w:val="auto"/>
                <w:kern w:val="0"/>
                <w:sz w:val="11"/>
                <w:szCs w:val="11"/>
                <w:u w:val="none"/>
                <w:vertAlign w:val="subscript"/>
                <w:lang w:val="en-US" w:eastAsia="zh-CN" w:bidi="ar"/>
              </w:rPr>
              <w:t>3</w:t>
            </w:r>
          </w:p>
        </w:tc>
        <w:tc>
          <w:tcPr>
            <w:tcW w:w="286" w:type="pct"/>
            <w:tcBorders>
              <w:tl2br w:val="nil"/>
              <w:tr2bl w:val="nil"/>
            </w:tcBorders>
            <w:shd w:val="clear" w:color="auto" w:fill="auto"/>
            <w:noWrap/>
            <w:vAlign w:val="center"/>
          </w:tcPr>
          <w:p w14:paraId="276B7F78">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TiO</w:t>
            </w:r>
            <w:r>
              <w:rPr>
                <w:rFonts w:hint="default" w:ascii="Times New Roman" w:hAnsi="Times New Roman" w:eastAsia="宋体" w:cs="Times New Roman"/>
                <w:i w:val="0"/>
                <w:iCs w:val="0"/>
                <w:color w:val="auto"/>
                <w:kern w:val="0"/>
                <w:sz w:val="11"/>
                <w:szCs w:val="11"/>
                <w:u w:val="none"/>
                <w:vertAlign w:val="subscript"/>
                <w:lang w:val="en-US" w:eastAsia="zh-CN" w:bidi="ar"/>
              </w:rPr>
              <w:t>2</w:t>
            </w:r>
          </w:p>
        </w:tc>
        <w:tc>
          <w:tcPr>
            <w:tcW w:w="286" w:type="pct"/>
            <w:tcBorders>
              <w:tl2br w:val="nil"/>
              <w:tr2bl w:val="nil"/>
            </w:tcBorders>
            <w:shd w:val="clear" w:color="auto" w:fill="auto"/>
            <w:noWrap/>
            <w:vAlign w:val="center"/>
          </w:tcPr>
          <w:p w14:paraId="5A6AE415">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lang w:val="en-US"/>
              </w:rPr>
            </w:pPr>
            <w:r>
              <w:rPr>
                <w:rFonts w:hint="default" w:ascii="Times New Roman" w:hAnsi="Times New Roman" w:eastAsia="宋体" w:cs="Times New Roman"/>
                <w:i w:val="0"/>
                <w:iCs w:val="0"/>
                <w:color w:val="auto"/>
                <w:kern w:val="0"/>
                <w:sz w:val="11"/>
                <w:szCs w:val="11"/>
                <w:u w:val="none"/>
                <w:lang w:val="en-US" w:eastAsia="zh-CN" w:bidi="ar"/>
              </w:rPr>
              <w:t>Mn</w:t>
            </w:r>
            <w:r>
              <w:rPr>
                <w:rFonts w:hint="default" w:ascii="Times New Roman" w:hAnsi="Times New Roman" w:cs="Times New Roman"/>
                <w:i w:val="0"/>
                <w:iCs w:val="0"/>
                <w:color w:val="auto"/>
                <w:kern w:val="0"/>
                <w:sz w:val="11"/>
                <w:szCs w:val="11"/>
                <w:u w:val="none"/>
                <w:lang w:val="en-US" w:eastAsia="zh-CN" w:bidi="ar"/>
              </w:rPr>
              <w:t>O</w:t>
            </w:r>
          </w:p>
        </w:tc>
        <w:tc>
          <w:tcPr>
            <w:tcW w:w="286" w:type="pct"/>
            <w:tcBorders>
              <w:tl2br w:val="nil"/>
              <w:tr2bl w:val="nil"/>
            </w:tcBorders>
            <w:shd w:val="clear" w:color="auto" w:fill="auto"/>
            <w:noWrap/>
            <w:vAlign w:val="center"/>
          </w:tcPr>
          <w:p w14:paraId="616B6C04">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C</w:t>
            </w:r>
            <w:r>
              <w:rPr>
                <w:rFonts w:hint="default" w:ascii="Times New Roman" w:hAnsi="Times New Roman" w:cs="Times New Roman"/>
                <w:i w:val="0"/>
                <w:iCs w:val="0"/>
                <w:color w:val="auto"/>
                <w:kern w:val="0"/>
                <w:sz w:val="11"/>
                <w:szCs w:val="11"/>
                <w:u w:val="none"/>
                <w:lang w:val="en-US" w:eastAsia="zh-CN" w:bidi="ar"/>
              </w:rPr>
              <w:t>a</w:t>
            </w:r>
            <w:r>
              <w:rPr>
                <w:rFonts w:hint="default" w:ascii="Times New Roman" w:hAnsi="Times New Roman" w:eastAsia="宋体" w:cs="Times New Roman"/>
                <w:i w:val="0"/>
                <w:iCs w:val="0"/>
                <w:color w:val="auto"/>
                <w:kern w:val="0"/>
                <w:sz w:val="11"/>
                <w:szCs w:val="11"/>
                <w:u w:val="none"/>
                <w:lang w:val="en-US" w:eastAsia="zh-CN" w:bidi="ar"/>
              </w:rPr>
              <w:t>O</w:t>
            </w:r>
          </w:p>
        </w:tc>
        <w:tc>
          <w:tcPr>
            <w:tcW w:w="287" w:type="pct"/>
            <w:tcBorders>
              <w:tl2br w:val="nil"/>
              <w:tr2bl w:val="nil"/>
            </w:tcBorders>
            <w:shd w:val="clear" w:color="auto" w:fill="auto"/>
            <w:noWrap/>
            <w:vAlign w:val="center"/>
          </w:tcPr>
          <w:p w14:paraId="6E6B30D4">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MgO</w:t>
            </w:r>
          </w:p>
        </w:tc>
        <w:tc>
          <w:tcPr>
            <w:tcW w:w="402" w:type="pct"/>
            <w:tcBorders>
              <w:tl2br w:val="nil"/>
              <w:tr2bl w:val="nil"/>
            </w:tcBorders>
            <w:shd w:val="clear" w:color="auto" w:fill="auto"/>
            <w:noWrap/>
            <w:vAlign w:val="center"/>
          </w:tcPr>
          <w:p w14:paraId="2CC140D6">
            <w:pPr>
              <w:keepNext w:val="0"/>
              <w:keepLines w:val="0"/>
              <w:widowControl/>
              <w:suppressLineNumbers w:val="0"/>
              <w:jc w:val="center"/>
              <w:textAlignment w:val="center"/>
              <w:rPr>
                <w:rFonts w:hint="default" w:ascii="Times New Roman" w:hAnsi="Times New Roman" w:eastAsia="宋体" w:cs="Times New Roman"/>
                <w:i w:val="0"/>
                <w:iCs w:val="0"/>
                <w:color w:val="auto"/>
                <w:sz w:val="11"/>
                <w:szCs w:val="11"/>
                <w:u w:val="none"/>
              </w:rPr>
            </w:pPr>
            <w:r>
              <w:rPr>
                <w:rFonts w:hint="default" w:ascii="Times New Roman" w:hAnsi="Times New Roman" w:eastAsia="宋体" w:cs="Times New Roman"/>
                <w:i w:val="0"/>
                <w:iCs w:val="0"/>
                <w:color w:val="auto"/>
                <w:kern w:val="0"/>
                <w:sz w:val="11"/>
                <w:szCs w:val="11"/>
                <w:u w:val="none"/>
                <w:lang w:val="en-US" w:eastAsia="zh-CN" w:bidi="ar"/>
              </w:rPr>
              <w:t>H</w:t>
            </w:r>
            <w:r>
              <w:rPr>
                <w:rFonts w:hint="default" w:ascii="Times New Roman" w:hAnsi="Times New Roman" w:eastAsia="宋体" w:cs="Times New Roman"/>
                <w:i w:val="0"/>
                <w:iCs w:val="0"/>
                <w:color w:val="auto"/>
                <w:kern w:val="0"/>
                <w:sz w:val="11"/>
                <w:szCs w:val="11"/>
                <w:u w:val="none"/>
                <w:vertAlign w:val="subscript"/>
                <w:lang w:val="en-US" w:eastAsia="zh-CN" w:bidi="ar"/>
              </w:rPr>
              <w:t>2</w:t>
            </w:r>
            <w:r>
              <w:rPr>
                <w:rFonts w:hint="default" w:ascii="Times New Roman" w:hAnsi="Times New Roman" w:eastAsia="宋体" w:cs="Times New Roman"/>
                <w:i w:val="0"/>
                <w:iCs w:val="0"/>
                <w:color w:val="auto"/>
                <w:kern w:val="0"/>
                <w:sz w:val="11"/>
                <w:szCs w:val="11"/>
                <w:u w:val="none"/>
                <w:lang w:val="en-US" w:eastAsia="zh-CN" w:bidi="ar"/>
              </w:rPr>
              <w:t>O</w:t>
            </w:r>
          </w:p>
        </w:tc>
      </w:tr>
      <w:tr w14:paraId="609668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shd w:val="clear" w:color="auto" w:fill="auto"/>
            <w:noWrap/>
            <w:vAlign w:val="center"/>
          </w:tcPr>
          <w:p w14:paraId="0DC39F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铁矿石</w:t>
            </w:r>
          </w:p>
        </w:tc>
        <w:tc>
          <w:tcPr>
            <w:tcW w:w="285" w:type="pct"/>
            <w:tcBorders>
              <w:tl2br w:val="nil"/>
              <w:tr2bl w:val="nil"/>
            </w:tcBorders>
            <w:shd w:val="clear" w:color="auto" w:fill="auto"/>
            <w:noWrap/>
            <w:vAlign w:val="center"/>
          </w:tcPr>
          <w:p w14:paraId="1AAEA2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31.76</w:t>
            </w:r>
          </w:p>
        </w:tc>
        <w:tc>
          <w:tcPr>
            <w:tcW w:w="285" w:type="pct"/>
            <w:tcBorders>
              <w:tl2br w:val="nil"/>
              <w:tr2bl w:val="nil"/>
            </w:tcBorders>
            <w:shd w:val="clear" w:color="auto" w:fill="auto"/>
            <w:noWrap/>
            <w:vAlign w:val="center"/>
          </w:tcPr>
          <w:p w14:paraId="290BDA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7.74</w:t>
            </w:r>
          </w:p>
        </w:tc>
        <w:tc>
          <w:tcPr>
            <w:tcW w:w="285" w:type="pct"/>
            <w:tcBorders>
              <w:tl2br w:val="nil"/>
              <w:tr2bl w:val="nil"/>
            </w:tcBorders>
            <w:shd w:val="clear" w:color="auto" w:fill="auto"/>
            <w:noWrap/>
            <w:vAlign w:val="center"/>
          </w:tcPr>
          <w:p w14:paraId="31DCEB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0.015</w:t>
            </w:r>
          </w:p>
        </w:tc>
        <w:tc>
          <w:tcPr>
            <w:tcW w:w="285" w:type="pct"/>
            <w:tcBorders>
              <w:tl2br w:val="nil"/>
              <w:tr2bl w:val="nil"/>
            </w:tcBorders>
            <w:shd w:val="clear" w:color="auto" w:fill="auto"/>
            <w:noWrap/>
            <w:vAlign w:val="center"/>
          </w:tcPr>
          <w:p w14:paraId="0367BB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0.243</w:t>
            </w:r>
          </w:p>
        </w:tc>
        <w:tc>
          <w:tcPr>
            <w:tcW w:w="285" w:type="pct"/>
            <w:tcBorders>
              <w:tl2br w:val="nil"/>
              <w:tr2bl w:val="nil"/>
            </w:tcBorders>
            <w:shd w:val="clear" w:color="auto" w:fill="auto"/>
            <w:noWrap/>
            <w:vAlign w:val="center"/>
          </w:tcPr>
          <w:p w14:paraId="47B8CC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0.001</w:t>
            </w:r>
          </w:p>
        </w:tc>
        <w:tc>
          <w:tcPr>
            <w:tcW w:w="286" w:type="pct"/>
            <w:tcBorders>
              <w:tl2br w:val="nil"/>
              <w:tr2bl w:val="nil"/>
            </w:tcBorders>
            <w:shd w:val="clear" w:color="auto" w:fill="auto"/>
            <w:noWrap/>
            <w:vAlign w:val="center"/>
          </w:tcPr>
          <w:p w14:paraId="30A5DC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0.005</w:t>
            </w:r>
          </w:p>
        </w:tc>
        <w:tc>
          <w:tcPr>
            <w:tcW w:w="286" w:type="pct"/>
            <w:tcBorders>
              <w:tl2br w:val="nil"/>
              <w:tr2bl w:val="nil"/>
            </w:tcBorders>
            <w:shd w:val="clear" w:color="auto" w:fill="auto"/>
            <w:noWrap/>
            <w:vAlign w:val="center"/>
          </w:tcPr>
          <w:p w14:paraId="285160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0.001</w:t>
            </w:r>
          </w:p>
        </w:tc>
        <w:tc>
          <w:tcPr>
            <w:tcW w:w="286" w:type="pct"/>
            <w:tcBorders>
              <w:tl2br w:val="nil"/>
              <w:tr2bl w:val="nil"/>
            </w:tcBorders>
            <w:shd w:val="clear" w:color="auto" w:fill="auto"/>
            <w:noWrap/>
            <w:vAlign w:val="center"/>
          </w:tcPr>
          <w:p w14:paraId="1BE130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0.177</w:t>
            </w:r>
          </w:p>
        </w:tc>
        <w:tc>
          <w:tcPr>
            <w:tcW w:w="286" w:type="pct"/>
            <w:tcBorders>
              <w:tl2br w:val="nil"/>
              <w:tr2bl w:val="nil"/>
            </w:tcBorders>
            <w:shd w:val="clear" w:color="auto" w:fill="auto"/>
            <w:noWrap/>
            <w:vAlign w:val="center"/>
          </w:tcPr>
          <w:p w14:paraId="7C5FA1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0.006</w:t>
            </w:r>
          </w:p>
        </w:tc>
        <w:tc>
          <w:tcPr>
            <w:tcW w:w="286" w:type="pct"/>
            <w:tcBorders>
              <w:tl2br w:val="nil"/>
              <w:tr2bl w:val="nil"/>
            </w:tcBorders>
            <w:shd w:val="clear" w:color="auto" w:fill="auto"/>
            <w:noWrap/>
            <w:vAlign w:val="center"/>
          </w:tcPr>
          <w:p w14:paraId="646CA9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0.001</w:t>
            </w:r>
          </w:p>
        </w:tc>
        <w:tc>
          <w:tcPr>
            <w:tcW w:w="286" w:type="pct"/>
            <w:tcBorders>
              <w:tl2br w:val="nil"/>
              <w:tr2bl w:val="nil"/>
            </w:tcBorders>
            <w:shd w:val="clear" w:color="auto" w:fill="auto"/>
            <w:noWrap/>
            <w:vAlign w:val="center"/>
          </w:tcPr>
          <w:p w14:paraId="69119A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1.16</w:t>
            </w:r>
          </w:p>
        </w:tc>
        <w:tc>
          <w:tcPr>
            <w:tcW w:w="286" w:type="pct"/>
            <w:tcBorders>
              <w:tl2br w:val="nil"/>
              <w:tr2bl w:val="nil"/>
            </w:tcBorders>
            <w:shd w:val="clear" w:color="auto" w:fill="auto"/>
            <w:noWrap/>
            <w:vAlign w:val="center"/>
          </w:tcPr>
          <w:p w14:paraId="187519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0.06</w:t>
            </w:r>
          </w:p>
        </w:tc>
        <w:tc>
          <w:tcPr>
            <w:tcW w:w="286" w:type="pct"/>
            <w:tcBorders>
              <w:tl2br w:val="nil"/>
              <w:tr2bl w:val="nil"/>
            </w:tcBorders>
            <w:shd w:val="clear" w:color="auto" w:fill="auto"/>
            <w:noWrap/>
            <w:vAlign w:val="center"/>
          </w:tcPr>
          <w:p w14:paraId="37A4A2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1.59</w:t>
            </w:r>
          </w:p>
        </w:tc>
        <w:tc>
          <w:tcPr>
            <w:tcW w:w="286" w:type="pct"/>
            <w:tcBorders>
              <w:tl2br w:val="nil"/>
              <w:tr2bl w:val="nil"/>
            </w:tcBorders>
            <w:shd w:val="clear" w:color="auto" w:fill="auto"/>
            <w:noWrap/>
            <w:vAlign w:val="center"/>
          </w:tcPr>
          <w:p w14:paraId="0CFB5D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8.84</w:t>
            </w:r>
          </w:p>
        </w:tc>
        <w:tc>
          <w:tcPr>
            <w:tcW w:w="287" w:type="pct"/>
            <w:tcBorders>
              <w:tl2br w:val="nil"/>
              <w:tr2bl w:val="nil"/>
            </w:tcBorders>
            <w:shd w:val="clear" w:color="auto" w:fill="auto"/>
            <w:noWrap/>
            <w:vAlign w:val="center"/>
          </w:tcPr>
          <w:p w14:paraId="399A5720">
            <w:pPr>
              <w:keepNext w:val="0"/>
              <w:keepLines w:val="0"/>
              <w:widowControl/>
              <w:suppressLineNumbers w:val="0"/>
              <w:jc w:val="center"/>
              <w:textAlignment w:val="center"/>
              <w:rPr>
                <w:rFonts w:hint="default" w:ascii="Times New Roman" w:hAnsi="Times New Roman"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3.03</w:t>
            </w:r>
          </w:p>
        </w:tc>
        <w:tc>
          <w:tcPr>
            <w:tcW w:w="402" w:type="pct"/>
            <w:tcBorders>
              <w:tl2br w:val="nil"/>
              <w:tr2bl w:val="nil"/>
            </w:tcBorders>
            <w:shd w:val="clear" w:color="auto" w:fill="auto"/>
            <w:noWrap/>
            <w:vAlign w:val="center"/>
          </w:tcPr>
          <w:p w14:paraId="68D88F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1"/>
                <w:szCs w:val="11"/>
                <w:u w:val="none"/>
                <w:lang w:val="en-US" w:eastAsia="zh-CN" w:bidi="ar"/>
              </w:rPr>
            </w:pPr>
            <w:r>
              <w:rPr>
                <w:rFonts w:hint="default" w:ascii="Times New Roman" w:hAnsi="Times New Roman" w:cs="Times New Roman"/>
                <w:i w:val="0"/>
                <w:iCs w:val="0"/>
                <w:color w:val="auto"/>
                <w:kern w:val="0"/>
                <w:sz w:val="11"/>
                <w:szCs w:val="11"/>
                <w:u w:val="none"/>
                <w:lang w:val="en-US" w:eastAsia="zh-CN" w:bidi="ar"/>
              </w:rPr>
              <w:t>1.92</w:t>
            </w:r>
          </w:p>
        </w:tc>
      </w:tr>
    </w:tbl>
    <w:p w14:paraId="47456AF7">
      <w:pPr>
        <w:pStyle w:val="6"/>
        <w:bidi w:val="0"/>
        <w:rPr>
          <w:rFonts w:hint="default" w:ascii="Times New Roman" w:hAnsi="Times New Roman" w:cs="Times New Roman"/>
        </w:rPr>
      </w:pPr>
      <w:bookmarkStart w:id="247" w:name="_Toc139"/>
      <w:bookmarkStart w:id="248" w:name="_Toc165816734"/>
      <w:r>
        <w:rPr>
          <w:rFonts w:hint="default" w:ascii="Times New Roman" w:hAnsi="Times New Roman" w:cs="Times New Roman"/>
          <w:lang w:val="en-US" w:eastAsia="zh-CN"/>
        </w:rPr>
        <w:t>3</w:t>
      </w:r>
      <w:r>
        <w:rPr>
          <w:rFonts w:hint="default" w:ascii="Times New Roman" w:hAnsi="Times New Roman" w:cs="Times New Roman"/>
        </w:rPr>
        <w:t>.2.</w:t>
      </w:r>
      <w:r>
        <w:rPr>
          <w:rFonts w:hint="default" w:ascii="Times New Roman" w:hAnsi="Times New Roman" w:cs="Times New Roman"/>
          <w:lang w:val="en-US" w:eastAsia="zh-CN"/>
        </w:rPr>
        <w:t>6</w:t>
      </w:r>
      <w:r>
        <w:rPr>
          <w:rFonts w:hint="default" w:ascii="Times New Roman" w:hAnsi="Times New Roman" w:cs="Times New Roman"/>
        </w:rPr>
        <w:t>主要原辅材料及能源</w:t>
      </w:r>
      <w:bookmarkEnd w:id="247"/>
      <w:bookmarkEnd w:id="248"/>
    </w:p>
    <w:p w14:paraId="642BAED4">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pacing w:val="-2"/>
          <w:sz w:val="24"/>
          <w:szCs w:val="24"/>
          <w:lang w:val="en-US" w:eastAsia="zh-CN"/>
        </w:rPr>
        <w:t>原料</w:t>
      </w:r>
      <w:r>
        <w:rPr>
          <w:rFonts w:hint="default" w:ascii="Times New Roman" w:hAnsi="Times New Roman" w:eastAsia="宋体" w:cs="Times New Roman"/>
          <w:color w:val="auto"/>
          <w:spacing w:val="-2"/>
          <w:sz w:val="24"/>
          <w:szCs w:val="24"/>
        </w:rPr>
        <w:t>来源保障</w:t>
      </w:r>
    </w:p>
    <w:p w14:paraId="7F0D8CF1">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outlineLvl w:val="9"/>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eastAsiaTheme="minorEastAsia"/>
          <w:color w:val="auto"/>
          <w:sz w:val="24"/>
          <w:szCs w:val="24"/>
        </w:rPr>
        <w:t>本项目所需铁矿石来源于新平鲁奎山铁矿</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年用量10万吨，</w:t>
      </w:r>
      <w:r>
        <w:rPr>
          <w:rFonts w:hint="default" w:ascii="Times New Roman" w:hAnsi="Times New Roman" w:eastAsia="宋体" w:cs="Times New Roman"/>
          <w:color w:val="auto"/>
          <w:sz w:val="24"/>
          <w:szCs w:val="24"/>
          <w:lang w:val="en-US" w:eastAsia="zh-CN"/>
        </w:rPr>
        <w:t>均来自</w:t>
      </w:r>
      <w:r>
        <w:rPr>
          <w:rFonts w:hint="default" w:ascii="Times New Roman" w:hAnsi="Times New Roman" w:cs="Times New Roman"/>
          <w:color w:val="auto"/>
          <w:sz w:val="24"/>
          <w:szCs w:val="24"/>
          <w:lang w:val="en-US" w:eastAsia="zh-CN"/>
        </w:rPr>
        <w:t>鲁奎山铁矿开采的经人工分选后的低品位矿石。</w:t>
      </w:r>
      <w:r>
        <w:rPr>
          <w:rFonts w:hint="default" w:ascii="Times New Roman" w:hAnsi="Times New Roman" w:cs="Times New Roman"/>
          <w:color w:val="auto"/>
        </w:rPr>
        <w:t>鲁奎山铁矿35万t/a开采项目</w:t>
      </w:r>
      <w:r>
        <w:rPr>
          <w:rFonts w:hint="default" w:ascii="Times New Roman" w:hAnsi="Times New Roman" w:eastAsia="宋体" w:cs="Times New Roman"/>
          <w:color w:val="auto"/>
          <w:spacing w:val="0"/>
          <w:w w:val="100"/>
          <w:position w:val="0"/>
          <w:sz w:val="24"/>
          <w:szCs w:val="24"/>
          <w:highlight w:val="none"/>
          <w:lang w:eastAsia="zh-CN"/>
        </w:rPr>
        <w:t>目前为正常开采状态，</w:t>
      </w:r>
      <w:r>
        <w:rPr>
          <w:rFonts w:hint="default" w:ascii="Times New Roman" w:hAnsi="Times New Roman" w:cs="Times New Roman" w:eastAsiaTheme="minorEastAsia"/>
          <w:color w:val="auto"/>
          <w:szCs w:val="24"/>
        </w:rPr>
        <w:t>根据云南省国土资源厅签发的采矿许可证（证号：C5300002017022120143814），鲁奎山铁矿生产规模为35万吨/年，有效期为2023年12月至2031年12月。主要进行铁矿石开采，产品有菱铁矿和褐铁矿矿石等。</w:t>
      </w:r>
      <w:r>
        <w:rPr>
          <w:rFonts w:hint="default" w:ascii="Times New Roman" w:hAnsi="Times New Roman" w:eastAsia="宋体" w:cs="Times New Roman"/>
          <w:color w:val="auto"/>
          <w:spacing w:val="0"/>
          <w:w w:val="100"/>
          <w:position w:val="0"/>
          <w:sz w:val="24"/>
          <w:szCs w:val="24"/>
          <w:highlight w:val="none"/>
          <w:lang w:val="en-US" w:eastAsia="zh-CN"/>
        </w:rPr>
        <w:t>根据建设单位提供的资料，鲁奎山铁矿目前实际开采量为35万吨/年，其中，富铁矿约占开采量的50%，富铁矿开采后直接运至仙福集团公司冶炼厂，贫矿（菱铁矿）约占开采量的50%，贫矿开采后通过人工进一步分选，通过汽车运输至6号料场，本项目对其进行进一步</w:t>
      </w:r>
      <w:r>
        <w:rPr>
          <w:rFonts w:hint="default" w:ascii="Times New Roman" w:hAnsi="Times New Roman" w:eastAsia="宋体" w:cs="Times New Roman"/>
          <w:color w:val="auto"/>
          <w:kern w:val="0"/>
          <w:sz w:val="24"/>
          <w:szCs w:val="24"/>
        </w:rPr>
        <w:t>精选</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原料</w:t>
      </w:r>
      <w:r>
        <w:rPr>
          <w:rFonts w:hint="default" w:ascii="Times New Roman" w:hAnsi="Times New Roman" w:eastAsia="宋体" w:cs="Times New Roman"/>
          <w:color w:val="auto"/>
          <w:kern w:val="0"/>
          <w:sz w:val="24"/>
          <w:szCs w:val="24"/>
        </w:rPr>
        <w:t>来源有保障</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可以完全满足本项目的生产。</w:t>
      </w:r>
    </w:p>
    <w:p w14:paraId="3D32E3F5">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项目主要原辅材料消耗情况见表</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.2</w:t>
      </w:r>
      <w:r>
        <w:rPr>
          <w:rFonts w:hint="default" w:ascii="Times New Roman" w:hAnsi="Times New Roman" w:cs="Times New Roman" w:eastAsiaTheme="minorEastAsia"/>
          <w:sz w:val="24"/>
          <w:szCs w:val="24"/>
          <w:lang w:val="en-US" w:eastAsia="zh-CN"/>
        </w:rPr>
        <w:t>.6</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w:t>
      </w:r>
    </w:p>
    <w:p w14:paraId="08677DF4">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3.2.6</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 xml:space="preserve">1  </w:t>
      </w:r>
      <w:r>
        <w:rPr>
          <w:rFonts w:hint="default" w:ascii="Times New Roman" w:hAnsi="Times New Roman" w:eastAsia="黑体" w:cs="Times New Roman"/>
          <w:b w:val="0"/>
          <w:bCs/>
          <w:sz w:val="21"/>
          <w:szCs w:val="21"/>
        </w:rPr>
        <w:t>本项目原辅料消耗情况</w:t>
      </w:r>
    </w:p>
    <w:tbl>
      <w:tblPr>
        <w:tblStyle w:val="29"/>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268"/>
        <w:gridCol w:w="1694"/>
        <w:gridCol w:w="1112"/>
        <w:gridCol w:w="804"/>
        <w:gridCol w:w="1168"/>
        <w:gridCol w:w="2071"/>
      </w:tblGrid>
      <w:tr w14:paraId="147906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vAlign w:val="center"/>
          </w:tcPr>
          <w:p w14:paraId="7FBA2D49">
            <w:pPr>
              <w:spacing w:line="240" w:lineRule="auto"/>
              <w:jc w:val="center"/>
              <w:textAlignment w:val="baseline"/>
              <w:rPr>
                <w:rFonts w:hint="default" w:ascii="Times New Roman" w:hAnsi="Times New Roman" w:cs="Times New Roman" w:eastAsiaTheme="minorEastAsia"/>
                <w:kern w:val="24"/>
                <w:sz w:val="18"/>
                <w:szCs w:val="18"/>
              </w:rPr>
            </w:pPr>
            <w:bookmarkStart w:id="249" w:name="_Hlk161849574"/>
            <w:r>
              <w:rPr>
                <w:rFonts w:hint="default" w:ascii="Times New Roman" w:hAnsi="Times New Roman" w:cs="Times New Roman" w:eastAsiaTheme="minorEastAsia"/>
                <w:kern w:val="24"/>
                <w:sz w:val="18"/>
                <w:szCs w:val="18"/>
              </w:rPr>
              <w:t>类别</w:t>
            </w:r>
          </w:p>
        </w:tc>
        <w:tc>
          <w:tcPr>
            <w:tcW w:w="683" w:type="pct"/>
            <w:tcBorders>
              <w:tl2br w:val="nil"/>
              <w:tr2bl w:val="nil"/>
            </w:tcBorders>
            <w:vAlign w:val="center"/>
          </w:tcPr>
          <w:p w14:paraId="5AF1BF9E">
            <w:pPr>
              <w:spacing w:line="240" w:lineRule="auto"/>
              <w:jc w:val="center"/>
              <w:textAlignment w:val="baseline"/>
              <w:rPr>
                <w:rFonts w:hint="default" w:ascii="Times New Roman" w:hAnsi="Times New Roman" w:cs="Times New Roman" w:eastAsiaTheme="minorEastAsia"/>
                <w:kern w:val="24"/>
                <w:sz w:val="18"/>
                <w:szCs w:val="18"/>
              </w:rPr>
            </w:pPr>
            <w:r>
              <w:rPr>
                <w:rFonts w:hint="default" w:ascii="Times New Roman" w:hAnsi="Times New Roman" w:cs="Times New Roman" w:eastAsiaTheme="minorEastAsia"/>
                <w:kern w:val="24"/>
                <w:sz w:val="18"/>
                <w:szCs w:val="18"/>
              </w:rPr>
              <w:t>名称</w:t>
            </w:r>
          </w:p>
        </w:tc>
        <w:tc>
          <w:tcPr>
            <w:tcW w:w="912" w:type="pct"/>
            <w:tcBorders>
              <w:tl2br w:val="nil"/>
              <w:tr2bl w:val="nil"/>
            </w:tcBorders>
            <w:vAlign w:val="center"/>
          </w:tcPr>
          <w:p w14:paraId="1B5158E9">
            <w:pPr>
              <w:spacing w:line="240" w:lineRule="auto"/>
              <w:jc w:val="center"/>
              <w:textAlignment w:val="baseline"/>
              <w:rPr>
                <w:rFonts w:hint="default" w:ascii="Times New Roman" w:hAnsi="Times New Roman" w:cs="Times New Roman" w:eastAsiaTheme="minorEastAsia"/>
                <w:kern w:val="24"/>
                <w:sz w:val="18"/>
                <w:szCs w:val="18"/>
              </w:rPr>
            </w:pPr>
            <w:r>
              <w:rPr>
                <w:rFonts w:hint="default" w:ascii="Times New Roman" w:hAnsi="Times New Roman" w:cs="Times New Roman" w:eastAsiaTheme="minorEastAsia"/>
                <w:kern w:val="24"/>
                <w:sz w:val="18"/>
                <w:szCs w:val="18"/>
              </w:rPr>
              <w:t>规格</w:t>
            </w:r>
          </w:p>
        </w:tc>
        <w:tc>
          <w:tcPr>
            <w:tcW w:w="599" w:type="pct"/>
            <w:tcBorders>
              <w:tl2br w:val="nil"/>
              <w:tr2bl w:val="nil"/>
            </w:tcBorders>
            <w:vAlign w:val="center"/>
          </w:tcPr>
          <w:p w14:paraId="1D2790D0">
            <w:pPr>
              <w:spacing w:line="240" w:lineRule="auto"/>
              <w:jc w:val="center"/>
              <w:textAlignment w:val="baseline"/>
              <w:rPr>
                <w:rFonts w:hint="default" w:ascii="Times New Roman" w:hAnsi="Times New Roman" w:cs="Times New Roman" w:eastAsiaTheme="minorEastAsia"/>
                <w:kern w:val="24"/>
                <w:sz w:val="18"/>
                <w:szCs w:val="18"/>
              </w:rPr>
            </w:pPr>
            <w:r>
              <w:rPr>
                <w:rFonts w:hint="default" w:ascii="Times New Roman" w:hAnsi="Times New Roman" w:cs="Times New Roman" w:eastAsiaTheme="minorEastAsia"/>
                <w:kern w:val="24"/>
                <w:sz w:val="18"/>
                <w:szCs w:val="18"/>
              </w:rPr>
              <w:t>年用量</w:t>
            </w:r>
          </w:p>
        </w:tc>
        <w:tc>
          <w:tcPr>
            <w:tcW w:w="433" w:type="pct"/>
            <w:tcBorders>
              <w:tl2br w:val="nil"/>
              <w:tr2bl w:val="nil"/>
            </w:tcBorders>
            <w:vAlign w:val="center"/>
          </w:tcPr>
          <w:p w14:paraId="79EEE81E">
            <w:pPr>
              <w:spacing w:line="240" w:lineRule="auto"/>
              <w:jc w:val="center"/>
              <w:textAlignment w:val="baseline"/>
              <w:rPr>
                <w:rFonts w:hint="default" w:ascii="Times New Roman" w:hAnsi="Times New Roman" w:cs="Times New Roman" w:eastAsiaTheme="minorEastAsia"/>
                <w:kern w:val="24"/>
                <w:sz w:val="18"/>
                <w:szCs w:val="18"/>
              </w:rPr>
            </w:pPr>
            <w:r>
              <w:rPr>
                <w:rFonts w:hint="default" w:ascii="Times New Roman" w:hAnsi="Times New Roman" w:cs="Times New Roman" w:eastAsiaTheme="minorEastAsia"/>
                <w:sz w:val="18"/>
                <w:szCs w:val="18"/>
              </w:rPr>
              <w:t>形态</w:t>
            </w:r>
          </w:p>
        </w:tc>
        <w:tc>
          <w:tcPr>
            <w:tcW w:w="629" w:type="pct"/>
            <w:tcBorders>
              <w:tl2br w:val="nil"/>
              <w:tr2bl w:val="nil"/>
            </w:tcBorders>
            <w:vAlign w:val="center"/>
          </w:tcPr>
          <w:p w14:paraId="140521E1">
            <w:pPr>
              <w:spacing w:line="240" w:lineRule="auto"/>
              <w:jc w:val="center"/>
              <w:textAlignment w:val="baseline"/>
              <w:rPr>
                <w:rFonts w:hint="default" w:ascii="Times New Roman" w:hAnsi="Times New Roman" w:cs="Times New Roman" w:eastAsiaTheme="minorEastAsia"/>
                <w:kern w:val="24"/>
                <w:sz w:val="18"/>
                <w:szCs w:val="18"/>
              </w:rPr>
            </w:pPr>
            <w:r>
              <w:rPr>
                <w:rFonts w:hint="default" w:ascii="Times New Roman" w:hAnsi="Times New Roman" w:cs="Times New Roman" w:eastAsiaTheme="minorEastAsia"/>
                <w:kern w:val="24"/>
                <w:sz w:val="18"/>
                <w:szCs w:val="18"/>
              </w:rPr>
              <w:t>存储位置</w:t>
            </w:r>
          </w:p>
        </w:tc>
        <w:tc>
          <w:tcPr>
            <w:tcW w:w="1115" w:type="pct"/>
            <w:tcBorders>
              <w:tl2br w:val="nil"/>
              <w:tr2bl w:val="nil"/>
            </w:tcBorders>
            <w:vAlign w:val="center"/>
          </w:tcPr>
          <w:p w14:paraId="46EEF356">
            <w:pPr>
              <w:spacing w:line="240" w:lineRule="auto"/>
              <w:jc w:val="center"/>
              <w:textAlignment w:val="baseline"/>
              <w:rPr>
                <w:rFonts w:hint="default" w:ascii="Times New Roman" w:hAnsi="Times New Roman" w:cs="Times New Roman" w:eastAsiaTheme="minorEastAsia"/>
                <w:kern w:val="24"/>
                <w:sz w:val="18"/>
                <w:szCs w:val="18"/>
              </w:rPr>
            </w:pPr>
            <w:r>
              <w:rPr>
                <w:rFonts w:hint="default" w:ascii="Times New Roman" w:hAnsi="Times New Roman" w:cs="Times New Roman" w:eastAsiaTheme="minorEastAsia"/>
                <w:kern w:val="24"/>
                <w:sz w:val="18"/>
                <w:szCs w:val="18"/>
              </w:rPr>
              <w:t>来源</w:t>
            </w:r>
          </w:p>
        </w:tc>
      </w:tr>
      <w:tr w14:paraId="5B906F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vAlign w:val="center"/>
          </w:tcPr>
          <w:p w14:paraId="4C00C66B">
            <w:pPr>
              <w:spacing w:line="240" w:lineRule="auto"/>
              <w:jc w:val="center"/>
              <w:textAlignment w:val="baseline"/>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原料</w:t>
            </w:r>
          </w:p>
        </w:tc>
        <w:tc>
          <w:tcPr>
            <w:tcW w:w="683" w:type="pct"/>
            <w:tcBorders>
              <w:tl2br w:val="nil"/>
              <w:tr2bl w:val="nil"/>
            </w:tcBorders>
            <w:vAlign w:val="center"/>
          </w:tcPr>
          <w:p w14:paraId="335DEA3D">
            <w:pPr>
              <w:spacing w:line="240" w:lineRule="auto"/>
              <w:jc w:val="center"/>
              <w:textAlignment w:val="baseline"/>
              <w:rPr>
                <w:rFonts w:hint="default" w:ascii="Times New Roman" w:hAnsi="Times New Roman" w:cs="Times New Roman" w:eastAsiaTheme="minorEastAsia"/>
                <w:color w:val="auto"/>
                <w:kern w:val="24"/>
                <w:sz w:val="18"/>
                <w:szCs w:val="18"/>
                <w:lang w:val="en-US" w:eastAsia="zh-CN"/>
              </w:rPr>
            </w:pPr>
            <w:r>
              <w:rPr>
                <w:rFonts w:hint="default" w:ascii="Times New Roman" w:hAnsi="Times New Roman" w:cs="Times New Roman" w:eastAsiaTheme="minorEastAsia"/>
                <w:color w:val="auto"/>
                <w:sz w:val="18"/>
                <w:szCs w:val="18"/>
                <w:lang w:val="en-US" w:eastAsia="zh-CN"/>
              </w:rPr>
              <w:t>低品位铁矿</w:t>
            </w:r>
          </w:p>
        </w:tc>
        <w:tc>
          <w:tcPr>
            <w:tcW w:w="912" w:type="pct"/>
            <w:tcBorders>
              <w:tl2br w:val="nil"/>
              <w:tr2bl w:val="nil"/>
            </w:tcBorders>
            <w:vAlign w:val="center"/>
          </w:tcPr>
          <w:p w14:paraId="60D92BE6">
            <w:pPr>
              <w:spacing w:line="240" w:lineRule="auto"/>
              <w:jc w:val="center"/>
              <w:textAlignment w:val="baseline"/>
              <w:rPr>
                <w:rFonts w:hint="default" w:ascii="Times New Roman" w:hAnsi="Times New Roman" w:cs="Times New Roman" w:eastAsiaTheme="minorEastAsia"/>
                <w:color w:val="auto"/>
                <w:kern w:val="24"/>
                <w:sz w:val="18"/>
                <w:szCs w:val="18"/>
              </w:rPr>
            </w:pPr>
            <w:r>
              <w:rPr>
                <w:rFonts w:hint="default" w:ascii="Times New Roman" w:hAnsi="Times New Roman" w:cs="Times New Roman" w:eastAsiaTheme="minorEastAsia"/>
                <w:color w:val="auto"/>
                <w:kern w:val="24"/>
                <w:sz w:val="18"/>
                <w:szCs w:val="18"/>
              </w:rPr>
              <w:t>平均品位</w:t>
            </w:r>
            <w:r>
              <w:rPr>
                <w:rFonts w:hint="default" w:ascii="Times New Roman" w:hAnsi="Times New Roman" w:cs="Times New Roman" w:eastAsiaTheme="minorEastAsia"/>
                <w:color w:val="auto"/>
                <w:kern w:val="24"/>
                <w:sz w:val="18"/>
                <w:szCs w:val="18"/>
                <w:lang w:val="en-US" w:eastAsia="zh-CN"/>
              </w:rPr>
              <w:t>14.36</w:t>
            </w:r>
            <w:r>
              <w:rPr>
                <w:rFonts w:hint="default" w:ascii="Times New Roman" w:hAnsi="Times New Roman" w:cs="Times New Roman" w:eastAsiaTheme="minorEastAsia"/>
                <w:color w:val="auto"/>
                <w:kern w:val="24"/>
                <w:sz w:val="18"/>
                <w:szCs w:val="18"/>
              </w:rPr>
              <w:t>%</w:t>
            </w:r>
          </w:p>
        </w:tc>
        <w:tc>
          <w:tcPr>
            <w:tcW w:w="599" w:type="pct"/>
            <w:tcBorders>
              <w:tl2br w:val="nil"/>
              <w:tr2bl w:val="nil"/>
            </w:tcBorders>
            <w:vAlign w:val="center"/>
          </w:tcPr>
          <w:p w14:paraId="50876463">
            <w:pPr>
              <w:spacing w:line="240" w:lineRule="auto"/>
              <w:jc w:val="center"/>
              <w:textAlignment w:val="baseline"/>
              <w:rPr>
                <w:rFonts w:hint="default" w:ascii="Times New Roman" w:hAnsi="Times New Roman" w:cs="Times New Roman" w:eastAsiaTheme="minorEastAsia"/>
                <w:color w:val="auto"/>
                <w:kern w:val="24"/>
                <w:sz w:val="18"/>
                <w:szCs w:val="18"/>
              </w:rPr>
            </w:pPr>
            <w:r>
              <w:rPr>
                <w:rFonts w:hint="default" w:ascii="Times New Roman" w:hAnsi="Times New Roman" w:cs="Times New Roman" w:eastAsiaTheme="minorEastAsia"/>
                <w:color w:val="auto"/>
                <w:kern w:val="24"/>
                <w:sz w:val="18"/>
                <w:szCs w:val="18"/>
                <w:lang w:val="en-US" w:eastAsia="zh-CN"/>
              </w:rPr>
              <w:t>10</w:t>
            </w:r>
            <w:r>
              <w:rPr>
                <w:rFonts w:hint="default" w:ascii="Times New Roman" w:hAnsi="Times New Roman" w:cs="Times New Roman" w:eastAsiaTheme="minorEastAsia"/>
                <w:color w:val="auto"/>
                <w:kern w:val="24"/>
                <w:sz w:val="18"/>
                <w:szCs w:val="18"/>
              </w:rPr>
              <w:t>万t/a</w:t>
            </w:r>
          </w:p>
        </w:tc>
        <w:tc>
          <w:tcPr>
            <w:tcW w:w="433" w:type="pct"/>
            <w:tcBorders>
              <w:tl2br w:val="nil"/>
              <w:tr2bl w:val="nil"/>
            </w:tcBorders>
            <w:vAlign w:val="center"/>
          </w:tcPr>
          <w:p w14:paraId="27DBC7A0">
            <w:pPr>
              <w:spacing w:line="240" w:lineRule="auto"/>
              <w:jc w:val="center"/>
              <w:textAlignment w:val="baseline"/>
              <w:rPr>
                <w:rFonts w:hint="default" w:ascii="Times New Roman" w:hAnsi="Times New Roman" w:cs="Times New Roman" w:eastAsiaTheme="minorEastAsia"/>
                <w:color w:val="auto"/>
                <w:kern w:val="24"/>
                <w:sz w:val="18"/>
                <w:szCs w:val="18"/>
              </w:rPr>
            </w:pPr>
            <w:r>
              <w:rPr>
                <w:rFonts w:hint="default" w:ascii="Times New Roman" w:hAnsi="Times New Roman" w:cs="Times New Roman" w:eastAsiaTheme="minorEastAsia"/>
                <w:color w:val="auto"/>
                <w:kern w:val="24"/>
                <w:sz w:val="18"/>
                <w:szCs w:val="18"/>
              </w:rPr>
              <w:t>固态</w:t>
            </w:r>
          </w:p>
        </w:tc>
        <w:tc>
          <w:tcPr>
            <w:tcW w:w="629" w:type="pct"/>
            <w:tcBorders>
              <w:tl2br w:val="nil"/>
              <w:tr2bl w:val="nil"/>
            </w:tcBorders>
            <w:vAlign w:val="center"/>
          </w:tcPr>
          <w:p w14:paraId="240B9741">
            <w:pPr>
              <w:spacing w:line="240" w:lineRule="auto"/>
              <w:jc w:val="center"/>
              <w:textAlignment w:val="baseline"/>
              <w:rPr>
                <w:rFonts w:hint="default" w:ascii="Times New Roman" w:hAnsi="Times New Roman" w:cs="Times New Roman" w:eastAsiaTheme="minorEastAsia"/>
                <w:color w:val="auto"/>
                <w:kern w:val="24"/>
                <w:sz w:val="18"/>
                <w:szCs w:val="18"/>
                <w:lang w:val="en-US" w:eastAsia="zh-CN"/>
              </w:rPr>
            </w:pPr>
            <w:r>
              <w:rPr>
                <w:rFonts w:hint="default" w:ascii="Times New Roman" w:hAnsi="Times New Roman" w:cs="Times New Roman" w:eastAsiaTheme="minorEastAsia"/>
                <w:color w:val="auto"/>
                <w:kern w:val="24"/>
                <w:sz w:val="18"/>
                <w:szCs w:val="18"/>
                <w:lang w:val="en-US" w:eastAsia="zh-CN"/>
              </w:rPr>
              <w:t>鲁奎山铁矿6#料场</w:t>
            </w:r>
          </w:p>
        </w:tc>
        <w:tc>
          <w:tcPr>
            <w:tcW w:w="1115" w:type="pct"/>
            <w:tcBorders>
              <w:tl2br w:val="nil"/>
              <w:tr2bl w:val="nil"/>
            </w:tcBorders>
            <w:vAlign w:val="center"/>
          </w:tcPr>
          <w:p w14:paraId="03DBA583">
            <w:pPr>
              <w:spacing w:line="240" w:lineRule="auto"/>
              <w:jc w:val="center"/>
              <w:textAlignment w:val="baseline"/>
              <w:rPr>
                <w:rFonts w:hint="default" w:ascii="Times New Roman" w:hAnsi="Times New Roman" w:cs="Times New Roman" w:eastAsiaTheme="minorEastAsia"/>
                <w:color w:val="auto"/>
                <w:kern w:val="24"/>
                <w:sz w:val="18"/>
                <w:szCs w:val="18"/>
              </w:rPr>
            </w:pPr>
            <w:r>
              <w:rPr>
                <w:rFonts w:hint="default" w:ascii="Times New Roman" w:hAnsi="Times New Roman" w:cs="Times New Roman" w:eastAsiaTheme="minorEastAsia"/>
                <w:color w:val="auto"/>
                <w:sz w:val="18"/>
                <w:szCs w:val="18"/>
              </w:rPr>
              <w:t>新平鲁奎山铁矿</w:t>
            </w:r>
          </w:p>
        </w:tc>
      </w:tr>
      <w:tr w14:paraId="5183AA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vAlign w:val="center"/>
          </w:tcPr>
          <w:p w14:paraId="32EDECA7">
            <w:pPr>
              <w:spacing w:line="240" w:lineRule="auto"/>
              <w:jc w:val="both"/>
              <w:textAlignment w:val="baseline"/>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生活用水、降尘用水</w:t>
            </w:r>
          </w:p>
        </w:tc>
        <w:tc>
          <w:tcPr>
            <w:tcW w:w="683" w:type="pct"/>
            <w:tcBorders>
              <w:tl2br w:val="nil"/>
              <w:tr2bl w:val="nil"/>
            </w:tcBorders>
            <w:vAlign w:val="center"/>
          </w:tcPr>
          <w:p w14:paraId="51A3A9E4">
            <w:pPr>
              <w:spacing w:line="240" w:lineRule="auto"/>
              <w:jc w:val="center"/>
              <w:textAlignment w:val="baseline"/>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w:t>
            </w:r>
          </w:p>
        </w:tc>
        <w:tc>
          <w:tcPr>
            <w:tcW w:w="912" w:type="pct"/>
            <w:tcBorders>
              <w:tl2br w:val="nil"/>
              <w:tr2bl w:val="nil"/>
            </w:tcBorders>
            <w:vAlign w:val="center"/>
          </w:tcPr>
          <w:p w14:paraId="32755209">
            <w:pPr>
              <w:spacing w:line="240" w:lineRule="auto"/>
              <w:jc w:val="center"/>
              <w:textAlignment w:val="baseline"/>
              <w:rPr>
                <w:rFonts w:hint="default" w:ascii="Times New Roman" w:hAnsi="Times New Roman" w:cs="Times New Roman" w:eastAsiaTheme="minorEastAsia"/>
                <w:kern w:val="24"/>
                <w:sz w:val="18"/>
                <w:szCs w:val="18"/>
              </w:rPr>
            </w:pPr>
            <w:r>
              <w:rPr>
                <w:rFonts w:hint="default" w:ascii="Times New Roman" w:hAnsi="Times New Roman" w:cs="Times New Roman" w:eastAsiaTheme="minorEastAsia"/>
                <w:sz w:val="18"/>
                <w:szCs w:val="18"/>
                <w:lang w:val="en-US" w:eastAsia="zh-CN"/>
              </w:rPr>
              <w:t>/</w:t>
            </w:r>
          </w:p>
        </w:tc>
        <w:tc>
          <w:tcPr>
            <w:tcW w:w="599" w:type="pct"/>
            <w:tcBorders>
              <w:tl2br w:val="nil"/>
              <w:tr2bl w:val="nil"/>
            </w:tcBorders>
            <w:vAlign w:val="center"/>
          </w:tcPr>
          <w:p w14:paraId="0DCF5755">
            <w:pPr>
              <w:spacing w:line="240" w:lineRule="auto"/>
              <w:jc w:val="center"/>
              <w:textAlignment w:val="baseline"/>
              <w:rPr>
                <w:rFonts w:hint="default" w:ascii="Times New Roman" w:hAnsi="Times New Roman" w:cs="Times New Roman" w:eastAsiaTheme="minorEastAsia"/>
                <w:kern w:val="24"/>
                <w:sz w:val="18"/>
                <w:szCs w:val="18"/>
                <w:lang w:val="en-US" w:eastAsia="zh-CN"/>
              </w:rPr>
            </w:pPr>
            <w:r>
              <w:rPr>
                <w:rFonts w:hint="default" w:ascii="Times New Roman" w:hAnsi="Times New Roman" w:cs="Times New Roman" w:eastAsiaTheme="minorEastAsia"/>
                <w:color w:val="auto"/>
                <w:sz w:val="18"/>
                <w:szCs w:val="18"/>
                <w:lang w:val="en-US" w:eastAsia="zh-CN"/>
              </w:rPr>
              <w:t>5334</w:t>
            </w:r>
            <w:r>
              <w:rPr>
                <w:rFonts w:hint="default" w:ascii="Times New Roman" w:hAnsi="Times New Roman" w:cs="Times New Roman" w:eastAsiaTheme="minorEastAsia"/>
                <w:color w:val="auto"/>
                <w:kern w:val="24"/>
                <w:sz w:val="18"/>
                <w:szCs w:val="18"/>
                <w:lang w:val="en-US" w:eastAsia="zh-CN"/>
              </w:rPr>
              <w:t>m³</w:t>
            </w:r>
            <w:r>
              <w:rPr>
                <w:rFonts w:hint="default" w:ascii="Times New Roman" w:hAnsi="Times New Roman" w:cs="Times New Roman" w:eastAsiaTheme="minorEastAsia"/>
                <w:color w:val="auto"/>
                <w:kern w:val="24"/>
                <w:sz w:val="18"/>
                <w:szCs w:val="18"/>
              </w:rPr>
              <w:t>/a</w:t>
            </w:r>
          </w:p>
        </w:tc>
        <w:tc>
          <w:tcPr>
            <w:tcW w:w="433" w:type="pct"/>
            <w:tcBorders>
              <w:tl2br w:val="nil"/>
              <w:tr2bl w:val="nil"/>
            </w:tcBorders>
            <w:vAlign w:val="center"/>
          </w:tcPr>
          <w:p w14:paraId="057924FB">
            <w:pPr>
              <w:spacing w:line="240" w:lineRule="auto"/>
              <w:jc w:val="center"/>
              <w:textAlignment w:val="baseline"/>
              <w:rPr>
                <w:rFonts w:hint="default" w:ascii="Times New Roman" w:hAnsi="Times New Roman" w:cs="Times New Roman" w:eastAsiaTheme="minorEastAsia"/>
                <w:kern w:val="24"/>
                <w:sz w:val="18"/>
                <w:szCs w:val="18"/>
              </w:rPr>
            </w:pPr>
            <w:r>
              <w:rPr>
                <w:rFonts w:hint="default" w:ascii="Times New Roman" w:hAnsi="Times New Roman" w:cs="Times New Roman" w:eastAsiaTheme="minorEastAsia"/>
                <w:sz w:val="18"/>
                <w:szCs w:val="18"/>
                <w:lang w:val="en-US" w:eastAsia="zh-CN"/>
              </w:rPr>
              <w:t>/</w:t>
            </w:r>
          </w:p>
        </w:tc>
        <w:tc>
          <w:tcPr>
            <w:tcW w:w="629" w:type="pct"/>
            <w:tcBorders>
              <w:tl2br w:val="nil"/>
              <w:tr2bl w:val="nil"/>
            </w:tcBorders>
            <w:vAlign w:val="center"/>
          </w:tcPr>
          <w:p w14:paraId="3FA40B37">
            <w:pPr>
              <w:spacing w:line="240" w:lineRule="auto"/>
              <w:jc w:val="center"/>
              <w:textAlignment w:val="baseline"/>
              <w:rPr>
                <w:rFonts w:hint="default" w:ascii="Times New Roman" w:hAnsi="Times New Roman" w:cs="Times New Roman" w:eastAsiaTheme="minorEastAsia"/>
                <w:color w:val="auto"/>
                <w:kern w:val="24"/>
                <w:sz w:val="18"/>
                <w:szCs w:val="18"/>
                <w:lang w:val="en-US" w:eastAsia="zh-CN"/>
              </w:rPr>
            </w:pPr>
            <w:r>
              <w:rPr>
                <w:rFonts w:hint="default" w:ascii="Times New Roman" w:hAnsi="Times New Roman" w:cs="Times New Roman" w:eastAsiaTheme="minorEastAsia"/>
                <w:color w:val="auto"/>
                <w:sz w:val="18"/>
                <w:szCs w:val="18"/>
                <w:lang w:val="en-US" w:eastAsia="zh-CN"/>
              </w:rPr>
              <w:t>/</w:t>
            </w:r>
          </w:p>
        </w:tc>
        <w:tc>
          <w:tcPr>
            <w:tcW w:w="1115" w:type="pct"/>
            <w:tcBorders>
              <w:tl2br w:val="nil"/>
              <w:tr2bl w:val="nil"/>
            </w:tcBorders>
            <w:vAlign w:val="center"/>
          </w:tcPr>
          <w:p w14:paraId="18440C5F">
            <w:pPr>
              <w:spacing w:line="240" w:lineRule="auto"/>
              <w:jc w:val="center"/>
              <w:textAlignment w:val="baseline"/>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kern w:val="24"/>
                <w:sz w:val="18"/>
                <w:szCs w:val="18"/>
                <w:lang w:val="en-US" w:eastAsia="zh-CN"/>
              </w:rPr>
              <w:t>生活用水由矿山东侧的新平鲁电矿业有限公司自走铁矿供给、</w:t>
            </w:r>
            <w:r>
              <w:rPr>
                <w:rFonts w:hint="default" w:ascii="Times New Roman" w:hAnsi="Times New Roman" w:cs="Times New Roman" w:eastAsiaTheme="minorEastAsia"/>
                <w:sz w:val="18"/>
                <w:szCs w:val="18"/>
                <w:lang w:val="en-US" w:eastAsia="zh-CN"/>
              </w:rPr>
              <w:t>降尘用水由</w:t>
            </w:r>
            <w:r>
              <w:rPr>
                <w:rFonts w:hint="default" w:ascii="Times New Roman" w:hAnsi="Times New Roman" w:cs="Times New Roman" w:eastAsiaTheme="minorEastAsia"/>
                <w:color w:val="auto"/>
                <w:kern w:val="24"/>
                <w:sz w:val="18"/>
                <w:szCs w:val="18"/>
                <w:lang w:val="en-US" w:eastAsia="zh-CN"/>
              </w:rPr>
              <w:t>矿山</w:t>
            </w:r>
            <w:r>
              <w:rPr>
                <w:rFonts w:hint="default" w:ascii="Times New Roman" w:hAnsi="Times New Roman" w:cs="Times New Roman" w:eastAsiaTheme="minorEastAsia"/>
                <w:color w:val="auto"/>
                <w:kern w:val="24"/>
                <w:sz w:val="18"/>
                <w:szCs w:val="18"/>
              </w:rPr>
              <w:t>经处理后的矿井涌水</w:t>
            </w:r>
            <w:r>
              <w:rPr>
                <w:rFonts w:hint="default" w:ascii="Times New Roman" w:hAnsi="Times New Roman" w:cs="Times New Roman" w:eastAsiaTheme="minorEastAsia"/>
                <w:color w:val="auto"/>
                <w:kern w:val="24"/>
                <w:sz w:val="18"/>
                <w:szCs w:val="18"/>
                <w:lang w:val="en-US" w:eastAsia="zh-CN"/>
              </w:rPr>
              <w:t>供给</w:t>
            </w:r>
          </w:p>
        </w:tc>
      </w:tr>
      <w:tr w14:paraId="1DA6EA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vAlign w:val="center"/>
          </w:tcPr>
          <w:p w14:paraId="5FB5CD8A">
            <w:pPr>
              <w:spacing w:line="240" w:lineRule="auto"/>
              <w:jc w:val="center"/>
              <w:textAlignment w:val="baseline"/>
              <w:rPr>
                <w:rFonts w:hint="default" w:ascii="Times New Roman" w:hAnsi="Times New Roman" w:cs="Times New Roman" w:eastAsiaTheme="minorEastAsia"/>
                <w:sz w:val="18"/>
                <w:szCs w:val="18"/>
              </w:rPr>
            </w:pPr>
            <w:r>
              <w:rPr>
                <w:rFonts w:hint="default" w:ascii="Times New Roman" w:hAnsi="Times New Roman" w:cs="Times New Roman" w:eastAsiaTheme="minorEastAsia"/>
                <w:kern w:val="24"/>
                <w:sz w:val="18"/>
                <w:szCs w:val="18"/>
              </w:rPr>
              <w:t>电量</w:t>
            </w:r>
          </w:p>
        </w:tc>
        <w:tc>
          <w:tcPr>
            <w:tcW w:w="683" w:type="pct"/>
            <w:tcBorders>
              <w:tl2br w:val="nil"/>
              <w:tr2bl w:val="nil"/>
            </w:tcBorders>
            <w:vAlign w:val="center"/>
          </w:tcPr>
          <w:p w14:paraId="6CF773F4">
            <w:pPr>
              <w:spacing w:line="240" w:lineRule="auto"/>
              <w:jc w:val="center"/>
              <w:textAlignment w:val="baseline"/>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lang w:val="en-US" w:eastAsia="zh-CN"/>
              </w:rPr>
              <w:t>/</w:t>
            </w:r>
          </w:p>
        </w:tc>
        <w:tc>
          <w:tcPr>
            <w:tcW w:w="912" w:type="pct"/>
            <w:tcBorders>
              <w:tl2br w:val="nil"/>
              <w:tr2bl w:val="nil"/>
            </w:tcBorders>
            <w:vAlign w:val="center"/>
          </w:tcPr>
          <w:p w14:paraId="2E131C4B">
            <w:pPr>
              <w:spacing w:line="240" w:lineRule="auto"/>
              <w:jc w:val="center"/>
              <w:textAlignment w:val="baseline"/>
              <w:rPr>
                <w:rFonts w:hint="default" w:ascii="Times New Roman" w:hAnsi="Times New Roman" w:cs="Times New Roman" w:eastAsiaTheme="minorEastAsia"/>
                <w:kern w:val="24"/>
                <w:sz w:val="18"/>
                <w:szCs w:val="18"/>
              </w:rPr>
            </w:pPr>
            <w:r>
              <w:rPr>
                <w:rFonts w:hint="default" w:ascii="Times New Roman" w:hAnsi="Times New Roman" w:cs="Times New Roman" w:eastAsiaTheme="minorEastAsia"/>
                <w:sz w:val="18"/>
                <w:szCs w:val="18"/>
                <w:lang w:val="en-US" w:eastAsia="zh-CN"/>
              </w:rPr>
              <w:t>/</w:t>
            </w:r>
          </w:p>
        </w:tc>
        <w:tc>
          <w:tcPr>
            <w:tcW w:w="599" w:type="pct"/>
            <w:tcBorders>
              <w:tl2br w:val="nil"/>
              <w:tr2bl w:val="nil"/>
            </w:tcBorders>
            <w:vAlign w:val="center"/>
          </w:tcPr>
          <w:p w14:paraId="4634118C">
            <w:pPr>
              <w:spacing w:line="240" w:lineRule="auto"/>
              <w:jc w:val="center"/>
              <w:textAlignment w:val="baseline"/>
              <w:rPr>
                <w:rFonts w:hint="default" w:ascii="Times New Roman" w:hAnsi="Times New Roman" w:cs="Times New Roman" w:eastAsiaTheme="minorEastAsia"/>
                <w:kern w:val="24"/>
                <w:sz w:val="18"/>
                <w:szCs w:val="18"/>
                <w:lang w:val="en-US" w:eastAsia="zh-CN"/>
              </w:rPr>
            </w:pPr>
            <w:r>
              <w:rPr>
                <w:rFonts w:hint="default" w:ascii="Times New Roman" w:hAnsi="Times New Roman" w:cs="Times New Roman"/>
                <w:color w:val="auto"/>
                <w:sz w:val="18"/>
                <w:szCs w:val="18"/>
                <w:highlight w:val="none"/>
                <w:vertAlign w:val="baseline"/>
                <w:lang w:val="en-US" w:eastAsia="zh-CN"/>
              </w:rPr>
              <w:t>30</w:t>
            </w:r>
            <w:r>
              <w:rPr>
                <w:rFonts w:hint="default" w:ascii="Times New Roman" w:hAnsi="Times New Roman" w:eastAsia="宋体" w:cs="Times New Roman"/>
                <w:color w:val="auto"/>
                <w:sz w:val="18"/>
                <w:szCs w:val="18"/>
                <w:highlight w:val="none"/>
              </w:rPr>
              <w:t>万</w:t>
            </w:r>
            <w:r>
              <w:rPr>
                <w:rFonts w:hint="default" w:ascii="Times New Roman" w:hAnsi="Times New Roman" w:cs="Times New Roman"/>
                <w:color w:val="auto"/>
                <w:sz w:val="18"/>
                <w:szCs w:val="18"/>
                <w:highlight w:val="none"/>
                <w:lang w:eastAsia="zh-CN"/>
              </w:rPr>
              <w:t>kW</w:t>
            </w:r>
            <w:r>
              <w:rPr>
                <w:rFonts w:hint="default" w:ascii="Times New Roman" w:hAnsi="Times New Roman" w:eastAsia="宋体" w:cs="Times New Roman"/>
                <w:color w:val="auto"/>
                <w:sz w:val="18"/>
                <w:szCs w:val="18"/>
                <w:highlight w:val="none"/>
              </w:rPr>
              <w:t>h/a</w:t>
            </w:r>
          </w:p>
        </w:tc>
        <w:tc>
          <w:tcPr>
            <w:tcW w:w="433" w:type="pct"/>
            <w:tcBorders>
              <w:tl2br w:val="nil"/>
              <w:tr2bl w:val="nil"/>
            </w:tcBorders>
            <w:vAlign w:val="center"/>
          </w:tcPr>
          <w:p w14:paraId="41126E89">
            <w:pPr>
              <w:spacing w:line="240" w:lineRule="auto"/>
              <w:jc w:val="center"/>
              <w:textAlignment w:val="baseline"/>
              <w:rPr>
                <w:rFonts w:hint="default" w:ascii="Times New Roman" w:hAnsi="Times New Roman" w:cs="Times New Roman" w:eastAsiaTheme="minorEastAsia"/>
                <w:kern w:val="24"/>
                <w:sz w:val="18"/>
                <w:szCs w:val="18"/>
              </w:rPr>
            </w:pPr>
            <w:r>
              <w:rPr>
                <w:rFonts w:hint="default" w:ascii="Times New Roman" w:hAnsi="Times New Roman" w:cs="Times New Roman" w:eastAsiaTheme="minorEastAsia"/>
                <w:sz w:val="18"/>
                <w:szCs w:val="18"/>
                <w:lang w:val="en-US" w:eastAsia="zh-CN"/>
              </w:rPr>
              <w:t>/</w:t>
            </w:r>
          </w:p>
        </w:tc>
        <w:tc>
          <w:tcPr>
            <w:tcW w:w="629" w:type="pct"/>
            <w:tcBorders>
              <w:tl2br w:val="nil"/>
              <w:tr2bl w:val="nil"/>
            </w:tcBorders>
            <w:vAlign w:val="center"/>
          </w:tcPr>
          <w:p w14:paraId="2F0E01A1">
            <w:pPr>
              <w:spacing w:line="240" w:lineRule="auto"/>
              <w:jc w:val="center"/>
              <w:textAlignment w:val="baseline"/>
              <w:rPr>
                <w:rFonts w:hint="default" w:ascii="Times New Roman" w:hAnsi="Times New Roman" w:cs="Times New Roman" w:eastAsiaTheme="minorEastAsia"/>
                <w:color w:val="auto"/>
                <w:kern w:val="24"/>
                <w:sz w:val="18"/>
                <w:szCs w:val="18"/>
                <w:lang w:val="en-US" w:eastAsia="zh-CN"/>
              </w:rPr>
            </w:pPr>
            <w:r>
              <w:rPr>
                <w:rFonts w:hint="default" w:ascii="Times New Roman" w:hAnsi="Times New Roman" w:cs="Times New Roman" w:eastAsiaTheme="minorEastAsia"/>
                <w:color w:val="auto"/>
                <w:sz w:val="18"/>
                <w:szCs w:val="18"/>
                <w:lang w:val="en-US" w:eastAsia="zh-CN"/>
              </w:rPr>
              <w:t>/</w:t>
            </w:r>
          </w:p>
        </w:tc>
        <w:tc>
          <w:tcPr>
            <w:tcW w:w="1115" w:type="pct"/>
            <w:tcBorders>
              <w:tl2br w:val="nil"/>
              <w:tr2bl w:val="nil"/>
            </w:tcBorders>
            <w:vAlign w:val="center"/>
          </w:tcPr>
          <w:p w14:paraId="52B89B17">
            <w:pPr>
              <w:spacing w:line="240" w:lineRule="auto"/>
              <w:jc w:val="center"/>
              <w:textAlignment w:val="baseline"/>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4"/>
                <w:sz w:val="18"/>
                <w:szCs w:val="18"/>
              </w:rPr>
              <w:t>市政电网</w:t>
            </w:r>
          </w:p>
        </w:tc>
      </w:tr>
      <w:bookmarkEnd w:id="249"/>
    </w:tbl>
    <w:p w14:paraId="4A41D655">
      <w:pPr>
        <w:pStyle w:val="17"/>
        <w:keepNext w:val="0"/>
        <w:keepLines w:val="0"/>
        <w:pageBreakBefore w:val="0"/>
        <w:widowControl w:val="0"/>
        <w:kinsoku/>
        <w:wordWrap/>
        <w:overflowPunct/>
        <w:topLinePunct w:val="0"/>
        <w:autoSpaceDE/>
        <w:autoSpaceDN/>
        <w:bidi w:val="0"/>
        <w:adjustRightInd/>
        <w:snapToGrid/>
        <w:spacing w:beforeLines="0" w:line="360" w:lineRule="auto"/>
        <w:ind w:firstLine="480" w:firstLineChars="200"/>
        <w:jc w:val="both"/>
        <w:textAlignment w:val="auto"/>
        <w:rPr>
          <w:rFonts w:hint="default" w:ascii="Times New Roman" w:hAnsi="Times New Roman" w:eastAsia="宋体" w:cs="Times New Roman"/>
          <w:bCs w:val="0"/>
          <w:color w:val="auto"/>
          <w:kern w:val="2"/>
          <w:sz w:val="24"/>
          <w:szCs w:val="22"/>
          <w:highlight w:val="none"/>
          <w:lang w:val="en-US" w:eastAsia="zh-CN" w:bidi="ar-SA"/>
        </w:rPr>
      </w:pPr>
      <w:r>
        <w:rPr>
          <w:rFonts w:hint="default" w:ascii="Times New Roman" w:hAnsi="Times New Roman" w:cs="Times New Roman"/>
          <w:bCs w:val="0"/>
          <w:color w:val="auto"/>
          <w:kern w:val="2"/>
          <w:sz w:val="24"/>
          <w:szCs w:val="22"/>
          <w:highlight w:val="none"/>
          <w:lang w:val="en-US" w:eastAsia="zh-CN" w:bidi="ar-SA"/>
        </w:rPr>
        <w:t>根据建设单位提供资料</w:t>
      </w:r>
      <w:r>
        <w:rPr>
          <w:rFonts w:hint="default" w:ascii="Times New Roman" w:hAnsi="Times New Roman" w:eastAsia="宋体" w:cs="Times New Roman"/>
          <w:bCs w:val="0"/>
          <w:color w:val="auto"/>
          <w:kern w:val="2"/>
          <w:sz w:val="24"/>
          <w:szCs w:val="22"/>
          <w:highlight w:val="none"/>
          <w:lang w:val="en-US" w:eastAsia="zh-CN" w:bidi="ar-SA"/>
        </w:rPr>
        <w:t>，</w:t>
      </w:r>
      <w:r>
        <w:rPr>
          <w:rFonts w:hint="default" w:ascii="Times New Roman" w:hAnsi="Times New Roman" w:cs="Times New Roman"/>
          <w:bCs w:val="0"/>
          <w:color w:val="auto"/>
          <w:kern w:val="2"/>
          <w:sz w:val="24"/>
          <w:szCs w:val="22"/>
          <w:highlight w:val="none"/>
          <w:lang w:val="en-US" w:eastAsia="zh-CN" w:bidi="ar-SA"/>
        </w:rPr>
        <w:t>鲁奎山铁矿低品位磁</w:t>
      </w:r>
      <w:r>
        <w:rPr>
          <w:rFonts w:hint="default" w:ascii="Times New Roman" w:hAnsi="Times New Roman" w:eastAsia="宋体" w:cs="Times New Roman"/>
          <w:bCs w:val="0"/>
          <w:color w:val="auto"/>
          <w:kern w:val="2"/>
          <w:sz w:val="24"/>
          <w:szCs w:val="22"/>
          <w:highlight w:val="none"/>
          <w:lang w:val="en-US" w:eastAsia="zh-CN" w:bidi="ar-SA"/>
        </w:rPr>
        <w:t>铁矿成分具体如下：</w:t>
      </w:r>
    </w:p>
    <w:p w14:paraId="4A93CFB7">
      <w:pPr>
        <w:spacing w:line="360" w:lineRule="auto"/>
        <w:ind w:firstLine="420" w:firstLineChars="200"/>
        <w:jc w:val="center"/>
        <w:rPr>
          <w:rFonts w:hint="default" w:ascii="Times New Roman" w:hAnsi="Times New Roman" w:eastAsia="黑体" w:cs="Times New Roman"/>
          <w:bCs/>
          <w:color w:val="auto"/>
          <w:kern w:val="0"/>
          <w:sz w:val="21"/>
          <w:szCs w:val="21"/>
          <w:highlight w:val="none"/>
          <w:lang w:val="en-US" w:eastAsia="zh-CN" w:bidi="ar-SA"/>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3.2.6</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Cs/>
          <w:color w:val="auto"/>
          <w:kern w:val="0"/>
          <w:sz w:val="21"/>
          <w:szCs w:val="21"/>
          <w:highlight w:val="none"/>
          <w:lang w:val="en-US" w:eastAsia="zh-CN" w:bidi="ar-SA"/>
        </w:rPr>
        <w:t xml:space="preserve">  原矿主要成分一览表（%）</w:t>
      </w:r>
    </w:p>
    <w:tbl>
      <w:tblPr>
        <w:tblStyle w:val="29"/>
        <w:tblW w:w="4993"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61"/>
        <w:gridCol w:w="540"/>
        <w:gridCol w:w="545"/>
        <w:gridCol w:w="545"/>
        <w:gridCol w:w="545"/>
        <w:gridCol w:w="545"/>
        <w:gridCol w:w="545"/>
        <w:gridCol w:w="545"/>
        <w:gridCol w:w="545"/>
        <w:gridCol w:w="545"/>
        <w:gridCol w:w="545"/>
        <w:gridCol w:w="561"/>
        <w:gridCol w:w="500"/>
        <w:gridCol w:w="522"/>
        <w:gridCol w:w="547"/>
        <w:gridCol w:w="524"/>
        <w:gridCol w:w="513"/>
      </w:tblGrid>
      <w:tr w14:paraId="70DCC1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356" w:type="pct"/>
            <w:tcBorders>
              <w:tl2br w:val="nil"/>
              <w:tr2bl w:val="nil"/>
            </w:tcBorders>
            <w:shd w:val="clear" w:color="auto" w:fill="auto"/>
            <w:noWrap/>
            <w:vAlign w:val="center"/>
          </w:tcPr>
          <w:p w14:paraId="576823FF">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名称</w:t>
            </w:r>
          </w:p>
        </w:tc>
        <w:tc>
          <w:tcPr>
            <w:tcW w:w="291" w:type="pct"/>
            <w:tcBorders>
              <w:tl2br w:val="nil"/>
              <w:tr2bl w:val="nil"/>
            </w:tcBorders>
            <w:shd w:val="clear" w:color="auto" w:fill="auto"/>
            <w:noWrap/>
            <w:vAlign w:val="center"/>
          </w:tcPr>
          <w:p w14:paraId="5E89D0B3">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Fe</w:t>
            </w:r>
          </w:p>
        </w:tc>
        <w:tc>
          <w:tcPr>
            <w:tcW w:w="293" w:type="pct"/>
            <w:tcBorders>
              <w:tl2br w:val="nil"/>
              <w:tr2bl w:val="nil"/>
            </w:tcBorders>
            <w:shd w:val="clear" w:color="auto" w:fill="auto"/>
            <w:noWrap/>
            <w:vAlign w:val="center"/>
          </w:tcPr>
          <w:p w14:paraId="73BAC98E">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SiO</w:t>
            </w:r>
            <w:r>
              <w:rPr>
                <w:rFonts w:hint="default" w:ascii="Times New Roman" w:hAnsi="Times New Roman" w:eastAsia="宋体" w:cs="Times New Roman"/>
                <w:i w:val="0"/>
                <w:iCs w:val="0"/>
                <w:color w:val="auto"/>
                <w:kern w:val="0"/>
                <w:sz w:val="13"/>
                <w:szCs w:val="13"/>
                <w:u w:val="none"/>
                <w:vertAlign w:val="subscript"/>
                <w:lang w:val="en-US" w:eastAsia="zh-CN" w:bidi="ar"/>
              </w:rPr>
              <w:t>2</w:t>
            </w:r>
          </w:p>
        </w:tc>
        <w:tc>
          <w:tcPr>
            <w:tcW w:w="293" w:type="pct"/>
            <w:tcBorders>
              <w:tl2br w:val="nil"/>
              <w:tr2bl w:val="nil"/>
            </w:tcBorders>
            <w:shd w:val="clear" w:color="auto" w:fill="auto"/>
            <w:noWrap/>
            <w:vAlign w:val="center"/>
          </w:tcPr>
          <w:p w14:paraId="64AFA1DF">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P</w:t>
            </w:r>
          </w:p>
        </w:tc>
        <w:tc>
          <w:tcPr>
            <w:tcW w:w="293" w:type="pct"/>
            <w:tcBorders>
              <w:tl2br w:val="nil"/>
              <w:tr2bl w:val="nil"/>
            </w:tcBorders>
            <w:shd w:val="clear" w:color="auto" w:fill="auto"/>
            <w:noWrap/>
            <w:vAlign w:val="center"/>
          </w:tcPr>
          <w:p w14:paraId="2892FE7B">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S</w:t>
            </w:r>
          </w:p>
        </w:tc>
        <w:tc>
          <w:tcPr>
            <w:tcW w:w="293" w:type="pct"/>
            <w:tcBorders>
              <w:tl2br w:val="nil"/>
              <w:tr2bl w:val="nil"/>
            </w:tcBorders>
            <w:shd w:val="clear" w:color="auto" w:fill="auto"/>
            <w:noWrap/>
            <w:vAlign w:val="center"/>
          </w:tcPr>
          <w:p w14:paraId="19B804CB">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As</w:t>
            </w:r>
          </w:p>
        </w:tc>
        <w:tc>
          <w:tcPr>
            <w:tcW w:w="293" w:type="pct"/>
            <w:tcBorders>
              <w:tl2br w:val="nil"/>
              <w:tr2bl w:val="nil"/>
            </w:tcBorders>
            <w:shd w:val="clear" w:color="auto" w:fill="auto"/>
            <w:noWrap/>
            <w:vAlign w:val="center"/>
          </w:tcPr>
          <w:p w14:paraId="68E89948">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Pb</w:t>
            </w:r>
          </w:p>
        </w:tc>
        <w:tc>
          <w:tcPr>
            <w:tcW w:w="293" w:type="pct"/>
            <w:tcBorders>
              <w:tl2br w:val="nil"/>
              <w:tr2bl w:val="nil"/>
            </w:tcBorders>
            <w:shd w:val="clear" w:color="auto" w:fill="auto"/>
            <w:noWrap/>
            <w:vAlign w:val="center"/>
          </w:tcPr>
          <w:p w14:paraId="75A0F8AA">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Zn</w:t>
            </w:r>
          </w:p>
        </w:tc>
        <w:tc>
          <w:tcPr>
            <w:tcW w:w="293" w:type="pct"/>
            <w:tcBorders>
              <w:tl2br w:val="nil"/>
              <w:tr2bl w:val="nil"/>
            </w:tcBorders>
            <w:shd w:val="clear" w:color="auto" w:fill="auto"/>
            <w:noWrap/>
            <w:vAlign w:val="center"/>
          </w:tcPr>
          <w:p w14:paraId="4984A6F0">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K</w:t>
            </w:r>
            <w:r>
              <w:rPr>
                <w:rFonts w:hint="default" w:ascii="Times New Roman" w:hAnsi="Times New Roman" w:eastAsia="宋体" w:cs="Times New Roman"/>
                <w:i w:val="0"/>
                <w:iCs w:val="0"/>
                <w:color w:val="auto"/>
                <w:kern w:val="0"/>
                <w:sz w:val="13"/>
                <w:szCs w:val="13"/>
                <w:u w:val="none"/>
                <w:vertAlign w:val="subscript"/>
                <w:lang w:val="en-US" w:eastAsia="zh-CN" w:bidi="ar"/>
              </w:rPr>
              <w:t>2</w:t>
            </w:r>
            <w:r>
              <w:rPr>
                <w:rFonts w:hint="default" w:ascii="Times New Roman" w:hAnsi="Times New Roman" w:eastAsia="宋体" w:cs="Times New Roman"/>
                <w:i w:val="0"/>
                <w:iCs w:val="0"/>
                <w:color w:val="auto"/>
                <w:kern w:val="0"/>
                <w:sz w:val="13"/>
                <w:szCs w:val="13"/>
                <w:u w:val="none"/>
                <w:lang w:val="en-US" w:eastAsia="zh-CN" w:bidi="ar"/>
              </w:rPr>
              <w:t>O</w:t>
            </w:r>
          </w:p>
        </w:tc>
        <w:tc>
          <w:tcPr>
            <w:tcW w:w="293" w:type="pct"/>
            <w:tcBorders>
              <w:tl2br w:val="nil"/>
              <w:tr2bl w:val="nil"/>
            </w:tcBorders>
            <w:shd w:val="clear" w:color="auto" w:fill="auto"/>
            <w:noWrap/>
            <w:vAlign w:val="center"/>
          </w:tcPr>
          <w:p w14:paraId="5D5BF80F">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Na</w:t>
            </w:r>
            <w:r>
              <w:rPr>
                <w:rFonts w:hint="default" w:ascii="Times New Roman" w:hAnsi="Times New Roman" w:cs="Times New Roman"/>
                <w:i w:val="0"/>
                <w:iCs w:val="0"/>
                <w:color w:val="auto"/>
                <w:kern w:val="0"/>
                <w:sz w:val="13"/>
                <w:szCs w:val="13"/>
                <w:u w:val="none"/>
                <w:vertAlign w:val="subscript"/>
                <w:lang w:val="en-US" w:eastAsia="zh-CN" w:bidi="ar"/>
              </w:rPr>
              <w:t>2</w:t>
            </w:r>
            <w:r>
              <w:rPr>
                <w:rFonts w:hint="default" w:ascii="Times New Roman" w:hAnsi="Times New Roman" w:eastAsia="宋体" w:cs="Times New Roman"/>
                <w:i w:val="0"/>
                <w:iCs w:val="0"/>
                <w:color w:val="auto"/>
                <w:kern w:val="0"/>
                <w:sz w:val="13"/>
                <w:szCs w:val="13"/>
                <w:u w:val="none"/>
                <w:lang w:val="en-US" w:eastAsia="zh-CN" w:bidi="ar"/>
              </w:rPr>
              <w:t>O</w:t>
            </w:r>
          </w:p>
        </w:tc>
        <w:tc>
          <w:tcPr>
            <w:tcW w:w="293" w:type="pct"/>
            <w:tcBorders>
              <w:tl2br w:val="nil"/>
              <w:tr2bl w:val="nil"/>
            </w:tcBorders>
            <w:shd w:val="clear" w:color="auto" w:fill="auto"/>
            <w:noWrap/>
            <w:vAlign w:val="center"/>
          </w:tcPr>
          <w:p w14:paraId="1784125F">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Cu</w:t>
            </w:r>
          </w:p>
        </w:tc>
        <w:tc>
          <w:tcPr>
            <w:tcW w:w="302" w:type="pct"/>
            <w:tcBorders>
              <w:tl2br w:val="nil"/>
              <w:tr2bl w:val="nil"/>
            </w:tcBorders>
            <w:shd w:val="clear" w:color="auto" w:fill="auto"/>
            <w:noWrap/>
            <w:vAlign w:val="center"/>
          </w:tcPr>
          <w:p w14:paraId="3FDF7D1B">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Al</w:t>
            </w:r>
            <w:r>
              <w:rPr>
                <w:rFonts w:hint="default" w:ascii="Times New Roman" w:hAnsi="Times New Roman" w:eastAsia="宋体" w:cs="Times New Roman"/>
                <w:i w:val="0"/>
                <w:iCs w:val="0"/>
                <w:color w:val="auto"/>
                <w:kern w:val="0"/>
                <w:sz w:val="13"/>
                <w:szCs w:val="13"/>
                <w:u w:val="none"/>
                <w:vertAlign w:val="subscript"/>
                <w:lang w:val="en-US" w:eastAsia="zh-CN" w:bidi="ar"/>
              </w:rPr>
              <w:t>2</w:t>
            </w:r>
            <w:r>
              <w:rPr>
                <w:rFonts w:hint="default" w:ascii="Times New Roman" w:hAnsi="Times New Roman" w:eastAsia="宋体" w:cs="Times New Roman"/>
                <w:i w:val="0"/>
                <w:iCs w:val="0"/>
                <w:color w:val="auto"/>
                <w:kern w:val="0"/>
                <w:sz w:val="13"/>
                <w:szCs w:val="13"/>
                <w:u w:val="none"/>
                <w:lang w:val="en-US" w:eastAsia="zh-CN" w:bidi="ar"/>
              </w:rPr>
              <w:t>O</w:t>
            </w:r>
            <w:r>
              <w:rPr>
                <w:rFonts w:hint="default" w:ascii="Times New Roman" w:hAnsi="Times New Roman" w:eastAsia="宋体" w:cs="Times New Roman"/>
                <w:i w:val="0"/>
                <w:iCs w:val="0"/>
                <w:color w:val="auto"/>
                <w:kern w:val="0"/>
                <w:sz w:val="13"/>
                <w:szCs w:val="13"/>
                <w:u w:val="none"/>
                <w:vertAlign w:val="subscript"/>
                <w:lang w:val="en-US" w:eastAsia="zh-CN" w:bidi="ar"/>
              </w:rPr>
              <w:t>3</w:t>
            </w:r>
          </w:p>
        </w:tc>
        <w:tc>
          <w:tcPr>
            <w:tcW w:w="269" w:type="pct"/>
            <w:tcBorders>
              <w:tl2br w:val="nil"/>
              <w:tr2bl w:val="nil"/>
            </w:tcBorders>
            <w:shd w:val="clear" w:color="auto" w:fill="auto"/>
            <w:noWrap/>
            <w:vAlign w:val="center"/>
          </w:tcPr>
          <w:p w14:paraId="22314C06">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TiO</w:t>
            </w:r>
            <w:r>
              <w:rPr>
                <w:rFonts w:hint="default" w:ascii="Times New Roman" w:hAnsi="Times New Roman" w:eastAsia="宋体" w:cs="Times New Roman"/>
                <w:i w:val="0"/>
                <w:iCs w:val="0"/>
                <w:color w:val="auto"/>
                <w:kern w:val="0"/>
                <w:sz w:val="13"/>
                <w:szCs w:val="13"/>
                <w:u w:val="none"/>
                <w:vertAlign w:val="subscript"/>
                <w:lang w:val="en-US" w:eastAsia="zh-CN" w:bidi="ar"/>
              </w:rPr>
              <w:t>2</w:t>
            </w:r>
          </w:p>
        </w:tc>
        <w:tc>
          <w:tcPr>
            <w:tcW w:w="281" w:type="pct"/>
            <w:tcBorders>
              <w:tl2br w:val="nil"/>
              <w:tr2bl w:val="nil"/>
            </w:tcBorders>
            <w:shd w:val="clear" w:color="auto" w:fill="auto"/>
            <w:noWrap/>
            <w:vAlign w:val="center"/>
          </w:tcPr>
          <w:p w14:paraId="37ED2666">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rPr>
            </w:pPr>
            <w:r>
              <w:rPr>
                <w:rFonts w:hint="default" w:ascii="Times New Roman" w:hAnsi="Times New Roman" w:eastAsia="宋体" w:cs="Times New Roman"/>
                <w:i w:val="0"/>
                <w:iCs w:val="0"/>
                <w:color w:val="auto"/>
                <w:kern w:val="0"/>
                <w:sz w:val="13"/>
                <w:szCs w:val="13"/>
                <w:u w:val="none"/>
                <w:lang w:val="en-US" w:eastAsia="zh-CN" w:bidi="ar"/>
              </w:rPr>
              <w:t>Mn</w:t>
            </w:r>
            <w:r>
              <w:rPr>
                <w:rFonts w:hint="default" w:ascii="Times New Roman" w:hAnsi="Times New Roman" w:cs="Times New Roman"/>
                <w:i w:val="0"/>
                <w:iCs w:val="0"/>
                <w:color w:val="auto"/>
                <w:kern w:val="0"/>
                <w:sz w:val="13"/>
                <w:szCs w:val="13"/>
                <w:u w:val="none"/>
                <w:lang w:val="en-US" w:eastAsia="zh-CN" w:bidi="ar"/>
              </w:rPr>
              <w:t>O</w:t>
            </w:r>
          </w:p>
        </w:tc>
        <w:tc>
          <w:tcPr>
            <w:tcW w:w="294" w:type="pct"/>
            <w:tcBorders>
              <w:tl2br w:val="nil"/>
              <w:tr2bl w:val="nil"/>
            </w:tcBorders>
            <w:shd w:val="clear" w:color="auto" w:fill="auto"/>
            <w:noWrap/>
            <w:vAlign w:val="center"/>
          </w:tcPr>
          <w:p w14:paraId="0888B26F">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C</w:t>
            </w:r>
            <w:r>
              <w:rPr>
                <w:rFonts w:hint="default" w:ascii="Times New Roman" w:hAnsi="Times New Roman" w:cs="Times New Roman"/>
                <w:i w:val="0"/>
                <w:iCs w:val="0"/>
                <w:color w:val="auto"/>
                <w:kern w:val="0"/>
                <w:sz w:val="13"/>
                <w:szCs w:val="13"/>
                <w:u w:val="none"/>
                <w:lang w:val="en-US" w:eastAsia="zh-CN" w:bidi="ar"/>
              </w:rPr>
              <w:t>a</w:t>
            </w:r>
            <w:r>
              <w:rPr>
                <w:rFonts w:hint="default" w:ascii="Times New Roman" w:hAnsi="Times New Roman" w:eastAsia="宋体" w:cs="Times New Roman"/>
                <w:i w:val="0"/>
                <w:iCs w:val="0"/>
                <w:color w:val="auto"/>
                <w:kern w:val="0"/>
                <w:sz w:val="13"/>
                <w:szCs w:val="13"/>
                <w:u w:val="none"/>
                <w:lang w:val="en-US" w:eastAsia="zh-CN" w:bidi="ar"/>
              </w:rPr>
              <w:t>O</w:t>
            </w:r>
          </w:p>
        </w:tc>
        <w:tc>
          <w:tcPr>
            <w:tcW w:w="282" w:type="pct"/>
            <w:tcBorders>
              <w:tl2br w:val="nil"/>
              <w:tr2bl w:val="nil"/>
            </w:tcBorders>
            <w:shd w:val="clear" w:color="auto" w:fill="auto"/>
            <w:noWrap/>
            <w:vAlign w:val="center"/>
          </w:tcPr>
          <w:p w14:paraId="05AFD485">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rPr>
            </w:pPr>
            <w:r>
              <w:rPr>
                <w:rFonts w:hint="default" w:ascii="Times New Roman" w:hAnsi="Times New Roman" w:eastAsia="宋体" w:cs="Times New Roman"/>
                <w:i w:val="0"/>
                <w:iCs w:val="0"/>
                <w:color w:val="auto"/>
                <w:kern w:val="0"/>
                <w:sz w:val="13"/>
                <w:szCs w:val="13"/>
                <w:u w:val="none"/>
                <w:lang w:val="en-US" w:eastAsia="zh-CN" w:bidi="ar"/>
              </w:rPr>
              <w:t>MgO</w:t>
            </w:r>
          </w:p>
        </w:tc>
        <w:tc>
          <w:tcPr>
            <w:tcW w:w="276" w:type="pct"/>
            <w:tcBorders>
              <w:tl2br w:val="nil"/>
              <w:tr2bl w:val="nil"/>
            </w:tcBorders>
            <w:shd w:val="clear" w:color="auto" w:fill="auto"/>
            <w:noWrap/>
            <w:vAlign w:val="center"/>
          </w:tcPr>
          <w:p w14:paraId="37E217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3"/>
                <w:szCs w:val="13"/>
                <w:u w:val="none"/>
                <w:lang w:val="en-US" w:eastAsia="zh-CN" w:bidi="ar"/>
              </w:rPr>
            </w:pPr>
            <w:r>
              <w:rPr>
                <w:rFonts w:hint="default" w:ascii="Times New Roman" w:hAnsi="Times New Roman" w:eastAsia="宋体" w:cs="Times New Roman"/>
                <w:i w:val="0"/>
                <w:iCs w:val="0"/>
                <w:color w:val="auto"/>
                <w:kern w:val="0"/>
                <w:sz w:val="13"/>
                <w:szCs w:val="13"/>
                <w:u w:val="none"/>
                <w:lang w:val="en-US" w:eastAsia="zh-CN" w:bidi="ar"/>
              </w:rPr>
              <w:t>H</w:t>
            </w:r>
            <w:r>
              <w:rPr>
                <w:rFonts w:hint="default" w:ascii="Times New Roman" w:hAnsi="Times New Roman" w:eastAsia="宋体" w:cs="Times New Roman"/>
                <w:i w:val="0"/>
                <w:iCs w:val="0"/>
                <w:color w:val="auto"/>
                <w:kern w:val="0"/>
                <w:sz w:val="13"/>
                <w:szCs w:val="13"/>
                <w:u w:val="none"/>
                <w:vertAlign w:val="subscript"/>
                <w:lang w:val="en-US" w:eastAsia="zh-CN" w:bidi="ar"/>
              </w:rPr>
              <w:t>2</w:t>
            </w:r>
            <w:r>
              <w:rPr>
                <w:rFonts w:hint="default" w:ascii="Times New Roman" w:hAnsi="Times New Roman" w:eastAsia="宋体" w:cs="Times New Roman"/>
                <w:i w:val="0"/>
                <w:iCs w:val="0"/>
                <w:color w:val="auto"/>
                <w:kern w:val="0"/>
                <w:sz w:val="13"/>
                <w:szCs w:val="13"/>
                <w:u w:val="none"/>
                <w:lang w:val="en-US" w:eastAsia="zh-CN" w:bidi="ar"/>
              </w:rPr>
              <w:t>O</w:t>
            </w:r>
          </w:p>
        </w:tc>
      </w:tr>
      <w:tr w14:paraId="0CB13C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56" w:type="pct"/>
            <w:tcBorders>
              <w:tl2br w:val="nil"/>
              <w:tr2bl w:val="nil"/>
            </w:tcBorders>
            <w:shd w:val="clear" w:color="auto" w:fill="auto"/>
            <w:noWrap/>
            <w:vAlign w:val="center"/>
          </w:tcPr>
          <w:p w14:paraId="01DF275E">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rPr>
            </w:pPr>
            <w:r>
              <w:rPr>
                <w:rFonts w:hint="default" w:ascii="Times New Roman" w:hAnsi="Times New Roman" w:eastAsia="宋体" w:cs="Times New Roman"/>
                <w:i w:val="0"/>
                <w:iCs w:val="0"/>
                <w:color w:val="auto"/>
                <w:kern w:val="0"/>
                <w:sz w:val="13"/>
                <w:szCs w:val="13"/>
                <w:u w:val="none"/>
                <w:lang w:val="en-US" w:eastAsia="zh-CN" w:bidi="ar"/>
              </w:rPr>
              <w:t>平均</w:t>
            </w:r>
            <w:r>
              <w:rPr>
                <w:rFonts w:hint="default" w:ascii="Times New Roman" w:hAnsi="Times New Roman" w:cs="Times New Roman"/>
                <w:i w:val="0"/>
                <w:iCs w:val="0"/>
                <w:color w:val="auto"/>
                <w:kern w:val="0"/>
                <w:sz w:val="13"/>
                <w:szCs w:val="13"/>
                <w:u w:val="none"/>
                <w:lang w:val="en-US" w:eastAsia="zh-CN" w:bidi="ar"/>
              </w:rPr>
              <w:t>值</w:t>
            </w:r>
          </w:p>
        </w:tc>
        <w:tc>
          <w:tcPr>
            <w:tcW w:w="291" w:type="pct"/>
            <w:tcBorders>
              <w:tl2br w:val="nil"/>
              <w:tr2bl w:val="nil"/>
            </w:tcBorders>
            <w:shd w:val="clear" w:color="auto" w:fill="auto"/>
            <w:noWrap/>
            <w:vAlign w:val="center"/>
          </w:tcPr>
          <w:p w14:paraId="0FD89015">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eastAsia="zh-CN"/>
              </w:rPr>
            </w:pPr>
            <w:r>
              <w:rPr>
                <w:rFonts w:hint="default" w:ascii="Times New Roman" w:hAnsi="Times New Roman" w:cs="Times New Roman"/>
                <w:i w:val="0"/>
                <w:iCs w:val="0"/>
                <w:color w:val="auto"/>
                <w:sz w:val="13"/>
                <w:szCs w:val="13"/>
                <w:u w:val="none"/>
                <w:lang w:val="en-US" w:eastAsia="zh-CN"/>
              </w:rPr>
              <w:t>14.36</w:t>
            </w:r>
          </w:p>
        </w:tc>
        <w:tc>
          <w:tcPr>
            <w:tcW w:w="293" w:type="pct"/>
            <w:tcBorders>
              <w:tl2br w:val="nil"/>
              <w:tr2bl w:val="nil"/>
            </w:tcBorders>
            <w:shd w:val="clear" w:color="auto" w:fill="auto"/>
            <w:noWrap/>
            <w:vAlign w:val="center"/>
          </w:tcPr>
          <w:p w14:paraId="5267474B">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rPr>
            </w:pPr>
            <w:r>
              <w:rPr>
                <w:rFonts w:hint="default" w:ascii="Times New Roman" w:hAnsi="Times New Roman" w:cs="Times New Roman"/>
                <w:i w:val="0"/>
                <w:iCs w:val="0"/>
                <w:color w:val="auto"/>
                <w:kern w:val="0"/>
                <w:sz w:val="13"/>
                <w:szCs w:val="13"/>
                <w:u w:val="none"/>
                <w:lang w:val="en-US" w:eastAsia="zh-CN" w:bidi="ar"/>
              </w:rPr>
              <w:t>22.17</w:t>
            </w:r>
          </w:p>
        </w:tc>
        <w:tc>
          <w:tcPr>
            <w:tcW w:w="293" w:type="pct"/>
            <w:tcBorders>
              <w:tl2br w:val="nil"/>
              <w:tr2bl w:val="nil"/>
            </w:tcBorders>
            <w:shd w:val="clear" w:color="auto" w:fill="auto"/>
            <w:noWrap/>
            <w:vAlign w:val="center"/>
          </w:tcPr>
          <w:p w14:paraId="19E1378A">
            <w:pPr>
              <w:keepNext w:val="0"/>
              <w:keepLines w:val="0"/>
              <w:widowControl/>
              <w:suppressLineNumbers w:val="0"/>
              <w:jc w:val="center"/>
              <w:textAlignment w:val="center"/>
              <w:rPr>
                <w:rFonts w:hint="default" w:ascii="Times New Roman" w:hAnsi="Times New Roman" w:cs="Times New Roman"/>
                <w:i w:val="0"/>
                <w:iCs w:val="0"/>
                <w:color w:val="auto"/>
                <w:kern w:val="0"/>
                <w:sz w:val="13"/>
                <w:szCs w:val="13"/>
                <w:u w:val="none"/>
                <w:lang w:val="en-US" w:eastAsia="zh-CN" w:bidi="ar"/>
              </w:rPr>
            </w:pPr>
            <w:r>
              <w:rPr>
                <w:rFonts w:hint="default" w:ascii="Times New Roman" w:hAnsi="Times New Roman" w:cs="Times New Roman"/>
                <w:i w:val="0"/>
                <w:iCs w:val="0"/>
                <w:color w:val="auto"/>
                <w:kern w:val="0"/>
                <w:sz w:val="13"/>
                <w:szCs w:val="13"/>
                <w:u w:val="none"/>
                <w:lang w:val="en-US" w:eastAsia="zh-CN" w:bidi="ar"/>
              </w:rPr>
              <w:t>0.021</w:t>
            </w:r>
          </w:p>
        </w:tc>
        <w:tc>
          <w:tcPr>
            <w:tcW w:w="293" w:type="pct"/>
            <w:tcBorders>
              <w:tl2br w:val="nil"/>
              <w:tr2bl w:val="nil"/>
            </w:tcBorders>
            <w:shd w:val="clear" w:color="auto" w:fill="auto"/>
            <w:noWrap/>
            <w:vAlign w:val="center"/>
          </w:tcPr>
          <w:p w14:paraId="252C2D94">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rPr>
            </w:pPr>
            <w:r>
              <w:rPr>
                <w:rFonts w:hint="default" w:ascii="Times New Roman" w:hAnsi="Times New Roman" w:cs="Times New Roman"/>
                <w:i w:val="0"/>
                <w:iCs w:val="0"/>
                <w:color w:val="auto"/>
                <w:kern w:val="0"/>
                <w:sz w:val="13"/>
                <w:szCs w:val="13"/>
                <w:u w:val="none"/>
                <w:lang w:val="en-US" w:eastAsia="zh-CN" w:bidi="ar"/>
              </w:rPr>
              <w:t>0.207</w:t>
            </w:r>
          </w:p>
        </w:tc>
        <w:tc>
          <w:tcPr>
            <w:tcW w:w="293" w:type="pct"/>
            <w:tcBorders>
              <w:tl2br w:val="nil"/>
              <w:tr2bl w:val="nil"/>
            </w:tcBorders>
            <w:shd w:val="clear" w:color="auto" w:fill="auto"/>
            <w:noWrap/>
            <w:vAlign w:val="center"/>
          </w:tcPr>
          <w:p w14:paraId="0C1DDF86">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rPr>
            </w:pPr>
            <w:r>
              <w:rPr>
                <w:rFonts w:hint="default" w:ascii="Times New Roman" w:hAnsi="Times New Roman" w:eastAsia="宋体" w:cs="Times New Roman"/>
                <w:i w:val="0"/>
                <w:iCs w:val="0"/>
                <w:color w:val="auto"/>
                <w:kern w:val="0"/>
                <w:sz w:val="13"/>
                <w:szCs w:val="13"/>
                <w:u w:val="none"/>
                <w:lang w:val="en-US" w:eastAsia="zh-CN" w:bidi="ar"/>
              </w:rPr>
              <w:t>0.0</w:t>
            </w:r>
            <w:r>
              <w:rPr>
                <w:rFonts w:hint="default" w:ascii="Times New Roman" w:hAnsi="Times New Roman" w:cs="Times New Roman"/>
                <w:i w:val="0"/>
                <w:iCs w:val="0"/>
                <w:color w:val="auto"/>
                <w:kern w:val="0"/>
                <w:sz w:val="13"/>
                <w:szCs w:val="13"/>
                <w:u w:val="none"/>
                <w:lang w:val="en-US" w:eastAsia="zh-CN" w:bidi="ar"/>
              </w:rPr>
              <w:t>02</w:t>
            </w:r>
          </w:p>
        </w:tc>
        <w:tc>
          <w:tcPr>
            <w:tcW w:w="293" w:type="pct"/>
            <w:tcBorders>
              <w:tl2br w:val="nil"/>
              <w:tr2bl w:val="nil"/>
            </w:tcBorders>
            <w:shd w:val="clear" w:color="auto" w:fill="auto"/>
            <w:noWrap/>
            <w:vAlign w:val="center"/>
          </w:tcPr>
          <w:p w14:paraId="25C838F2">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rPr>
            </w:pPr>
            <w:r>
              <w:rPr>
                <w:rFonts w:hint="default" w:ascii="Times New Roman" w:hAnsi="Times New Roman" w:cs="Times New Roman"/>
                <w:i w:val="0"/>
                <w:iCs w:val="0"/>
                <w:color w:val="auto"/>
                <w:kern w:val="0"/>
                <w:sz w:val="13"/>
                <w:szCs w:val="13"/>
                <w:u w:val="none"/>
                <w:lang w:val="en-US" w:eastAsia="zh-CN" w:bidi="ar"/>
              </w:rPr>
              <w:t>0.004</w:t>
            </w:r>
          </w:p>
        </w:tc>
        <w:tc>
          <w:tcPr>
            <w:tcW w:w="293" w:type="pct"/>
            <w:tcBorders>
              <w:tl2br w:val="nil"/>
              <w:tr2bl w:val="nil"/>
            </w:tcBorders>
            <w:shd w:val="clear" w:color="auto" w:fill="auto"/>
            <w:noWrap/>
            <w:vAlign w:val="center"/>
          </w:tcPr>
          <w:p w14:paraId="0062CE84">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rPr>
            </w:pPr>
            <w:r>
              <w:rPr>
                <w:rFonts w:hint="default" w:ascii="Times New Roman" w:hAnsi="Times New Roman" w:cs="Times New Roman"/>
                <w:i w:val="0"/>
                <w:iCs w:val="0"/>
                <w:color w:val="auto"/>
                <w:kern w:val="0"/>
                <w:sz w:val="13"/>
                <w:szCs w:val="13"/>
                <w:u w:val="none"/>
                <w:lang w:val="en-US" w:eastAsia="zh-CN" w:bidi="ar"/>
              </w:rPr>
              <w:t>0.001</w:t>
            </w:r>
          </w:p>
        </w:tc>
        <w:tc>
          <w:tcPr>
            <w:tcW w:w="293" w:type="pct"/>
            <w:tcBorders>
              <w:tl2br w:val="nil"/>
              <w:tr2bl w:val="nil"/>
            </w:tcBorders>
            <w:shd w:val="clear" w:color="auto" w:fill="auto"/>
            <w:noWrap/>
            <w:vAlign w:val="center"/>
          </w:tcPr>
          <w:p w14:paraId="71E27E29">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rPr>
            </w:pPr>
            <w:r>
              <w:rPr>
                <w:rFonts w:hint="default" w:ascii="Times New Roman" w:hAnsi="Times New Roman" w:cs="Times New Roman"/>
                <w:i w:val="0"/>
                <w:iCs w:val="0"/>
                <w:color w:val="auto"/>
                <w:kern w:val="0"/>
                <w:sz w:val="13"/>
                <w:szCs w:val="13"/>
                <w:u w:val="none"/>
                <w:lang w:val="en-US" w:eastAsia="zh-CN" w:bidi="ar"/>
              </w:rPr>
              <w:t>0.436</w:t>
            </w:r>
          </w:p>
        </w:tc>
        <w:tc>
          <w:tcPr>
            <w:tcW w:w="293" w:type="pct"/>
            <w:tcBorders>
              <w:tl2br w:val="nil"/>
              <w:tr2bl w:val="nil"/>
            </w:tcBorders>
            <w:shd w:val="clear" w:color="auto" w:fill="auto"/>
            <w:noWrap/>
            <w:vAlign w:val="center"/>
          </w:tcPr>
          <w:p w14:paraId="2D3BAAB3">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rPr>
            </w:pPr>
            <w:r>
              <w:rPr>
                <w:rFonts w:hint="default" w:ascii="Times New Roman" w:hAnsi="Times New Roman" w:cs="Times New Roman"/>
                <w:i w:val="0"/>
                <w:iCs w:val="0"/>
                <w:color w:val="auto"/>
                <w:kern w:val="0"/>
                <w:sz w:val="13"/>
                <w:szCs w:val="13"/>
                <w:u w:val="none"/>
                <w:lang w:val="en-US" w:eastAsia="zh-CN" w:bidi="ar"/>
              </w:rPr>
              <w:t>0.121</w:t>
            </w:r>
          </w:p>
        </w:tc>
        <w:tc>
          <w:tcPr>
            <w:tcW w:w="293" w:type="pct"/>
            <w:tcBorders>
              <w:tl2br w:val="nil"/>
              <w:tr2bl w:val="nil"/>
            </w:tcBorders>
            <w:shd w:val="clear" w:color="auto" w:fill="auto"/>
            <w:noWrap/>
            <w:vAlign w:val="center"/>
          </w:tcPr>
          <w:p w14:paraId="050F1C68">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rPr>
            </w:pPr>
            <w:r>
              <w:rPr>
                <w:rFonts w:hint="default" w:ascii="Times New Roman" w:hAnsi="Times New Roman" w:cs="Times New Roman"/>
                <w:i w:val="0"/>
                <w:iCs w:val="0"/>
                <w:color w:val="auto"/>
                <w:kern w:val="0"/>
                <w:sz w:val="13"/>
                <w:szCs w:val="13"/>
                <w:u w:val="none"/>
                <w:lang w:val="en-US" w:eastAsia="zh-CN" w:bidi="ar"/>
              </w:rPr>
              <w:t>0.004</w:t>
            </w:r>
          </w:p>
        </w:tc>
        <w:tc>
          <w:tcPr>
            <w:tcW w:w="302" w:type="pct"/>
            <w:tcBorders>
              <w:tl2br w:val="nil"/>
              <w:tr2bl w:val="nil"/>
            </w:tcBorders>
            <w:shd w:val="clear" w:color="auto" w:fill="auto"/>
            <w:noWrap/>
            <w:vAlign w:val="center"/>
          </w:tcPr>
          <w:p w14:paraId="7748F590">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rPr>
            </w:pPr>
            <w:r>
              <w:rPr>
                <w:rFonts w:hint="default" w:ascii="Times New Roman" w:hAnsi="Times New Roman" w:cs="Times New Roman"/>
                <w:i w:val="0"/>
                <w:iCs w:val="0"/>
                <w:color w:val="auto"/>
                <w:kern w:val="0"/>
                <w:sz w:val="13"/>
                <w:szCs w:val="13"/>
                <w:u w:val="none"/>
                <w:lang w:val="en-US" w:eastAsia="zh-CN" w:bidi="ar"/>
              </w:rPr>
              <w:t>2.47</w:t>
            </w:r>
          </w:p>
        </w:tc>
        <w:tc>
          <w:tcPr>
            <w:tcW w:w="269" w:type="pct"/>
            <w:tcBorders>
              <w:tl2br w:val="nil"/>
              <w:tr2bl w:val="nil"/>
            </w:tcBorders>
            <w:shd w:val="clear" w:color="auto" w:fill="auto"/>
            <w:noWrap/>
            <w:vAlign w:val="center"/>
          </w:tcPr>
          <w:p w14:paraId="1494FB03">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rPr>
            </w:pPr>
            <w:r>
              <w:rPr>
                <w:rFonts w:hint="default" w:ascii="Times New Roman" w:hAnsi="Times New Roman" w:cs="Times New Roman"/>
                <w:i w:val="0"/>
                <w:iCs w:val="0"/>
                <w:color w:val="auto"/>
                <w:kern w:val="0"/>
                <w:sz w:val="13"/>
                <w:szCs w:val="13"/>
                <w:u w:val="none"/>
                <w:lang w:val="en-US" w:eastAsia="zh-CN" w:bidi="ar"/>
              </w:rPr>
              <w:t>0.01</w:t>
            </w:r>
          </w:p>
        </w:tc>
        <w:tc>
          <w:tcPr>
            <w:tcW w:w="281" w:type="pct"/>
            <w:tcBorders>
              <w:tl2br w:val="nil"/>
              <w:tr2bl w:val="nil"/>
            </w:tcBorders>
            <w:shd w:val="clear" w:color="auto" w:fill="auto"/>
            <w:noWrap/>
            <w:vAlign w:val="center"/>
          </w:tcPr>
          <w:p w14:paraId="3BAA41DF">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rPr>
            </w:pPr>
            <w:r>
              <w:rPr>
                <w:rFonts w:hint="default" w:ascii="Times New Roman" w:hAnsi="Times New Roman" w:cs="Times New Roman"/>
                <w:i w:val="0"/>
                <w:iCs w:val="0"/>
                <w:color w:val="auto"/>
                <w:kern w:val="0"/>
                <w:sz w:val="13"/>
                <w:szCs w:val="13"/>
                <w:u w:val="none"/>
                <w:lang w:val="en-US" w:eastAsia="zh-CN" w:bidi="ar"/>
              </w:rPr>
              <w:t>1.04</w:t>
            </w:r>
          </w:p>
        </w:tc>
        <w:tc>
          <w:tcPr>
            <w:tcW w:w="294" w:type="pct"/>
            <w:tcBorders>
              <w:tl2br w:val="nil"/>
              <w:tr2bl w:val="nil"/>
            </w:tcBorders>
            <w:shd w:val="clear" w:color="auto" w:fill="auto"/>
            <w:noWrap/>
            <w:vAlign w:val="center"/>
          </w:tcPr>
          <w:p w14:paraId="168E9D5C">
            <w:pPr>
              <w:keepNext w:val="0"/>
              <w:keepLines w:val="0"/>
              <w:widowControl/>
              <w:suppressLineNumbers w:val="0"/>
              <w:jc w:val="center"/>
              <w:textAlignment w:val="center"/>
              <w:rPr>
                <w:rFonts w:hint="default" w:ascii="Times New Roman" w:hAnsi="Times New Roman" w:eastAsia="宋体" w:cs="Times New Roman"/>
                <w:i/>
                <w:iCs/>
                <w:color w:val="auto"/>
                <w:sz w:val="13"/>
                <w:szCs w:val="13"/>
                <w:u w:val="none"/>
                <w:lang w:val="en-US"/>
              </w:rPr>
            </w:pPr>
            <w:r>
              <w:rPr>
                <w:rFonts w:hint="default" w:ascii="Times New Roman" w:hAnsi="Times New Roman" w:cs="Times New Roman"/>
                <w:i/>
                <w:iCs/>
                <w:color w:val="auto"/>
                <w:kern w:val="0"/>
                <w:sz w:val="13"/>
                <w:szCs w:val="13"/>
                <w:u w:val="none"/>
                <w:lang w:val="en-US" w:eastAsia="zh-CN" w:bidi="ar"/>
              </w:rPr>
              <w:t>17.68</w:t>
            </w:r>
          </w:p>
        </w:tc>
        <w:tc>
          <w:tcPr>
            <w:tcW w:w="282" w:type="pct"/>
            <w:tcBorders>
              <w:tl2br w:val="nil"/>
              <w:tr2bl w:val="nil"/>
            </w:tcBorders>
            <w:shd w:val="clear" w:color="auto" w:fill="auto"/>
            <w:noWrap/>
            <w:vAlign w:val="center"/>
          </w:tcPr>
          <w:p w14:paraId="01F63D9D">
            <w:pPr>
              <w:keepNext w:val="0"/>
              <w:keepLines w:val="0"/>
              <w:widowControl/>
              <w:suppressLineNumbers w:val="0"/>
              <w:jc w:val="center"/>
              <w:textAlignment w:val="center"/>
              <w:rPr>
                <w:rFonts w:hint="default" w:ascii="Times New Roman" w:hAnsi="Times New Roman" w:eastAsia="宋体" w:cs="Times New Roman"/>
                <w:i w:val="0"/>
                <w:iCs w:val="0"/>
                <w:color w:val="auto"/>
                <w:sz w:val="13"/>
                <w:szCs w:val="13"/>
                <w:u w:val="none"/>
                <w:lang w:val="en-US"/>
              </w:rPr>
            </w:pPr>
            <w:r>
              <w:rPr>
                <w:rFonts w:hint="default" w:ascii="Times New Roman" w:hAnsi="Times New Roman" w:cs="Times New Roman"/>
                <w:i w:val="0"/>
                <w:iCs w:val="0"/>
                <w:color w:val="auto"/>
                <w:kern w:val="0"/>
                <w:sz w:val="13"/>
                <w:szCs w:val="13"/>
                <w:u w:val="none"/>
                <w:lang w:val="en-US" w:eastAsia="zh-CN" w:bidi="ar"/>
              </w:rPr>
              <w:t>3.62</w:t>
            </w:r>
          </w:p>
        </w:tc>
        <w:tc>
          <w:tcPr>
            <w:tcW w:w="276" w:type="pct"/>
            <w:tcBorders>
              <w:tl2br w:val="nil"/>
              <w:tr2bl w:val="nil"/>
            </w:tcBorders>
            <w:shd w:val="clear" w:color="auto" w:fill="auto"/>
            <w:noWrap/>
            <w:vAlign w:val="center"/>
          </w:tcPr>
          <w:p w14:paraId="0101909C">
            <w:pPr>
              <w:keepNext w:val="0"/>
              <w:keepLines w:val="0"/>
              <w:widowControl/>
              <w:suppressLineNumbers w:val="0"/>
              <w:jc w:val="center"/>
              <w:textAlignment w:val="center"/>
              <w:rPr>
                <w:rFonts w:hint="default" w:ascii="Times New Roman" w:hAnsi="Times New Roman" w:cs="Times New Roman"/>
                <w:i w:val="0"/>
                <w:iCs w:val="0"/>
                <w:color w:val="auto"/>
                <w:kern w:val="0"/>
                <w:sz w:val="13"/>
                <w:szCs w:val="13"/>
                <w:u w:val="none"/>
                <w:lang w:val="en-US" w:eastAsia="zh-CN" w:bidi="ar"/>
              </w:rPr>
            </w:pPr>
            <w:r>
              <w:rPr>
                <w:rFonts w:hint="default" w:ascii="Times New Roman" w:hAnsi="Times New Roman" w:cs="Times New Roman"/>
                <w:i w:val="0"/>
                <w:iCs w:val="0"/>
                <w:color w:val="auto"/>
                <w:kern w:val="0"/>
                <w:sz w:val="13"/>
                <w:szCs w:val="13"/>
                <w:u w:val="none"/>
                <w:lang w:val="en-US" w:eastAsia="zh-CN" w:bidi="ar"/>
              </w:rPr>
              <w:t>3.15</w:t>
            </w:r>
          </w:p>
        </w:tc>
      </w:tr>
    </w:tbl>
    <w:p w14:paraId="7E978E74">
      <w:pPr>
        <w:pStyle w:val="6"/>
        <w:bidi w:val="0"/>
        <w:rPr>
          <w:rFonts w:hint="default" w:ascii="Times New Roman" w:hAnsi="Times New Roman" w:cs="Times New Roman"/>
        </w:rPr>
      </w:pPr>
      <w:bookmarkStart w:id="250" w:name="_Toc4057"/>
      <w:bookmarkStart w:id="251" w:name="_Toc165816735"/>
      <w:r>
        <w:rPr>
          <w:rFonts w:hint="default" w:ascii="Times New Roman" w:hAnsi="Times New Roman" w:cs="Times New Roman"/>
          <w:lang w:val="en-US" w:eastAsia="zh-CN"/>
        </w:rPr>
        <w:t>3</w:t>
      </w:r>
      <w:r>
        <w:rPr>
          <w:rFonts w:hint="default" w:ascii="Times New Roman" w:hAnsi="Times New Roman" w:cs="Times New Roman"/>
        </w:rPr>
        <w:t>.2.</w:t>
      </w:r>
      <w:r>
        <w:rPr>
          <w:rFonts w:hint="default" w:ascii="Times New Roman" w:hAnsi="Times New Roman" w:cs="Times New Roman"/>
          <w:lang w:val="en-US" w:eastAsia="zh-CN"/>
        </w:rPr>
        <w:t>7</w:t>
      </w:r>
      <w:r>
        <w:rPr>
          <w:rFonts w:hint="default" w:ascii="Times New Roman" w:hAnsi="Times New Roman" w:cs="Times New Roman"/>
        </w:rPr>
        <w:t>矿石</w:t>
      </w:r>
      <w:r>
        <w:rPr>
          <w:rFonts w:hint="default" w:ascii="Times New Roman" w:hAnsi="Times New Roman" w:cs="Times New Roman"/>
          <w:lang w:val="en-US" w:eastAsia="zh-CN"/>
        </w:rPr>
        <w:t>及产品</w:t>
      </w:r>
      <w:r>
        <w:rPr>
          <w:rFonts w:hint="default" w:ascii="Times New Roman" w:hAnsi="Times New Roman" w:cs="Times New Roman"/>
        </w:rPr>
        <w:t>放射性</w:t>
      </w:r>
      <w:bookmarkEnd w:id="250"/>
      <w:bookmarkEnd w:id="251"/>
    </w:p>
    <w:p w14:paraId="650792F9">
      <w:pPr>
        <w:spacing w:line="360" w:lineRule="auto"/>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根据《关于发布</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矿产资源开发利用辐射环境监督管理名录</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的公告》（生态环境部公告 2020年 第54号）要求，新平</w:t>
      </w:r>
      <w:r>
        <w:rPr>
          <w:rFonts w:hint="default" w:ascii="Times New Roman" w:hAnsi="Times New Roman" w:cs="Times New Roman" w:eastAsiaTheme="minorEastAsia"/>
          <w:color w:val="auto"/>
          <w:sz w:val="24"/>
          <w:szCs w:val="24"/>
          <w:lang w:val="en-US" w:eastAsia="zh-CN"/>
        </w:rPr>
        <w:t>仙福矿冶</w:t>
      </w:r>
      <w:r>
        <w:rPr>
          <w:rFonts w:hint="default" w:ascii="Times New Roman" w:hAnsi="Times New Roman" w:cs="Times New Roman" w:eastAsiaTheme="minorEastAsia"/>
          <w:color w:val="auto"/>
          <w:sz w:val="24"/>
          <w:szCs w:val="24"/>
        </w:rPr>
        <w:t>有限公司委托</w:t>
      </w:r>
      <w:r>
        <w:rPr>
          <w:rFonts w:hint="default" w:ascii="Times New Roman" w:hAnsi="Times New Roman" w:cs="Times New Roman" w:eastAsiaTheme="minorEastAsia"/>
          <w:color w:val="auto"/>
          <w:sz w:val="24"/>
          <w:szCs w:val="24"/>
          <w:lang w:val="en-US" w:eastAsia="zh-CN"/>
        </w:rPr>
        <w:t>佛山市陶瓷研究所有限公司</w:t>
      </w:r>
      <w:r>
        <w:rPr>
          <w:rFonts w:hint="default" w:ascii="Times New Roman" w:hAnsi="Times New Roman" w:cs="Times New Roman" w:eastAsiaTheme="minorEastAsia"/>
          <w:color w:val="auto"/>
          <w:sz w:val="24"/>
          <w:szCs w:val="24"/>
        </w:rPr>
        <w:t>于202</w:t>
      </w: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年6月</w:t>
      </w: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日对本项目原矿、磁性产品、非磁性产品中的</w:t>
      </w:r>
      <w:r>
        <w:rPr>
          <w:rFonts w:hint="default" w:ascii="Times New Roman" w:hAnsi="Times New Roman" w:cs="Times New Roman" w:eastAsiaTheme="minorEastAsia"/>
          <w:color w:val="auto"/>
          <w:sz w:val="24"/>
          <w:szCs w:val="24"/>
          <w:vertAlign w:val="superscript"/>
        </w:rPr>
        <w:t>238</w:t>
      </w:r>
      <w:r>
        <w:rPr>
          <w:rFonts w:hint="default" w:ascii="Times New Roman" w:hAnsi="Times New Roman" w:cs="Times New Roman" w:eastAsiaTheme="minorEastAsia"/>
          <w:color w:val="auto"/>
          <w:sz w:val="24"/>
          <w:szCs w:val="24"/>
        </w:rPr>
        <w:t>U、</w:t>
      </w:r>
      <w:r>
        <w:rPr>
          <w:rFonts w:hint="default" w:ascii="Times New Roman" w:hAnsi="Times New Roman" w:cs="Times New Roman" w:eastAsiaTheme="minorEastAsia"/>
          <w:color w:val="auto"/>
          <w:sz w:val="24"/>
          <w:szCs w:val="24"/>
          <w:vertAlign w:val="superscript"/>
        </w:rPr>
        <w:t>232</w:t>
      </w:r>
      <w:r>
        <w:rPr>
          <w:rFonts w:hint="default" w:ascii="Times New Roman" w:hAnsi="Times New Roman" w:cs="Times New Roman" w:eastAsiaTheme="minorEastAsia"/>
          <w:color w:val="auto"/>
          <w:sz w:val="24"/>
          <w:szCs w:val="24"/>
        </w:rPr>
        <w:t>Th、</w:t>
      </w:r>
      <w:r>
        <w:rPr>
          <w:rFonts w:hint="default" w:ascii="Times New Roman" w:hAnsi="Times New Roman" w:cs="Times New Roman" w:eastAsiaTheme="minorEastAsia"/>
          <w:color w:val="auto"/>
          <w:sz w:val="24"/>
          <w:szCs w:val="24"/>
          <w:vertAlign w:val="superscript"/>
        </w:rPr>
        <w:t>226</w:t>
      </w:r>
      <w:r>
        <w:rPr>
          <w:rFonts w:hint="default" w:ascii="Times New Roman" w:hAnsi="Times New Roman" w:cs="Times New Roman" w:eastAsiaTheme="minorEastAsia"/>
          <w:color w:val="auto"/>
          <w:sz w:val="24"/>
          <w:szCs w:val="24"/>
        </w:rPr>
        <w:t>Ra、</w:t>
      </w:r>
      <w:r>
        <w:rPr>
          <w:rFonts w:hint="default" w:ascii="Times New Roman" w:hAnsi="Times New Roman" w:cs="Times New Roman" w:eastAsiaTheme="minorEastAsia"/>
          <w:color w:val="auto"/>
          <w:sz w:val="24"/>
          <w:szCs w:val="24"/>
          <w:vertAlign w:val="superscript"/>
        </w:rPr>
        <w:t>40</w:t>
      </w:r>
      <w:r>
        <w:rPr>
          <w:rFonts w:hint="default" w:ascii="Times New Roman" w:hAnsi="Times New Roman" w:cs="Times New Roman" w:eastAsiaTheme="minorEastAsia"/>
          <w:color w:val="auto"/>
          <w:sz w:val="24"/>
          <w:szCs w:val="24"/>
        </w:rPr>
        <w:t>K单个核素活度浓度进行检测。检测结果见表</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.2</w:t>
      </w:r>
      <w:r>
        <w:rPr>
          <w:rFonts w:hint="default" w:ascii="Times New Roman" w:hAnsi="Times New Roman"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w:t>
      </w:r>
    </w:p>
    <w:p w14:paraId="19EF70DA">
      <w:pPr>
        <w:spacing w:line="360" w:lineRule="auto"/>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表</w:t>
      </w:r>
      <w:r>
        <w:rPr>
          <w:rFonts w:hint="default" w:ascii="Times New Roman" w:hAnsi="Times New Roman" w:eastAsia="黑体" w:cs="Times New Roman"/>
          <w:b w:val="0"/>
          <w:bCs/>
          <w:color w:val="auto"/>
          <w:sz w:val="21"/>
          <w:szCs w:val="21"/>
          <w:lang w:val="en-US" w:eastAsia="zh-CN"/>
        </w:rPr>
        <w:t>3.2.7</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1</w:t>
      </w:r>
      <w:r>
        <w:rPr>
          <w:rFonts w:hint="default" w:ascii="Times New Roman" w:hAnsi="Times New Roman" w:eastAsia="黑体" w:cs="Times New Roman"/>
          <w:b w:val="0"/>
          <w:bCs/>
          <w:color w:val="auto"/>
          <w:sz w:val="21"/>
          <w:szCs w:val="21"/>
        </w:rPr>
        <w:t xml:space="preserve">  放射性核素活度检测结果</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52"/>
        <w:gridCol w:w="1306"/>
        <w:gridCol w:w="1304"/>
        <w:gridCol w:w="1306"/>
        <w:gridCol w:w="1018"/>
      </w:tblGrid>
      <w:tr w14:paraId="34CBF5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44" w:type="pct"/>
            <w:vMerge w:val="restart"/>
            <w:tcBorders>
              <w:tl2br w:val="nil"/>
              <w:tr2bl w:val="nil"/>
            </w:tcBorders>
            <w:vAlign w:val="center"/>
          </w:tcPr>
          <w:p w14:paraId="113E576D">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样品名称</w:t>
            </w:r>
          </w:p>
        </w:tc>
        <w:tc>
          <w:tcPr>
            <w:tcW w:w="2655" w:type="pct"/>
            <w:gridSpan w:val="4"/>
            <w:tcBorders>
              <w:tl2br w:val="nil"/>
              <w:tr2bl w:val="nil"/>
            </w:tcBorders>
            <w:vAlign w:val="center"/>
          </w:tcPr>
          <w:p w14:paraId="6E1634C0">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分析项目——C(B)/Bq•</w:t>
            </w:r>
            <w:r>
              <w:rPr>
                <w:rFonts w:hint="default" w:ascii="Times New Roman" w:hAnsi="Times New Roman" w:cs="Times New Roman"/>
                <w:color w:val="auto"/>
                <w:sz w:val="18"/>
                <w:szCs w:val="18"/>
                <w:lang w:eastAsia="zh-CN"/>
              </w:rPr>
              <w:t>kg</w:t>
            </w:r>
            <w:r>
              <w:rPr>
                <w:rFonts w:hint="default" w:ascii="Times New Roman" w:hAnsi="Times New Roman" w:eastAsia="宋体" w:cs="Times New Roman"/>
                <w:color w:val="auto"/>
                <w:sz w:val="18"/>
                <w:szCs w:val="18"/>
                <w:vertAlign w:val="superscript"/>
              </w:rPr>
              <w:t>-1</w:t>
            </w:r>
          </w:p>
        </w:tc>
      </w:tr>
      <w:tr w14:paraId="5120DB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44" w:type="pct"/>
            <w:vMerge w:val="continue"/>
            <w:tcBorders>
              <w:tl2br w:val="nil"/>
              <w:tr2bl w:val="nil"/>
            </w:tcBorders>
            <w:vAlign w:val="center"/>
          </w:tcPr>
          <w:p w14:paraId="2814B7CA">
            <w:pPr>
              <w:spacing w:line="240" w:lineRule="auto"/>
              <w:jc w:val="center"/>
              <w:rPr>
                <w:rFonts w:hint="default" w:ascii="Times New Roman" w:hAnsi="Times New Roman" w:eastAsia="宋体" w:cs="Times New Roman"/>
                <w:color w:val="auto"/>
                <w:sz w:val="18"/>
                <w:szCs w:val="18"/>
              </w:rPr>
            </w:pPr>
          </w:p>
        </w:tc>
        <w:tc>
          <w:tcPr>
            <w:tcW w:w="703" w:type="pct"/>
            <w:tcBorders>
              <w:tl2br w:val="nil"/>
              <w:tr2bl w:val="nil"/>
            </w:tcBorders>
            <w:vAlign w:val="center"/>
          </w:tcPr>
          <w:p w14:paraId="71AD2EF0">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superscript"/>
              </w:rPr>
              <w:t>238</w:t>
            </w:r>
            <w:r>
              <w:rPr>
                <w:rFonts w:hint="default" w:ascii="Times New Roman" w:hAnsi="Times New Roman" w:eastAsia="宋体" w:cs="Times New Roman"/>
                <w:color w:val="auto"/>
                <w:sz w:val="18"/>
                <w:szCs w:val="18"/>
              </w:rPr>
              <w:t>U</w:t>
            </w:r>
          </w:p>
        </w:tc>
        <w:tc>
          <w:tcPr>
            <w:tcW w:w="702" w:type="pct"/>
            <w:tcBorders>
              <w:tl2br w:val="nil"/>
              <w:tr2bl w:val="nil"/>
            </w:tcBorders>
            <w:vAlign w:val="center"/>
          </w:tcPr>
          <w:p w14:paraId="7623ADD8">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superscript"/>
              </w:rPr>
              <w:t>232</w:t>
            </w:r>
            <w:r>
              <w:rPr>
                <w:rFonts w:hint="default" w:ascii="Times New Roman" w:hAnsi="Times New Roman" w:eastAsia="宋体" w:cs="Times New Roman"/>
                <w:color w:val="auto"/>
                <w:sz w:val="18"/>
                <w:szCs w:val="18"/>
              </w:rPr>
              <w:t>Th</w:t>
            </w:r>
          </w:p>
        </w:tc>
        <w:tc>
          <w:tcPr>
            <w:tcW w:w="703" w:type="pct"/>
            <w:tcBorders>
              <w:tl2br w:val="nil"/>
              <w:tr2bl w:val="nil"/>
            </w:tcBorders>
            <w:vAlign w:val="center"/>
          </w:tcPr>
          <w:p w14:paraId="65378636">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superscript"/>
              </w:rPr>
              <w:t>226</w:t>
            </w:r>
            <w:r>
              <w:rPr>
                <w:rFonts w:hint="default" w:ascii="Times New Roman" w:hAnsi="Times New Roman" w:eastAsia="宋体" w:cs="Times New Roman"/>
                <w:color w:val="auto"/>
                <w:sz w:val="18"/>
                <w:szCs w:val="18"/>
              </w:rPr>
              <w:t>Ra</w:t>
            </w:r>
          </w:p>
        </w:tc>
        <w:tc>
          <w:tcPr>
            <w:tcW w:w="546" w:type="pct"/>
            <w:tcBorders>
              <w:tl2br w:val="nil"/>
              <w:tr2bl w:val="nil"/>
            </w:tcBorders>
            <w:vAlign w:val="center"/>
          </w:tcPr>
          <w:p w14:paraId="149B24EB">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superscript"/>
              </w:rPr>
              <w:t>40</w:t>
            </w:r>
            <w:r>
              <w:rPr>
                <w:rFonts w:hint="default" w:ascii="Times New Roman" w:hAnsi="Times New Roman" w:eastAsia="宋体" w:cs="Times New Roman"/>
                <w:color w:val="auto"/>
                <w:sz w:val="18"/>
                <w:szCs w:val="18"/>
              </w:rPr>
              <w:t>K</w:t>
            </w:r>
          </w:p>
        </w:tc>
      </w:tr>
      <w:tr w14:paraId="509505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44" w:type="pct"/>
            <w:tcBorders>
              <w:tl2br w:val="nil"/>
              <w:tr2bl w:val="nil"/>
            </w:tcBorders>
            <w:vAlign w:val="center"/>
          </w:tcPr>
          <w:p w14:paraId="73242E24">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1原矿样品</w:t>
            </w:r>
          </w:p>
        </w:tc>
        <w:tc>
          <w:tcPr>
            <w:tcW w:w="703" w:type="pct"/>
            <w:tcBorders>
              <w:tl2br w:val="nil"/>
              <w:tr2bl w:val="nil"/>
            </w:tcBorders>
            <w:vAlign w:val="center"/>
          </w:tcPr>
          <w:p w14:paraId="7F1496B0">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w:t>
            </w:r>
            <w:r>
              <w:rPr>
                <w:rFonts w:hint="default" w:ascii="Times New Roman" w:hAnsi="Times New Roman" w:eastAsia="宋体" w:cs="Times New Roman"/>
                <w:color w:val="auto"/>
                <w:sz w:val="18"/>
                <w:szCs w:val="18"/>
                <w:lang w:val="en-US" w:eastAsia="zh-CN"/>
              </w:rPr>
              <w:t>696</w:t>
            </w:r>
            <w:r>
              <w:rPr>
                <w:rFonts w:hint="default" w:ascii="Times New Roman" w:hAnsi="Times New Roman" w:eastAsia="宋体" w:cs="Times New Roman"/>
                <w:color w:val="auto"/>
                <w:sz w:val="18"/>
                <w:szCs w:val="18"/>
              </w:rPr>
              <w:t xml:space="preserve"> </w:t>
            </w:r>
          </w:p>
        </w:tc>
        <w:tc>
          <w:tcPr>
            <w:tcW w:w="702" w:type="pct"/>
            <w:tcBorders>
              <w:tl2br w:val="nil"/>
              <w:tr2bl w:val="nil"/>
            </w:tcBorders>
            <w:vAlign w:val="center"/>
          </w:tcPr>
          <w:p w14:paraId="1038A944">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0.0119</w:t>
            </w:r>
          </w:p>
        </w:tc>
        <w:tc>
          <w:tcPr>
            <w:tcW w:w="703" w:type="pct"/>
            <w:tcBorders>
              <w:tl2br w:val="nil"/>
              <w:tr2bl w:val="nil"/>
            </w:tcBorders>
            <w:vAlign w:val="center"/>
          </w:tcPr>
          <w:p w14:paraId="0F80C159">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0.0112</w:t>
            </w:r>
          </w:p>
        </w:tc>
        <w:tc>
          <w:tcPr>
            <w:tcW w:w="546" w:type="pct"/>
            <w:tcBorders>
              <w:tl2br w:val="nil"/>
              <w:tr2bl w:val="nil"/>
            </w:tcBorders>
            <w:vAlign w:val="center"/>
          </w:tcPr>
          <w:p w14:paraId="1A22D116">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w:t>
            </w:r>
            <w:r>
              <w:rPr>
                <w:rFonts w:hint="default" w:ascii="Times New Roman" w:hAnsi="Times New Roman" w:eastAsia="宋体" w:cs="Times New Roman"/>
                <w:color w:val="auto"/>
                <w:sz w:val="18"/>
                <w:szCs w:val="18"/>
                <w:lang w:val="en-US" w:eastAsia="zh-CN"/>
              </w:rPr>
              <w:t>629</w:t>
            </w:r>
            <w:r>
              <w:rPr>
                <w:rFonts w:hint="default" w:ascii="Times New Roman" w:hAnsi="Times New Roman" w:eastAsia="宋体" w:cs="Times New Roman"/>
                <w:color w:val="auto"/>
                <w:sz w:val="18"/>
                <w:szCs w:val="18"/>
              </w:rPr>
              <w:t xml:space="preserve"> </w:t>
            </w:r>
          </w:p>
        </w:tc>
      </w:tr>
      <w:tr w14:paraId="708312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44" w:type="pct"/>
            <w:tcBorders>
              <w:tl2br w:val="nil"/>
              <w:tr2bl w:val="nil"/>
            </w:tcBorders>
            <w:vAlign w:val="center"/>
          </w:tcPr>
          <w:p w14:paraId="4BCD52D6">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磁性样品</w:t>
            </w:r>
          </w:p>
        </w:tc>
        <w:tc>
          <w:tcPr>
            <w:tcW w:w="703" w:type="pct"/>
            <w:tcBorders>
              <w:tl2br w:val="nil"/>
              <w:tr2bl w:val="nil"/>
            </w:tcBorders>
            <w:vAlign w:val="center"/>
          </w:tcPr>
          <w:p w14:paraId="3EAF7358">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0.00</w:t>
            </w:r>
            <w:r>
              <w:rPr>
                <w:rFonts w:hint="default" w:ascii="Times New Roman" w:hAnsi="Times New Roman" w:eastAsia="宋体" w:cs="Times New Roman"/>
                <w:color w:val="auto"/>
                <w:sz w:val="18"/>
                <w:szCs w:val="18"/>
                <w:lang w:val="en-US" w:eastAsia="zh-CN"/>
              </w:rPr>
              <w:t>14</w:t>
            </w:r>
          </w:p>
        </w:tc>
        <w:tc>
          <w:tcPr>
            <w:tcW w:w="702" w:type="pct"/>
            <w:tcBorders>
              <w:tl2br w:val="nil"/>
              <w:tr2bl w:val="nil"/>
            </w:tcBorders>
            <w:vAlign w:val="center"/>
          </w:tcPr>
          <w:p w14:paraId="08F6656E">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0.0041</w:t>
            </w:r>
          </w:p>
        </w:tc>
        <w:tc>
          <w:tcPr>
            <w:tcW w:w="703" w:type="pct"/>
            <w:tcBorders>
              <w:tl2br w:val="nil"/>
              <w:tr2bl w:val="nil"/>
            </w:tcBorders>
            <w:vAlign w:val="center"/>
          </w:tcPr>
          <w:p w14:paraId="19A03397">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0.0067</w:t>
            </w:r>
          </w:p>
        </w:tc>
        <w:tc>
          <w:tcPr>
            <w:tcW w:w="546" w:type="pct"/>
            <w:tcBorders>
              <w:tl2br w:val="nil"/>
              <w:tr2bl w:val="nil"/>
            </w:tcBorders>
            <w:vAlign w:val="center"/>
          </w:tcPr>
          <w:p w14:paraId="2B418AB6">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0.0133</w:t>
            </w:r>
          </w:p>
        </w:tc>
      </w:tr>
      <w:tr w14:paraId="1C28F8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44" w:type="pct"/>
            <w:tcBorders>
              <w:tl2br w:val="nil"/>
              <w:tr2bl w:val="nil"/>
            </w:tcBorders>
            <w:vAlign w:val="center"/>
          </w:tcPr>
          <w:p w14:paraId="506F6C87">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非磁性样品</w:t>
            </w:r>
          </w:p>
        </w:tc>
        <w:tc>
          <w:tcPr>
            <w:tcW w:w="703" w:type="pct"/>
            <w:tcBorders>
              <w:tl2br w:val="nil"/>
              <w:tr2bl w:val="nil"/>
            </w:tcBorders>
            <w:vAlign w:val="center"/>
          </w:tcPr>
          <w:p w14:paraId="286F4270">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w:t>
            </w:r>
            <w:r>
              <w:rPr>
                <w:rFonts w:hint="default" w:ascii="Times New Roman" w:hAnsi="Times New Roman" w:eastAsia="宋体" w:cs="Times New Roman"/>
                <w:color w:val="auto"/>
                <w:sz w:val="18"/>
                <w:szCs w:val="18"/>
                <w:lang w:val="en-US" w:eastAsia="zh-CN"/>
              </w:rPr>
              <w:t>246</w:t>
            </w:r>
            <w:r>
              <w:rPr>
                <w:rFonts w:hint="default" w:ascii="Times New Roman" w:hAnsi="Times New Roman" w:eastAsia="宋体" w:cs="Times New Roman"/>
                <w:color w:val="auto"/>
                <w:sz w:val="18"/>
                <w:szCs w:val="18"/>
              </w:rPr>
              <w:t xml:space="preserve"> </w:t>
            </w:r>
          </w:p>
        </w:tc>
        <w:tc>
          <w:tcPr>
            <w:tcW w:w="702" w:type="pct"/>
            <w:tcBorders>
              <w:tl2br w:val="nil"/>
              <w:tr2bl w:val="nil"/>
            </w:tcBorders>
            <w:vAlign w:val="center"/>
          </w:tcPr>
          <w:p w14:paraId="621C5C68">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0.0079</w:t>
            </w:r>
          </w:p>
        </w:tc>
        <w:tc>
          <w:tcPr>
            <w:tcW w:w="703" w:type="pct"/>
            <w:tcBorders>
              <w:tl2br w:val="nil"/>
              <w:tr2bl w:val="nil"/>
            </w:tcBorders>
            <w:vAlign w:val="center"/>
          </w:tcPr>
          <w:p w14:paraId="5C06900A">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0.0098</w:t>
            </w:r>
          </w:p>
        </w:tc>
        <w:tc>
          <w:tcPr>
            <w:tcW w:w="546" w:type="pct"/>
            <w:tcBorders>
              <w:tl2br w:val="nil"/>
              <w:tr2bl w:val="nil"/>
            </w:tcBorders>
            <w:vAlign w:val="center"/>
          </w:tcPr>
          <w:p w14:paraId="0363043A">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ND</w:t>
            </w:r>
            <w:r>
              <w:rPr>
                <w:rFonts w:hint="default" w:ascii="Times New Roman" w:hAnsi="Times New Roman" w:eastAsia="宋体" w:cs="Times New Roman"/>
                <w:color w:val="auto"/>
                <w:sz w:val="18"/>
                <w:szCs w:val="18"/>
              </w:rPr>
              <w:t xml:space="preserve"> </w:t>
            </w:r>
          </w:p>
        </w:tc>
      </w:tr>
      <w:tr w14:paraId="436565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44" w:type="pct"/>
            <w:tcBorders>
              <w:tl2br w:val="nil"/>
              <w:tr2bl w:val="nil"/>
            </w:tcBorders>
            <w:vAlign w:val="center"/>
          </w:tcPr>
          <w:p w14:paraId="72BE8A59">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《有色金属矿产品天然放射性限值》(GB 20664-2006)</w:t>
            </w:r>
          </w:p>
        </w:tc>
        <w:tc>
          <w:tcPr>
            <w:tcW w:w="703" w:type="pct"/>
            <w:tcBorders>
              <w:tl2br w:val="nil"/>
              <w:tr2bl w:val="nil"/>
            </w:tcBorders>
            <w:vAlign w:val="center"/>
          </w:tcPr>
          <w:p w14:paraId="1121BA4F">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702" w:type="pct"/>
            <w:tcBorders>
              <w:tl2br w:val="nil"/>
              <w:tr2bl w:val="nil"/>
            </w:tcBorders>
            <w:vAlign w:val="center"/>
          </w:tcPr>
          <w:p w14:paraId="5FE1FB0D">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703" w:type="pct"/>
            <w:tcBorders>
              <w:tl2br w:val="nil"/>
              <w:tr2bl w:val="nil"/>
            </w:tcBorders>
            <w:vAlign w:val="center"/>
          </w:tcPr>
          <w:p w14:paraId="5E351A21">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546" w:type="pct"/>
            <w:tcBorders>
              <w:tl2br w:val="nil"/>
              <w:tr2bl w:val="nil"/>
            </w:tcBorders>
            <w:vAlign w:val="center"/>
          </w:tcPr>
          <w:p w14:paraId="06D75772">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r w14:paraId="3739C9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44" w:type="pct"/>
            <w:tcBorders>
              <w:tl2br w:val="nil"/>
              <w:tr2bl w:val="nil"/>
            </w:tcBorders>
            <w:vAlign w:val="center"/>
          </w:tcPr>
          <w:p w14:paraId="45430D4E">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是否合格</w:t>
            </w:r>
          </w:p>
        </w:tc>
        <w:tc>
          <w:tcPr>
            <w:tcW w:w="703" w:type="pct"/>
            <w:tcBorders>
              <w:tl2br w:val="nil"/>
              <w:tr2bl w:val="nil"/>
            </w:tcBorders>
            <w:vAlign w:val="center"/>
          </w:tcPr>
          <w:p w14:paraId="3364390D">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合格</w:t>
            </w:r>
          </w:p>
        </w:tc>
        <w:tc>
          <w:tcPr>
            <w:tcW w:w="702" w:type="pct"/>
            <w:tcBorders>
              <w:tl2br w:val="nil"/>
              <w:tr2bl w:val="nil"/>
            </w:tcBorders>
            <w:vAlign w:val="center"/>
          </w:tcPr>
          <w:p w14:paraId="4A7D1DC7">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合格</w:t>
            </w:r>
          </w:p>
        </w:tc>
        <w:tc>
          <w:tcPr>
            <w:tcW w:w="703" w:type="pct"/>
            <w:tcBorders>
              <w:tl2br w:val="nil"/>
              <w:tr2bl w:val="nil"/>
            </w:tcBorders>
            <w:vAlign w:val="center"/>
          </w:tcPr>
          <w:p w14:paraId="3B9B0CC3">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合格</w:t>
            </w:r>
          </w:p>
        </w:tc>
        <w:tc>
          <w:tcPr>
            <w:tcW w:w="546" w:type="pct"/>
            <w:tcBorders>
              <w:tl2br w:val="nil"/>
              <w:tr2bl w:val="nil"/>
            </w:tcBorders>
            <w:vAlign w:val="center"/>
          </w:tcPr>
          <w:p w14:paraId="26750128">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合格</w:t>
            </w:r>
          </w:p>
        </w:tc>
      </w:tr>
      <w:tr w14:paraId="278D59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06FE5C25">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注：“ND”表示检测结果低于方法检出限。</w:t>
            </w:r>
          </w:p>
        </w:tc>
      </w:tr>
    </w:tbl>
    <w:p w14:paraId="13300C54">
      <w:pPr>
        <w:spacing w:line="360" w:lineRule="auto"/>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根据以上检测结果可以看出，本项目原矿、产品</w:t>
      </w:r>
      <w:r>
        <w:rPr>
          <w:rFonts w:hint="default" w:ascii="Times New Roman" w:hAnsi="Times New Roman" w:cs="Times New Roman" w:eastAsiaTheme="minorEastAsia"/>
          <w:color w:val="auto"/>
          <w:sz w:val="24"/>
          <w:szCs w:val="24"/>
          <w:lang w:val="en-US" w:eastAsia="zh-CN"/>
        </w:rPr>
        <w:t>铁矿石</w:t>
      </w:r>
      <w:r>
        <w:rPr>
          <w:rFonts w:hint="default" w:ascii="Times New Roman" w:hAnsi="Times New Roman" w:cs="Times New Roman" w:eastAsiaTheme="minorEastAsia"/>
          <w:color w:val="auto"/>
          <w:sz w:val="24"/>
          <w:szCs w:val="24"/>
        </w:rPr>
        <w:t>、产品</w:t>
      </w:r>
      <w:r>
        <w:rPr>
          <w:rFonts w:hint="default" w:ascii="Times New Roman" w:hAnsi="Times New Roman" w:cs="Times New Roman" w:eastAsiaTheme="minorEastAsia"/>
          <w:color w:val="auto"/>
          <w:sz w:val="24"/>
          <w:szCs w:val="24"/>
          <w:lang w:val="en-US" w:eastAsia="zh-CN"/>
        </w:rPr>
        <w:t>砂石料</w:t>
      </w:r>
      <w:r>
        <w:rPr>
          <w:rFonts w:hint="default" w:ascii="Times New Roman" w:hAnsi="Times New Roman" w:cs="Times New Roman" w:eastAsiaTheme="minorEastAsia"/>
          <w:color w:val="auto"/>
          <w:sz w:val="24"/>
          <w:szCs w:val="24"/>
        </w:rPr>
        <w:t>中的铀（钍）系单个核素活度浓度小于1贝可/克（Bq/g），满足《有色金属矿产品天然放射性限值》</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GB 20664-2006</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的相关要求。</w:t>
      </w:r>
    </w:p>
    <w:p w14:paraId="15FDA74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根据《关于发布</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矿产资源开发利用辐射环境监督管理名录</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的公告》（生态环境部公告 2020年 第54号），本项目无需编制辐射环境影响评价专篇。</w:t>
      </w:r>
    </w:p>
    <w:p w14:paraId="1687056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根据《建筑材料放射性核素限量》（GB6566-2010），当建筑主体材料中天然放射性核素226Ra、232Th、40K 的放射性比活度同时满足I</w:t>
      </w:r>
      <w:r>
        <w:rPr>
          <w:rFonts w:hint="default" w:ascii="Times New Roman" w:hAnsi="Times New Roman" w:eastAsia="宋体" w:cs="Times New Roman"/>
          <w:color w:val="auto"/>
          <w:vertAlign w:val="subscript"/>
          <w:lang w:val="en-US" w:eastAsia="zh-CN"/>
        </w:rPr>
        <w:t>Ra</w:t>
      </w:r>
      <w:r>
        <w:rPr>
          <w:rFonts w:hint="default" w:ascii="Times New Roman" w:hAnsi="Times New Roman" w:eastAsia="宋体" w:cs="Times New Roman"/>
          <w:color w:val="auto"/>
          <w:lang w:val="en-US" w:eastAsia="zh-CN"/>
        </w:rPr>
        <w:t>≤1.0 和 I</w:t>
      </w:r>
      <w:r>
        <w:rPr>
          <w:rFonts w:hint="default" w:ascii="Times New Roman" w:hAnsi="Times New Roman" w:eastAsia="宋体" w:cs="Times New Roman"/>
          <w:color w:val="auto"/>
          <w:vertAlign w:val="subscript"/>
          <w:lang w:val="en-US" w:eastAsia="zh-CN"/>
        </w:rPr>
        <w:t>γ</w:t>
      </w:r>
      <w:r>
        <w:rPr>
          <w:rFonts w:hint="default" w:ascii="Times New Roman" w:hAnsi="Times New Roman" w:eastAsia="宋体" w:cs="Times New Roman"/>
          <w:color w:val="auto"/>
          <w:lang w:val="en-US" w:eastAsia="zh-CN"/>
        </w:rPr>
        <w:t>≤1.0时，其产销与使用范围不受限制。</w:t>
      </w:r>
    </w:p>
    <w:p w14:paraId="6A40516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本项目原矿样品、磁性产品、非磁性产品的内照射指数均满足I</w:t>
      </w:r>
      <w:r>
        <w:rPr>
          <w:rFonts w:hint="default" w:ascii="Times New Roman" w:hAnsi="Times New Roman" w:eastAsia="宋体" w:cs="Times New Roman"/>
          <w:color w:val="auto"/>
          <w:vertAlign w:val="subscript"/>
          <w:lang w:val="en-US" w:eastAsia="zh-CN"/>
        </w:rPr>
        <w:t>Ra</w:t>
      </w:r>
      <w:r>
        <w:rPr>
          <w:rFonts w:hint="default" w:ascii="Times New Roman" w:hAnsi="Times New Roman" w:eastAsia="宋体" w:cs="Times New Roman"/>
          <w:color w:val="auto"/>
          <w:lang w:val="en-US" w:eastAsia="zh-CN"/>
        </w:rPr>
        <w:t>=C</w:t>
      </w:r>
      <w:r>
        <w:rPr>
          <w:rFonts w:hint="default" w:ascii="Times New Roman" w:hAnsi="Times New Roman" w:eastAsia="宋体" w:cs="Times New Roman"/>
          <w:color w:val="auto"/>
          <w:vertAlign w:val="subscript"/>
          <w:lang w:val="en-US" w:eastAsia="zh-CN"/>
        </w:rPr>
        <w:t>Ra</w:t>
      </w:r>
      <w:r>
        <w:rPr>
          <w:rFonts w:hint="default" w:ascii="Times New Roman" w:hAnsi="Times New Roman" w:eastAsia="宋体" w:cs="Times New Roman"/>
          <w:color w:val="auto"/>
          <w:lang w:val="en-US" w:eastAsia="zh-CN"/>
        </w:rPr>
        <w:t>/200&lt;1；外照射指数均满足I</w:t>
      </w:r>
      <w:r>
        <w:rPr>
          <w:rFonts w:hint="default" w:ascii="Times New Roman" w:hAnsi="Times New Roman" w:eastAsia="宋体" w:cs="Times New Roman"/>
          <w:color w:val="auto"/>
          <w:vertAlign w:val="subscript"/>
          <w:lang w:val="en-US" w:eastAsia="zh-CN"/>
        </w:rPr>
        <w:t>γ</w:t>
      </w:r>
      <w:r>
        <w:rPr>
          <w:rFonts w:hint="default" w:ascii="Times New Roman" w:hAnsi="Times New Roman" w:eastAsia="宋体" w:cs="Times New Roman"/>
          <w:color w:val="auto"/>
          <w:lang w:val="en-US" w:eastAsia="zh-CN"/>
        </w:rPr>
        <w:t>=C</w:t>
      </w:r>
      <w:r>
        <w:rPr>
          <w:rFonts w:hint="default" w:ascii="Times New Roman" w:hAnsi="Times New Roman" w:eastAsia="宋体" w:cs="Times New Roman"/>
          <w:color w:val="auto"/>
          <w:vertAlign w:val="subscript"/>
          <w:lang w:val="en-US" w:eastAsia="zh-CN"/>
        </w:rPr>
        <w:t>Ra</w:t>
      </w:r>
      <w:r>
        <w:rPr>
          <w:rFonts w:hint="default" w:ascii="Times New Roman" w:hAnsi="Times New Roman" w:eastAsia="宋体" w:cs="Times New Roman"/>
          <w:color w:val="auto"/>
          <w:lang w:val="en-US" w:eastAsia="zh-CN"/>
        </w:rPr>
        <w:t>/370+C</w:t>
      </w:r>
      <w:r>
        <w:rPr>
          <w:rFonts w:hint="default" w:ascii="Times New Roman" w:hAnsi="Times New Roman" w:eastAsia="宋体" w:cs="Times New Roman"/>
          <w:color w:val="auto"/>
          <w:vertAlign w:val="subscript"/>
          <w:lang w:val="en-US" w:eastAsia="zh-CN"/>
        </w:rPr>
        <w:t>Th</w:t>
      </w:r>
      <w:r>
        <w:rPr>
          <w:rFonts w:hint="default" w:ascii="Times New Roman" w:hAnsi="Times New Roman" w:eastAsia="宋体" w:cs="Times New Roman"/>
          <w:color w:val="auto"/>
          <w:lang w:val="en-US" w:eastAsia="zh-CN"/>
        </w:rPr>
        <w:t>/260+C</w:t>
      </w:r>
      <w:r>
        <w:rPr>
          <w:rFonts w:hint="default" w:ascii="Times New Roman" w:hAnsi="Times New Roman" w:eastAsia="宋体" w:cs="Times New Roman"/>
          <w:color w:val="auto"/>
          <w:vertAlign w:val="subscript"/>
          <w:lang w:val="en-US" w:eastAsia="zh-CN"/>
        </w:rPr>
        <w:t>K</w:t>
      </w:r>
      <w:r>
        <w:rPr>
          <w:rFonts w:hint="default" w:ascii="Times New Roman" w:hAnsi="Times New Roman" w:eastAsia="宋体" w:cs="Times New Roman"/>
          <w:color w:val="auto"/>
          <w:lang w:val="en-US" w:eastAsia="zh-CN"/>
        </w:rPr>
        <w:t>/4200=0.01&lt;1。</w:t>
      </w:r>
    </w:p>
    <w:p w14:paraId="768402C5">
      <w:pPr>
        <w:spacing w:line="360" w:lineRule="auto"/>
        <w:ind w:firstLine="480"/>
        <w:rPr>
          <w:rFonts w:hint="default" w:ascii="Times New Roman" w:hAnsi="Times New Roman" w:cs="Times New Roman" w:eastAsiaTheme="minorEastAsia"/>
          <w:color w:val="auto"/>
          <w:sz w:val="24"/>
          <w:szCs w:val="24"/>
        </w:rPr>
      </w:pPr>
      <w:r>
        <w:rPr>
          <w:rFonts w:hint="default" w:ascii="Times New Roman" w:hAnsi="Times New Roman" w:eastAsia="宋体" w:cs="Times New Roman"/>
          <w:color w:val="auto"/>
          <w:lang w:val="en-US" w:eastAsia="zh-CN"/>
        </w:rPr>
        <w:t>从检验结果来看，本项目原矿、产品均符合《建筑材料放射性核素限量》（GB6566-2010）要求，可作为建筑材料外售。</w:t>
      </w:r>
    </w:p>
    <w:p w14:paraId="68D574CD">
      <w:pPr>
        <w:pStyle w:val="6"/>
        <w:bidi w:val="0"/>
        <w:rPr>
          <w:rFonts w:hint="default" w:ascii="Times New Roman" w:hAnsi="Times New Roman" w:cs="Times New Roman"/>
        </w:rPr>
      </w:pPr>
      <w:bookmarkStart w:id="252" w:name="_Toc165816736"/>
      <w:bookmarkStart w:id="253" w:name="_Toc30271"/>
      <w:r>
        <w:rPr>
          <w:rFonts w:hint="default" w:ascii="Times New Roman" w:hAnsi="Times New Roman" w:cs="Times New Roman"/>
          <w:lang w:val="en-US" w:eastAsia="zh-CN"/>
        </w:rPr>
        <w:t>3</w:t>
      </w:r>
      <w:r>
        <w:rPr>
          <w:rFonts w:hint="default" w:ascii="Times New Roman" w:hAnsi="Times New Roman" w:cs="Times New Roman"/>
        </w:rPr>
        <w:t>.2.</w:t>
      </w:r>
      <w:r>
        <w:rPr>
          <w:rFonts w:hint="default" w:ascii="Times New Roman" w:hAnsi="Times New Roman" w:cs="Times New Roman"/>
          <w:lang w:val="en-US" w:eastAsia="zh-CN"/>
        </w:rPr>
        <w:t>8</w:t>
      </w:r>
      <w:r>
        <w:rPr>
          <w:rFonts w:hint="default" w:ascii="Times New Roman" w:hAnsi="Times New Roman" w:cs="Times New Roman"/>
        </w:rPr>
        <w:t>主要生产设备</w:t>
      </w:r>
      <w:bookmarkEnd w:id="252"/>
      <w:bookmarkEnd w:id="253"/>
    </w:p>
    <w:p w14:paraId="4E8FADCE">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本项目主要生产设备见表</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.2.</w:t>
      </w:r>
      <w:r>
        <w:rPr>
          <w:rFonts w:hint="default" w:ascii="Times New Roman" w:hAnsi="Times New Roman" w:cs="Times New Roman" w:eastAsiaTheme="minorEastAsia"/>
          <w:sz w:val="24"/>
          <w:szCs w:val="24"/>
          <w:lang w:val="en-US" w:eastAsia="zh-CN"/>
        </w:rPr>
        <w:t>8</w:t>
      </w:r>
      <w:r>
        <w:rPr>
          <w:rFonts w:hint="default" w:ascii="Times New Roman" w:hAnsi="Times New Roman" w:cs="Times New Roman" w:eastAsiaTheme="minorEastAsia"/>
          <w:sz w:val="24"/>
          <w:szCs w:val="24"/>
        </w:rPr>
        <w:t>-1。</w:t>
      </w:r>
    </w:p>
    <w:p w14:paraId="14E1AF92">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sz w:val="21"/>
          <w:szCs w:val="21"/>
          <w:lang w:val="en-US" w:eastAsia="zh-CN"/>
        </w:rPr>
        <w:t>3</w:t>
      </w:r>
      <w:r>
        <w:rPr>
          <w:rFonts w:hint="default" w:ascii="Times New Roman" w:hAnsi="Times New Roman" w:eastAsia="黑体" w:cs="Times New Roman"/>
          <w:sz w:val="21"/>
          <w:szCs w:val="21"/>
        </w:rPr>
        <w:t>.2.</w:t>
      </w:r>
      <w:r>
        <w:rPr>
          <w:rFonts w:hint="default" w:ascii="Times New Roman" w:hAnsi="Times New Roman" w:eastAsia="黑体" w:cs="Times New Roman"/>
          <w:sz w:val="21"/>
          <w:szCs w:val="21"/>
          <w:lang w:val="en-US" w:eastAsia="zh-CN"/>
        </w:rPr>
        <w:t>8</w:t>
      </w:r>
      <w:r>
        <w:rPr>
          <w:rFonts w:hint="default" w:ascii="Times New Roman" w:hAnsi="Times New Roman" w:eastAsia="黑体" w:cs="Times New Roman"/>
          <w:sz w:val="21"/>
          <w:szCs w:val="21"/>
        </w:rPr>
        <w:t>-1</w:t>
      </w:r>
      <w:r>
        <w:rPr>
          <w:rFonts w:hint="default" w:ascii="Times New Roman" w:hAnsi="Times New Roman" w:eastAsia="黑体" w:cs="Times New Roman"/>
          <w:b w:val="0"/>
          <w:bCs/>
          <w:sz w:val="21"/>
          <w:szCs w:val="21"/>
        </w:rPr>
        <w:t xml:space="preserve">  项目主要生产设备一览表</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320"/>
        <w:gridCol w:w="2220"/>
        <w:gridCol w:w="1410"/>
        <w:gridCol w:w="1076"/>
        <w:gridCol w:w="1502"/>
      </w:tblGrid>
      <w:tr w14:paraId="1EB796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tcBorders>
              <w:tl2br w:val="nil"/>
              <w:tr2bl w:val="nil"/>
            </w:tcBorders>
            <w:vAlign w:val="center"/>
          </w:tcPr>
          <w:p w14:paraId="2D2D8754">
            <w:pPr>
              <w:pStyle w:val="2"/>
              <w:spacing w:after="0" w:line="240" w:lineRule="auto"/>
              <w:jc w:val="center"/>
              <w:rPr>
                <w:rFonts w:hint="default" w:ascii="Times New Roman" w:hAnsi="Times New Roman" w:cs="Times New Roman" w:eastAsiaTheme="minorEastAsia"/>
                <w:b/>
                <w:bCs/>
                <w:color w:val="000000"/>
                <w:sz w:val="18"/>
                <w:szCs w:val="18"/>
              </w:rPr>
            </w:pPr>
            <w:bookmarkStart w:id="254" w:name="_Toc165816737"/>
            <w:r>
              <w:rPr>
                <w:rFonts w:hint="default" w:ascii="Times New Roman" w:hAnsi="Times New Roman" w:cs="Times New Roman" w:eastAsiaTheme="minorEastAsia"/>
                <w:b/>
                <w:bCs/>
                <w:color w:val="000000"/>
                <w:sz w:val="18"/>
                <w:szCs w:val="18"/>
              </w:rPr>
              <w:t>序号</w:t>
            </w:r>
          </w:p>
        </w:tc>
        <w:tc>
          <w:tcPr>
            <w:tcW w:w="1249" w:type="pct"/>
            <w:tcBorders>
              <w:tl2br w:val="nil"/>
              <w:tr2bl w:val="nil"/>
            </w:tcBorders>
            <w:vAlign w:val="center"/>
          </w:tcPr>
          <w:p w14:paraId="38D4B170">
            <w:pPr>
              <w:pStyle w:val="2"/>
              <w:spacing w:after="0" w:line="240" w:lineRule="auto"/>
              <w:jc w:val="center"/>
              <w:rPr>
                <w:rFonts w:hint="default" w:ascii="Times New Roman" w:hAnsi="Times New Roman" w:cs="Times New Roman" w:eastAsiaTheme="minorEastAsia"/>
                <w:b/>
                <w:bCs/>
                <w:color w:val="000000"/>
                <w:sz w:val="18"/>
                <w:szCs w:val="18"/>
              </w:rPr>
            </w:pPr>
            <w:r>
              <w:rPr>
                <w:rFonts w:hint="default" w:ascii="Times New Roman" w:hAnsi="Times New Roman" w:cs="Times New Roman" w:eastAsiaTheme="minorEastAsia"/>
                <w:b/>
                <w:bCs/>
                <w:color w:val="000000"/>
                <w:sz w:val="18"/>
                <w:szCs w:val="18"/>
              </w:rPr>
              <w:t>设备名称</w:t>
            </w:r>
          </w:p>
        </w:tc>
        <w:tc>
          <w:tcPr>
            <w:tcW w:w="1195" w:type="pct"/>
            <w:tcBorders>
              <w:tl2br w:val="nil"/>
              <w:tr2bl w:val="nil"/>
            </w:tcBorders>
            <w:vAlign w:val="center"/>
          </w:tcPr>
          <w:p w14:paraId="30813430">
            <w:pPr>
              <w:pStyle w:val="2"/>
              <w:spacing w:after="0" w:line="240" w:lineRule="auto"/>
              <w:jc w:val="center"/>
              <w:rPr>
                <w:rFonts w:hint="default" w:ascii="Times New Roman" w:hAnsi="Times New Roman" w:cs="Times New Roman" w:eastAsiaTheme="minorEastAsia"/>
                <w:b/>
                <w:bCs/>
                <w:color w:val="000000"/>
                <w:sz w:val="18"/>
                <w:szCs w:val="18"/>
              </w:rPr>
            </w:pPr>
            <w:r>
              <w:rPr>
                <w:rFonts w:hint="default" w:ascii="Times New Roman" w:hAnsi="Times New Roman" w:cs="Times New Roman" w:eastAsiaTheme="minorEastAsia"/>
                <w:b/>
                <w:bCs/>
                <w:color w:val="000000"/>
                <w:sz w:val="18"/>
                <w:szCs w:val="18"/>
              </w:rPr>
              <w:t>规格型号</w:t>
            </w:r>
          </w:p>
        </w:tc>
        <w:tc>
          <w:tcPr>
            <w:tcW w:w="759" w:type="pct"/>
            <w:tcBorders>
              <w:tl2br w:val="nil"/>
              <w:tr2bl w:val="nil"/>
            </w:tcBorders>
            <w:vAlign w:val="center"/>
          </w:tcPr>
          <w:p w14:paraId="155E3441">
            <w:pPr>
              <w:pStyle w:val="2"/>
              <w:spacing w:after="0" w:line="240" w:lineRule="auto"/>
              <w:jc w:val="center"/>
              <w:rPr>
                <w:rFonts w:hint="default" w:ascii="Times New Roman" w:hAnsi="Times New Roman" w:cs="Times New Roman" w:eastAsiaTheme="minorEastAsia"/>
                <w:b/>
                <w:bCs/>
                <w:color w:val="000000"/>
                <w:sz w:val="18"/>
                <w:szCs w:val="18"/>
              </w:rPr>
            </w:pPr>
            <w:r>
              <w:rPr>
                <w:rFonts w:hint="default" w:ascii="Times New Roman" w:hAnsi="Times New Roman" w:cs="Times New Roman" w:eastAsiaTheme="minorEastAsia"/>
                <w:b/>
                <w:bCs/>
                <w:color w:val="000000"/>
                <w:sz w:val="18"/>
                <w:szCs w:val="18"/>
              </w:rPr>
              <w:t>数量</w:t>
            </w:r>
          </w:p>
        </w:tc>
        <w:tc>
          <w:tcPr>
            <w:tcW w:w="579" w:type="pct"/>
            <w:tcBorders>
              <w:tl2br w:val="nil"/>
              <w:tr2bl w:val="nil"/>
            </w:tcBorders>
            <w:vAlign w:val="center"/>
          </w:tcPr>
          <w:p w14:paraId="720195F5">
            <w:pPr>
              <w:pStyle w:val="2"/>
              <w:spacing w:after="0" w:line="240" w:lineRule="auto"/>
              <w:jc w:val="center"/>
              <w:rPr>
                <w:rFonts w:hint="default" w:ascii="Times New Roman" w:hAnsi="Times New Roman" w:cs="Times New Roman" w:eastAsiaTheme="minorEastAsia"/>
                <w:b/>
                <w:bCs/>
                <w:color w:val="000000"/>
                <w:sz w:val="18"/>
                <w:szCs w:val="18"/>
              </w:rPr>
            </w:pPr>
            <w:r>
              <w:rPr>
                <w:rFonts w:hint="default" w:ascii="Times New Roman" w:hAnsi="Times New Roman" w:cs="Times New Roman" w:eastAsiaTheme="minorEastAsia"/>
                <w:b/>
                <w:bCs/>
                <w:color w:val="000000"/>
                <w:sz w:val="18"/>
                <w:szCs w:val="18"/>
              </w:rPr>
              <w:t>单位</w:t>
            </w:r>
          </w:p>
        </w:tc>
        <w:tc>
          <w:tcPr>
            <w:tcW w:w="808" w:type="pct"/>
            <w:tcBorders>
              <w:tl2br w:val="nil"/>
              <w:tr2bl w:val="nil"/>
            </w:tcBorders>
            <w:vAlign w:val="center"/>
          </w:tcPr>
          <w:p w14:paraId="486CC8D0">
            <w:pPr>
              <w:pStyle w:val="2"/>
              <w:spacing w:after="0" w:line="240" w:lineRule="auto"/>
              <w:jc w:val="center"/>
              <w:rPr>
                <w:rFonts w:hint="default" w:ascii="Times New Roman" w:hAnsi="Times New Roman" w:cs="Times New Roman" w:eastAsiaTheme="minorEastAsia"/>
                <w:b/>
                <w:bCs/>
                <w:color w:val="000000"/>
                <w:sz w:val="18"/>
                <w:szCs w:val="18"/>
              </w:rPr>
            </w:pPr>
            <w:r>
              <w:rPr>
                <w:rFonts w:hint="default" w:ascii="Times New Roman" w:hAnsi="Times New Roman" w:cs="Times New Roman" w:eastAsiaTheme="minorEastAsia"/>
                <w:b/>
                <w:bCs/>
                <w:color w:val="000000"/>
                <w:sz w:val="18"/>
                <w:szCs w:val="18"/>
              </w:rPr>
              <w:t>备注</w:t>
            </w:r>
          </w:p>
        </w:tc>
      </w:tr>
      <w:tr w14:paraId="14457E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tcBorders>
              <w:tl2br w:val="nil"/>
              <w:tr2bl w:val="nil"/>
            </w:tcBorders>
            <w:vAlign w:val="center"/>
          </w:tcPr>
          <w:p w14:paraId="4FDB37C8">
            <w:pPr>
              <w:pStyle w:val="2"/>
              <w:spacing w:after="0" w:line="240" w:lineRule="auto"/>
              <w:jc w:val="center"/>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rPr>
              <w:t>1</w:t>
            </w:r>
          </w:p>
        </w:tc>
        <w:tc>
          <w:tcPr>
            <w:tcW w:w="1249" w:type="pct"/>
            <w:tcBorders>
              <w:tl2br w:val="nil"/>
              <w:tr2bl w:val="nil"/>
            </w:tcBorders>
            <w:vAlign w:val="center"/>
          </w:tcPr>
          <w:p w14:paraId="5338A530">
            <w:pPr>
              <w:spacing w:line="240" w:lineRule="auto"/>
              <w:jc w:val="center"/>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rPr>
              <w:t>小型装载机</w:t>
            </w:r>
          </w:p>
        </w:tc>
        <w:tc>
          <w:tcPr>
            <w:tcW w:w="1195" w:type="pct"/>
            <w:tcBorders>
              <w:tl2br w:val="nil"/>
              <w:tr2bl w:val="nil"/>
            </w:tcBorders>
            <w:vAlign w:val="center"/>
          </w:tcPr>
          <w:p w14:paraId="1ADA626F">
            <w:pPr>
              <w:pStyle w:val="2"/>
              <w:spacing w:after="0" w:line="240" w:lineRule="auto"/>
              <w:jc w:val="center"/>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rPr>
              <w:t>936</w:t>
            </w:r>
          </w:p>
        </w:tc>
        <w:tc>
          <w:tcPr>
            <w:tcW w:w="759" w:type="pct"/>
            <w:tcBorders>
              <w:tl2br w:val="nil"/>
              <w:tr2bl w:val="nil"/>
            </w:tcBorders>
            <w:vAlign w:val="center"/>
          </w:tcPr>
          <w:p w14:paraId="09F2244A">
            <w:pPr>
              <w:pStyle w:val="2"/>
              <w:spacing w:after="0" w:line="240" w:lineRule="auto"/>
              <w:jc w:val="center"/>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rPr>
              <w:t>1</w:t>
            </w:r>
          </w:p>
        </w:tc>
        <w:tc>
          <w:tcPr>
            <w:tcW w:w="579" w:type="pct"/>
            <w:tcBorders>
              <w:tl2br w:val="nil"/>
              <w:tr2bl w:val="nil"/>
            </w:tcBorders>
            <w:vAlign w:val="center"/>
          </w:tcPr>
          <w:p w14:paraId="4E8EEB52">
            <w:pPr>
              <w:pStyle w:val="2"/>
              <w:spacing w:after="0" w:line="240" w:lineRule="auto"/>
              <w:jc w:val="center"/>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rPr>
              <w:t>台</w:t>
            </w:r>
          </w:p>
        </w:tc>
        <w:tc>
          <w:tcPr>
            <w:tcW w:w="808" w:type="pct"/>
            <w:tcBorders>
              <w:tl2br w:val="nil"/>
              <w:tr2bl w:val="nil"/>
            </w:tcBorders>
            <w:vAlign w:val="center"/>
          </w:tcPr>
          <w:p w14:paraId="62BA9498">
            <w:pPr>
              <w:spacing w:line="240" w:lineRule="auto"/>
              <w:jc w:val="center"/>
              <w:rPr>
                <w:rFonts w:hint="default" w:ascii="Times New Roman" w:hAnsi="Times New Roman" w:cs="Times New Roman" w:eastAsiaTheme="minorEastAsia"/>
                <w:color w:val="000000"/>
                <w:sz w:val="18"/>
                <w:szCs w:val="18"/>
                <w:lang w:val="en-US" w:eastAsia="zh-CN"/>
              </w:rPr>
            </w:pPr>
            <w:r>
              <w:rPr>
                <w:rFonts w:hint="default" w:ascii="Times New Roman" w:hAnsi="Times New Roman" w:cs="Times New Roman" w:eastAsiaTheme="minorEastAsia"/>
                <w:color w:val="000000"/>
                <w:sz w:val="18"/>
                <w:szCs w:val="18"/>
                <w:lang w:val="en-US" w:eastAsia="zh-CN"/>
              </w:rPr>
              <w:t>已建</w:t>
            </w:r>
          </w:p>
        </w:tc>
      </w:tr>
      <w:tr w14:paraId="403287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tcBorders>
              <w:tl2br w:val="nil"/>
              <w:tr2bl w:val="nil"/>
            </w:tcBorders>
            <w:vAlign w:val="center"/>
          </w:tcPr>
          <w:p w14:paraId="76467DB3">
            <w:pPr>
              <w:pStyle w:val="2"/>
              <w:spacing w:after="0" w:line="240" w:lineRule="auto"/>
              <w:jc w:val="center"/>
              <w:rPr>
                <w:rFonts w:hint="default" w:ascii="Times New Roman" w:hAnsi="Times New Roman" w:cs="Times New Roman" w:eastAsiaTheme="minorEastAsia"/>
                <w:color w:val="000000"/>
                <w:sz w:val="18"/>
                <w:szCs w:val="18"/>
                <w:lang w:val="en-US" w:eastAsia="zh-CN"/>
              </w:rPr>
            </w:pPr>
            <w:r>
              <w:rPr>
                <w:rFonts w:hint="default" w:ascii="Times New Roman" w:hAnsi="Times New Roman" w:cs="Times New Roman" w:eastAsiaTheme="minorEastAsia"/>
                <w:color w:val="000000"/>
                <w:sz w:val="18"/>
                <w:szCs w:val="18"/>
                <w:lang w:val="en-US" w:eastAsia="zh-CN"/>
              </w:rPr>
              <w:t>2</w:t>
            </w:r>
          </w:p>
        </w:tc>
        <w:tc>
          <w:tcPr>
            <w:tcW w:w="1249" w:type="pct"/>
            <w:tcBorders>
              <w:tl2br w:val="nil"/>
              <w:tr2bl w:val="nil"/>
            </w:tcBorders>
            <w:vAlign w:val="center"/>
          </w:tcPr>
          <w:p w14:paraId="293B3F97">
            <w:pPr>
              <w:spacing w:line="240" w:lineRule="auto"/>
              <w:jc w:val="center"/>
              <w:rPr>
                <w:rFonts w:hint="default" w:ascii="Times New Roman" w:hAnsi="Times New Roman" w:cs="Times New Roman" w:eastAsiaTheme="minorEastAsia"/>
                <w:color w:val="000000"/>
                <w:sz w:val="18"/>
                <w:szCs w:val="18"/>
                <w:lang w:val="en-US" w:eastAsia="zh-CN"/>
              </w:rPr>
            </w:pPr>
            <w:r>
              <w:rPr>
                <w:rFonts w:hint="default" w:ascii="Times New Roman" w:hAnsi="Times New Roman" w:cs="Times New Roman" w:eastAsiaTheme="minorEastAsia"/>
                <w:color w:val="000000"/>
                <w:sz w:val="18"/>
                <w:szCs w:val="18"/>
                <w:lang w:val="en-US" w:eastAsia="zh-CN"/>
              </w:rPr>
              <w:t>棒条筛</w:t>
            </w:r>
          </w:p>
        </w:tc>
        <w:tc>
          <w:tcPr>
            <w:tcW w:w="1195" w:type="pct"/>
            <w:tcBorders>
              <w:tl2br w:val="nil"/>
              <w:tr2bl w:val="nil"/>
            </w:tcBorders>
            <w:vAlign w:val="center"/>
          </w:tcPr>
          <w:p w14:paraId="76B0016E">
            <w:pPr>
              <w:pStyle w:val="2"/>
              <w:spacing w:after="0" w:line="240" w:lineRule="auto"/>
              <w:jc w:val="center"/>
              <w:rPr>
                <w:rFonts w:hint="default" w:ascii="Times New Roman" w:hAnsi="Times New Roman" w:cs="Times New Roman" w:eastAsiaTheme="minorEastAsia"/>
                <w:color w:val="000000"/>
                <w:sz w:val="18"/>
                <w:szCs w:val="18"/>
                <w:lang w:val="en-US" w:eastAsia="zh-CN"/>
              </w:rPr>
            </w:pPr>
            <w:r>
              <w:rPr>
                <w:rFonts w:hint="default" w:ascii="Times New Roman" w:hAnsi="Times New Roman" w:cs="Times New Roman" w:eastAsiaTheme="minorEastAsia"/>
                <w:color w:val="000000"/>
                <w:sz w:val="18"/>
                <w:szCs w:val="18"/>
                <w:lang w:val="en-US" w:eastAsia="zh-CN"/>
              </w:rPr>
              <w:t>GZT-1200*4800</w:t>
            </w:r>
          </w:p>
        </w:tc>
        <w:tc>
          <w:tcPr>
            <w:tcW w:w="759" w:type="pct"/>
            <w:tcBorders>
              <w:tl2br w:val="nil"/>
              <w:tr2bl w:val="nil"/>
            </w:tcBorders>
            <w:vAlign w:val="center"/>
          </w:tcPr>
          <w:p w14:paraId="716A8E19">
            <w:pPr>
              <w:pStyle w:val="2"/>
              <w:spacing w:after="0" w:line="240" w:lineRule="auto"/>
              <w:jc w:val="center"/>
              <w:rPr>
                <w:rFonts w:hint="default" w:ascii="Times New Roman" w:hAnsi="Times New Roman" w:cs="Times New Roman" w:eastAsiaTheme="minorEastAsia"/>
                <w:color w:val="000000"/>
                <w:sz w:val="18"/>
                <w:szCs w:val="18"/>
                <w:lang w:val="en-US" w:eastAsia="zh-CN"/>
              </w:rPr>
            </w:pPr>
            <w:r>
              <w:rPr>
                <w:rFonts w:hint="default" w:ascii="Times New Roman" w:hAnsi="Times New Roman" w:cs="Times New Roman" w:eastAsiaTheme="minorEastAsia"/>
                <w:color w:val="000000"/>
                <w:sz w:val="18"/>
                <w:szCs w:val="18"/>
                <w:lang w:val="en-US" w:eastAsia="zh-CN"/>
              </w:rPr>
              <w:t>1</w:t>
            </w:r>
          </w:p>
        </w:tc>
        <w:tc>
          <w:tcPr>
            <w:tcW w:w="579" w:type="pct"/>
            <w:tcBorders>
              <w:tl2br w:val="nil"/>
              <w:tr2bl w:val="nil"/>
            </w:tcBorders>
            <w:vAlign w:val="center"/>
          </w:tcPr>
          <w:p w14:paraId="4114F213">
            <w:pPr>
              <w:pStyle w:val="2"/>
              <w:spacing w:after="0" w:line="240" w:lineRule="auto"/>
              <w:jc w:val="center"/>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rPr>
              <w:t>台</w:t>
            </w:r>
          </w:p>
        </w:tc>
        <w:tc>
          <w:tcPr>
            <w:tcW w:w="808" w:type="pct"/>
            <w:tcBorders>
              <w:tl2br w:val="nil"/>
              <w:tr2bl w:val="nil"/>
            </w:tcBorders>
            <w:vAlign w:val="center"/>
          </w:tcPr>
          <w:p w14:paraId="79F06C03">
            <w:pPr>
              <w:spacing w:line="240" w:lineRule="auto"/>
              <w:jc w:val="center"/>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lang w:val="en-US" w:eastAsia="zh-CN"/>
              </w:rPr>
              <w:t>已建</w:t>
            </w:r>
          </w:p>
        </w:tc>
      </w:tr>
      <w:tr w14:paraId="0D64B7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tcBorders>
              <w:tl2br w:val="nil"/>
              <w:tr2bl w:val="nil"/>
            </w:tcBorders>
            <w:vAlign w:val="center"/>
          </w:tcPr>
          <w:p w14:paraId="3603F574">
            <w:pPr>
              <w:pStyle w:val="2"/>
              <w:spacing w:after="0" w:line="240" w:lineRule="auto"/>
              <w:jc w:val="center"/>
              <w:rPr>
                <w:rFonts w:hint="default" w:ascii="Times New Roman" w:hAnsi="Times New Roman" w:cs="Times New Roman" w:eastAsiaTheme="minorEastAsia"/>
                <w:color w:val="000000"/>
                <w:sz w:val="18"/>
                <w:szCs w:val="18"/>
                <w:lang w:eastAsia="zh-CN"/>
              </w:rPr>
            </w:pPr>
            <w:r>
              <w:rPr>
                <w:rFonts w:hint="default" w:ascii="Times New Roman" w:hAnsi="Times New Roman" w:cs="Times New Roman" w:eastAsiaTheme="minorEastAsia"/>
                <w:color w:val="000000"/>
                <w:sz w:val="18"/>
                <w:szCs w:val="18"/>
                <w:lang w:val="en-US" w:eastAsia="zh-CN"/>
              </w:rPr>
              <w:t>3</w:t>
            </w:r>
          </w:p>
        </w:tc>
        <w:tc>
          <w:tcPr>
            <w:tcW w:w="1249" w:type="pct"/>
            <w:tcBorders>
              <w:tl2br w:val="nil"/>
              <w:tr2bl w:val="nil"/>
            </w:tcBorders>
            <w:vAlign w:val="center"/>
          </w:tcPr>
          <w:p w14:paraId="74A95342">
            <w:pP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lang w:eastAsia="zh-CN"/>
                <w14:textFill>
                  <w14:solidFill>
                    <w14:schemeClr w14:val="tx1"/>
                  </w14:solidFill>
                </w14:textFill>
              </w:rPr>
              <w:t>振动筛</w:t>
            </w:r>
            <w:r>
              <w:rPr>
                <w:rFonts w:hint="default" w:ascii="Times New Roman" w:hAnsi="Times New Roman" w:cs="Times New Roman" w:eastAsiaTheme="minorEastAsia"/>
                <w:color w:val="000000" w:themeColor="text1"/>
                <w:sz w:val="18"/>
                <w:szCs w:val="18"/>
                <w14:textFill>
                  <w14:solidFill>
                    <w14:schemeClr w14:val="tx1"/>
                  </w14:solidFill>
                </w14:textFill>
              </w:rPr>
              <w:t>分机</w:t>
            </w:r>
          </w:p>
        </w:tc>
        <w:tc>
          <w:tcPr>
            <w:tcW w:w="1195" w:type="pct"/>
            <w:tcBorders>
              <w:tl2br w:val="nil"/>
              <w:tr2bl w:val="nil"/>
            </w:tcBorders>
            <w:vAlign w:val="center"/>
          </w:tcPr>
          <w:p w14:paraId="6783DA5E">
            <w:pPr>
              <w:pStyle w:val="2"/>
              <w:spacing w:after="0"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2SZZ-1232</w:t>
            </w:r>
          </w:p>
        </w:tc>
        <w:tc>
          <w:tcPr>
            <w:tcW w:w="759" w:type="pct"/>
            <w:tcBorders>
              <w:tl2br w:val="nil"/>
              <w:tr2bl w:val="nil"/>
            </w:tcBorders>
            <w:vAlign w:val="center"/>
          </w:tcPr>
          <w:p w14:paraId="17BB14E1">
            <w:pPr>
              <w:spacing w:line="240" w:lineRule="auto"/>
              <w:jc w:val="center"/>
              <w:rPr>
                <w:rFonts w:hint="default" w:ascii="Times New Roman" w:hAnsi="Times New Roman" w:cs="Times New Roman" w:eastAsiaTheme="minorEastAsia"/>
                <w:color w:val="000000" w:themeColor="text1"/>
                <w:sz w:val="18"/>
                <w:szCs w:val="18"/>
                <w:lang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2</w:t>
            </w:r>
          </w:p>
        </w:tc>
        <w:tc>
          <w:tcPr>
            <w:tcW w:w="579" w:type="pct"/>
            <w:tcBorders>
              <w:tl2br w:val="nil"/>
              <w:tr2bl w:val="nil"/>
            </w:tcBorders>
            <w:vAlign w:val="center"/>
          </w:tcPr>
          <w:p w14:paraId="791CADD9">
            <w:pP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台</w:t>
            </w:r>
          </w:p>
        </w:tc>
        <w:tc>
          <w:tcPr>
            <w:tcW w:w="808" w:type="pct"/>
            <w:tcBorders>
              <w:tl2br w:val="nil"/>
              <w:tr2bl w:val="nil"/>
            </w:tcBorders>
            <w:vAlign w:val="center"/>
          </w:tcPr>
          <w:p w14:paraId="6D06173E">
            <w:pPr>
              <w:spacing w:line="240" w:lineRule="auto"/>
              <w:jc w:val="center"/>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lang w:val="en-US" w:eastAsia="zh-CN"/>
              </w:rPr>
              <w:t>已建</w:t>
            </w:r>
          </w:p>
        </w:tc>
      </w:tr>
      <w:tr w14:paraId="7BF015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tcBorders>
              <w:tl2br w:val="nil"/>
              <w:tr2bl w:val="nil"/>
            </w:tcBorders>
            <w:vAlign w:val="center"/>
          </w:tcPr>
          <w:p w14:paraId="44D4DAD2">
            <w:pPr>
              <w:pStyle w:val="2"/>
              <w:spacing w:after="0" w:line="240" w:lineRule="auto"/>
              <w:jc w:val="center"/>
              <w:rPr>
                <w:rFonts w:hint="default" w:ascii="Times New Roman" w:hAnsi="Times New Roman" w:cs="Times New Roman" w:eastAsiaTheme="minorEastAsia"/>
                <w:color w:val="000000"/>
                <w:sz w:val="18"/>
                <w:szCs w:val="18"/>
                <w:lang w:eastAsia="zh-CN"/>
              </w:rPr>
            </w:pPr>
            <w:r>
              <w:rPr>
                <w:rFonts w:hint="default" w:ascii="Times New Roman" w:hAnsi="Times New Roman" w:cs="Times New Roman" w:eastAsiaTheme="minorEastAsia"/>
                <w:color w:val="000000"/>
                <w:sz w:val="18"/>
                <w:szCs w:val="18"/>
                <w:lang w:val="en-US" w:eastAsia="zh-CN"/>
              </w:rPr>
              <w:t>4</w:t>
            </w:r>
          </w:p>
        </w:tc>
        <w:tc>
          <w:tcPr>
            <w:tcW w:w="1249" w:type="pct"/>
            <w:tcBorders>
              <w:tl2br w:val="nil"/>
              <w:tr2bl w:val="nil"/>
            </w:tcBorders>
            <w:vAlign w:val="center"/>
          </w:tcPr>
          <w:p w14:paraId="06AF8984">
            <w:pP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振动给料机</w:t>
            </w:r>
          </w:p>
        </w:tc>
        <w:tc>
          <w:tcPr>
            <w:tcW w:w="1195" w:type="pct"/>
            <w:tcBorders>
              <w:tl2br w:val="nil"/>
              <w:tr2bl w:val="nil"/>
            </w:tcBorders>
            <w:vAlign w:val="center"/>
          </w:tcPr>
          <w:p w14:paraId="63DFC3AA">
            <w:pPr>
              <w:pStyle w:val="2"/>
              <w:spacing w:after="0"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GZG-503</w:t>
            </w:r>
          </w:p>
        </w:tc>
        <w:tc>
          <w:tcPr>
            <w:tcW w:w="759" w:type="pct"/>
            <w:tcBorders>
              <w:tl2br w:val="nil"/>
              <w:tr2bl w:val="nil"/>
            </w:tcBorders>
            <w:vAlign w:val="center"/>
          </w:tcPr>
          <w:p w14:paraId="758B9D34">
            <w:pPr>
              <w:spacing w:line="240" w:lineRule="auto"/>
              <w:jc w:val="center"/>
              <w:rPr>
                <w:rFonts w:hint="default" w:ascii="Times New Roman" w:hAnsi="Times New Roman" w:cs="Times New Roman" w:eastAsiaTheme="minorEastAsia"/>
                <w:color w:val="000000" w:themeColor="text1"/>
                <w:sz w:val="18"/>
                <w:szCs w:val="18"/>
                <w:lang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3</w:t>
            </w:r>
          </w:p>
        </w:tc>
        <w:tc>
          <w:tcPr>
            <w:tcW w:w="579" w:type="pct"/>
            <w:tcBorders>
              <w:tl2br w:val="nil"/>
              <w:tr2bl w:val="nil"/>
            </w:tcBorders>
            <w:vAlign w:val="center"/>
          </w:tcPr>
          <w:p w14:paraId="093C358D">
            <w:pP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台</w:t>
            </w:r>
          </w:p>
        </w:tc>
        <w:tc>
          <w:tcPr>
            <w:tcW w:w="808" w:type="pct"/>
            <w:tcBorders>
              <w:tl2br w:val="nil"/>
              <w:tr2bl w:val="nil"/>
            </w:tcBorders>
            <w:vAlign w:val="center"/>
          </w:tcPr>
          <w:p w14:paraId="2DAE2C01">
            <w:pPr>
              <w:spacing w:line="240" w:lineRule="auto"/>
              <w:jc w:val="center"/>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lang w:val="en-US" w:eastAsia="zh-CN"/>
              </w:rPr>
              <w:t>已建</w:t>
            </w:r>
          </w:p>
        </w:tc>
      </w:tr>
      <w:tr w14:paraId="41FC4B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06" w:type="pct"/>
            <w:tcBorders>
              <w:tl2br w:val="nil"/>
              <w:tr2bl w:val="nil"/>
            </w:tcBorders>
            <w:vAlign w:val="center"/>
          </w:tcPr>
          <w:p w14:paraId="40498D97">
            <w:pPr>
              <w:pStyle w:val="2"/>
              <w:spacing w:after="0" w:line="240" w:lineRule="auto"/>
              <w:jc w:val="center"/>
              <w:rPr>
                <w:rFonts w:hint="default" w:ascii="Times New Roman" w:hAnsi="Times New Roman" w:cs="Times New Roman" w:eastAsiaTheme="minorEastAsia"/>
                <w:color w:val="000000"/>
                <w:sz w:val="18"/>
                <w:szCs w:val="18"/>
                <w:lang w:eastAsia="zh-CN"/>
              </w:rPr>
            </w:pPr>
            <w:r>
              <w:rPr>
                <w:rFonts w:hint="default" w:ascii="Times New Roman" w:hAnsi="Times New Roman" w:cs="Times New Roman" w:eastAsiaTheme="minorEastAsia"/>
                <w:color w:val="000000"/>
                <w:sz w:val="18"/>
                <w:szCs w:val="18"/>
                <w:lang w:val="en-US" w:eastAsia="zh-CN"/>
              </w:rPr>
              <w:t>5</w:t>
            </w:r>
          </w:p>
        </w:tc>
        <w:tc>
          <w:tcPr>
            <w:tcW w:w="1249" w:type="pct"/>
            <w:tcBorders>
              <w:tl2br w:val="nil"/>
              <w:tr2bl w:val="nil"/>
            </w:tcBorders>
            <w:vAlign w:val="center"/>
          </w:tcPr>
          <w:p w14:paraId="3BC2C55D">
            <w:pPr>
              <w:spacing w:line="240" w:lineRule="auto"/>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半移动破碎机机组</w:t>
            </w:r>
          </w:p>
        </w:tc>
        <w:tc>
          <w:tcPr>
            <w:tcW w:w="1195" w:type="pct"/>
            <w:tcBorders>
              <w:tl2br w:val="nil"/>
              <w:tr2bl w:val="nil"/>
            </w:tcBorders>
            <w:vAlign w:val="center"/>
          </w:tcPr>
          <w:p w14:paraId="129E8DD8">
            <w:pPr>
              <w:pStyle w:val="2"/>
              <w:spacing w:after="0" w:line="240" w:lineRule="auto"/>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CSMJ1575-2</w:t>
            </w:r>
          </w:p>
        </w:tc>
        <w:tc>
          <w:tcPr>
            <w:tcW w:w="759" w:type="pct"/>
            <w:tcBorders>
              <w:tl2br w:val="nil"/>
              <w:tr2bl w:val="nil"/>
            </w:tcBorders>
            <w:vAlign w:val="center"/>
          </w:tcPr>
          <w:p w14:paraId="54A00AD3">
            <w:pP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1</w:t>
            </w:r>
          </w:p>
        </w:tc>
        <w:tc>
          <w:tcPr>
            <w:tcW w:w="579" w:type="pct"/>
            <w:tcBorders>
              <w:tl2br w:val="nil"/>
              <w:tr2bl w:val="nil"/>
            </w:tcBorders>
            <w:vAlign w:val="center"/>
          </w:tcPr>
          <w:p w14:paraId="6E315EA3">
            <w:pP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台</w:t>
            </w:r>
          </w:p>
        </w:tc>
        <w:tc>
          <w:tcPr>
            <w:tcW w:w="808" w:type="pct"/>
            <w:tcBorders>
              <w:tl2br w:val="nil"/>
              <w:tr2bl w:val="nil"/>
            </w:tcBorders>
            <w:vAlign w:val="center"/>
          </w:tcPr>
          <w:p w14:paraId="64C65EFA">
            <w:pPr>
              <w:spacing w:line="240" w:lineRule="auto"/>
              <w:jc w:val="center"/>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lang w:val="en-US" w:eastAsia="zh-CN"/>
              </w:rPr>
              <w:t>已建</w:t>
            </w:r>
          </w:p>
        </w:tc>
      </w:tr>
      <w:tr w14:paraId="7DD358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tcBorders>
              <w:tl2br w:val="nil"/>
              <w:tr2bl w:val="nil"/>
            </w:tcBorders>
            <w:vAlign w:val="center"/>
          </w:tcPr>
          <w:p w14:paraId="371255C0">
            <w:pPr>
              <w:pStyle w:val="2"/>
              <w:spacing w:after="0" w:line="240" w:lineRule="auto"/>
              <w:jc w:val="center"/>
              <w:rPr>
                <w:rFonts w:hint="default" w:ascii="Times New Roman" w:hAnsi="Times New Roman" w:cs="Times New Roman" w:eastAsiaTheme="minorEastAsia"/>
                <w:color w:val="000000"/>
                <w:sz w:val="18"/>
                <w:szCs w:val="18"/>
                <w:lang w:eastAsia="zh-CN"/>
              </w:rPr>
            </w:pPr>
            <w:r>
              <w:rPr>
                <w:rFonts w:hint="default" w:ascii="Times New Roman" w:hAnsi="Times New Roman" w:cs="Times New Roman" w:eastAsiaTheme="minorEastAsia"/>
                <w:color w:val="000000"/>
                <w:sz w:val="18"/>
                <w:szCs w:val="18"/>
                <w:lang w:val="en-US" w:eastAsia="zh-CN"/>
              </w:rPr>
              <w:t>6</w:t>
            </w:r>
          </w:p>
        </w:tc>
        <w:tc>
          <w:tcPr>
            <w:tcW w:w="1249" w:type="pct"/>
            <w:tcBorders>
              <w:tl2br w:val="nil"/>
              <w:tr2bl w:val="nil"/>
            </w:tcBorders>
            <w:vAlign w:val="center"/>
          </w:tcPr>
          <w:p w14:paraId="6CD9C899">
            <w:pP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对</w:t>
            </w:r>
            <w:r>
              <w:rPr>
                <w:rFonts w:hint="default" w:ascii="Times New Roman" w:hAnsi="Times New Roman" w:cs="Times New Roman" w:eastAsiaTheme="minorEastAsia"/>
                <w:color w:val="000000" w:themeColor="text1"/>
                <w:sz w:val="18"/>
                <w:szCs w:val="18"/>
                <w14:textFill>
                  <w14:solidFill>
                    <w14:schemeClr w14:val="tx1"/>
                  </w14:solidFill>
                </w14:textFill>
              </w:rPr>
              <w:t>辊破碎机</w:t>
            </w:r>
          </w:p>
        </w:tc>
        <w:tc>
          <w:tcPr>
            <w:tcW w:w="1195" w:type="pct"/>
            <w:tcBorders>
              <w:tl2br w:val="nil"/>
              <w:tr2bl w:val="nil"/>
            </w:tcBorders>
            <w:vAlign w:val="center"/>
          </w:tcPr>
          <w:p w14:paraId="7E082D7E">
            <w:pPr>
              <w:pStyle w:val="2"/>
              <w:spacing w:after="0"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2PG-30PT</w:t>
            </w:r>
          </w:p>
        </w:tc>
        <w:tc>
          <w:tcPr>
            <w:tcW w:w="759" w:type="pct"/>
            <w:tcBorders>
              <w:tl2br w:val="nil"/>
              <w:tr2bl w:val="nil"/>
            </w:tcBorders>
            <w:vAlign w:val="center"/>
          </w:tcPr>
          <w:p w14:paraId="7D2DD9A2">
            <w:pP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1</w:t>
            </w:r>
          </w:p>
        </w:tc>
        <w:tc>
          <w:tcPr>
            <w:tcW w:w="579" w:type="pct"/>
            <w:tcBorders>
              <w:tl2br w:val="nil"/>
              <w:tr2bl w:val="nil"/>
            </w:tcBorders>
            <w:vAlign w:val="center"/>
          </w:tcPr>
          <w:p w14:paraId="56A24676">
            <w:pP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台</w:t>
            </w:r>
          </w:p>
        </w:tc>
        <w:tc>
          <w:tcPr>
            <w:tcW w:w="808" w:type="pct"/>
            <w:tcBorders>
              <w:tl2br w:val="nil"/>
              <w:tr2bl w:val="nil"/>
            </w:tcBorders>
            <w:vAlign w:val="center"/>
          </w:tcPr>
          <w:p w14:paraId="18470CE6">
            <w:pPr>
              <w:spacing w:line="240" w:lineRule="auto"/>
              <w:jc w:val="center"/>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lang w:val="en-US" w:eastAsia="zh-CN"/>
              </w:rPr>
              <w:t>已建</w:t>
            </w:r>
          </w:p>
        </w:tc>
      </w:tr>
      <w:tr w14:paraId="7C93D2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tcBorders>
              <w:tl2br w:val="nil"/>
              <w:tr2bl w:val="nil"/>
            </w:tcBorders>
            <w:vAlign w:val="center"/>
          </w:tcPr>
          <w:p w14:paraId="45150A34">
            <w:pPr>
              <w:pStyle w:val="2"/>
              <w:spacing w:after="0" w:line="240" w:lineRule="auto"/>
              <w:jc w:val="center"/>
              <w:rPr>
                <w:rFonts w:hint="default" w:ascii="Times New Roman" w:hAnsi="Times New Roman" w:cs="Times New Roman" w:eastAsiaTheme="minorEastAsia"/>
                <w:color w:val="000000"/>
                <w:sz w:val="18"/>
                <w:szCs w:val="18"/>
                <w:lang w:eastAsia="zh-CN"/>
              </w:rPr>
            </w:pPr>
            <w:r>
              <w:rPr>
                <w:rFonts w:hint="default" w:ascii="Times New Roman" w:hAnsi="Times New Roman" w:cs="Times New Roman" w:eastAsiaTheme="minorEastAsia"/>
                <w:color w:val="000000"/>
                <w:sz w:val="18"/>
                <w:szCs w:val="18"/>
                <w:lang w:val="en-US" w:eastAsia="zh-CN"/>
              </w:rPr>
              <w:t>7</w:t>
            </w:r>
          </w:p>
        </w:tc>
        <w:tc>
          <w:tcPr>
            <w:tcW w:w="1249" w:type="pct"/>
            <w:tcBorders>
              <w:tl2br w:val="nil"/>
              <w:tr2bl w:val="nil"/>
            </w:tcBorders>
            <w:vAlign w:val="center"/>
          </w:tcPr>
          <w:p w14:paraId="2BACA33A">
            <w:pPr>
              <w:spacing w:line="240" w:lineRule="auto"/>
              <w:jc w:val="center"/>
              <w:rPr>
                <w:rFonts w:hint="default" w:ascii="Times New Roman" w:hAnsi="Times New Roman" w:cs="Times New Roman" w:eastAsiaTheme="minorEastAsia"/>
                <w:color w:val="000000" w:themeColor="text1"/>
                <w:sz w:val="18"/>
                <w:szCs w:val="18"/>
                <w:lang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磁选机</w:t>
            </w:r>
          </w:p>
        </w:tc>
        <w:tc>
          <w:tcPr>
            <w:tcW w:w="1195" w:type="pct"/>
            <w:tcBorders>
              <w:tl2br w:val="nil"/>
              <w:tr2bl w:val="nil"/>
            </w:tcBorders>
            <w:vAlign w:val="center"/>
          </w:tcPr>
          <w:p w14:paraId="01CED119">
            <w:pPr>
              <w:pStyle w:val="2"/>
              <w:spacing w:after="0" w:line="240" w:lineRule="auto"/>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2RTGX0612</w:t>
            </w:r>
          </w:p>
        </w:tc>
        <w:tc>
          <w:tcPr>
            <w:tcW w:w="759" w:type="pct"/>
            <w:tcBorders>
              <w:tl2br w:val="nil"/>
              <w:tr2bl w:val="nil"/>
            </w:tcBorders>
            <w:vAlign w:val="center"/>
          </w:tcPr>
          <w:p w14:paraId="5DB79B74">
            <w:pPr>
              <w:spacing w:line="240" w:lineRule="auto"/>
              <w:jc w:val="center"/>
              <w:rPr>
                <w:rFonts w:hint="default" w:ascii="Times New Roman" w:hAnsi="Times New Roman" w:cs="Times New Roman" w:eastAsiaTheme="minorEastAsia"/>
                <w:color w:val="000000" w:themeColor="text1"/>
                <w:sz w:val="18"/>
                <w:szCs w:val="18"/>
                <w:lang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2</w:t>
            </w:r>
          </w:p>
        </w:tc>
        <w:tc>
          <w:tcPr>
            <w:tcW w:w="579" w:type="pct"/>
            <w:tcBorders>
              <w:tl2br w:val="nil"/>
              <w:tr2bl w:val="nil"/>
            </w:tcBorders>
            <w:vAlign w:val="center"/>
          </w:tcPr>
          <w:p w14:paraId="03088054">
            <w:pP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台</w:t>
            </w:r>
          </w:p>
        </w:tc>
        <w:tc>
          <w:tcPr>
            <w:tcW w:w="808" w:type="pct"/>
            <w:tcBorders>
              <w:tl2br w:val="nil"/>
              <w:tr2bl w:val="nil"/>
            </w:tcBorders>
            <w:vAlign w:val="center"/>
          </w:tcPr>
          <w:p w14:paraId="3E8C6B08">
            <w:pPr>
              <w:spacing w:line="240" w:lineRule="auto"/>
              <w:jc w:val="center"/>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lang w:val="en-US" w:eastAsia="zh-CN"/>
              </w:rPr>
              <w:t>已建</w:t>
            </w:r>
          </w:p>
        </w:tc>
      </w:tr>
      <w:tr w14:paraId="150D38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tcBorders>
              <w:tl2br w:val="nil"/>
              <w:tr2bl w:val="nil"/>
            </w:tcBorders>
            <w:vAlign w:val="center"/>
          </w:tcPr>
          <w:p w14:paraId="2F2850A7">
            <w:pPr>
              <w:pStyle w:val="2"/>
              <w:spacing w:after="0" w:line="240" w:lineRule="auto"/>
              <w:jc w:val="center"/>
              <w:rPr>
                <w:rFonts w:hint="default" w:ascii="Times New Roman" w:hAnsi="Times New Roman" w:cs="Times New Roman" w:eastAsiaTheme="minorEastAsia"/>
                <w:color w:val="FF0000"/>
                <w:sz w:val="18"/>
                <w:szCs w:val="18"/>
                <w:lang w:eastAsia="zh-CN"/>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8</w:t>
            </w:r>
          </w:p>
        </w:tc>
        <w:tc>
          <w:tcPr>
            <w:tcW w:w="1249" w:type="pct"/>
            <w:tcBorders>
              <w:tl2br w:val="nil"/>
              <w:tr2bl w:val="nil"/>
            </w:tcBorders>
            <w:vAlign w:val="center"/>
          </w:tcPr>
          <w:p w14:paraId="2C5F13D2">
            <w:pP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输送机</w:t>
            </w:r>
          </w:p>
        </w:tc>
        <w:tc>
          <w:tcPr>
            <w:tcW w:w="1195" w:type="pct"/>
            <w:tcBorders>
              <w:tl2br w:val="nil"/>
              <w:tr2bl w:val="nil"/>
            </w:tcBorders>
            <w:vAlign w:val="center"/>
          </w:tcPr>
          <w:p w14:paraId="25497FEA">
            <w:pPr>
              <w:pStyle w:val="2"/>
              <w:spacing w:after="0"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B=500,L=15</w:t>
            </w:r>
          </w:p>
        </w:tc>
        <w:tc>
          <w:tcPr>
            <w:tcW w:w="759" w:type="pct"/>
            <w:tcBorders>
              <w:tl2br w:val="nil"/>
              <w:tr2bl w:val="nil"/>
            </w:tcBorders>
            <w:vAlign w:val="center"/>
          </w:tcPr>
          <w:p w14:paraId="4BB89D04">
            <w:pPr>
              <w:spacing w:line="240" w:lineRule="auto"/>
              <w:ind w:firstLine="540" w:firstLineChars="300"/>
              <w:jc w:val="both"/>
              <w:rPr>
                <w:rFonts w:hint="default" w:ascii="Times New Roman" w:hAnsi="Times New Roman" w:cs="Times New Roman" w:eastAsiaTheme="minorEastAsia"/>
                <w:color w:val="000000" w:themeColor="text1"/>
                <w:sz w:val="18"/>
                <w:szCs w:val="18"/>
                <w:lang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8</w:t>
            </w:r>
          </w:p>
        </w:tc>
        <w:tc>
          <w:tcPr>
            <w:tcW w:w="579" w:type="pct"/>
            <w:tcBorders>
              <w:tl2br w:val="nil"/>
              <w:tr2bl w:val="nil"/>
            </w:tcBorders>
            <w:vAlign w:val="center"/>
          </w:tcPr>
          <w:p w14:paraId="1EAAE9F1">
            <w:pP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台</w:t>
            </w:r>
          </w:p>
        </w:tc>
        <w:tc>
          <w:tcPr>
            <w:tcW w:w="808" w:type="pct"/>
            <w:tcBorders>
              <w:tl2br w:val="nil"/>
              <w:tr2bl w:val="nil"/>
            </w:tcBorders>
            <w:vAlign w:val="center"/>
          </w:tcPr>
          <w:p w14:paraId="77376CD4">
            <w:pPr>
              <w:spacing w:line="240" w:lineRule="auto"/>
              <w:jc w:val="center"/>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lang w:val="en-US" w:eastAsia="zh-CN"/>
              </w:rPr>
              <w:t>已建</w:t>
            </w:r>
          </w:p>
        </w:tc>
      </w:tr>
      <w:tr w14:paraId="5FF8EB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tcBorders>
              <w:tl2br w:val="nil"/>
              <w:tr2bl w:val="nil"/>
            </w:tcBorders>
            <w:vAlign w:val="center"/>
          </w:tcPr>
          <w:p w14:paraId="77FF8CD3">
            <w:pPr>
              <w:pStyle w:val="2"/>
              <w:spacing w:after="0" w:line="240" w:lineRule="auto"/>
              <w:jc w:val="center"/>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rPr>
              <w:t>9</w:t>
            </w:r>
          </w:p>
        </w:tc>
        <w:tc>
          <w:tcPr>
            <w:tcW w:w="1249" w:type="pct"/>
            <w:tcBorders>
              <w:tl2br w:val="nil"/>
              <w:tr2bl w:val="nil"/>
            </w:tcBorders>
            <w:vAlign w:val="center"/>
          </w:tcPr>
          <w:p w14:paraId="4AF698A6">
            <w:pPr>
              <w:pStyle w:val="2"/>
              <w:spacing w:after="0" w:line="240" w:lineRule="auto"/>
              <w:jc w:val="center"/>
              <w:rPr>
                <w:rFonts w:hint="default" w:ascii="Times New Roman" w:hAnsi="Times New Roman" w:cs="Times New Roman" w:eastAsiaTheme="minorEastAsia"/>
                <w:color w:val="000000" w:themeColor="text1"/>
                <w:sz w:val="18"/>
                <w:szCs w:val="18"/>
                <w:lang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风机</w:t>
            </w:r>
          </w:p>
        </w:tc>
        <w:tc>
          <w:tcPr>
            <w:tcW w:w="1195" w:type="pct"/>
            <w:tcBorders>
              <w:tl2br w:val="nil"/>
              <w:tr2bl w:val="nil"/>
            </w:tcBorders>
            <w:vAlign w:val="center"/>
          </w:tcPr>
          <w:p w14:paraId="38A2A582">
            <w:pPr>
              <w:spacing w:line="240" w:lineRule="auto"/>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45kw/3.0kpa</w:t>
            </w:r>
          </w:p>
        </w:tc>
        <w:tc>
          <w:tcPr>
            <w:tcW w:w="759" w:type="pct"/>
            <w:tcBorders>
              <w:tl2br w:val="nil"/>
              <w:tr2bl w:val="nil"/>
            </w:tcBorders>
            <w:vAlign w:val="center"/>
          </w:tcPr>
          <w:p w14:paraId="3DCA8BA3">
            <w:pPr>
              <w:pStyle w:val="2"/>
              <w:spacing w:after="0"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1</w:t>
            </w:r>
          </w:p>
        </w:tc>
        <w:tc>
          <w:tcPr>
            <w:tcW w:w="579" w:type="pct"/>
            <w:tcBorders>
              <w:tl2br w:val="nil"/>
              <w:tr2bl w:val="nil"/>
            </w:tcBorders>
            <w:vAlign w:val="center"/>
          </w:tcPr>
          <w:p w14:paraId="3EC4E033">
            <w:pP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台</w:t>
            </w:r>
          </w:p>
        </w:tc>
        <w:tc>
          <w:tcPr>
            <w:tcW w:w="808" w:type="pct"/>
            <w:tcBorders>
              <w:tl2br w:val="nil"/>
              <w:tr2bl w:val="nil"/>
            </w:tcBorders>
            <w:vAlign w:val="center"/>
          </w:tcPr>
          <w:p w14:paraId="03A04DDA">
            <w:pPr>
              <w:spacing w:after="0" w:line="240" w:lineRule="auto"/>
              <w:jc w:val="center"/>
              <w:rPr>
                <w:rFonts w:hint="default" w:ascii="Times New Roman" w:hAnsi="Times New Roman" w:cs="Times New Roman" w:eastAsiaTheme="minorEastAsia"/>
                <w:color w:val="000000"/>
                <w:sz w:val="18"/>
                <w:szCs w:val="18"/>
                <w:lang w:eastAsia="zh-CN"/>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新增</w:t>
            </w:r>
          </w:p>
        </w:tc>
      </w:tr>
      <w:tr w14:paraId="04616F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tcBorders>
              <w:tl2br w:val="nil"/>
              <w:tr2bl w:val="nil"/>
            </w:tcBorders>
            <w:vAlign w:val="center"/>
          </w:tcPr>
          <w:p w14:paraId="5F452BF5">
            <w:pPr>
              <w:pStyle w:val="2"/>
              <w:spacing w:after="0" w:line="240" w:lineRule="auto"/>
              <w:jc w:val="center"/>
              <w:rPr>
                <w:rFonts w:hint="default" w:ascii="Times New Roman" w:hAnsi="Times New Roman" w:cs="Times New Roman" w:eastAsiaTheme="minorEastAsia"/>
                <w:color w:val="000000"/>
                <w:sz w:val="18"/>
                <w:szCs w:val="18"/>
                <w:lang w:val="en-US" w:eastAsia="zh-CN"/>
              </w:rPr>
            </w:pPr>
            <w:r>
              <w:rPr>
                <w:rFonts w:hint="default" w:ascii="Times New Roman" w:hAnsi="Times New Roman" w:cs="Times New Roman" w:eastAsiaTheme="minorEastAsia"/>
                <w:color w:val="000000"/>
                <w:sz w:val="18"/>
                <w:szCs w:val="18"/>
                <w:lang w:val="en-US" w:eastAsia="zh-CN"/>
              </w:rPr>
              <w:t>10</w:t>
            </w:r>
          </w:p>
        </w:tc>
        <w:tc>
          <w:tcPr>
            <w:tcW w:w="1249" w:type="pct"/>
            <w:tcBorders>
              <w:tl2br w:val="nil"/>
              <w:tr2bl w:val="nil"/>
            </w:tcBorders>
            <w:vAlign w:val="center"/>
          </w:tcPr>
          <w:p w14:paraId="4059184E">
            <w:pPr>
              <w:pStyle w:val="2"/>
              <w:spacing w:after="0" w:line="240" w:lineRule="auto"/>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布袋除尘器</w:t>
            </w:r>
          </w:p>
        </w:tc>
        <w:tc>
          <w:tcPr>
            <w:tcW w:w="2166" w:type="dxa"/>
            <w:tcBorders>
              <w:tl2br w:val="nil"/>
              <w:tr2bl w:val="nil"/>
            </w:tcBorders>
            <w:vAlign w:val="center"/>
          </w:tcPr>
          <w:p w14:paraId="6CEC4608">
            <w:pPr>
              <w:spacing w:line="240" w:lineRule="auto"/>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default" w:ascii="Times New Roman" w:hAnsi="Times New Roman" w:cs="Times New Roman" w:eastAsiaTheme="minorEastAsia"/>
                <w:color w:val="auto"/>
                <w:sz w:val="18"/>
                <w:szCs w:val="18"/>
                <w:lang w:val="en-US" w:eastAsia="zh-CN"/>
              </w:rPr>
              <w:t>40000m³/h</w:t>
            </w:r>
          </w:p>
        </w:tc>
        <w:tc>
          <w:tcPr>
            <w:tcW w:w="1376" w:type="dxa"/>
            <w:tcBorders>
              <w:tl2br w:val="nil"/>
              <w:tr2bl w:val="nil"/>
            </w:tcBorders>
            <w:vAlign w:val="center"/>
          </w:tcPr>
          <w:p w14:paraId="78742E75">
            <w:pPr>
              <w:pStyle w:val="2"/>
              <w:spacing w:after="0" w:line="240" w:lineRule="auto"/>
              <w:ind w:right="113" w:rightChars="0"/>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1</w:t>
            </w:r>
          </w:p>
        </w:tc>
        <w:tc>
          <w:tcPr>
            <w:tcW w:w="1050" w:type="dxa"/>
            <w:tcBorders>
              <w:tl2br w:val="nil"/>
              <w:tr2bl w:val="nil"/>
            </w:tcBorders>
            <w:vAlign w:val="center"/>
          </w:tcPr>
          <w:p w14:paraId="60547406">
            <w:pPr>
              <w:spacing w:line="240" w:lineRule="auto"/>
              <w:jc w:val="center"/>
              <w:rPr>
                <w:rFonts w:hint="default" w:ascii="Times New Roman" w:hAnsi="Times New Roman" w:cs="Times New Roman" w:eastAsiaTheme="minorEastAsia"/>
                <w:color w:val="000000" w:themeColor="text1"/>
                <w:sz w:val="18"/>
                <w:szCs w:val="18"/>
                <w:lang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套</w:t>
            </w:r>
          </w:p>
        </w:tc>
        <w:tc>
          <w:tcPr>
            <w:tcW w:w="1465" w:type="dxa"/>
            <w:tcBorders>
              <w:tl2br w:val="nil"/>
              <w:tr2bl w:val="nil"/>
            </w:tcBorders>
            <w:vAlign w:val="center"/>
          </w:tcPr>
          <w:p w14:paraId="73DDBECD">
            <w:pPr>
              <w:spacing w:after="0" w:line="240" w:lineRule="auto"/>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新增</w:t>
            </w:r>
          </w:p>
        </w:tc>
      </w:tr>
    </w:tbl>
    <w:p w14:paraId="061CD44B">
      <w:pPr>
        <w:pStyle w:val="6"/>
        <w:bidi w:val="0"/>
        <w:rPr>
          <w:rFonts w:hint="default" w:ascii="Times New Roman" w:hAnsi="Times New Roman" w:cs="Times New Roman"/>
        </w:rPr>
      </w:pPr>
      <w:bookmarkStart w:id="255" w:name="_Toc17292"/>
      <w:r>
        <w:rPr>
          <w:rFonts w:hint="default" w:ascii="Times New Roman" w:hAnsi="Times New Roman" w:cs="Times New Roman"/>
          <w:lang w:val="en-US" w:eastAsia="zh-CN"/>
        </w:rPr>
        <w:t>3</w:t>
      </w:r>
      <w:r>
        <w:rPr>
          <w:rFonts w:hint="default" w:ascii="Times New Roman" w:hAnsi="Times New Roman" w:cs="Times New Roman"/>
        </w:rPr>
        <w:t>.2.</w:t>
      </w:r>
      <w:r>
        <w:rPr>
          <w:rFonts w:hint="default" w:ascii="Times New Roman" w:hAnsi="Times New Roman" w:cs="Times New Roman"/>
          <w:lang w:val="en-US" w:eastAsia="zh-CN"/>
        </w:rPr>
        <w:t>9</w:t>
      </w:r>
      <w:r>
        <w:rPr>
          <w:rFonts w:hint="default" w:ascii="Times New Roman" w:hAnsi="Times New Roman" w:cs="Times New Roman"/>
        </w:rPr>
        <w:t>公用工程</w:t>
      </w:r>
      <w:bookmarkEnd w:id="254"/>
      <w:bookmarkEnd w:id="255"/>
    </w:p>
    <w:p w14:paraId="28E83920">
      <w:pPr>
        <w:spacing w:line="360" w:lineRule="auto"/>
        <w:ind w:firstLine="482"/>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1、供水</w:t>
      </w:r>
    </w:p>
    <w:p w14:paraId="174C4437">
      <w:pPr>
        <w:spacing w:line="360" w:lineRule="auto"/>
        <w:ind w:firstLine="480"/>
        <w:rPr>
          <w:rFonts w:hint="default" w:ascii="Times New Roman" w:hAnsi="Times New Roman" w:cs="Times New Roman" w:eastAsiaTheme="minorEastAsia"/>
          <w:sz w:val="24"/>
          <w:szCs w:val="24"/>
          <w:lang w:eastAsia="zh-CN"/>
        </w:rPr>
      </w:pPr>
      <w:r>
        <w:rPr>
          <w:rFonts w:hint="default" w:ascii="Times New Roman" w:hAnsi="Times New Roman" w:cs="Times New Roman"/>
          <w:sz w:val="24"/>
        </w:rPr>
        <w:t>生活用水由矿山东侧的新平鲁电矿业有限公司自走铁矿供给，</w:t>
      </w:r>
      <w:r>
        <w:rPr>
          <w:rFonts w:hint="default" w:ascii="Times New Roman" w:hAnsi="Times New Roman" w:cs="Times New Roman" w:eastAsiaTheme="minorEastAsia"/>
          <w:sz w:val="24"/>
          <w:szCs w:val="24"/>
        </w:rPr>
        <w:t>通过管道输送至矿山目前已建成的800m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水池内</w:t>
      </w:r>
      <w:r>
        <w:rPr>
          <w:rFonts w:hint="default" w:ascii="Times New Roman" w:hAnsi="Times New Roman" w:cs="Times New Roman" w:eastAsiaTheme="minorEastAsia"/>
          <w:sz w:val="24"/>
          <w:szCs w:val="24"/>
          <w:lang w:eastAsia="zh-CN"/>
        </w:rPr>
        <w:t>。</w:t>
      </w:r>
      <w:r>
        <w:rPr>
          <w:rFonts w:hint="default" w:ascii="Times New Roman" w:hAnsi="Times New Roman" w:cs="Times New Roman"/>
          <w:sz w:val="24"/>
        </w:rPr>
        <w:t>生产用水主要为矿山采矿坑道中的出水、</w:t>
      </w:r>
      <w:r>
        <w:rPr>
          <w:rFonts w:hint="default" w:ascii="Times New Roman" w:hAnsi="Times New Roman" w:cs="Times New Roman"/>
          <w:sz w:val="24"/>
          <w:lang w:val="en-US" w:eastAsia="zh-CN"/>
        </w:rPr>
        <w:t>采用</w:t>
      </w:r>
      <w:r>
        <w:rPr>
          <w:rFonts w:hint="default" w:ascii="Times New Roman" w:hAnsi="Times New Roman" w:cs="Times New Roman"/>
          <w:sz w:val="24"/>
        </w:rPr>
        <w:t>水池收集使用。</w:t>
      </w:r>
    </w:p>
    <w:p w14:paraId="6E3F65A2">
      <w:pPr>
        <w:tabs>
          <w:tab w:val="center" w:pos="4535"/>
        </w:tabs>
        <w:spacing w:line="360" w:lineRule="auto"/>
        <w:ind w:firstLine="482"/>
        <w:rPr>
          <w:rFonts w:hint="default" w:ascii="Times New Roman" w:hAnsi="Times New Roman" w:cs="Times New Roman" w:eastAsiaTheme="minorEastAsia"/>
          <w:b/>
          <w:sz w:val="24"/>
          <w:szCs w:val="24"/>
          <w:lang w:eastAsia="zh-CN"/>
        </w:rPr>
      </w:pPr>
      <w:r>
        <w:rPr>
          <w:rFonts w:hint="default" w:ascii="Times New Roman" w:hAnsi="Times New Roman" w:cs="Times New Roman" w:eastAsiaTheme="minorEastAsia"/>
          <w:b/>
          <w:sz w:val="24"/>
          <w:szCs w:val="24"/>
        </w:rPr>
        <w:t>2、排水</w:t>
      </w:r>
      <w:r>
        <w:rPr>
          <w:rFonts w:hint="default" w:ascii="Times New Roman" w:hAnsi="Times New Roman" w:cs="Times New Roman" w:eastAsiaTheme="minorEastAsia"/>
          <w:b/>
          <w:sz w:val="24"/>
          <w:szCs w:val="24"/>
          <w:lang w:eastAsia="zh-CN"/>
        </w:rPr>
        <w:tab/>
      </w:r>
    </w:p>
    <w:p w14:paraId="744A72E1">
      <w:pPr>
        <w:spacing w:line="360" w:lineRule="auto"/>
        <w:ind w:firstLine="480"/>
        <w:rPr>
          <w:rFonts w:hint="default" w:ascii="Times New Roman" w:hAnsi="Times New Roman" w:cs="Times New Roman" w:eastAsiaTheme="minorEastAsia"/>
          <w:color w:val="auto"/>
          <w:sz w:val="24"/>
          <w:szCs w:val="24"/>
          <w:lang w:bidi="en-US"/>
        </w:rPr>
      </w:pPr>
      <w:r>
        <w:rPr>
          <w:rFonts w:hint="default" w:ascii="Times New Roman" w:hAnsi="Times New Roman" w:cs="Times New Roman" w:eastAsiaTheme="minorEastAsia"/>
          <w:color w:val="auto"/>
          <w:sz w:val="24"/>
          <w:szCs w:val="24"/>
          <w:lang w:bidi="en-US"/>
        </w:rPr>
        <w:t>排水采用雨污分流，</w:t>
      </w:r>
      <w:r>
        <w:rPr>
          <w:rFonts w:hint="default" w:ascii="Times New Roman" w:hAnsi="Times New Roman" w:cs="Times New Roman" w:eastAsiaTheme="minorEastAsia"/>
          <w:color w:val="auto"/>
          <w:sz w:val="24"/>
          <w:szCs w:val="24"/>
          <w:lang w:val="en-US" w:eastAsia="zh-CN" w:bidi="en-US"/>
        </w:rPr>
        <w:t>本次环评提出新建雨水沟及初期雨水收集池</w:t>
      </w:r>
      <w:r>
        <w:rPr>
          <w:rFonts w:hint="default" w:ascii="Times New Roman" w:hAnsi="Times New Roman" w:cs="Times New Roman" w:eastAsiaTheme="minorEastAsia"/>
          <w:color w:val="auto"/>
          <w:sz w:val="24"/>
          <w:szCs w:val="24"/>
          <w:lang w:bidi="en-US"/>
        </w:rPr>
        <w:t>，</w:t>
      </w:r>
      <w:r>
        <w:rPr>
          <w:rFonts w:hint="default" w:ascii="Times New Roman" w:hAnsi="Times New Roman" w:cs="Times New Roman" w:eastAsiaTheme="minorEastAsia"/>
          <w:color w:val="auto"/>
          <w:sz w:val="24"/>
          <w:szCs w:val="24"/>
          <w:lang w:val="en-US" w:eastAsia="zh-CN" w:bidi="en-US"/>
        </w:rPr>
        <w:t>收集本项目及整个6号料场初期雨水。</w:t>
      </w:r>
      <w:r>
        <w:rPr>
          <w:rFonts w:hint="default" w:ascii="Times New Roman" w:hAnsi="Times New Roman" w:cs="Times New Roman" w:eastAsiaTheme="minorEastAsia"/>
          <w:color w:val="auto"/>
          <w:sz w:val="24"/>
          <w:szCs w:val="24"/>
          <w:lang w:bidi="en-US"/>
        </w:rPr>
        <w:t>初期雨水经雨水沟收集至位于场地</w:t>
      </w:r>
      <w:r>
        <w:rPr>
          <w:rFonts w:hint="default" w:ascii="Times New Roman" w:hAnsi="Times New Roman" w:cs="Times New Roman" w:eastAsiaTheme="minorEastAsia"/>
          <w:color w:val="auto"/>
          <w:sz w:val="24"/>
          <w:szCs w:val="24"/>
          <w:lang w:val="en-US" w:eastAsia="zh-CN" w:bidi="en-US"/>
        </w:rPr>
        <w:t>北</w:t>
      </w:r>
      <w:r>
        <w:rPr>
          <w:rFonts w:hint="default" w:ascii="Times New Roman" w:hAnsi="Times New Roman" w:cs="Times New Roman" w:eastAsiaTheme="minorEastAsia"/>
          <w:color w:val="auto"/>
          <w:sz w:val="24"/>
          <w:szCs w:val="24"/>
          <w:lang w:bidi="en-US"/>
        </w:rPr>
        <w:t>侧地势最低处的雨水收集池后用于</w:t>
      </w:r>
      <w:r>
        <w:rPr>
          <w:rFonts w:hint="default" w:ascii="Times New Roman" w:hAnsi="Times New Roman" w:cs="Times New Roman" w:eastAsiaTheme="minorEastAsia"/>
          <w:color w:val="auto"/>
          <w:sz w:val="24"/>
          <w:szCs w:val="24"/>
          <w:lang w:val="en-US" w:eastAsia="zh-CN" w:bidi="en-US"/>
        </w:rPr>
        <w:t>场地洒水</w:t>
      </w:r>
      <w:r>
        <w:rPr>
          <w:rFonts w:hint="default" w:ascii="Times New Roman" w:hAnsi="Times New Roman" w:cs="Times New Roman" w:eastAsiaTheme="minorEastAsia"/>
          <w:color w:val="auto"/>
          <w:sz w:val="24"/>
          <w:szCs w:val="24"/>
          <w:lang w:bidi="en-US"/>
        </w:rPr>
        <w:t>抑尘，不外排；本项目生产过程中不产生工艺废水，生活污水依托</w:t>
      </w:r>
      <w:r>
        <w:rPr>
          <w:rFonts w:hint="default" w:ascii="Times New Roman" w:hAnsi="Times New Roman" w:cs="Times New Roman" w:eastAsiaTheme="minorEastAsia"/>
          <w:color w:val="auto"/>
          <w:sz w:val="24"/>
          <w:szCs w:val="24"/>
          <w:lang w:val="en-US" w:eastAsia="zh-CN" w:bidi="en-US"/>
        </w:rPr>
        <w:t>鲁奎山铁矿</w:t>
      </w:r>
      <w:r>
        <w:rPr>
          <w:rFonts w:hint="default" w:ascii="Times New Roman" w:hAnsi="Times New Roman" w:cs="Times New Roman" w:eastAsiaTheme="minorEastAsia"/>
          <w:color w:val="auto"/>
          <w:sz w:val="24"/>
          <w:szCs w:val="24"/>
          <w:lang w:bidi="en-US"/>
        </w:rPr>
        <w:t>生活污水处理设施，厨房废水经隔油池隔油处理，生活污水经化粪池处理后与厨房废水进入一体化污水处理设备，处理达标后回用于</w:t>
      </w:r>
      <w:r>
        <w:rPr>
          <w:rFonts w:hint="default" w:ascii="Times New Roman" w:hAnsi="Times New Roman" w:cs="Times New Roman" w:eastAsiaTheme="minorEastAsia"/>
          <w:color w:val="auto"/>
          <w:sz w:val="24"/>
          <w:szCs w:val="24"/>
          <w:lang w:val="en-US" w:eastAsia="zh-CN" w:bidi="en-US"/>
        </w:rPr>
        <w:t>矿山</w:t>
      </w:r>
      <w:r>
        <w:rPr>
          <w:rFonts w:hint="default" w:ascii="Times New Roman" w:hAnsi="Times New Roman" w:cs="Times New Roman" w:eastAsiaTheme="minorEastAsia"/>
          <w:color w:val="auto"/>
          <w:sz w:val="24"/>
          <w:szCs w:val="24"/>
          <w:lang w:bidi="en-US"/>
        </w:rPr>
        <w:t>绿化及洒水降尘。</w:t>
      </w:r>
    </w:p>
    <w:p w14:paraId="5EB2CB6E">
      <w:pPr>
        <w:spacing w:line="360" w:lineRule="auto"/>
        <w:ind w:firstLine="482"/>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3、供电</w:t>
      </w:r>
    </w:p>
    <w:p w14:paraId="66DCB88B">
      <w:pPr>
        <w:spacing w:line="360" w:lineRule="auto"/>
        <w:ind w:firstLine="482"/>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鲁奎山铁矿</w:t>
      </w:r>
      <w:r>
        <w:rPr>
          <w:rFonts w:hint="default" w:ascii="Times New Roman" w:hAnsi="Times New Roman" w:cs="Times New Roman" w:eastAsiaTheme="minorEastAsia"/>
          <w:sz w:val="24"/>
          <w:szCs w:val="24"/>
        </w:rPr>
        <w:t>现有35/6kV总降压站1座，主变压器容量为2×1600kVA，电源引自昆明电网的化念110kV区域变电站，由14.5km长的35kV专用线路输送至矿山35/6kV总降压站。</w:t>
      </w:r>
    </w:p>
    <w:p w14:paraId="74C59FA0">
      <w:pPr>
        <w:spacing w:line="360" w:lineRule="auto"/>
        <w:ind w:firstLine="482"/>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4、交通运输</w:t>
      </w:r>
    </w:p>
    <w:p w14:paraId="6A042877">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（1）厂外运输</w:t>
      </w:r>
    </w:p>
    <w:p w14:paraId="31C4D36D">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厂外运输方式主要为汽车运输，所需汽车车辆由社会上有一定资质和规模而且诚信度较好的汽运公司承担。</w:t>
      </w:r>
    </w:p>
    <w:p w14:paraId="081DB52C">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（2）厂内运输</w:t>
      </w:r>
    </w:p>
    <w:p w14:paraId="1C2DE607">
      <w:pPr>
        <w:spacing w:line="360" w:lineRule="auto"/>
        <w:ind w:firstLine="480"/>
        <w:rPr>
          <w:rFonts w:hint="default" w:ascii="Times New Roman" w:hAnsi="Times New Roman" w:cs="Times New Roman" w:eastAsiaTheme="minorEastAsia"/>
          <w:sz w:val="24"/>
          <w:szCs w:val="24"/>
          <w:lang w:eastAsia="zh-CN" w:bidi="en-US"/>
        </w:rPr>
      </w:pPr>
      <w:r>
        <w:rPr>
          <w:rFonts w:hint="default" w:ascii="Times New Roman" w:hAnsi="Times New Roman" w:cs="Times New Roman" w:eastAsiaTheme="minorEastAsia"/>
          <w:sz w:val="24"/>
          <w:szCs w:val="24"/>
          <w:lang w:bidi="en-US"/>
        </w:rPr>
        <w:t>厂内运输方式主要运输带、装载机和部分人力车等</w:t>
      </w:r>
      <w:r>
        <w:rPr>
          <w:rFonts w:hint="default" w:ascii="Times New Roman" w:hAnsi="Times New Roman" w:cs="Times New Roman" w:eastAsiaTheme="minorEastAsia"/>
          <w:sz w:val="24"/>
          <w:szCs w:val="24"/>
          <w:lang w:eastAsia="zh-CN" w:bidi="en-US"/>
        </w:rPr>
        <w:t>。</w:t>
      </w:r>
    </w:p>
    <w:p w14:paraId="04B83AA4">
      <w:pPr>
        <w:pStyle w:val="6"/>
        <w:bidi w:val="0"/>
        <w:rPr>
          <w:rFonts w:hint="default" w:ascii="Times New Roman" w:hAnsi="Times New Roman" w:cs="Times New Roman"/>
        </w:rPr>
      </w:pPr>
      <w:bookmarkStart w:id="256" w:name="_Toc165816738"/>
      <w:bookmarkStart w:id="257" w:name="_Toc25051"/>
      <w:r>
        <w:rPr>
          <w:rFonts w:hint="default" w:ascii="Times New Roman" w:hAnsi="Times New Roman" w:cs="Times New Roman"/>
          <w:lang w:val="en-US" w:eastAsia="zh-CN"/>
        </w:rPr>
        <w:t>3</w:t>
      </w:r>
      <w:r>
        <w:rPr>
          <w:rFonts w:hint="default" w:ascii="Times New Roman" w:hAnsi="Times New Roman" w:cs="Times New Roman"/>
        </w:rPr>
        <w:t>.2.</w:t>
      </w:r>
      <w:r>
        <w:rPr>
          <w:rFonts w:hint="default" w:ascii="Times New Roman" w:hAnsi="Times New Roman" w:cs="Times New Roman"/>
          <w:lang w:val="en-US" w:eastAsia="zh-CN"/>
        </w:rPr>
        <w:t>10</w:t>
      </w:r>
      <w:r>
        <w:rPr>
          <w:rFonts w:hint="default" w:ascii="Times New Roman" w:hAnsi="Times New Roman" w:cs="Times New Roman"/>
        </w:rPr>
        <w:t>总平面图布置</w:t>
      </w:r>
      <w:bookmarkEnd w:id="256"/>
      <w:bookmarkEnd w:id="257"/>
    </w:p>
    <w:p w14:paraId="194B05A7">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根据生产工艺配置流程的特点，结合厂区地形，将各功能区按性质和功能相近，联系密切，对环境要求大体一致、各种管线及运输短捷的原则进行布置。</w:t>
      </w:r>
    </w:p>
    <w:p w14:paraId="2A1005D5">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sz w:val="24"/>
          <w:szCs w:val="24"/>
          <w:lang w:val="en-US" w:eastAsia="zh-CN"/>
        </w:rPr>
        <w:t>本项目位于鲁奎山铁矿</w:t>
      </w:r>
      <w:r>
        <w:rPr>
          <w:rFonts w:hint="default" w:ascii="Times New Roman" w:hAnsi="Times New Roman" w:cs="Times New Roman" w:eastAsiaTheme="minorEastAsia"/>
          <w:sz w:val="24"/>
          <w:szCs w:val="24"/>
        </w:rPr>
        <w:t>的</w:t>
      </w:r>
      <w:r>
        <w:rPr>
          <w:rFonts w:hint="default" w:ascii="Times New Roman" w:hAnsi="Times New Roman" w:cs="Times New Roman" w:eastAsiaTheme="minorEastAsia"/>
          <w:sz w:val="24"/>
          <w:szCs w:val="24"/>
          <w:lang w:val="en-US" w:eastAsia="zh-CN"/>
        </w:rPr>
        <w:t>西北</w:t>
      </w:r>
      <w:r>
        <w:rPr>
          <w:rFonts w:hint="default" w:ascii="Times New Roman" w:hAnsi="Times New Roman" w:cs="Times New Roman" w:eastAsiaTheme="minorEastAsia"/>
          <w:sz w:val="24"/>
          <w:szCs w:val="24"/>
        </w:rPr>
        <w:t>侧</w:t>
      </w:r>
      <w:r>
        <w:rPr>
          <w:rFonts w:hint="default" w:ascii="Times New Roman" w:hAnsi="Times New Roman" w:cs="Times New Roman" w:eastAsiaTheme="minorEastAsia"/>
          <w:color w:val="auto"/>
          <w:sz w:val="24"/>
          <w:szCs w:val="24"/>
        </w:rPr>
        <w:t>，用地面积为</w:t>
      </w:r>
      <w:r>
        <w:rPr>
          <w:rFonts w:hint="default" w:ascii="Times New Roman" w:hAnsi="Times New Roman" w:cs="Times New Roman" w:eastAsiaTheme="minorEastAsia"/>
          <w:color w:val="auto"/>
          <w:sz w:val="24"/>
          <w:szCs w:val="24"/>
          <w:lang w:val="en-US" w:eastAsia="zh-CN"/>
        </w:rPr>
        <w:t>3000</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2</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sz w:val="24"/>
          <w:szCs w:val="24"/>
        </w:rPr>
        <w:t>用地现状为料场</w:t>
      </w:r>
      <w:r>
        <w:rPr>
          <w:rFonts w:hint="default" w:ascii="Times New Roman" w:hAnsi="Times New Roman" w:cs="Times New Roman" w:eastAsiaTheme="minorEastAsia"/>
          <w:sz w:val="24"/>
          <w:szCs w:val="24"/>
          <w:lang w:val="en-US" w:eastAsia="zh-CN"/>
        </w:rPr>
        <w:t>空地</w:t>
      </w:r>
      <w:r>
        <w:rPr>
          <w:rFonts w:hint="default" w:ascii="Times New Roman" w:hAnsi="Times New Roman" w:cs="Times New Roman" w:eastAsiaTheme="minorEastAsia"/>
          <w:sz w:val="24"/>
          <w:szCs w:val="24"/>
        </w:rPr>
        <w:t>。有现成矿山公路连接。厂内</w:t>
      </w:r>
      <w:r>
        <w:rPr>
          <w:rFonts w:hint="default" w:ascii="Times New Roman" w:hAnsi="Times New Roman" w:cs="Times New Roman" w:eastAsiaTheme="minorEastAsia"/>
          <w:sz w:val="24"/>
          <w:szCs w:val="24"/>
          <w:lang w:val="en-US" w:eastAsia="zh-CN"/>
        </w:rPr>
        <w:t>设备</w:t>
      </w:r>
      <w:r>
        <w:rPr>
          <w:rFonts w:hint="default" w:ascii="Times New Roman" w:hAnsi="Times New Roman" w:cs="Times New Roman" w:eastAsiaTheme="minorEastAsia"/>
          <w:sz w:val="24"/>
          <w:szCs w:val="24"/>
        </w:rPr>
        <w:t>由</w:t>
      </w:r>
      <w:r>
        <w:rPr>
          <w:rFonts w:hint="default" w:ascii="Times New Roman" w:hAnsi="Times New Roman" w:cs="Times New Roman" w:eastAsiaTheme="minorEastAsia"/>
          <w:sz w:val="24"/>
          <w:szCs w:val="24"/>
          <w:lang w:val="en-US" w:eastAsia="zh-CN"/>
        </w:rPr>
        <w:t>东向西</w:t>
      </w:r>
      <w:r>
        <w:rPr>
          <w:rFonts w:hint="default" w:ascii="Times New Roman" w:hAnsi="Times New Roman" w:cs="Times New Roman" w:eastAsiaTheme="minorEastAsia"/>
          <w:sz w:val="24"/>
          <w:szCs w:val="24"/>
        </w:rPr>
        <w:t>布置，依次布置</w:t>
      </w:r>
      <w:r>
        <w:rPr>
          <w:rFonts w:hint="default" w:ascii="Times New Roman" w:hAnsi="Times New Roman" w:cs="Times New Roman" w:eastAsiaTheme="minorEastAsia"/>
          <w:snapToGrid w:val="0"/>
          <w:sz w:val="24"/>
          <w:szCs w:val="24"/>
          <w:lang w:val="en-US" w:eastAsia="zh-CN"/>
        </w:rPr>
        <w:t>给料斗、筛分机、颚式破碎机、筛分机、对辊破碎机、磁选</w:t>
      </w:r>
      <w:r>
        <w:rPr>
          <w:rFonts w:hint="default" w:ascii="Times New Roman" w:hAnsi="Times New Roman" w:cs="Times New Roman" w:eastAsiaTheme="minorEastAsia"/>
          <w:snapToGrid w:val="0"/>
          <w:color w:val="auto"/>
          <w:sz w:val="24"/>
          <w:szCs w:val="24"/>
          <w:lang w:val="en-US" w:eastAsia="zh-CN"/>
        </w:rPr>
        <w:t>机</w:t>
      </w:r>
      <w:r>
        <w:rPr>
          <w:rFonts w:hint="default" w:ascii="Times New Roman" w:hAnsi="Times New Roman" w:cs="Times New Roman" w:eastAsiaTheme="minorEastAsia"/>
          <w:color w:val="auto"/>
          <w:sz w:val="24"/>
          <w:szCs w:val="24"/>
        </w:rPr>
        <w:t>等。</w:t>
      </w:r>
      <w:r>
        <w:rPr>
          <w:rFonts w:hint="default" w:ascii="Times New Roman" w:hAnsi="Times New Roman" w:cs="Times New Roman" w:eastAsiaTheme="minorEastAsia"/>
          <w:color w:val="auto"/>
          <w:sz w:val="24"/>
          <w:szCs w:val="24"/>
          <w:lang w:val="en-US" w:eastAsia="zh-CN"/>
        </w:rPr>
        <w:t>设备</w:t>
      </w:r>
      <w:r>
        <w:rPr>
          <w:rFonts w:hint="default" w:ascii="Times New Roman" w:hAnsi="Times New Roman" w:cs="Times New Roman" w:eastAsiaTheme="minorEastAsia"/>
          <w:color w:val="auto"/>
          <w:sz w:val="24"/>
          <w:szCs w:val="24"/>
        </w:rPr>
        <w:t>通过胶带廊连接，使得平面布置紧凑。</w:t>
      </w:r>
      <w:bookmarkStart w:id="258" w:name="_Toc7485"/>
      <w:bookmarkStart w:id="259" w:name="_Toc165816739"/>
      <w:bookmarkStart w:id="260" w:name="_Toc3463"/>
      <w:bookmarkStart w:id="261" w:name="_Toc2482"/>
      <w:bookmarkStart w:id="262" w:name="_Toc9547"/>
    </w:p>
    <w:p w14:paraId="59557DBD">
      <w:pPr>
        <w:pStyle w:val="5"/>
        <w:bidi w:val="0"/>
        <w:rPr>
          <w:rFonts w:hint="default" w:ascii="Times New Roman" w:hAnsi="Times New Roman" w:cs="Times New Roman"/>
        </w:rPr>
      </w:pPr>
      <w:bookmarkStart w:id="263" w:name="_Toc6813"/>
      <w:r>
        <w:rPr>
          <w:rFonts w:hint="default" w:ascii="Times New Roman" w:hAnsi="Times New Roman" w:cs="Times New Roman"/>
          <w:lang w:val="en-US" w:eastAsia="zh-CN"/>
        </w:rPr>
        <w:t>3</w:t>
      </w:r>
      <w:r>
        <w:rPr>
          <w:rFonts w:hint="default" w:ascii="Times New Roman" w:hAnsi="Times New Roman" w:cs="Times New Roman"/>
        </w:rPr>
        <w:t>.3项目环境影响因素分析</w:t>
      </w:r>
      <w:bookmarkEnd w:id="258"/>
      <w:bookmarkEnd w:id="259"/>
      <w:bookmarkEnd w:id="260"/>
      <w:bookmarkEnd w:id="261"/>
      <w:bookmarkEnd w:id="262"/>
      <w:bookmarkEnd w:id="263"/>
    </w:p>
    <w:p w14:paraId="386E7F97">
      <w:pPr>
        <w:pStyle w:val="6"/>
        <w:bidi w:val="0"/>
        <w:rPr>
          <w:rFonts w:hint="default" w:ascii="Times New Roman" w:hAnsi="Times New Roman" w:cs="Times New Roman"/>
        </w:rPr>
      </w:pPr>
      <w:bookmarkStart w:id="264" w:name="_Toc27993"/>
      <w:bookmarkStart w:id="265" w:name="_Toc165816740"/>
      <w:r>
        <w:rPr>
          <w:rFonts w:hint="default" w:ascii="Times New Roman" w:hAnsi="Times New Roman" w:cs="Times New Roman"/>
          <w:lang w:val="en-US" w:eastAsia="zh-CN"/>
        </w:rPr>
        <w:t>3</w:t>
      </w:r>
      <w:r>
        <w:rPr>
          <w:rFonts w:hint="default" w:ascii="Times New Roman" w:hAnsi="Times New Roman" w:cs="Times New Roman"/>
        </w:rPr>
        <w:t>.3.1施工期施工工艺及产污环节分析</w:t>
      </w:r>
      <w:bookmarkEnd w:id="264"/>
      <w:bookmarkEnd w:id="265"/>
    </w:p>
    <w:p w14:paraId="0299E1DF">
      <w:pPr>
        <w:spacing w:line="360" w:lineRule="auto"/>
        <w:ind w:firstLine="482"/>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一、施工期产污环节</w:t>
      </w:r>
    </w:p>
    <w:p w14:paraId="79AD3658">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根据现场踏勘，本项目设备已安装完成，</w:t>
      </w:r>
      <w:r>
        <w:rPr>
          <w:rFonts w:hint="default" w:ascii="Times New Roman" w:hAnsi="Times New Roman" w:cs="Times New Roman" w:eastAsiaTheme="minorEastAsia"/>
          <w:sz w:val="24"/>
          <w:szCs w:val="24"/>
        </w:rPr>
        <w:t>项目施工内容</w:t>
      </w:r>
      <w:r>
        <w:rPr>
          <w:rFonts w:hint="default" w:ascii="Times New Roman" w:hAnsi="Times New Roman" w:cs="Times New Roman" w:eastAsiaTheme="minorEastAsia"/>
          <w:sz w:val="24"/>
          <w:szCs w:val="24"/>
          <w:lang w:val="en-US" w:eastAsia="zh-CN"/>
        </w:rPr>
        <w:t>为建设原料堆棚、铁矿石堆棚、砂石料堆棚，场地防渗、设备封闭、除尘设备安装及初期雨水收集池等。</w:t>
      </w:r>
      <w:r>
        <w:rPr>
          <w:rFonts w:hint="default" w:ascii="Times New Roman" w:hAnsi="Times New Roman" w:cs="Times New Roman" w:eastAsiaTheme="minorEastAsia"/>
          <w:sz w:val="24"/>
          <w:szCs w:val="24"/>
        </w:rPr>
        <w:t>主要包括基础施工、</w:t>
      </w:r>
      <w:r>
        <w:rPr>
          <w:rFonts w:hint="default" w:ascii="Times New Roman" w:hAnsi="Times New Roman" w:cs="Times New Roman" w:eastAsiaTheme="minorEastAsia"/>
          <w:sz w:val="24"/>
          <w:szCs w:val="24"/>
          <w:lang w:val="en-US" w:eastAsia="zh-CN"/>
        </w:rPr>
        <w:t>储运</w:t>
      </w:r>
      <w:r>
        <w:rPr>
          <w:rFonts w:hint="default" w:ascii="Times New Roman" w:hAnsi="Times New Roman" w:cs="Times New Roman" w:eastAsiaTheme="minorEastAsia"/>
          <w:sz w:val="24"/>
          <w:szCs w:val="24"/>
        </w:rPr>
        <w:t>工程、</w:t>
      </w:r>
      <w:r>
        <w:rPr>
          <w:rFonts w:hint="default" w:ascii="Times New Roman" w:hAnsi="Times New Roman" w:cs="Times New Roman" w:eastAsiaTheme="minorEastAsia"/>
          <w:sz w:val="24"/>
          <w:szCs w:val="24"/>
          <w:lang w:val="en-US" w:eastAsia="zh-CN"/>
        </w:rPr>
        <w:t>环保</w:t>
      </w:r>
      <w:r>
        <w:rPr>
          <w:rFonts w:hint="default" w:ascii="Times New Roman" w:hAnsi="Times New Roman" w:cs="Times New Roman" w:eastAsiaTheme="minorEastAsia"/>
          <w:sz w:val="24"/>
          <w:szCs w:val="24"/>
        </w:rPr>
        <w:t>工程的建设及厂内道路的修建。施工流程及产污环节如下图所示：</w:t>
      </w:r>
    </w:p>
    <w:p w14:paraId="7B6DDC0D">
      <w:pPr>
        <w:pStyle w:val="52"/>
        <w:spacing w:line="360" w:lineRule="auto"/>
        <w:ind w:firstLine="0" w:firstLineChars="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object>
          <v:shape id="_x0000_i1026" o:spt="75" type="#_x0000_t75" style="height:348pt;width:453pt;" o:ole="t" filled="f" o:preferrelative="t" stroked="f" coordsize="21600,21600">
            <v:path/>
            <v:fill on="f" focussize="0,0"/>
            <v:stroke on="f"/>
            <v:imagedata r:id="rId13" o:title=""/>
            <o:lock v:ext="edit" aspectratio="t"/>
            <w10:wrap type="none"/>
            <w10:anchorlock/>
          </v:shape>
          <o:OLEObject Type="Embed" ProgID="Visio.Drawing.11" ShapeID="_x0000_i1026" DrawAspect="Content" ObjectID="_1468075726" r:id="rId12">
            <o:LockedField>false</o:LockedField>
          </o:OLEObject>
        </w:object>
      </w:r>
    </w:p>
    <w:p w14:paraId="7E6FFE90">
      <w:pPr>
        <w:pStyle w:val="52"/>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bCs w:val="0"/>
          <w:kern w:val="2"/>
          <w:sz w:val="24"/>
          <w:szCs w:val="24"/>
        </w:rPr>
        <w:t>图</w:t>
      </w:r>
      <w:r>
        <w:rPr>
          <w:rFonts w:hint="default" w:ascii="Times New Roman" w:hAnsi="Times New Roman" w:cs="Times New Roman" w:eastAsiaTheme="minorEastAsia"/>
          <w:bCs w:val="0"/>
          <w:kern w:val="2"/>
          <w:sz w:val="24"/>
          <w:szCs w:val="24"/>
          <w:lang w:val="en-US" w:eastAsia="zh-CN"/>
        </w:rPr>
        <w:t>3</w:t>
      </w:r>
      <w:r>
        <w:rPr>
          <w:rFonts w:hint="default" w:ascii="Times New Roman" w:hAnsi="Times New Roman" w:cs="Times New Roman" w:eastAsiaTheme="minorEastAsia"/>
          <w:bCs w:val="0"/>
          <w:kern w:val="2"/>
          <w:sz w:val="24"/>
          <w:szCs w:val="24"/>
        </w:rPr>
        <w:t>.3-1  施工期工艺流程及产污节点图</w:t>
      </w:r>
    </w:p>
    <w:p w14:paraId="55E65EC9">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）基础施工</w:t>
      </w:r>
    </w:p>
    <w:p w14:paraId="3FCBB21A">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项目建筑物的基础施工主要包括土石方（挖方、填方）处理、防护基础、地基施工等。</w:t>
      </w:r>
    </w:p>
    <w:p w14:paraId="2DA755F4">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储运</w:t>
      </w:r>
      <w:r>
        <w:rPr>
          <w:rFonts w:hint="default" w:ascii="Times New Roman" w:hAnsi="Times New Roman" w:cs="Times New Roman" w:eastAsiaTheme="minorEastAsia"/>
          <w:sz w:val="24"/>
          <w:szCs w:val="24"/>
        </w:rPr>
        <w:t>工程及环保工程的建设</w:t>
      </w:r>
    </w:p>
    <w:p w14:paraId="31AF59D8">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进行项目区的</w:t>
      </w:r>
      <w:r>
        <w:rPr>
          <w:rFonts w:hint="default" w:ascii="Times New Roman" w:hAnsi="Times New Roman" w:cs="Times New Roman" w:eastAsiaTheme="minorEastAsia"/>
          <w:sz w:val="24"/>
          <w:szCs w:val="24"/>
          <w:lang w:val="en-US" w:eastAsia="zh-CN"/>
        </w:rPr>
        <w:t>储运</w:t>
      </w:r>
      <w:r>
        <w:rPr>
          <w:rFonts w:hint="default" w:ascii="Times New Roman" w:hAnsi="Times New Roman" w:cs="Times New Roman" w:eastAsiaTheme="minorEastAsia"/>
          <w:sz w:val="24"/>
          <w:szCs w:val="24"/>
        </w:rPr>
        <w:t>工程、环保工程进行施工建设，建筑结构主要为钢结构，采用机械与人工施工相结合的方式，这一阶段完成后项目区的主要建筑已经形成。</w:t>
      </w:r>
    </w:p>
    <w:p w14:paraId="59C21A79">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）装修及设备安装、调试</w:t>
      </w:r>
    </w:p>
    <w:p w14:paraId="0576263C">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对已建的建筑物进行装修，主要包括埋线、刷外墙漆、安装门窗等</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同时，设置必要的通水、通风、照明等设备，并进行设备安装、调试等。</w:t>
      </w:r>
    </w:p>
    <w:p w14:paraId="0DA7AD26">
      <w:pPr>
        <w:spacing w:line="360" w:lineRule="auto"/>
        <w:ind w:firstLine="482"/>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四、施工期污染源分析</w:t>
      </w:r>
    </w:p>
    <w:p w14:paraId="3C168695">
      <w:pPr>
        <w:spacing w:line="360" w:lineRule="auto"/>
        <w:ind w:firstLine="482"/>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1、施工废气</w:t>
      </w:r>
    </w:p>
    <w:p w14:paraId="7889B4AD">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施工期的大气污染主要有裸露地表风力起尘的扬尘污染、施工及运输车辆引起的扬尘污染、焊接烟尘、汽车尾气污染和装修废气等。</w:t>
      </w:r>
    </w:p>
    <w:p w14:paraId="193F9DDC">
      <w:pPr>
        <w:spacing w:line="360" w:lineRule="auto"/>
        <w:ind w:firstLine="482"/>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2、施工废水</w:t>
      </w:r>
    </w:p>
    <w:p w14:paraId="61CFF1B1">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项目施工期废水包括施工机械清洗废水、施工人员生活污水、雨天地表径流。</w:t>
      </w:r>
    </w:p>
    <w:p w14:paraId="4B256DE1">
      <w:pPr>
        <w:spacing w:line="360" w:lineRule="auto"/>
        <w:ind w:firstLine="482"/>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3、噪声</w:t>
      </w:r>
    </w:p>
    <w:p w14:paraId="43253C05">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施工期噪声主要是施工现场的各类机械设备噪声、施工作业噪声以及物料运输造成的交通噪声。</w:t>
      </w:r>
    </w:p>
    <w:p w14:paraId="4E99D836">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施工现场噪声主要为机械噪声和施工作业噪声。机械噪声主要由施工机械所造成，如挖土机械、打桩机械、升降机等，以点声源为主；施工作业噪声主要指一些零星的敲打声、装卸车辆的撞击声、吆喝声、拆卸模板的撞击声等，多为瞬时噪声。在这些施工噪声中，对声环境影响最大的是机械噪声。</w:t>
      </w:r>
    </w:p>
    <w:p w14:paraId="34D2F34A">
      <w:pPr>
        <w:spacing w:line="360" w:lineRule="auto"/>
        <w:ind w:firstLine="482"/>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4、固体废弃物</w:t>
      </w:r>
    </w:p>
    <w:p w14:paraId="75CD3773">
      <w:pPr>
        <w:spacing w:line="360" w:lineRule="auto"/>
        <w:ind w:firstLine="480"/>
        <w:rPr>
          <w:rFonts w:hint="default" w:ascii="Times New Roman" w:hAnsi="Times New Roman" w:cs="Times New Roman" w:eastAsiaTheme="minorEastAsia"/>
          <w:sz w:val="24"/>
          <w:szCs w:val="24"/>
        </w:rPr>
      </w:pPr>
      <w:bookmarkStart w:id="266" w:name="_Hlk69691937"/>
      <w:r>
        <w:rPr>
          <w:rFonts w:hint="default" w:ascii="Times New Roman" w:hAnsi="Times New Roman" w:cs="Times New Roman" w:eastAsiaTheme="minorEastAsia"/>
          <w:sz w:val="24"/>
          <w:szCs w:val="24"/>
        </w:rPr>
        <w:t>项目施工期主要固体废弃物为开挖土石方、建筑垃圾和施工人员产生的生活垃圾。</w:t>
      </w:r>
    </w:p>
    <w:bookmarkEnd w:id="266"/>
    <w:p w14:paraId="5E0AF906">
      <w:pPr>
        <w:pStyle w:val="6"/>
        <w:bidi w:val="0"/>
        <w:rPr>
          <w:rFonts w:hint="default" w:ascii="Times New Roman" w:hAnsi="Times New Roman" w:cs="Times New Roman"/>
        </w:rPr>
      </w:pPr>
      <w:bookmarkStart w:id="267" w:name="_Toc165816741"/>
      <w:bookmarkStart w:id="268" w:name="_Toc26287"/>
      <w:r>
        <w:rPr>
          <w:rFonts w:hint="default" w:ascii="Times New Roman" w:hAnsi="Times New Roman" w:cs="Times New Roman"/>
          <w:lang w:val="en-US" w:eastAsia="zh-CN"/>
        </w:rPr>
        <w:t>3</w:t>
      </w:r>
      <w:r>
        <w:rPr>
          <w:rFonts w:hint="default" w:ascii="Times New Roman" w:hAnsi="Times New Roman" w:cs="Times New Roman"/>
        </w:rPr>
        <w:t>.3.2营运期生产工艺及产污环节分析</w:t>
      </w:r>
      <w:bookmarkEnd w:id="267"/>
      <w:bookmarkEnd w:id="268"/>
    </w:p>
    <w:p w14:paraId="37BAF0FB">
      <w:pPr>
        <w:pStyle w:val="7"/>
        <w:spacing w:before="0" w:after="0"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.3.2.1生产工艺流程及主要产污环节</w:t>
      </w:r>
    </w:p>
    <w:p w14:paraId="7ABA03F2">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kern w:val="0"/>
          <w:sz w:val="24"/>
          <w:szCs w:val="24"/>
        </w:rPr>
        <w:t>项目</w:t>
      </w:r>
      <w:r>
        <w:rPr>
          <w:rFonts w:hint="default" w:ascii="Times New Roman" w:hAnsi="Times New Roman" w:cs="Times New Roman" w:eastAsiaTheme="minorEastAsia"/>
          <w:sz w:val="24"/>
          <w:szCs w:val="24"/>
        </w:rPr>
        <w:t>生产</w:t>
      </w:r>
      <w:r>
        <w:rPr>
          <w:rFonts w:hint="default" w:ascii="Times New Roman" w:hAnsi="Times New Roman" w:cs="Times New Roman" w:eastAsiaTheme="minorEastAsia"/>
          <w:kern w:val="0"/>
          <w:sz w:val="24"/>
          <w:szCs w:val="24"/>
        </w:rPr>
        <w:t>工艺流程及主要产污环节见图</w:t>
      </w:r>
      <w:r>
        <w:rPr>
          <w:rFonts w:hint="default" w:ascii="Times New Roman" w:hAnsi="Times New Roman" w:cs="Times New Roman" w:eastAsiaTheme="minorEastAsia"/>
          <w:kern w:val="0"/>
          <w:sz w:val="24"/>
          <w:szCs w:val="24"/>
          <w:lang w:val="en-US" w:eastAsia="zh-CN"/>
        </w:rPr>
        <w:t>3</w:t>
      </w:r>
      <w:r>
        <w:rPr>
          <w:rFonts w:hint="default" w:ascii="Times New Roman" w:hAnsi="Times New Roman" w:cs="Times New Roman" w:eastAsiaTheme="minorEastAsia"/>
          <w:kern w:val="0"/>
          <w:sz w:val="24"/>
          <w:szCs w:val="24"/>
        </w:rPr>
        <w:t>.3-2。</w:t>
      </w:r>
    </w:p>
    <w:p w14:paraId="5FA0DA62">
      <w:pPr>
        <w:spacing w:line="360" w:lineRule="auto"/>
        <w:ind w:left="-283" w:leftChars="-118"/>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object>
          <v:shape id="_x0000_i1027" o:spt="75" type="#_x0000_t75" style="height:295pt;width:505.3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14:paraId="5280699F">
      <w:pPr>
        <w:spacing w:line="360" w:lineRule="auto"/>
        <w:ind w:left="-566" w:leftChars="-236"/>
        <w:jc w:val="center"/>
        <w:rPr>
          <w:rFonts w:hint="default" w:ascii="Times New Roman" w:hAnsi="Times New Roman" w:cs="Times New Roman" w:eastAsiaTheme="minorEastAsia"/>
          <w:sz w:val="24"/>
          <w:szCs w:val="24"/>
        </w:rPr>
      </w:pPr>
      <w:bookmarkStart w:id="269" w:name="_Hlk143179866"/>
      <w:r>
        <w:rPr>
          <w:rFonts w:hint="default" w:ascii="Times New Roman" w:hAnsi="Times New Roman" w:cs="Times New Roman" w:eastAsiaTheme="minorEastAsia"/>
          <w:b/>
          <w:sz w:val="24"/>
          <w:szCs w:val="24"/>
        </w:rPr>
        <w:t>图</w:t>
      </w:r>
      <w:r>
        <w:rPr>
          <w:rFonts w:hint="default" w:ascii="Times New Roman" w:hAnsi="Times New Roman" w:cs="Times New Roman" w:eastAsiaTheme="minorEastAsia"/>
          <w:b/>
          <w:sz w:val="24"/>
          <w:szCs w:val="24"/>
          <w:lang w:val="en-US" w:eastAsia="zh-CN"/>
        </w:rPr>
        <w:t>3</w:t>
      </w:r>
      <w:r>
        <w:rPr>
          <w:rFonts w:hint="default" w:ascii="Times New Roman" w:hAnsi="Times New Roman" w:cs="Times New Roman" w:eastAsiaTheme="minorEastAsia"/>
          <w:b/>
          <w:sz w:val="24"/>
          <w:szCs w:val="24"/>
        </w:rPr>
        <w:t>.3-2  运营期生产工艺流程及主要产污节点图</w:t>
      </w:r>
    </w:p>
    <w:bookmarkEnd w:id="269"/>
    <w:p w14:paraId="4DCAC2B0">
      <w:pPr>
        <w:spacing w:line="360" w:lineRule="auto"/>
        <w:ind w:firstLine="480" w:firstLineChars="200"/>
        <w:rPr>
          <w:rFonts w:hint="default" w:ascii="Times New Roman" w:hAnsi="Times New Roman" w:cs="Times New Roman" w:eastAsiaTheme="minorEastAsia"/>
          <w:b/>
          <w:sz w:val="24"/>
          <w:szCs w:val="24"/>
        </w:rPr>
      </w:pPr>
      <w:r>
        <w:rPr>
          <w:rFonts w:hint="default" w:ascii="Times New Roman" w:hAnsi="Times New Roman" w:cs="Times New Roman" w:eastAsiaTheme="minorEastAsia"/>
          <w:b/>
          <w:kern w:val="0"/>
          <w:sz w:val="24"/>
          <w:szCs w:val="24"/>
        </w:rPr>
        <w:t>工艺流程简述：</w:t>
      </w:r>
    </w:p>
    <w:p w14:paraId="4F2FF4E6">
      <w:pPr>
        <w:pStyle w:val="39"/>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（1）进料</w:t>
      </w:r>
    </w:p>
    <w:p w14:paraId="2193A1BE">
      <w:pPr>
        <w:pStyle w:val="39"/>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低品位原矿</w:t>
      </w:r>
      <w:r>
        <w:rPr>
          <w:rFonts w:hint="default" w:ascii="Times New Roman" w:hAnsi="Times New Roman" w:eastAsia="宋体" w:cs="Times New Roman"/>
          <w:sz w:val="24"/>
          <w:szCs w:val="24"/>
          <w:lang w:val="en-US" w:eastAsia="zh-CN"/>
        </w:rPr>
        <w:t>通过铲车送入进料</w:t>
      </w:r>
      <w:r>
        <w:rPr>
          <w:rFonts w:hint="default" w:ascii="Times New Roman" w:hAnsi="Times New Roman" w:cs="Times New Roman"/>
          <w:sz w:val="24"/>
          <w:szCs w:val="24"/>
          <w:lang w:val="en-US" w:eastAsia="zh-CN"/>
        </w:rPr>
        <w:t>口</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lang w:val="en-US" w:eastAsia="zh-CN"/>
        </w:rPr>
        <w:t>进料口设置格栅，小于700mm原矿进入料斗，大于700mm原矿</w:t>
      </w:r>
      <w:r>
        <w:rPr>
          <w:rFonts w:hint="default" w:ascii="Times New Roman" w:hAnsi="Times New Roman" w:eastAsia="宋体" w:cs="Times New Roman"/>
          <w:sz w:val="24"/>
          <w:szCs w:val="24"/>
          <w:lang w:val="en-US" w:eastAsia="zh-CN"/>
        </w:rPr>
        <w:t>运至矿山废石加工场</w:t>
      </w:r>
      <w:r>
        <w:rPr>
          <w:rFonts w:hint="default" w:ascii="Times New Roman" w:hAnsi="Times New Roman" w:cs="Times New Roman"/>
          <w:color w:val="auto"/>
          <w:sz w:val="24"/>
          <w:szCs w:val="24"/>
          <w:lang w:val="en-US" w:eastAsia="zh-CN"/>
        </w:rPr>
        <w:t>（该废石加工场属于鲁奎山</w:t>
      </w:r>
      <w:r>
        <w:rPr>
          <w:rFonts w:hint="default" w:ascii="Times New Roman" w:hAnsi="Times New Roman" w:cs="Times New Roman"/>
          <w:color w:val="auto"/>
        </w:rPr>
        <w:t>铁矿35万t/a开采项目</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已完成环评批复及验收。</w:t>
      </w:r>
      <w:r>
        <w:rPr>
          <w:rFonts w:hint="default" w:ascii="Times New Roman" w:hAnsi="Times New Roman" w:eastAsia="宋体" w:cs="Times New Roman"/>
          <w:color w:val="auto"/>
          <w:sz w:val="24"/>
          <w:szCs w:val="24"/>
          <w:lang w:val="en-US" w:eastAsia="zh-CN"/>
        </w:rPr>
        <w:t>破碎、输送、筛分、堆场采用喷雾降尘处理措施，已设置了6台R40风送式喷雾机对废石场各产尘点源进行喷雾降尘、抑尘</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sz w:val="24"/>
          <w:szCs w:val="24"/>
          <w:lang w:val="en-US" w:eastAsia="zh-CN"/>
        </w:rPr>
        <w:t>给料时会有噪声和扬尘产生，在进料</w:t>
      </w:r>
      <w:r>
        <w:rPr>
          <w:rFonts w:hint="default" w:ascii="Times New Roman" w:hAnsi="Times New Roman" w:cs="Times New Roman"/>
          <w:sz w:val="24"/>
          <w:szCs w:val="24"/>
          <w:lang w:val="en-US" w:eastAsia="zh-CN"/>
        </w:rPr>
        <w:t>口</w:t>
      </w:r>
      <w:r>
        <w:rPr>
          <w:rFonts w:hint="default" w:ascii="Times New Roman" w:hAnsi="Times New Roman" w:eastAsia="宋体" w:cs="Times New Roman"/>
          <w:sz w:val="24"/>
          <w:szCs w:val="24"/>
          <w:lang w:val="en-US" w:eastAsia="zh-CN"/>
        </w:rPr>
        <w:t>设置彩钢板三面围挡，配合喷雾抑尘。</w:t>
      </w:r>
    </w:p>
    <w:p w14:paraId="7A2184B8">
      <w:pPr>
        <w:pStyle w:val="39"/>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（2）一次筛分</w:t>
      </w:r>
    </w:p>
    <w:p w14:paraId="0F16DED6">
      <w:pPr>
        <w:pStyle w:val="39"/>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矿石经进料口进入</w:t>
      </w:r>
      <w:r>
        <w:rPr>
          <w:rFonts w:hint="default" w:ascii="Times New Roman" w:hAnsi="Times New Roman" w:eastAsia="宋体" w:cs="Times New Roman"/>
          <w:sz w:val="24"/>
          <w:szCs w:val="24"/>
          <w:lang w:val="en-US" w:eastAsia="zh-CN"/>
        </w:rPr>
        <w:t>棒条筛，</w:t>
      </w:r>
      <w:r>
        <w:rPr>
          <w:rFonts w:hint="default" w:ascii="Times New Roman" w:hAnsi="Times New Roman" w:cs="Times New Roman"/>
          <w:sz w:val="24"/>
          <w:szCs w:val="24"/>
          <w:lang w:val="en-US" w:eastAsia="zh-CN"/>
        </w:rPr>
        <w:t>筛上为</w:t>
      </w:r>
      <w:r>
        <w:rPr>
          <w:rFonts w:hint="default" w:ascii="Times New Roman" w:hAnsi="Times New Roman" w:eastAsia="宋体" w:cs="Times New Roman"/>
          <w:sz w:val="24"/>
          <w:szCs w:val="24"/>
          <w:lang w:val="en-US" w:eastAsia="zh-CN"/>
        </w:rPr>
        <w:t>粒径≥70mm</w:t>
      </w:r>
      <w:r>
        <w:rPr>
          <w:rFonts w:hint="default" w:ascii="Times New Roman" w:hAnsi="Times New Roman" w:cs="Times New Roman"/>
          <w:sz w:val="24"/>
          <w:szCs w:val="24"/>
          <w:lang w:val="en-US" w:eastAsia="zh-CN"/>
        </w:rPr>
        <w:t>原矿，</w:t>
      </w:r>
      <w:r>
        <w:rPr>
          <w:rFonts w:hint="default" w:ascii="Times New Roman" w:hAnsi="Times New Roman" w:eastAsia="宋体" w:cs="Times New Roman"/>
          <w:sz w:val="24"/>
          <w:szCs w:val="24"/>
          <w:lang w:val="en-US" w:eastAsia="zh-CN"/>
        </w:rPr>
        <w:t>进入</w:t>
      </w:r>
      <w:r>
        <w:rPr>
          <w:rFonts w:hint="default" w:ascii="Times New Roman" w:hAnsi="Times New Roman" w:cs="Times New Roman"/>
          <w:sz w:val="24"/>
          <w:szCs w:val="24"/>
          <w:lang w:val="en-US" w:eastAsia="zh-CN"/>
        </w:rPr>
        <w:t>临时</w:t>
      </w:r>
      <w:r>
        <w:rPr>
          <w:rFonts w:hint="default" w:ascii="Times New Roman" w:hAnsi="Times New Roman" w:eastAsia="宋体" w:cs="Times New Roman"/>
          <w:sz w:val="24"/>
          <w:szCs w:val="24"/>
          <w:lang w:val="en-US" w:eastAsia="zh-CN"/>
        </w:rPr>
        <w:t>落料点，运至矿山废石加工场。粒径＜70mm</w:t>
      </w:r>
      <w:r>
        <w:rPr>
          <w:rFonts w:hint="default" w:ascii="Times New Roman" w:hAnsi="Times New Roman" w:cs="Times New Roman"/>
          <w:sz w:val="24"/>
          <w:szCs w:val="24"/>
          <w:lang w:val="en-US" w:eastAsia="zh-CN"/>
        </w:rPr>
        <w:t>原矿</w:t>
      </w:r>
      <w:r>
        <w:rPr>
          <w:rFonts w:hint="default" w:ascii="Times New Roman" w:hAnsi="Times New Roman" w:eastAsia="宋体" w:cs="Times New Roman"/>
          <w:sz w:val="24"/>
          <w:szCs w:val="24"/>
          <w:lang w:val="en-US" w:eastAsia="zh-CN"/>
        </w:rPr>
        <w:t>由皮带送至振动筛。</w:t>
      </w:r>
      <w:r>
        <w:rPr>
          <w:rFonts w:hint="default" w:ascii="Times New Roman" w:hAnsi="Times New Roman" w:cs="Times New Roman"/>
          <w:sz w:val="24"/>
          <w:szCs w:val="24"/>
          <w:lang w:val="en-US" w:eastAsia="zh-CN"/>
        </w:rPr>
        <w:t>临时落料点设置三面围挡＋喷雾降尘措施。</w:t>
      </w:r>
    </w:p>
    <w:p w14:paraId="160ECB5B">
      <w:pPr>
        <w:pStyle w:val="39"/>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二次筛分、一破</w:t>
      </w:r>
    </w:p>
    <w:p w14:paraId="1DC18C10">
      <w:pPr>
        <w:pStyle w:val="39"/>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矿石</w:t>
      </w:r>
      <w:r>
        <w:rPr>
          <w:rFonts w:hint="default" w:ascii="Times New Roman" w:hAnsi="Times New Roman" w:eastAsia="宋体" w:cs="Times New Roman"/>
          <w:sz w:val="24"/>
          <w:szCs w:val="24"/>
          <w:lang w:val="en-US" w:eastAsia="zh-CN"/>
        </w:rPr>
        <w:t>经振动筛</w:t>
      </w:r>
      <w:r>
        <w:rPr>
          <w:rFonts w:hint="default" w:ascii="Times New Roman" w:hAnsi="Times New Roman" w:cs="Times New Roman"/>
          <w:sz w:val="24"/>
          <w:szCs w:val="24"/>
          <w:lang w:val="en-US" w:eastAsia="zh-CN"/>
        </w:rPr>
        <w:t>二次</w:t>
      </w:r>
      <w:r>
        <w:rPr>
          <w:rFonts w:hint="default" w:ascii="Times New Roman" w:hAnsi="Times New Roman" w:eastAsia="宋体" w:cs="Times New Roman"/>
          <w:sz w:val="24"/>
          <w:szCs w:val="24"/>
          <w:lang w:val="en-US" w:eastAsia="zh-CN"/>
        </w:rPr>
        <w:t>筛分后，＜40mm进入</w:t>
      </w:r>
      <w:r>
        <w:rPr>
          <w:rFonts w:hint="default" w:ascii="Times New Roman" w:hAnsi="Times New Roman" w:cs="Times New Roman"/>
          <w:sz w:val="24"/>
          <w:szCs w:val="24"/>
          <w:lang w:val="en-US" w:eastAsia="zh-CN"/>
        </w:rPr>
        <w:t>三</w:t>
      </w:r>
      <w:r>
        <w:rPr>
          <w:rFonts w:hint="default" w:ascii="Times New Roman" w:hAnsi="Times New Roman" w:eastAsia="宋体" w:cs="Times New Roman"/>
          <w:sz w:val="24"/>
          <w:szCs w:val="24"/>
          <w:lang w:val="en-US" w:eastAsia="zh-CN"/>
        </w:rPr>
        <w:t>次筛分。40</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70mm进入颚式破碎机破碎，破碎后由皮带</w:t>
      </w:r>
      <w:r>
        <w:rPr>
          <w:rFonts w:hint="default" w:ascii="Times New Roman" w:hAnsi="Times New Roman" w:cs="Times New Roman"/>
          <w:sz w:val="24"/>
          <w:szCs w:val="24"/>
          <w:lang w:val="en-US" w:eastAsia="zh-CN"/>
        </w:rPr>
        <w:t>送至三</w:t>
      </w:r>
      <w:r>
        <w:rPr>
          <w:rFonts w:hint="default" w:ascii="Times New Roman" w:hAnsi="Times New Roman" w:eastAsia="宋体" w:cs="Times New Roman"/>
          <w:sz w:val="24"/>
          <w:szCs w:val="24"/>
          <w:lang w:val="en-US" w:eastAsia="zh-CN"/>
        </w:rPr>
        <w:t>次筛分。</w:t>
      </w:r>
    </w:p>
    <w:p w14:paraId="54A76F2B">
      <w:pPr>
        <w:pStyle w:val="39"/>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（4）三次筛分、二破</w:t>
      </w:r>
    </w:p>
    <w:p w14:paraId="2DF54209">
      <w:pPr>
        <w:pStyle w:val="39"/>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矿石</w:t>
      </w:r>
      <w:r>
        <w:rPr>
          <w:rFonts w:hint="default" w:ascii="Times New Roman" w:hAnsi="Times New Roman" w:eastAsia="宋体" w:cs="Times New Roman"/>
          <w:sz w:val="24"/>
          <w:szCs w:val="24"/>
          <w:lang w:val="en-US" w:eastAsia="zh-CN"/>
        </w:rPr>
        <w:t>经振动筛三次筛分后，</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20mm</w:t>
      </w:r>
      <w:r>
        <w:rPr>
          <w:rFonts w:hint="default" w:ascii="Times New Roman" w:hAnsi="Times New Roman" w:cs="Times New Roman"/>
          <w:sz w:val="24"/>
          <w:szCs w:val="24"/>
          <w:lang w:val="en-US" w:eastAsia="zh-CN"/>
        </w:rPr>
        <w:t>物</w:t>
      </w:r>
      <w:r>
        <w:rPr>
          <w:rFonts w:hint="default" w:ascii="Times New Roman" w:hAnsi="Times New Roman" w:eastAsia="宋体" w:cs="Times New Roman"/>
          <w:sz w:val="24"/>
          <w:szCs w:val="24"/>
          <w:lang w:val="en-US" w:eastAsia="zh-CN"/>
        </w:rPr>
        <w:t>料由皮带送至振动给料机进入对辊破碎机进行二破，破碎后返回三次筛分；＜20mm由皮带送至磁选机</w:t>
      </w:r>
      <w:r>
        <w:rPr>
          <w:rFonts w:hint="default" w:ascii="Times New Roman" w:hAnsi="Times New Roman" w:cs="Times New Roman"/>
          <w:sz w:val="24"/>
          <w:szCs w:val="24"/>
          <w:lang w:val="en-US" w:eastAsia="zh-CN"/>
        </w:rPr>
        <w:t>。</w:t>
      </w:r>
    </w:p>
    <w:p w14:paraId="397C99B4">
      <w:pPr>
        <w:pStyle w:val="39"/>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（5）磁选</w:t>
      </w:r>
    </w:p>
    <w:p w14:paraId="483C1B79">
      <w:pPr>
        <w:pStyle w:val="39"/>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三次筛分后</w:t>
      </w:r>
      <w:r>
        <w:rPr>
          <w:rFonts w:hint="default" w:ascii="Times New Roman" w:hAnsi="Times New Roman" w:eastAsia="宋体" w:cs="Times New Roman"/>
          <w:sz w:val="24"/>
          <w:szCs w:val="24"/>
          <w:lang w:val="en-US" w:eastAsia="zh-CN"/>
        </w:rPr>
        <w:t>＜20mm</w:t>
      </w:r>
      <w:r>
        <w:rPr>
          <w:rFonts w:hint="default" w:ascii="Times New Roman" w:hAnsi="Times New Roman" w:cs="Times New Roman"/>
          <w:sz w:val="24"/>
          <w:szCs w:val="24"/>
          <w:lang w:val="en-US" w:eastAsia="zh-CN"/>
        </w:rPr>
        <w:t>矿石</w:t>
      </w:r>
      <w:r>
        <w:rPr>
          <w:rFonts w:hint="default" w:ascii="Times New Roman" w:hAnsi="Times New Roman" w:eastAsia="宋体" w:cs="Times New Roman"/>
          <w:sz w:val="24"/>
          <w:szCs w:val="24"/>
          <w:lang w:val="en-US" w:eastAsia="zh-CN"/>
        </w:rPr>
        <w:t>由皮带送至振动给料机进入磁选机</w:t>
      </w:r>
      <w:r>
        <w:rPr>
          <w:rFonts w:hint="default" w:ascii="Times New Roman" w:hAnsi="Times New Roman" w:cs="Times New Roman"/>
          <w:sz w:val="24"/>
          <w:szCs w:val="24"/>
          <w:lang w:val="en-US" w:eastAsia="zh-CN"/>
        </w:rPr>
        <w:t>，</w:t>
      </w:r>
      <w:r>
        <w:rPr>
          <w:rFonts w:hint="default" w:ascii="Times New Roman" w:hAnsi="Times New Roman" w:eastAsia="宋体" w:cs="Times New Roman"/>
          <w:bCs w:val="0"/>
          <w:color w:val="auto"/>
          <w:kern w:val="2"/>
          <w:sz w:val="24"/>
          <w:szCs w:val="22"/>
          <w:highlight w:val="none"/>
          <w:lang w:val="en-US" w:eastAsia="zh-CN" w:bidi="ar-SA"/>
        </w:rPr>
        <w:t>进行铁矿石与尾矿的分离</w:t>
      </w:r>
      <w:r>
        <w:rPr>
          <w:rFonts w:hint="default" w:ascii="Times New Roman" w:hAnsi="Times New Roman" w:eastAsia="宋体" w:cs="Times New Roman"/>
          <w:sz w:val="24"/>
          <w:szCs w:val="24"/>
          <w:lang w:val="en-US" w:eastAsia="zh-CN"/>
        </w:rPr>
        <w:t>。选出</w:t>
      </w:r>
      <w:r>
        <w:rPr>
          <w:rFonts w:hint="default" w:ascii="Times New Roman" w:hAnsi="Times New Roman" w:cs="Times New Roman"/>
          <w:sz w:val="24"/>
          <w:szCs w:val="24"/>
          <w:lang w:val="en-US" w:eastAsia="zh-CN"/>
        </w:rPr>
        <w:t>的</w:t>
      </w:r>
      <w:r>
        <w:rPr>
          <w:rFonts w:hint="default" w:ascii="Times New Roman" w:hAnsi="Times New Roman" w:eastAsia="宋体" w:cs="Times New Roman"/>
          <w:sz w:val="24"/>
          <w:szCs w:val="24"/>
          <w:lang w:val="en-US" w:eastAsia="zh-CN"/>
        </w:rPr>
        <w:t>铁矿石经皮带输送至</w:t>
      </w:r>
      <w:r>
        <w:rPr>
          <w:rFonts w:hint="default" w:ascii="Times New Roman" w:hAnsi="Times New Roman" w:cs="Times New Roman"/>
          <w:sz w:val="24"/>
          <w:szCs w:val="24"/>
          <w:lang w:val="en-US" w:eastAsia="zh-CN"/>
        </w:rPr>
        <w:t>铁矿石堆棚，</w:t>
      </w:r>
      <w:r>
        <w:rPr>
          <w:rFonts w:hint="default" w:ascii="Times New Roman" w:hAnsi="Times New Roman" w:eastAsia="宋体" w:cs="Times New Roman"/>
          <w:sz w:val="24"/>
          <w:szCs w:val="24"/>
          <w:lang w:val="en-US" w:eastAsia="zh-CN"/>
        </w:rPr>
        <w:t>运至仙福钢铁炼钢厂。</w:t>
      </w:r>
      <w:r>
        <w:rPr>
          <w:rFonts w:hint="default" w:ascii="Times New Roman" w:hAnsi="Times New Roman" w:cs="Times New Roman"/>
          <w:sz w:val="24"/>
          <w:szCs w:val="24"/>
          <w:lang w:val="en-US" w:eastAsia="zh-CN"/>
        </w:rPr>
        <w:t>砂石料经皮带输送至砂石料堆棚，用于道路维护、工业场地建设以及外售建材公司。铁矿石及砂石料堆棚设置三面围挡+顶棚，并进行喷雾降尘。</w:t>
      </w:r>
    </w:p>
    <w:p w14:paraId="45E51815">
      <w:pPr>
        <w:pStyle w:val="39"/>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作原理：物料通过电磁振动给料机均匀地给到正在转动的滚筒上部磁场区，磁性物质被吸附在滚筒表面，并随着滚筒一起转动。由于磁性颗粒与非磁性颗粒，在磁场中所受磁力不同，磁性颗粒在磁场内受磁力作用吸附在滚筒表面，带到废磁场区被卸下，非磁性和弱磁性颗粒由于他们所受磁力不同，抛离的轨迹也不同。磁性越强抛离中越靠近滚筒。周围方向采用交变磁场，并以一定的角度和周期来摆动，物料中的磁性物质在滚筒表面做翻滚摆动后脱离磁场。</w:t>
      </w:r>
    </w:p>
    <w:p w14:paraId="7F5CEDBB">
      <w:pPr>
        <w:pStyle w:val="39"/>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筛分、破碎及</w:t>
      </w:r>
      <w:r>
        <w:rPr>
          <w:rFonts w:hint="default" w:ascii="Times New Roman" w:hAnsi="Times New Roman" w:cs="Times New Roman"/>
          <w:sz w:val="24"/>
          <w:szCs w:val="24"/>
          <w:lang w:val="en-US" w:eastAsia="zh-CN"/>
        </w:rPr>
        <w:t>磁选</w:t>
      </w:r>
      <w:r>
        <w:rPr>
          <w:rFonts w:hint="default" w:ascii="Times New Roman" w:hAnsi="Times New Roman" w:eastAsia="宋体" w:cs="Times New Roman"/>
          <w:sz w:val="24"/>
          <w:szCs w:val="24"/>
          <w:lang w:val="en-US" w:eastAsia="zh-CN"/>
        </w:rPr>
        <w:t>过程中会有粉尘产生，各设备通过彩钢板封闭，分别在上方设置1个集气罩进行废气收集后，经引风管通过1套布袋除尘器处理达标后</w:t>
      </w:r>
      <w:r>
        <w:rPr>
          <w:rFonts w:hint="default" w:ascii="Times New Roman" w:hAnsi="Times New Roman" w:cs="Times New Roman"/>
          <w:sz w:val="24"/>
          <w:szCs w:val="24"/>
          <w:lang w:val="en-US" w:eastAsia="zh-CN"/>
        </w:rPr>
        <w:t>通过</w:t>
      </w:r>
      <w:r>
        <w:rPr>
          <w:rFonts w:hint="default" w:ascii="Times New Roman" w:hAnsi="Times New Roman" w:eastAsia="宋体" w:cs="Times New Roman"/>
          <w:sz w:val="24"/>
          <w:szCs w:val="24"/>
          <w:lang w:val="en-US" w:eastAsia="zh-CN"/>
        </w:rPr>
        <w:t>15m高排气筒（DA001）排放。</w:t>
      </w:r>
      <w:r>
        <w:rPr>
          <w:rFonts w:hint="default" w:ascii="Times New Roman" w:hAnsi="Times New Roman" w:cs="Times New Roman"/>
          <w:sz w:val="24"/>
          <w:szCs w:val="24"/>
          <w:lang w:val="en-US" w:eastAsia="zh-CN"/>
        </w:rPr>
        <w:t>物</w:t>
      </w:r>
      <w:r>
        <w:rPr>
          <w:rFonts w:hint="default" w:ascii="Times New Roman" w:hAnsi="Times New Roman" w:eastAsia="宋体" w:cs="Times New Roman"/>
          <w:sz w:val="24"/>
          <w:szCs w:val="24"/>
          <w:lang w:val="en-US" w:eastAsia="zh-CN"/>
        </w:rPr>
        <w:t>料皮带输送过程中产生的粉尘通过设置封闭式输送廊道进行抑尘。</w:t>
      </w:r>
    </w:p>
    <w:p w14:paraId="5B56B11F">
      <w:pPr>
        <w:pStyle w:val="39"/>
        <w:ind w:firstLine="480"/>
        <w:rPr>
          <w:rFonts w:hint="default" w:ascii="Times New Roman" w:hAnsi="Times New Roman" w:eastAsia="宋体" w:cs="Times New Roman"/>
          <w:sz w:val="24"/>
          <w:szCs w:val="24"/>
          <w:lang w:bidi="en-US"/>
        </w:rPr>
      </w:pPr>
      <w:r>
        <w:rPr>
          <w:rFonts w:hint="default" w:ascii="Times New Roman" w:hAnsi="Times New Roman" w:eastAsia="宋体" w:cs="Times New Roman"/>
          <w:sz w:val="24"/>
          <w:szCs w:val="24"/>
          <w:lang w:bidi="en-US"/>
        </w:rPr>
        <w:t>（5）成品装车、运输</w:t>
      </w:r>
    </w:p>
    <w:p w14:paraId="0CE369A6">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eastAsia="宋体" w:cs="Times New Roman"/>
          <w:sz w:val="24"/>
          <w:szCs w:val="24"/>
          <w:lang w:bidi="en-US"/>
        </w:rPr>
        <w:t>成品使用装载机上料，由</w:t>
      </w:r>
      <w:r>
        <w:rPr>
          <w:rFonts w:hint="default" w:ascii="Times New Roman" w:hAnsi="Times New Roman" w:eastAsia="宋体" w:cs="Times New Roman"/>
          <w:sz w:val="24"/>
          <w:szCs w:val="24"/>
          <w:lang w:val="en-US" w:eastAsia="zh-CN" w:bidi="en-US"/>
        </w:rPr>
        <w:t>矿山车辆</w:t>
      </w:r>
      <w:r>
        <w:rPr>
          <w:rFonts w:hint="default" w:ascii="Times New Roman" w:hAnsi="Times New Roman" w:eastAsia="宋体" w:cs="Times New Roman"/>
          <w:sz w:val="24"/>
          <w:szCs w:val="24"/>
          <w:lang w:bidi="en-US"/>
        </w:rPr>
        <w:t>运送，产生装卸、运输扬尘</w:t>
      </w:r>
      <w:r>
        <w:rPr>
          <w:rFonts w:hint="default" w:ascii="Times New Roman" w:hAnsi="Times New Roman" w:eastAsia="宋体" w:cs="Times New Roman"/>
          <w:sz w:val="24"/>
          <w:szCs w:val="24"/>
          <w:lang w:val="en-US" w:eastAsia="zh-CN" w:bidi="en-US"/>
        </w:rPr>
        <w:t>通过喷雾抑尘。</w:t>
      </w:r>
    </w:p>
    <w:p w14:paraId="4D1627AD">
      <w:pPr>
        <w:pStyle w:val="7"/>
        <w:spacing w:before="0" w:after="0"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.3.2.2公辅工程主要产污环节</w:t>
      </w:r>
    </w:p>
    <w:p w14:paraId="7209C81A">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（1）办公生活</w:t>
      </w:r>
    </w:p>
    <w:p w14:paraId="4C03EE90">
      <w:pPr>
        <w:spacing w:line="360" w:lineRule="auto"/>
        <w:ind w:firstLine="480" w:firstLineChars="200"/>
        <w:rPr>
          <w:rFonts w:hint="default" w:ascii="Times New Roman" w:hAnsi="Times New Roman" w:cs="Times New Roman" w:eastAsiaTheme="minorEastAsia"/>
          <w:sz w:val="24"/>
          <w:szCs w:val="24"/>
          <w:lang w:bidi="en-US"/>
        </w:rPr>
      </w:pPr>
      <w:r>
        <w:rPr>
          <w:rFonts w:hint="default" w:ascii="Times New Roman" w:hAnsi="Times New Roman" w:cs="Times New Roman" w:eastAsiaTheme="minorEastAsia"/>
          <w:sz w:val="24"/>
          <w:szCs w:val="24"/>
          <w:lang w:val="en-US" w:eastAsia="zh-CN"/>
        </w:rPr>
        <w:t>鲁奎山铁矿</w:t>
      </w:r>
      <w:r>
        <w:rPr>
          <w:rFonts w:hint="default" w:ascii="Times New Roman" w:hAnsi="Times New Roman" w:cs="Times New Roman" w:eastAsiaTheme="minorEastAsia"/>
          <w:sz w:val="24"/>
          <w:szCs w:val="24"/>
        </w:rPr>
        <w:t>设置有生活区，职工日常生活中会产生生活垃圾及生活污水，食堂会产生食堂油烟。食堂油烟经油烟净化器处理后排放。本项目</w:t>
      </w:r>
      <w:r>
        <w:rPr>
          <w:rFonts w:hint="default" w:ascii="Times New Roman" w:hAnsi="Times New Roman" w:cs="Times New Roman" w:eastAsiaTheme="minorEastAsia"/>
          <w:sz w:val="24"/>
          <w:szCs w:val="24"/>
          <w:lang w:bidi="en-US"/>
        </w:rPr>
        <w:t>生活污水依托</w:t>
      </w:r>
      <w:r>
        <w:rPr>
          <w:rFonts w:hint="default" w:ascii="Times New Roman" w:hAnsi="Times New Roman" w:cs="Times New Roman" w:eastAsiaTheme="minorEastAsia"/>
          <w:sz w:val="24"/>
          <w:szCs w:val="24"/>
          <w:lang w:val="en-US" w:eastAsia="zh-CN" w:bidi="en-US"/>
        </w:rPr>
        <w:t>鲁奎山铁矿</w:t>
      </w:r>
      <w:r>
        <w:rPr>
          <w:rFonts w:hint="default" w:ascii="Times New Roman" w:hAnsi="Times New Roman" w:cs="Times New Roman" w:eastAsiaTheme="minorEastAsia"/>
          <w:sz w:val="24"/>
          <w:szCs w:val="24"/>
          <w:lang w:bidi="en-US"/>
        </w:rPr>
        <w:t>生活污水处理设施，厨房废水经隔油池隔油处理，生活污水经化粪池处理后与厨房废水进入</w:t>
      </w:r>
      <w:r>
        <w:rPr>
          <w:rFonts w:hint="default" w:ascii="Times New Roman" w:hAnsi="Times New Roman" w:cs="Times New Roman" w:eastAsiaTheme="minorEastAsia"/>
          <w:sz w:val="24"/>
          <w:szCs w:val="24"/>
          <w:lang w:val="en-US" w:eastAsia="zh-CN" w:bidi="en-US"/>
        </w:rPr>
        <w:t>矿山</w:t>
      </w:r>
      <w:r>
        <w:rPr>
          <w:rFonts w:hint="default" w:ascii="Times New Roman" w:hAnsi="Times New Roman" w:cs="Times New Roman" w:eastAsiaTheme="minorEastAsia"/>
          <w:sz w:val="24"/>
          <w:szCs w:val="24"/>
          <w:lang w:bidi="en-US"/>
        </w:rPr>
        <w:t>一体化污水处理设备，处理达标后回用于</w:t>
      </w:r>
      <w:r>
        <w:rPr>
          <w:rFonts w:hint="default" w:ascii="Times New Roman" w:hAnsi="Times New Roman" w:cs="Times New Roman" w:eastAsiaTheme="minorEastAsia"/>
          <w:sz w:val="24"/>
          <w:szCs w:val="24"/>
          <w:lang w:val="en-US" w:eastAsia="zh-CN" w:bidi="en-US"/>
        </w:rPr>
        <w:t>矿山</w:t>
      </w:r>
      <w:r>
        <w:rPr>
          <w:rFonts w:hint="default" w:ascii="Times New Roman" w:hAnsi="Times New Roman" w:cs="Times New Roman" w:eastAsiaTheme="minorEastAsia"/>
          <w:sz w:val="24"/>
          <w:szCs w:val="24"/>
          <w:lang w:bidi="en-US"/>
        </w:rPr>
        <w:t>绿化及洒水降尘。</w:t>
      </w:r>
    </w:p>
    <w:p w14:paraId="6F53E598">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（2）日常机械维修保养</w:t>
      </w:r>
    </w:p>
    <w:p w14:paraId="70A2EB07">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项目对机械设备进行简单维修、保养，日常机械维修保养过程中会产生</w:t>
      </w:r>
      <w:bookmarkStart w:id="270" w:name="OLE_LINK4"/>
      <w:bookmarkStart w:id="271" w:name="OLE_LINK3"/>
      <w:r>
        <w:rPr>
          <w:rFonts w:hint="default" w:ascii="Times New Roman" w:hAnsi="Times New Roman" w:cs="Times New Roman" w:eastAsiaTheme="minorEastAsia"/>
          <w:sz w:val="24"/>
          <w:szCs w:val="24"/>
        </w:rPr>
        <w:t>废矿物油、废矿物油桶</w:t>
      </w:r>
      <w:bookmarkEnd w:id="270"/>
      <w:bookmarkEnd w:id="271"/>
      <w:r>
        <w:rPr>
          <w:rFonts w:hint="default" w:ascii="Times New Roman" w:hAnsi="Times New Roman" w:cs="Times New Roman" w:eastAsiaTheme="minorEastAsia"/>
          <w:sz w:val="24"/>
          <w:szCs w:val="24"/>
        </w:rPr>
        <w:t>、含油抹布等废矿物油及含矿物油废物，废矿物油及含油废物用带盖专用容器分类收集，分类分区暂存于</w:t>
      </w:r>
      <w:r>
        <w:rPr>
          <w:rFonts w:hint="default" w:ascii="Times New Roman" w:hAnsi="Times New Roman" w:cs="Times New Roman" w:eastAsiaTheme="minorEastAsia"/>
          <w:sz w:val="24"/>
          <w:szCs w:val="24"/>
          <w:lang w:val="en-US" w:eastAsia="zh-CN"/>
        </w:rPr>
        <w:t>矿山</w:t>
      </w:r>
      <w:r>
        <w:rPr>
          <w:rFonts w:hint="default" w:ascii="Times New Roman" w:hAnsi="Times New Roman" w:cs="Times New Roman" w:eastAsiaTheme="minorEastAsia"/>
          <w:sz w:val="24"/>
          <w:szCs w:val="24"/>
        </w:rPr>
        <w:t>危废暂存间，</w:t>
      </w:r>
      <w:r>
        <w:rPr>
          <w:rFonts w:hint="default" w:ascii="Times New Roman" w:hAnsi="Times New Roman" w:cs="Times New Roman" w:eastAsiaTheme="minorEastAsia"/>
          <w:sz w:val="24"/>
          <w:szCs w:val="24"/>
          <w:lang w:val="en-US" w:eastAsia="zh-CN"/>
        </w:rPr>
        <w:t>由集团公司统一</w:t>
      </w:r>
      <w:r>
        <w:rPr>
          <w:rFonts w:hint="default" w:ascii="Times New Roman" w:hAnsi="Times New Roman" w:cs="Times New Roman" w:eastAsiaTheme="minorEastAsia"/>
          <w:sz w:val="24"/>
          <w:szCs w:val="24"/>
        </w:rPr>
        <w:t>委托有资质单位处置。</w:t>
      </w:r>
    </w:p>
    <w:p w14:paraId="095DC23D">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污染物产排情况及环保设施</w:t>
      </w:r>
      <w:r>
        <w:rPr>
          <w:rFonts w:hint="default" w:ascii="Times New Roman" w:hAnsi="Times New Roman" w:eastAsia="宋体" w:cs="Times New Roman"/>
          <w:sz w:val="24"/>
          <w:szCs w:val="24"/>
          <w:lang w:val="en-US" w:eastAsia="zh-CN"/>
        </w:rPr>
        <w:t>情况见下表。</w:t>
      </w:r>
    </w:p>
    <w:p w14:paraId="2EF6BA8A">
      <w:pPr>
        <w:bidi w:val="0"/>
        <w:jc w:val="center"/>
        <w:rPr>
          <w:rFonts w:hint="default" w:ascii="Times New Roman" w:hAnsi="Times New Roman" w:eastAsia="黑体" w:cs="Times New Roman"/>
          <w:sz w:val="21"/>
          <w:szCs w:val="21"/>
        </w:rPr>
      </w:pPr>
      <w:bookmarkStart w:id="272" w:name="_Toc165816742"/>
      <w:bookmarkStart w:id="273" w:name="_Toc11354"/>
      <w:r>
        <w:rPr>
          <w:rFonts w:hint="default" w:ascii="Times New Roman" w:hAnsi="Times New Roman" w:eastAsia="黑体" w:cs="Times New Roman"/>
          <w:sz w:val="21"/>
          <w:szCs w:val="21"/>
          <w:lang w:val="en-US" w:eastAsia="zh-CN"/>
        </w:rPr>
        <w:t>表3.3.2-1</w:t>
      </w:r>
      <w:r>
        <w:rPr>
          <w:rFonts w:hint="default" w:ascii="Times New Roman" w:hAnsi="Times New Roman" w:eastAsia="黑体" w:cs="Times New Roman"/>
          <w:sz w:val="21"/>
          <w:szCs w:val="21"/>
        </w:rPr>
        <w:t>污染物产排情况及环保设施一览表</w:t>
      </w:r>
    </w:p>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756"/>
        <w:gridCol w:w="1050"/>
        <w:gridCol w:w="1370"/>
        <w:gridCol w:w="1010"/>
        <w:gridCol w:w="1450"/>
        <w:gridCol w:w="2428"/>
      </w:tblGrid>
      <w:tr w14:paraId="6B845F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2" w:type="dxa"/>
          </w:tcPr>
          <w:p w14:paraId="53E2C3EB">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污染物种类</w:t>
            </w:r>
          </w:p>
        </w:tc>
        <w:tc>
          <w:tcPr>
            <w:tcW w:w="756" w:type="dxa"/>
          </w:tcPr>
          <w:p w14:paraId="2DCFCC2E">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代码</w:t>
            </w:r>
          </w:p>
        </w:tc>
        <w:tc>
          <w:tcPr>
            <w:tcW w:w="1050" w:type="dxa"/>
          </w:tcPr>
          <w:p w14:paraId="1ED1D47C">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污染物</w:t>
            </w:r>
          </w:p>
        </w:tc>
        <w:tc>
          <w:tcPr>
            <w:tcW w:w="1370" w:type="dxa"/>
          </w:tcPr>
          <w:p w14:paraId="351E975F">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产生环节</w:t>
            </w:r>
          </w:p>
        </w:tc>
        <w:tc>
          <w:tcPr>
            <w:tcW w:w="1010" w:type="dxa"/>
          </w:tcPr>
          <w:p w14:paraId="1FD9DD2D">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排放规律</w:t>
            </w:r>
          </w:p>
        </w:tc>
        <w:tc>
          <w:tcPr>
            <w:tcW w:w="1450" w:type="dxa"/>
          </w:tcPr>
          <w:p w14:paraId="6D3072B3">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主要污染物</w:t>
            </w:r>
          </w:p>
        </w:tc>
        <w:tc>
          <w:tcPr>
            <w:tcW w:w="2428" w:type="dxa"/>
          </w:tcPr>
          <w:p w14:paraId="7C084AE6">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处理方式</w:t>
            </w:r>
          </w:p>
        </w:tc>
      </w:tr>
      <w:tr w14:paraId="26DB22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222" w:type="dxa"/>
            <w:vMerge w:val="restart"/>
          </w:tcPr>
          <w:p w14:paraId="2AE9D118">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废气</w:t>
            </w:r>
          </w:p>
          <w:p w14:paraId="37FCA3D6">
            <w:pPr>
              <w:rPr>
                <w:rFonts w:hint="default" w:ascii="Times New Roman" w:hAnsi="Times New Roman" w:cs="Times New Roman"/>
                <w:sz w:val="18"/>
                <w:szCs w:val="18"/>
                <w:vertAlign w:val="baseline"/>
                <w:lang w:val="en-US" w:eastAsia="zh-CN"/>
              </w:rPr>
            </w:pPr>
          </w:p>
        </w:tc>
        <w:tc>
          <w:tcPr>
            <w:tcW w:w="756" w:type="dxa"/>
          </w:tcPr>
          <w:p w14:paraId="029568B5">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G1</w:t>
            </w:r>
          </w:p>
        </w:tc>
        <w:tc>
          <w:tcPr>
            <w:tcW w:w="1050" w:type="dxa"/>
          </w:tcPr>
          <w:p w14:paraId="459BD8A9">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粉尘</w:t>
            </w:r>
          </w:p>
        </w:tc>
        <w:tc>
          <w:tcPr>
            <w:tcW w:w="1370" w:type="dxa"/>
          </w:tcPr>
          <w:p w14:paraId="729565A3">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原料堆场</w:t>
            </w:r>
          </w:p>
        </w:tc>
        <w:tc>
          <w:tcPr>
            <w:tcW w:w="1010" w:type="dxa"/>
          </w:tcPr>
          <w:p w14:paraId="0DDA2689">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连续</w:t>
            </w:r>
          </w:p>
        </w:tc>
        <w:tc>
          <w:tcPr>
            <w:tcW w:w="1450" w:type="dxa"/>
            <w:vMerge w:val="restart"/>
          </w:tcPr>
          <w:p w14:paraId="30AD37C4">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颗粒物</w:t>
            </w:r>
          </w:p>
          <w:p w14:paraId="6B63CE76">
            <w:pPr>
              <w:rPr>
                <w:rFonts w:hint="default" w:ascii="Times New Roman" w:hAnsi="Times New Roman" w:cs="Times New Roman"/>
                <w:sz w:val="18"/>
                <w:szCs w:val="18"/>
                <w:vertAlign w:val="baseline"/>
                <w:lang w:val="en-US" w:eastAsia="zh-CN"/>
              </w:rPr>
            </w:pPr>
          </w:p>
        </w:tc>
        <w:tc>
          <w:tcPr>
            <w:tcW w:w="2428" w:type="dxa"/>
          </w:tcPr>
          <w:p w14:paraId="4D7D7360">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堆棚设置三面围挡+顶棚，编织物覆盖并进行喷雾降尘</w:t>
            </w:r>
          </w:p>
        </w:tc>
      </w:tr>
      <w:tr w14:paraId="7B8CC2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2" w:type="dxa"/>
            <w:vMerge w:val="continue"/>
          </w:tcPr>
          <w:p w14:paraId="2151829B">
            <w:pPr>
              <w:rPr>
                <w:rFonts w:hint="default" w:ascii="Times New Roman" w:hAnsi="Times New Roman" w:cs="Times New Roman"/>
                <w:sz w:val="18"/>
                <w:szCs w:val="18"/>
                <w:vertAlign w:val="baseline"/>
                <w:lang w:val="en-US" w:eastAsia="zh-CN"/>
              </w:rPr>
            </w:pPr>
          </w:p>
        </w:tc>
        <w:tc>
          <w:tcPr>
            <w:tcW w:w="756" w:type="dxa"/>
            <w:vAlign w:val="top"/>
          </w:tcPr>
          <w:p w14:paraId="0A68F1E3">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G2</w:t>
            </w:r>
          </w:p>
        </w:tc>
        <w:tc>
          <w:tcPr>
            <w:tcW w:w="1050" w:type="dxa"/>
          </w:tcPr>
          <w:p w14:paraId="2814994E">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粉尘</w:t>
            </w:r>
          </w:p>
        </w:tc>
        <w:tc>
          <w:tcPr>
            <w:tcW w:w="1370" w:type="dxa"/>
          </w:tcPr>
          <w:p w14:paraId="2DECAECC">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给料</w:t>
            </w:r>
          </w:p>
        </w:tc>
        <w:tc>
          <w:tcPr>
            <w:tcW w:w="1010" w:type="dxa"/>
          </w:tcPr>
          <w:p w14:paraId="6A0CECEB">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连续</w:t>
            </w:r>
          </w:p>
        </w:tc>
        <w:tc>
          <w:tcPr>
            <w:tcW w:w="1450" w:type="dxa"/>
            <w:vMerge w:val="continue"/>
          </w:tcPr>
          <w:p w14:paraId="63E509B1">
            <w:pPr>
              <w:rPr>
                <w:rFonts w:hint="default" w:ascii="Times New Roman" w:hAnsi="Times New Roman" w:cs="Times New Roman"/>
                <w:sz w:val="18"/>
                <w:szCs w:val="18"/>
                <w:vertAlign w:val="baseline"/>
                <w:lang w:val="en-US" w:eastAsia="zh-CN"/>
              </w:rPr>
            </w:pPr>
          </w:p>
        </w:tc>
        <w:tc>
          <w:tcPr>
            <w:tcW w:w="2428" w:type="dxa"/>
          </w:tcPr>
          <w:p w14:paraId="32BA88A5">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三面围挡、喷雾降尘</w:t>
            </w:r>
          </w:p>
        </w:tc>
      </w:tr>
      <w:tr w14:paraId="2DA376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2" w:type="dxa"/>
            <w:vMerge w:val="continue"/>
          </w:tcPr>
          <w:p w14:paraId="5B6DE417">
            <w:pPr>
              <w:rPr>
                <w:rFonts w:hint="default" w:ascii="Times New Roman" w:hAnsi="Times New Roman" w:cs="Times New Roman"/>
                <w:sz w:val="18"/>
                <w:szCs w:val="18"/>
                <w:vertAlign w:val="baseline"/>
                <w:lang w:val="en-US" w:eastAsia="zh-CN"/>
              </w:rPr>
            </w:pPr>
          </w:p>
        </w:tc>
        <w:tc>
          <w:tcPr>
            <w:tcW w:w="756" w:type="dxa"/>
            <w:vAlign w:val="top"/>
          </w:tcPr>
          <w:p w14:paraId="08908142">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G3</w:t>
            </w:r>
          </w:p>
        </w:tc>
        <w:tc>
          <w:tcPr>
            <w:tcW w:w="1050" w:type="dxa"/>
          </w:tcPr>
          <w:p w14:paraId="425C8E60">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粉尘</w:t>
            </w:r>
          </w:p>
        </w:tc>
        <w:tc>
          <w:tcPr>
            <w:tcW w:w="1370" w:type="dxa"/>
          </w:tcPr>
          <w:p w14:paraId="3EBF7B66">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一次落料</w:t>
            </w:r>
          </w:p>
        </w:tc>
        <w:tc>
          <w:tcPr>
            <w:tcW w:w="1010" w:type="dxa"/>
          </w:tcPr>
          <w:p w14:paraId="49DFBB02">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连续</w:t>
            </w:r>
          </w:p>
        </w:tc>
        <w:tc>
          <w:tcPr>
            <w:tcW w:w="1450" w:type="dxa"/>
            <w:vMerge w:val="continue"/>
          </w:tcPr>
          <w:p w14:paraId="381A002A">
            <w:pPr>
              <w:rPr>
                <w:rFonts w:hint="default" w:ascii="Times New Roman" w:hAnsi="Times New Roman" w:cs="Times New Roman"/>
                <w:sz w:val="18"/>
                <w:szCs w:val="18"/>
                <w:vertAlign w:val="baseline"/>
                <w:lang w:val="en-US" w:eastAsia="zh-CN"/>
              </w:rPr>
            </w:pPr>
          </w:p>
        </w:tc>
        <w:tc>
          <w:tcPr>
            <w:tcW w:w="2428" w:type="dxa"/>
          </w:tcPr>
          <w:p w14:paraId="33B041B5">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三面围挡、喷雾降尘</w:t>
            </w:r>
          </w:p>
        </w:tc>
      </w:tr>
      <w:tr w14:paraId="48F4AC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2" w:type="dxa"/>
            <w:vMerge w:val="continue"/>
          </w:tcPr>
          <w:p w14:paraId="3F1B8DAA">
            <w:pPr>
              <w:rPr>
                <w:rFonts w:hint="default" w:ascii="Times New Roman" w:hAnsi="Times New Roman" w:cs="Times New Roman"/>
                <w:sz w:val="18"/>
                <w:szCs w:val="18"/>
                <w:vertAlign w:val="baseline"/>
                <w:lang w:val="en-US" w:eastAsia="zh-CN"/>
              </w:rPr>
            </w:pPr>
          </w:p>
        </w:tc>
        <w:tc>
          <w:tcPr>
            <w:tcW w:w="756" w:type="dxa"/>
            <w:vAlign w:val="top"/>
          </w:tcPr>
          <w:p w14:paraId="429E54A5">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G4</w:t>
            </w:r>
          </w:p>
        </w:tc>
        <w:tc>
          <w:tcPr>
            <w:tcW w:w="1050" w:type="dxa"/>
          </w:tcPr>
          <w:p w14:paraId="0FD3F91A">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粉尘</w:t>
            </w:r>
          </w:p>
        </w:tc>
        <w:tc>
          <w:tcPr>
            <w:tcW w:w="1370" w:type="dxa"/>
          </w:tcPr>
          <w:p w14:paraId="2172D2DE">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一次筛分</w:t>
            </w:r>
          </w:p>
        </w:tc>
        <w:tc>
          <w:tcPr>
            <w:tcW w:w="1010" w:type="dxa"/>
          </w:tcPr>
          <w:p w14:paraId="6A43AE8B">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连续</w:t>
            </w:r>
          </w:p>
        </w:tc>
        <w:tc>
          <w:tcPr>
            <w:tcW w:w="1450" w:type="dxa"/>
            <w:vMerge w:val="continue"/>
          </w:tcPr>
          <w:p w14:paraId="4A5392C0">
            <w:pPr>
              <w:rPr>
                <w:rFonts w:hint="default" w:ascii="Times New Roman" w:hAnsi="Times New Roman" w:cs="Times New Roman"/>
                <w:sz w:val="18"/>
                <w:szCs w:val="18"/>
                <w:vertAlign w:val="baseline"/>
                <w:lang w:val="en-US" w:eastAsia="zh-CN"/>
              </w:rPr>
            </w:pPr>
          </w:p>
        </w:tc>
        <w:tc>
          <w:tcPr>
            <w:tcW w:w="2428" w:type="dxa"/>
            <w:vMerge w:val="restart"/>
          </w:tcPr>
          <w:p w14:paraId="23F794C4">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设备封闭、集气罩收集、布袋除尘后通过15米高排气筒排放</w:t>
            </w:r>
          </w:p>
        </w:tc>
      </w:tr>
      <w:tr w14:paraId="6905D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2" w:type="dxa"/>
            <w:vMerge w:val="continue"/>
          </w:tcPr>
          <w:p w14:paraId="6E3184C4">
            <w:pPr>
              <w:rPr>
                <w:rFonts w:hint="default" w:ascii="Times New Roman" w:hAnsi="Times New Roman" w:cs="Times New Roman"/>
                <w:sz w:val="18"/>
                <w:szCs w:val="18"/>
                <w:vertAlign w:val="baseline"/>
                <w:lang w:val="en-US" w:eastAsia="zh-CN"/>
              </w:rPr>
            </w:pPr>
          </w:p>
        </w:tc>
        <w:tc>
          <w:tcPr>
            <w:tcW w:w="756" w:type="dxa"/>
            <w:vAlign w:val="top"/>
          </w:tcPr>
          <w:p w14:paraId="16CE70D8">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G5</w:t>
            </w:r>
          </w:p>
        </w:tc>
        <w:tc>
          <w:tcPr>
            <w:tcW w:w="1050" w:type="dxa"/>
          </w:tcPr>
          <w:p w14:paraId="6808A7E6">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粉尘</w:t>
            </w:r>
          </w:p>
        </w:tc>
        <w:tc>
          <w:tcPr>
            <w:tcW w:w="1370" w:type="dxa"/>
          </w:tcPr>
          <w:p w14:paraId="7E0B1D6F">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二次筛分</w:t>
            </w:r>
          </w:p>
        </w:tc>
        <w:tc>
          <w:tcPr>
            <w:tcW w:w="1010" w:type="dxa"/>
          </w:tcPr>
          <w:p w14:paraId="2965A762">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连续</w:t>
            </w:r>
          </w:p>
        </w:tc>
        <w:tc>
          <w:tcPr>
            <w:tcW w:w="1450" w:type="dxa"/>
            <w:vMerge w:val="continue"/>
          </w:tcPr>
          <w:p w14:paraId="7CE69727">
            <w:pPr>
              <w:rPr>
                <w:rFonts w:hint="default" w:ascii="Times New Roman" w:hAnsi="Times New Roman" w:cs="Times New Roman"/>
                <w:sz w:val="18"/>
                <w:szCs w:val="18"/>
                <w:vertAlign w:val="baseline"/>
                <w:lang w:val="en-US" w:eastAsia="zh-CN"/>
              </w:rPr>
            </w:pPr>
          </w:p>
        </w:tc>
        <w:tc>
          <w:tcPr>
            <w:tcW w:w="2428" w:type="dxa"/>
            <w:vMerge w:val="continue"/>
          </w:tcPr>
          <w:p w14:paraId="3291B056">
            <w:pPr>
              <w:rPr>
                <w:rFonts w:hint="default" w:ascii="Times New Roman" w:hAnsi="Times New Roman" w:cs="Times New Roman"/>
                <w:sz w:val="18"/>
                <w:szCs w:val="18"/>
                <w:vertAlign w:val="baseline"/>
                <w:lang w:val="en-US" w:eastAsia="zh-CN"/>
              </w:rPr>
            </w:pPr>
          </w:p>
        </w:tc>
      </w:tr>
      <w:tr w14:paraId="6685A6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2" w:type="dxa"/>
            <w:vMerge w:val="continue"/>
          </w:tcPr>
          <w:p w14:paraId="5B6AA612">
            <w:pPr>
              <w:rPr>
                <w:rFonts w:hint="default" w:ascii="Times New Roman" w:hAnsi="Times New Roman" w:cs="Times New Roman"/>
                <w:sz w:val="18"/>
                <w:szCs w:val="18"/>
                <w:vertAlign w:val="baseline"/>
                <w:lang w:val="en-US" w:eastAsia="zh-CN"/>
              </w:rPr>
            </w:pPr>
          </w:p>
        </w:tc>
        <w:tc>
          <w:tcPr>
            <w:tcW w:w="756" w:type="dxa"/>
            <w:vAlign w:val="top"/>
          </w:tcPr>
          <w:p w14:paraId="119E0EB2">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G6</w:t>
            </w:r>
          </w:p>
        </w:tc>
        <w:tc>
          <w:tcPr>
            <w:tcW w:w="1050" w:type="dxa"/>
          </w:tcPr>
          <w:p w14:paraId="27932DC6">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粉尘</w:t>
            </w:r>
          </w:p>
        </w:tc>
        <w:tc>
          <w:tcPr>
            <w:tcW w:w="1370" w:type="dxa"/>
          </w:tcPr>
          <w:p w14:paraId="50526FAB">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一破</w:t>
            </w:r>
          </w:p>
        </w:tc>
        <w:tc>
          <w:tcPr>
            <w:tcW w:w="1010" w:type="dxa"/>
          </w:tcPr>
          <w:p w14:paraId="1ED2817D">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连续</w:t>
            </w:r>
          </w:p>
        </w:tc>
        <w:tc>
          <w:tcPr>
            <w:tcW w:w="1450" w:type="dxa"/>
            <w:vMerge w:val="continue"/>
          </w:tcPr>
          <w:p w14:paraId="3A93C0E9">
            <w:pPr>
              <w:rPr>
                <w:rFonts w:hint="default" w:ascii="Times New Roman" w:hAnsi="Times New Roman" w:cs="Times New Roman"/>
                <w:sz w:val="18"/>
                <w:szCs w:val="18"/>
                <w:vertAlign w:val="baseline"/>
                <w:lang w:val="en-US" w:eastAsia="zh-CN"/>
              </w:rPr>
            </w:pPr>
          </w:p>
        </w:tc>
        <w:tc>
          <w:tcPr>
            <w:tcW w:w="2428" w:type="dxa"/>
            <w:vMerge w:val="continue"/>
          </w:tcPr>
          <w:p w14:paraId="3216D23C">
            <w:pPr>
              <w:rPr>
                <w:rFonts w:hint="default" w:ascii="Times New Roman" w:hAnsi="Times New Roman" w:cs="Times New Roman"/>
                <w:sz w:val="18"/>
                <w:szCs w:val="18"/>
                <w:vertAlign w:val="baseline"/>
                <w:lang w:val="en-US" w:eastAsia="zh-CN"/>
              </w:rPr>
            </w:pPr>
          </w:p>
        </w:tc>
      </w:tr>
      <w:tr w14:paraId="247F90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2" w:type="dxa"/>
            <w:vMerge w:val="continue"/>
          </w:tcPr>
          <w:p w14:paraId="7F3E648D">
            <w:pPr>
              <w:rPr>
                <w:rFonts w:hint="default" w:ascii="Times New Roman" w:hAnsi="Times New Roman" w:cs="Times New Roman"/>
                <w:sz w:val="18"/>
                <w:szCs w:val="18"/>
                <w:vertAlign w:val="baseline"/>
                <w:lang w:val="en-US" w:eastAsia="zh-CN"/>
              </w:rPr>
            </w:pPr>
          </w:p>
        </w:tc>
        <w:tc>
          <w:tcPr>
            <w:tcW w:w="756" w:type="dxa"/>
            <w:vAlign w:val="top"/>
          </w:tcPr>
          <w:p w14:paraId="2E3FEBCC">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G7</w:t>
            </w:r>
          </w:p>
        </w:tc>
        <w:tc>
          <w:tcPr>
            <w:tcW w:w="1050" w:type="dxa"/>
          </w:tcPr>
          <w:p w14:paraId="3DEA5F26">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粉尘</w:t>
            </w:r>
          </w:p>
        </w:tc>
        <w:tc>
          <w:tcPr>
            <w:tcW w:w="1370" w:type="dxa"/>
          </w:tcPr>
          <w:p w14:paraId="17052A41">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三次筛分</w:t>
            </w:r>
          </w:p>
        </w:tc>
        <w:tc>
          <w:tcPr>
            <w:tcW w:w="1010" w:type="dxa"/>
          </w:tcPr>
          <w:p w14:paraId="046D70F7">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连续</w:t>
            </w:r>
          </w:p>
        </w:tc>
        <w:tc>
          <w:tcPr>
            <w:tcW w:w="1450" w:type="dxa"/>
            <w:vMerge w:val="continue"/>
          </w:tcPr>
          <w:p w14:paraId="6610E140">
            <w:pPr>
              <w:rPr>
                <w:rFonts w:hint="default" w:ascii="Times New Roman" w:hAnsi="Times New Roman" w:cs="Times New Roman"/>
                <w:sz w:val="18"/>
                <w:szCs w:val="18"/>
                <w:vertAlign w:val="baseline"/>
                <w:lang w:val="en-US" w:eastAsia="zh-CN"/>
              </w:rPr>
            </w:pPr>
          </w:p>
        </w:tc>
        <w:tc>
          <w:tcPr>
            <w:tcW w:w="2428" w:type="dxa"/>
            <w:vMerge w:val="continue"/>
          </w:tcPr>
          <w:p w14:paraId="3773E151">
            <w:pPr>
              <w:rPr>
                <w:rFonts w:hint="default" w:ascii="Times New Roman" w:hAnsi="Times New Roman" w:cs="Times New Roman"/>
                <w:sz w:val="18"/>
                <w:szCs w:val="18"/>
                <w:vertAlign w:val="baseline"/>
                <w:lang w:val="en-US" w:eastAsia="zh-CN"/>
              </w:rPr>
            </w:pPr>
          </w:p>
        </w:tc>
      </w:tr>
      <w:tr w14:paraId="7E74D7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22" w:type="dxa"/>
            <w:vMerge w:val="continue"/>
          </w:tcPr>
          <w:p w14:paraId="1193EB5B">
            <w:pPr>
              <w:rPr>
                <w:rFonts w:hint="default" w:ascii="Times New Roman" w:hAnsi="Times New Roman" w:cs="Times New Roman"/>
                <w:sz w:val="18"/>
                <w:szCs w:val="18"/>
                <w:vertAlign w:val="baseline"/>
                <w:lang w:val="en-US" w:eastAsia="zh-CN"/>
              </w:rPr>
            </w:pPr>
          </w:p>
        </w:tc>
        <w:tc>
          <w:tcPr>
            <w:tcW w:w="756" w:type="dxa"/>
            <w:vAlign w:val="top"/>
          </w:tcPr>
          <w:p w14:paraId="3D3B5F25">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G8</w:t>
            </w:r>
          </w:p>
        </w:tc>
        <w:tc>
          <w:tcPr>
            <w:tcW w:w="1050" w:type="dxa"/>
          </w:tcPr>
          <w:p w14:paraId="26CF87BB">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粉尘</w:t>
            </w:r>
          </w:p>
        </w:tc>
        <w:tc>
          <w:tcPr>
            <w:tcW w:w="1370" w:type="dxa"/>
          </w:tcPr>
          <w:p w14:paraId="7938BDE2">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二破</w:t>
            </w:r>
          </w:p>
        </w:tc>
        <w:tc>
          <w:tcPr>
            <w:tcW w:w="1010" w:type="dxa"/>
          </w:tcPr>
          <w:p w14:paraId="5E4FACDE">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连续</w:t>
            </w:r>
          </w:p>
        </w:tc>
        <w:tc>
          <w:tcPr>
            <w:tcW w:w="1450" w:type="dxa"/>
            <w:vMerge w:val="continue"/>
          </w:tcPr>
          <w:p w14:paraId="2265D29B">
            <w:pPr>
              <w:rPr>
                <w:rFonts w:hint="default" w:ascii="Times New Roman" w:hAnsi="Times New Roman" w:cs="Times New Roman"/>
                <w:sz w:val="18"/>
                <w:szCs w:val="18"/>
                <w:vertAlign w:val="baseline"/>
                <w:lang w:val="en-US" w:eastAsia="zh-CN"/>
              </w:rPr>
            </w:pPr>
          </w:p>
        </w:tc>
        <w:tc>
          <w:tcPr>
            <w:tcW w:w="2428" w:type="dxa"/>
            <w:vMerge w:val="continue"/>
          </w:tcPr>
          <w:p w14:paraId="0854A7C1">
            <w:pPr>
              <w:rPr>
                <w:rFonts w:hint="default" w:ascii="Times New Roman" w:hAnsi="Times New Roman" w:cs="Times New Roman"/>
                <w:sz w:val="18"/>
                <w:szCs w:val="18"/>
                <w:vertAlign w:val="baseline"/>
                <w:lang w:val="en-US" w:eastAsia="zh-CN"/>
              </w:rPr>
            </w:pPr>
          </w:p>
        </w:tc>
      </w:tr>
      <w:tr w14:paraId="2B594D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2" w:type="dxa"/>
            <w:vMerge w:val="continue"/>
          </w:tcPr>
          <w:p w14:paraId="2D46A8BB">
            <w:pPr>
              <w:rPr>
                <w:rFonts w:hint="default" w:ascii="Times New Roman" w:hAnsi="Times New Roman" w:cs="Times New Roman"/>
                <w:sz w:val="18"/>
                <w:szCs w:val="18"/>
                <w:vertAlign w:val="baseline"/>
                <w:lang w:val="en-US" w:eastAsia="zh-CN"/>
              </w:rPr>
            </w:pPr>
          </w:p>
        </w:tc>
        <w:tc>
          <w:tcPr>
            <w:tcW w:w="756" w:type="dxa"/>
            <w:vAlign w:val="top"/>
          </w:tcPr>
          <w:p w14:paraId="0B2E45B5">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G9</w:t>
            </w:r>
          </w:p>
        </w:tc>
        <w:tc>
          <w:tcPr>
            <w:tcW w:w="1050" w:type="dxa"/>
          </w:tcPr>
          <w:p w14:paraId="76D284E9">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粉尘</w:t>
            </w:r>
          </w:p>
        </w:tc>
        <w:tc>
          <w:tcPr>
            <w:tcW w:w="1370" w:type="dxa"/>
          </w:tcPr>
          <w:p w14:paraId="109AB640">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磁选</w:t>
            </w:r>
          </w:p>
        </w:tc>
        <w:tc>
          <w:tcPr>
            <w:tcW w:w="1010" w:type="dxa"/>
          </w:tcPr>
          <w:p w14:paraId="354F5ECD">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连续</w:t>
            </w:r>
          </w:p>
        </w:tc>
        <w:tc>
          <w:tcPr>
            <w:tcW w:w="1450" w:type="dxa"/>
            <w:vMerge w:val="continue"/>
          </w:tcPr>
          <w:p w14:paraId="6FA1B679">
            <w:pPr>
              <w:rPr>
                <w:rFonts w:hint="default" w:ascii="Times New Roman" w:hAnsi="Times New Roman" w:cs="Times New Roman"/>
                <w:sz w:val="18"/>
                <w:szCs w:val="18"/>
                <w:vertAlign w:val="baseline"/>
                <w:lang w:val="en-US" w:eastAsia="zh-CN"/>
              </w:rPr>
            </w:pPr>
          </w:p>
        </w:tc>
        <w:tc>
          <w:tcPr>
            <w:tcW w:w="2428" w:type="dxa"/>
            <w:vMerge w:val="continue"/>
          </w:tcPr>
          <w:p w14:paraId="66663543">
            <w:pPr>
              <w:rPr>
                <w:rFonts w:hint="default" w:ascii="Times New Roman" w:hAnsi="Times New Roman" w:cs="Times New Roman"/>
                <w:sz w:val="18"/>
                <w:szCs w:val="18"/>
                <w:vertAlign w:val="baseline"/>
                <w:lang w:val="en-US" w:eastAsia="zh-CN"/>
              </w:rPr>
            </w:pPr>
          </w:p>
        </w:tc>
      </w:tr>
      <w:tr w14:paraId="61F6DD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2" w:type="dxa"/>
            <w:vMerge w:val="continue"/>
          </w:tcPr>
          <w:p w14:paraId="66A394C4">
            <w:pPr>
              <w:rPr>
                <w:rFonts w:hint="default" w:ascii="Times New Roman" w:hAnsi="Times New Roman" w:cs="Times New Roman"/>
                <w:sz w:val="18"/>
                <w:szCs w:val="18"/>
                <w:vertAlign w:val="baseline"/>
                <w:lang w:val="en-US" w:eastAsia="zh-CN"/>
              </w:rPr>
            </w:pPr>
          </w:p>
        </w:tc>
        <w:tc>
          <w:tcPr>
            <w:tcW w:w="756" w:type="dxa"/>
            <w:vAlign w:val="top"/>
          </w:tcPr>
          <w:p w14:paraId="34490C02">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G10</w:t>
            </w:r>
          </w:p>
        </w:tc>
        <w:tc>
          <w:tcPr>
            <w:tcW w:w="1050" w:type="dxa"/>
          </w:tcPr>
          <w:p w14:paraId="3CD78946">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粉尘</w:t>
            </w:r>
          </w:p>
        </w:tc>
        <w:tc>
          <w:tcPr>
            <w:tcW w:w="1370" w:type="dxa"/>
          </w:tcPr>
          <w:p w14:paraId="7C6678C0">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皮带输送</w:t>
            </w:r>
          </w:p>
        </w:tc>
        <w:tc>
          <w:tcPr>
            <w:tcW w:w="1010" w:type="dxa"/>
          </w:tcPr>
          <w:p w14:paraId="76BD8B04">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连续</w:t>
            </w:r>
          </w:p>
        </w:tc>
        <w:tc>
          <w:tcPr>
            <w:tcW w:w="1450" w:type="dxa"/>
            <w:vMerge w:val="continue"/>
          </w:tcPr>
          <w:p w14:paraId="0CD7C701">
            <w:pPr>
              <w:rPr>
                <w:rFonts w:hint="default" w:ascii="Times New Roman" w:hAnsi="Times New Roman" w:cs="Times New Roman"/>
                <w:sz w:val="18"/>
                <w:szCs w:val="18"/>
                <w:vertAlign w:val="baseline"/>
                <w:lang w:val="en-US" w:eastAsia="zh-CN"/>
              </w:rPr>
            </w:pPr>
          </w:p>
        </w:tc>
        <w:tc>
          <w:tcPr>
            <w:tcW w:w="2428" w:type="dxa"/>
          </w:tcPr>
          <w:p w14:paraId="3AD2870D">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设置封闭皮带廊</w:t>
            </w:r>
          </w:p>
        </w:tc>
      </w:tr>
      <w:tr w14:paraId="2C60B0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2" w:type="dxa"/>
            <w:vMerge w:val="continue"/>
          </w:tcPr>
          <w:p w14:paraId="1C7A7EFF">
            <w:pPr>
              <w:rPr>
                <w:rFonts w:hint="default" w:ascii="Times New Roman" w:hAnsi="Times New Roman" w:cs="Times New Roman"/>
                <w:sz w:val="18"/>
                <w:szCs w:val="18"/>
                <w:vertAlign w:val="baseline"/>
                <w:lang w:val="en-US" w:eastAsia="zh-CN"/>
              </w:rPr>
            </w:pPr>
          </w:p>
        </w:tc>
        <w:tc>
          <w:tcPr>
            <w:tcW w:w="756" w:type="dxa"/>
            <w:vAlign w:val="top"/>
          </w:tcPr>
          <w:p w14:paraId="3E08E8DE">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G11</w:t>
            </w:r>
          </w:p>
        </w:tc>
        <w:tc>
          <w:tcPr>
            <w:tcW w:w="1050" w:type="dxa"/>
          </w:tcPr>
          <w:p w14:paraId="70F688C4">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粉尘</w:t>
            </w:r>
          </w:p>
        </w:tc>
        <w:tc>
          <w:tcPr>
            <w:tcW w:w="1370" w:type="dxa"/>
          </w:tcPr>
          <w:p w14:paraId="0EFC3555">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砂石料堆场</w:t>
            </w:r>
          </w:p>
        </w:tc>
        <w:tc>
          <w:tcPr>
            <w:tcW w:w="1010" w:type="dxa"/>
          </w:tcPr>
          <w:p w14:paraId="088037D4">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连续</w:t>
            </w:r>
          </w:p>
        </w:tc>
        <w:tc>
          <w:tcPr>
            <w:tcW w:w="1450" w:type="dxa"/>
            <w:vMerge w:val="continue"/>
          </w:tcPr>
          <w:p w14:paraId="4BA86A27">
            <w:pPr>
              <w:rPr>
                <w:rFonts w:hint="default" w:ascii="Times New Roman" w:hAnsi="Times New Roman" w:cs="Times New Roman"/>
                <w:sz w:val="18"/>
                <w:szCs w:val="18"/>
                <w:vertAlign w:val="baseline"/>
                <w:lang w:val="en-US" w:eastAsia="zh-CN"/>
              </w:rPr>
            </w:pPr>
          </w:p>
        </w:tc>
        <w:tc>
          <w:tcPr>
            <w:tcW w:w="2428" w:type="dxa"/>
            <w:vMerge w:val="restart"/>
          </w:tcPr>
          <w:p w14:paraId="75F6CA9E">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堆棚设置三面围挡+顶棚，编织物覆盖并进行喷雾降尘</w:t>
            </w:r>
          </w:p>
        </w:tc>
      </w:tr>
      <w:tr w14:paraId="724150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2" w:type="dxa"/>
            <w:vMerge w:val="continue"/>
          </w:tcPr>
          <w:p w14:paraId="4EBD42F5">
            <w:pPr>
              <w:rPr>
                <w:rFonts w:hint="default" w:ascii="Times New Roman" w:hAnsi="Times New Roman" w:cs="Times New Roman"/>
                <w:sz w:val="18"/>
                <w:szCs w:val="18"/>
                <w:vertAlign w:val="baseline"/>
                <w:lang w:val="en-US" w:eastAsia="zh-CN"/>
              </w:rPr>
            </w:pPr>
          </w:p>
        </w:tc>
        <w:tc>
          <w:tcPr>
            <w:tcW w:w="756" w:type="dxa"/>
            <w:vAlign w:val="top"/>
          </w:tcPr>
          <w:p w14:paraId="5D1154F8">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G12</w:t>
            </w:r>
          </w:p>
        </w:tc>
        <w:tc>
          <w:tcPr>
            <w:tcW w:w="1050" w:type="dxa"/>
          </w:tcPr>
          <w:p w14:paraId="30679E9E">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粉尘</w:t>
            </w:r>
          </w:p>
        </w:tc>
        <w:tc>
          <w:tcPr>
            <w:tcW w:w="1370" w:type="dxa"/>
          </w:tcPr>
          <w:p w14:paraId="53C05DDC">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铁矿石堆场</w:t>
            </w:r>
          </w:p>
        </w:tc>
        <w:tc>
          <w:tcPr>
            <w:tcW w:w="1010" w:type="dxa"/>
          </w:tcPr>
          <w:p w14:paraId="0AC3B65C">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连续</w:t>
            </w:r>
          </w:p>
        </w:tc>
        <w:tc>
          <w:tcPr>
            <w:tcW w:w="1450" w:type="dxa"/>
            <w:vMerge w:val="continue"/>
          </w:tcPr>
          <w:p w14:paraId="7ACC0593">
            <w:pPr>
              <w:rPr>
                <w:rFonts w:hint="default" w:ascii="Times New Roman" w:hAnsi="Times New Roman" w:cs="Times New Roman"/>
                <w:sz w:val="18"/>
                <w:szCs w:val="18"/>
                <w:vertAlign w:val="baseline"/>
                <w:lang w:val="en-US" w:eastAsia="zh-CN"/>
              </w:rPr>
            </w:pPr>
          </w:p>
        </w:tc>
        <w:tc>
          <w:tcPr>
            <w:tcW w:w="2428" w:type="dxa"/>
            <w:vMerge w:val="continue"/>
          </w:tcPr>
          <w:p w14:paraId="60BD0BE5">
            <w:pPr>
              <w:rPr>
                <w:rFonts w:hint="default" w:ascii="Times New Roman" w:hAnsi="Times New Roman" w:cs="Times New Roman"/>
                <w:sz w:val="18"/>
                <w:szCs w:val="18"/>
                <w:vertAlign w:val="baseline"/>
                <w:lang w:val="en-US" w:eastAsia="zh-CN"/>
              </w:rPr>
            </w:pPr>
          </w:p>
        </w:tc>
      </w:tr>
      <w:tr w14:paraId="4F2FD3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2" w:type="dxa"/>
            <w:vMerge w:val="continue"/>
            <w:vAlign w:val="top"/>
          </w:tcPr>
          <w:p w14:paraId="05152C85">
            <w:pPr>
              <w:rPr>
                <w:rFonts w:hint="default" w:ascii="Times New Roman" w:hAnsi="Times New Roman" w:cs="Times New Roman"/>
                <w:sz w:val="18"/>
                <w:szCs w:val="18"/>
                <w:vertAlign w:val="baseline"/>
                <w:lang w:val="en-US" w:eastAsia="zh-CN"/>
              </w:rPr>
            </w:pPr>
          </w:p>
        </w:tc>
        <w:tc>
          <w:tcPr>
            <w:tcW w:w="756" w:type="dxa"/>
            <w:vAlign w:val="top"/>
          </w:tcPr>
          <w:p w14:paraId="3551107B">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G13</w:t>
            </w:r>
          </w:p>
        </w:tc>
        <w:tc>
          <w:tcPr>
            <w:tcW w:w="1050" w:type="dxa"/>
          </w:tcPr>
          <w:p w14:paraId="2849E57A">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粉尘</w:t>
            </w:r>
          </w:p>
        </w:tc>
        <w:tc>
          <w:tcPr>
            <w:tcW w:w="1370" w:type="dxa"/>
          </w:tcPr>
          <w:p w14:paraId="34B62BD6">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成品运输</w:t>
            </w:r>
          </w:p>
        </w:tc>
        <w:tc>
          <w:tcPr>
            <w:tcW w:w="1010" w:type="dxa"/>
          </w:tcPr>
          <w:p w14:paraId="02A970C2">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间歇</w:t>
            </w:r>
          </w:p>
        </w:tc>
        <w:tc>
          <w:tcPr>
            <w:tcW w:w="1450" w:type="dxa"/>
            <w:vMerge w:val="continue"/>
          </w:tcPr>
          <w:p w14:paraId="1F5D5B2A">
            <w:pPr>
              <w:rPr>
                <w:rFonts w:hint="default" w:ascii="Times New Roman" w:hAnsi="Times New Roman" w:cs="Times New Roman"/>
                <w:sz w:val="18"/>
                <w:szCs w:val="18"/>
                <w:vertAlign w:val="baseline"/>
                <w:lang w:val="en-US" w:eastAsia="zh-CN"/>
              </w:rPr>
            </w:pPr>
          </w:p>
        </w:tc>
        <w:tc>
          <w:tcPr>
            <w:tcW w:w="2428" w:type="dxa"/>
          </w:tcPr>
          <w:p w14:paraId="4FA4DE02">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道路硬化、洒水降尘</w:t>
            </w:r>
          </w:p>
        </w:tc>
      </w:tr>
      <w:tr w14:paraId="7A36A7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2" w:type="dxa"/>
            <w:vAlign w:val="top"/>
          </w:tcPr>
          <w:p w14:paraId="4D486DA2">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废水</w:t>
            </w:r>
          </w:p>
        </w:tc>
        <w:tc>
          <w:tcPr>
            <w:tcW w:w="756" w:type="dxa"/>
            <w:vAlign w:val="top"/>
          </w:tcPr>
          <w:p w14:paraId="060125EC">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W1</w:t>
            </w:r>
          </w:p>
        </w:tc>
        <w:tc>
          <w:tcPr>
            <w:tcW w:w="1050" w:type="dxa"/>
          </w:tcPr>
          <w:p w14:paraId="59BD3758">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生活污水</w:t>
            </w:r>
          </w:p>
        </w:tc>
        <w:tc>
          <w:tcPr>
            <w:tcW w:w="1370" w:type="dxa"/>
          </w:tcPr>
          <w:p w14:paraId="24B40EB6">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办公生活</w:t>
            </w:r>
          </w:p>
        </w:tc>
        <w:tc>
          <w:tcPr>
            <w:tcW w:w="1010" w:type="dxa"/>
          </w:tcPr>
          <w:p w14:paraId="2AEBA1A6">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间歇</w:t>
            </w:r>
          </w:p>
        </w:tc>
        <w:tc>
          <w:tcPr>
            <w:tcW w:w="1450" w:type="dxa"/>
          </w:tcPr>
          <w:p w14:paraId="7B4A19FD">
            <w:pPr>
              <w:pStyle w:val="9"/>
              <w:ind w:firstLine="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eastAsiaTheme="minorEastAsia"/>
                <w:sz w:val="18"/>
                <w:szCs w:val="18"/>
              </w:rPr>
              <w:t>COD</w:t>
            </w:r>
            <w:r>
              <w:rPr>
                <w:rFonts w:hint="default" w:ascii="Times New Roman" w:hAnsi="Times New Roman" w:cs="Times New Roman" w:eastAsiaTheme="minorEastAsia"/>
                <w:sz w:val="18"/>
                <w:szCs w:val="18"/>
                <w:vertAlign w:val="subscript"/>
              </w:rPr>
              <w:t>cr</w:t>
            </w:r>
            <w:r>
              <w:rPr>
                <w:rFonts w:hint="default" w:ascii="Times New Roman" w:hAnsi="Times New Roman" w:cs="Times New Roman" w:eastAsiaTheme="minorEastAsia"/>
                <w:sz w:val="18"/>
                <w:szCs w:val="18"/>
                <w:vertAlign w:val="subscript"/>
                <w:lang w:eastAsia="zh-CN"/>
              </w:rPr>
              <w:t>、</w:t>
            </w:r>
            <w:r>
              <w:rPr>
                <w:rFonts w:hint="default" w:ascii="Times New Roman" w:hAnsi="Times New Roman" w:cs="Times New Roman" w:eastAsiaTheme="minorEastAsia"/>
                <w:sz w:val="18"/>
                <w:szCs w:val="18"/>
              </w:rPr>
              <w:t>BOD</w:t>
            </w:r>
            <w:r>
              <w:rPr>
                <w:rFonts w:hint="default" w:ascii="Times New Roman" w:hAnsi="Times New Roman" w:cs="Times New Roman" w:eastAsiaTheme="minorEastAsia"/>
                <w:sz w:val="18"/>
                <w:szCs w:val="18"/>
                <w:vertAlign w:val="subscript"/>
              </w:rPr>
              <w:t>5</w:t>
            </w:r>
            <w:r>
              <w:rPr>
                <w:rFonts w:hint="default" w:ascii="Times New Roman" w:hAnsi="Times New Roman" w:cs="Times New Roman" w:eastAsiaTheme="minorEastAsia"/>
                <w:sz w:val="18"/>
                <w:szCs w:val="18"/>
                <w:vertAlign w:val="subscript"/>
                <w:lang w:eastAsia="zh-CN"/>
              </w:rPr>
              <w:t>、</w:t>
            </w:r>
            <w:r>
              <w:rPr>
                <w:rFonts w:hint="default" w:ascii="Times New Roman" w:hAnsi="Times New Roman" w:cs="Times New Roman" w:eastAsiaTheme="minorEastAsia"/>
                <w:sz w:val="18"/>
                <w:szCs w:val="18"/>
              </w:rPr>
              <w:t>NH</w:t>
            </w:r>
            <w:r>
              <w:rPr>
                <w:rFonts w:hint="default" w:ascii="Times New Roman" w:hAnsi="Times New Roman" w:cs="Times New Roman" w:eastAsiaTheme="minorEastAsia"/>
                <w:sz w:val="18"/>
                <w:szCs w:val="18"/>
                <w:vertAlign w:val="subscript"/>
              </w:rPr>
              <w:t>3</w:t>
            </w:r>
            <w:r>
              <w:rPr>
                <w:rFonts w:hint="default" w:ascii="Times New Roman" w:hAnsi="Times New Roman" w:cs="Times New Roman" w:eastAsiaTheme="minorEastAsia"/>
                <w:sz w:val="18"/>
                <w:szCs w:val="18"/>
              </w:rPr>
              <w:t>-N</w:t>
            </w:r>
            <w:r>
              <w:rPr>
                <w:rFonts w:hint="default" w:ascii="Times New Roman" w:hAnsi="Times New Roman" w:cs="Times New Roman" w:eastAsiaTheme="minorEastAsia"/>
                <w:sz w:val="18"/>
                <w:szCs w:val="18"/>
                <w:lang w:eastAsia="zh-CN"/>
              </w:rPr>
              <w:t>、</w:t>
            </w:r>
            <w:r>
              <w:rPr>
                <w:rFonts w:hint="default" w:ascii="Times New Roman" w:hAnsi="Times New Roman" w:cs="Times New Roman" w:eastAsiaTheme="minorEastAsia"/>
                <w:sz w:val="18"/>
                <w:szCs w:val="18"/>
              </w:rPr>
              <w:t>SS</w:t>
            </w:r>
            <w:r>
              <w:rPr>
                <w:rFonts w:hint="default" w:ascii="Times New Roman" w:hAnsi="Times New Roman" w:cs="Times New Roman" w:eastAsiaTheme="minorEastAsia"/>
                <w:sz w:val="18"/>
                <w:szCs w:val="18"/>
                <w:lang w:eastAsia="zh-CN"/>
              </w:rPr>
              <w:t>、</w:t>
            </w:r>
            <w:r>
              <w:rPr>
                <w:rFonts w:hint="default" w:ascii="Times New Roman" w:hAnsi="Times New Roman" w:cs="Times New Roman" w:eastAsiaTheme="minorEastAsia"/>
                <w:sz w:val="18"/>
                <w:szCs w:val="18"/>
              </w:rPr>
              <w:t>TP</w:t>
            </w:r>
            <w:r>
              <w:rPr>
                <w:rFonts w:hint="default" w:ascii="Times New Roman" w:hAnsi="Times New Roman" w:cs="Times New Roman" w:eastAsiaTheme="minorEastAsia"/>
                <w:sz w:val="18"/>
                <w:szCs w:val="18"/>
                <w:lang w:eastAsia="zh-CN"/>
              </w:rPr>
              <w:t>、</w:t>
            </w:r>
            <w:r>
              <w:rPr>
                <w:rFonts w:hint="default" w:ascii="Times New Roman" w:hAnsi="Times New Roman" w:cs="Times New Roman" w:eastAsiaTheme="minorEastAsia"/>
                <w:sz w:val="18"/>
                <w:szCs w:val="18"/>
              </w:rPr>
              <w:t>动植物油</w:t>
            </w:r>
          </w:p>
        </w:tc>
        <w:tc>
          <w:tcPr>
            <w:tcW w:w="2428" w:type="dxa"/>
          </w:tcPr>
          <w:p w14:paraId="4F774A88">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依托鲁奎山铁矿生活污水处理站处理达到《城市污水再生利用城市杂用水水质》（GB/T18920-2020）回用于矿山绿化及洒水降尘。</w:t>
            </w:r>
          </w:p>
        </w:tc>
      </w:tr>
      <w:tr w14:paraId="58889F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2" w:type="dxa"/>
            <w:vMerge w:val="restart"/>
            <w:vAlign w:val="top"/>
          </w:tcPr>
          <w:p w14:paraId="786983BA">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固体废物</w:t>
            </w:r>
          </w:p>
        </w:tc>
        <w:tc>
          <w:tcPr>
            <w:tcW w:w="756" w:type="dxa"/>
            <w:vAlign w:val="top"/>
          </w:tcPr>
          <w:p w14:paraId="0B30AA11">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S1</w:t>
            </w:r>
          </w:p>
        </w:tc>
        <w:tc>
          <w:tcPr>
            <w:tcW w:w="1050" w:type="dxa"/>
          </w:tcPr>
          <w:p w14:paraId="3C90E7D1">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废机油、含油抹布</w:t>
            </w:r>
          </w:p>
        </w:tc>
        <w:tc>
          <w:tcPr>
            <w:tcW w:w="1370" w:type="dxa"/>
          </w:tcPr>
          <w:p w14:paraId="65416943">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设备维修</w:t>
            </w:r>
          </w:p>
        </w:tc>
        <w:tc>
          <w:tcPr>
            <w:tcW w:w="1010" w:type="dxa"/>
          </w:tcPr>
          <w:p w14:paraId="43536086">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间歇</w:t>
            </w:r>
          </w:p>
        </w:tc>
        <w:tc>
          <w:tcPr>
            <w:tcW w:w="1450" w:type="dxa"/>
          </w:tcPr>
          <w:p w14:paraId="2415C689">
            <w:pPr>
              <w:pStyle w:val="9"/>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w:t>
            </w:r>
          </w:p>
        </w:tc>
        <w:tc>
          <w:tcPr>
            <w:tcW w:w="2428" w:type="dxa"/>
          </w:tcPr>
          <w:p w14:paraId="6D082BF1">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依托鲁奎山铁矿危废暂存间暂存，并入集团公司委托资质单位清运处置</w:t>
            </w:r>
          </w:p>
        </w:tc>
      </w:tr>
      <w:tr w14:paraId="63D8A0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2" w:type="dxa"/>
            <w:vMerge w:val="continue"/>
            <w:vAlign w:val="top"/>
          </w:tcPr>
          <w:p w14:paraId="71FD8443">
            <w:pPr>
              <w:rPr>
                <w:rFonts w:hint="default" w:ascii="Times New Roman" w:hAnsi="Times New Roman" w:cs="Times New Roman"/>
                <w:sz w:val="18"/>
                <w:szCs w:val="18"/>
                <w:vertAlign w:val="baseline"/>
                <w:lang w:val="en-US" w:eastAsia="zh-CN"/>
              </w:rPr>
            </w:pPr>
          </w:p>
        </w:tc>
        <w:tc>
          <w:tcPr>
            <w:tcW w:w="756" w:type="dxa"/>
            <w:vAlign w:val="top"/>
          </w:tcPr>
          <w:p w14:paraId="3874DF39">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S2</w:t>
            </w:r>
          </w:p>
        </w:tc>
        <w:tc>
          <w:tcPr>
            <w:tcW w:w="1050" w:type="dxa"/>
          </w:tcPr>
          <w:p w14:paraId="0F086812">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生活垃圾</w:t>
            </w:r>
          </w:p>
        </w:tc>
        <w:tc>
          <w:tcPr>
            <w:tcW w:w="1370" w:type="dxa"/>
          </w:tcPr>
          <w:p w14:paraId="13AFCB26">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办公生活</w:t>
            </w:r>
          </w:p>
        </w:tc>
        <w:tc>
          <w:tcPr>
            <w:tcW w:w="1010" w:type="dxa"/>
          </w:tcPr>
          <w:p w14:paraId="24766B81">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间歇</w:t>
            </w:r>
          </w:p>
        </w:tc>
        <w:tc>
          <w:tcPr>
            <w:tcW w:w="1450" w:type="dxa"/>
          </w:tcPr>
          <w:p w14:paraId="7235CCB4">
            <w:pPr>
              <w:pStyle w:val="9"/>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w:t>
            </w:r>
          </w:p>
        </w:tc>
        <w:tc>
          <w:tcPr>
            <w:tcW w:w="2428" w:type="dxa"/>
          </w:tcPr>
          <w:p w14:paraId="30AC051E">
            <w:pP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依托鲁奎山铁矿垃圾池暂存，定期清运至扬武镇生活垃圾集中收集点，统一处置。</w:t>
            </w:r>
          </w:p>
        </w:tc>
      </w:tr>
    </w:tbl>
    <w:p w14:paraId="4FF35FE7">
      <w:pPr>
        <w:pStyle w:val="6"/>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.3.3项目物料平衡及元素平衡分析</w:t>
      </w:r>
      <w:bookmarkEnd w:id="272"/>
      <w:bookmarkEnd w:id="273"/>
    </w:p>
    <w:p w14:paraId="30EFD94E">
      <w:pPr>
        <w:pStyle w:val="7"/>
        <w:spacing w:before="0" w:after="0"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.3.3.1物料平衡</w:t>
      </w:r>
    </w:p>
    <w:p w14:paraId="6712DC7B">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本项目物料平衡表见表</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w:t>
      </w:r>
    </w:p>
    <w:p w14:paraId="47320B67">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.3</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1</w:t>
      </w:r>
      <w:r>
        <w:rPr>
          <w:rFonts w:hint="default" w:ascii="Times New Roman" w:hAnsi="Times New Roman" w:eastAsia="黑体" w:cs="Times New Roman"/>
          <w:b w:val="0"/>
          <w:bCs/>
          <w:sz w:val="21"/>
          <w:szCs w:val="21"/>
        </w:rPr>
        <w:t xml:space="preserve">  项目生产线物料平衡表  </w:t>
      </w:r>
      <w:r>
        <w:rPr>
          <w:rStyle w:val="54"/>
          <w:rFonts w:hint="default" w:ascii="Times New Roman" w:hAnsi="Times New Roman" w:eastAsia="黑体" w:cs="Times New Roman"/>
          <w:b w:val="0"/>
          <w:bCs/>
          <w:sz w:val="21"/>
          <w:szCs w:val="21"/>
        </w:rPr>
        <w:t>单位：t/a</w:t>
      </w:r>
    </w:p>
    <w:tbl>
      <w:tblPr>
        <w:tblStyle w:val="30"/>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2039"/>
        <w:gridCol w:w="2604"/>
        <w:gridCol w:w="2322"/>
      </w:tblGrid>
      <w:tr w14:paraId="7C53BD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47" w:type="pct"/>
            <w:gridSpan w:val="2"/>
            <w:tcBorders>
              <w:tl2br w:val="nil"/>
              <w:tr2bl w:val="nil"/>
            </w:tcBorders>
            <w:vAlign w:val="top"/>
          </w:tcPr>
          <w:p w14:paraId="6CEE3066">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投入</w:t>
            </w:r>
          </w:p>
        </w:tc>
        <w:tc>
          <w:tcPr>
            <w:tcW w:w="2652" w:type="pct"/>
            <w:gridSpan w:val="2"/>
            <w:tcBorders>
              <w:tl2br w:val="nil"/>
              <w:tr2bl w:val="nil"/>
            </w:tcBorders>
            <w:vAlign w:val="top"/>
          </w:tcPr>
          <w:p w14:paraId="7EFC0B60">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产出</w:t>
            </w:r>
          </w:p>
        </w:tc>
      </w:tr>
      <w:tr w14:paraId="162F8D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tcBorders>
              <w:tl2br w:val="nil"/>
              <w:tr2bl w:val="nil"/>
            </w:tcBorders>
            <w:vAlign w:val="top"/>
          </w:tcPr>
          <w:p w14:paraId="2C54F3BB">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1097" w:type="pct"/>
            <w:tcBorders>
              <w:tl2br w:val="nil"/>
              <w:tr2bl w:val="nil"/>
            </w:tcBorders>
            <w:vAlign w:val="top"/>
          </w:tcPr>
          <w:p w14:paraId="6951A24A">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数量</w:t>
            </w:r>
          </w:p>
        </w:tc>
        <w:tc>
          <w:tcPr>
            <w:tcW w:w="1402" w:type="pct"/>
            <w:tcBorders>
              <w:tl2br w:val="nil"/>
              <w:tr2bl w:val="nil"/>
            </w:tcBorders>
            <w:vAlign w:val="top"/>
          </w:tcPr>
          <w:p w14:paraId="28525916">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1249" w:type="pct"/>
            <w:tcBorders>
              <w:tl2br w:val="nil"/>
              <w:tr2bl w:val="nil"/>
            </w:tcBorders>
            <w:vAlign w:val="top"/>
          </w:tcPr>
          <w:p w14:paraId="10C4214F">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数量</w:t>
            </w:r>
          </w:p>
        </w:tc>
      </w:tr>
      <w:tr w14:paraId="6F4D6D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tcBorders>
              <w:tl2br w:val="nil"/>
              <w:tr2bl w:val="nil"/>
            </w:tcBorders>
            <w:vAlign w:val="top"/>
          </w:tcPr>
          <w:p w14:paraId="1A980D84">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低品位铁矿</w:t>
            </w:r>
          </w:p>
        </w:tc>
        <w:tc>
          <w:tcPr>
            <w:tcW w:w="1097" w:type="pct"/>
            <w:tcBorders>
              <w:tl2br w:val="nil"/>
              <w:tr2bl w:val="nil"/>
            </w:tcBorders>
            <w:vAlign w:val="top"/>
          </w:tcPr>
          <w:p w14:paraId="0E5D6FFE">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100000</w:t>
            </w:r>
          </w:p>
        </w:tc>
        <w:tc>
          <w:tcPr>
            <w:tcW w:w="1402" w:type="pct"/>
            <w:tcBorders>
              <w:tl2br w:val="nil"/>
              <w:tr2bl w:val="nil"/>
            </w:tcBorders>
            <w:vAlign w:val="top"/>
          </w:tcPr>
          <w:p w14:paraId="3C9DE545">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铁矿石</w:t>
            </w:r>
          </w:p>
        </w:tc>
        <w:tc>
          <w:tcPr>
            <w:tcW w:w="1249" w:type="pct"/>
            <w:tcBorders>
              <w:tl2br w:val="nil"/>
              <w:tr2bl w:val="nil"/>
            </w:tcBorders>
            <w:vAlign w:val="top"/>
          </w:tcPr>
          <w:p w14:paraId="7DEC0EDF">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27000</w:t>
            </w:r>
          </w:p>
        </w:tc>
      </w:tr>
      <w:tr w14:paraId="0301BB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tcBorders>
              <w:tl2br w:val="nil"/>
              <w:tr2bl w:val="nil"/>
            </w:tcBorders>
            <w:vAlign w:val="top"/>
          </w:tcPr>
          <w:p w14:paraId="15108126">
            <w:pPr>
              <w:adjustRightInd w:val="0"/>
              <w:spacing w:line="240" w:lineRule="auto"/>
              <w:jc w:val="center"/>
              <w:rPr>
                <w:rFonts w:hint="default" w:ascii="Times New Roman" w:hAnsi="Times New Roman" w:eastAsia="宋体" w:cs="Times New Roman"/>
                <w:color w:val="auto"/>
                <w:sz w:val="18"/>
                <w:szCs w:val="18"/>
              </w:rPr>
            </w:pPr>
          </w:p>
        </w:tc>
        <w:tc>
          <w:tcPr>
            <w:tcW w:w="1097" w:type="pct"/>
            <w:tcBorders>
              <w:tl2br w:val="nil"/>
              <w:tr2bl w:val="nil"/>
            </w:tcBorders>
            <w:vAlign w:val="top"/>
          </w:tcPr>
          <w:p w14:paraId="1FE07436">
            <w:pPr>
              <w:adjustRightInd w:val="0"/>
              <w:spacing w:line="240" w:lineRule="auto"/>
              <w:jc w:val="center"/>
              <w:rPr>
                <w:rFonts w:hint="default" w:ascii="Times New Roman" w:hAnsi="Times New Roman" w:eastAsia="宋体" w:cs="Times New Roman"/>
                <w:color w:val="auto"/>
                <w:sz w:val="18"/>
                <w:szCs w:val="18"/>
              </w:rPr>
            </w:pPr>
          </w:p>
        </w:tc>
        <w:tc>
          <w:tcPr>
            <w:tcW w:w="1402" w:type="pct"/>
            <w:tcBorders>
              <w:tl2br w:val="nil"/>
              <w:tr2bl w:val="nil"/>
            </w:tcBorders>
            <w:vAlign w:val="top"/>
          </w:tcPr>
          <w:p w14:paraId="6A3A70D5">
            <w:pPr>
              <w:adjustRightIn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砂石料</w:t>
            </w:r>
          </w:p>
        </w:tc>
        <w:tc>
          <w:tcPr>
            <w:tcW w:w="1249" w:type="pct"/>
            <w:tcBorders>
              <w:tl2br w:val="nil"/>
              <w:tr2bl w:val="nil"/>
            </w:tcBorders>
            <w:vAlign w:val="top"/>
          </w:tcPr>
          <w:p w14:paraId="687A9F1A">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62884</w:t>
            </w:r>
          </w:p>
        </w:tc>
      </w:tr>
      <w:tr w14:paraId="7FE534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tcBorders>
              <w:tl2br w:val="nil"/>
              <w:tr2bl w:val="nil"/>
            </w:tcBorders>
            <w:vAlign w:val="top"/>
          </w:tcPr>
          <w:p w14:paraId="40D86E9A">
            <w:pPr>
              <w:adjustRightInd w:val="0"/>
              <w:spacing w:line="240" w:lineRule="auto"/>
              <w:jc w:val="center"/>
              <w:rPr>
                <w:rFonts w:hint="default" w:ascii="Times New Roman" w:hAnsi="Times New Roman" w:eastAsia="宋体" w:cs="Times New Roman"/>
                <w:color w:val="auto"/>
                <w:sz w:val="18"/>
                <w:szCs w:val="18"/>
              </w:rPr>
            </w:pPr>
          </w:p>
        </w:tc>
        <w:tc>
          <w:tcPr>
            <w:tcW w:w="1097" w:type="pct"/>
            <w:tcBorders>
              <w:tl2br w:val="nil"/>
              <w:tr2bl w:val="nil"/>
            </w:tcBorders>
            <w:vAlign w:val="top"/>
          </w:tcPr>
          <w:p w14:paraId="7200F80B">
            <w:pPr>
              <w:adjustRightInd w:val="0"/>
              <w:spacing w:line="240" w:lineRule="auto"/>
              <w:jc w:val="center"/>
              <w:rPr>
                <w:rFonts w:hint="default" w:ascii="Times New Roman" w:hAnsi="Times New Roman" w:eastAsia="宋体" w:cs="Times New Roman"/>
                <w:color w:val="auto"/>
                <w:sz w:val="18"/>
                <w:szCs w:val="18"/>
              </w:rPr>
            </w:pPr>
          </w:p>
        </w:tc>
        <w:tc>
          <w:tcPr>
            <w:tcW w:w="1402" w:type="pct"/>
            <w:tcBorders>
              <w:tl2br w:val="nil"/>
              <w:tr2bl w:val="nil"/>
            </w:tcBorders>
            <w:vAlign w:val="top"/>
          </w:tcPr>
          <w:p w14:paraId="1936497C">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≥70mm原矿石</w:t>
            </w:r>
          </w:p>
        </w:tc>
        <w:tc>
          <w:tcPr>
            <w:tcW w:w="1249" w:type="pct"/>
            <w:tcBorders>
              <w:tl2br w:val="nil"/>
              <w:tr2bl w:val="nil"/>
            </w:tcBorders>
            <w:vAlign w:val="top"/>
          </w:tcPr>
          <w:p w14:paraId="0BC339C6">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10000</w:t>
            </w:r>
          </w:p>
        </w:tc>
      </w:tr>
      <w:tr w14:paraId="68BCFC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tcBorders>
              <w:tl2br w:val="nil"/>
              <w:tr2bl w:val="nil"/>
            </w:tcBorders>
            <w:vAlign w:val="top"/>
          </w:tcPr>
          <w:p w14:paraId="7637FFB8">
            <w:pPr>
              <w:adjustRightInd w:val="0"/>
              <w:spacing w:line="240" w:lineRule="auto"/>
              <w:jc w:val="center"/>
              <w:rPr>
                <w:rFonts w:hint="default" w:ascii="Times New Roman" w:hAnsi="Times New Roman" w:eastAsia="宋体" w:cs="Times New Roman"/>
                <w:color w:val="auto"/>
                <w:sz w:val="18"/>
                <w:szCs w:val="18"/>
              </w:rPr>
            </w:pPr>
          </w:p>
        </w:tc>
        <w:tc>
          <w:tcPr>
            <w:tcW w:w="1097" w:type="pct"/>
            <w:tcBorders>
              <w:tl2br w:val="nil"/>
              <w:tr2bl w:val="nil"/>
            </w:tcBorders>
            <w:vAlign w:val="top"/>
          </w:tcPr>
          <w:p w14:paraId="0250C38A">
            <w:pPr>
              <w:adjustRightInd w:val="0"/>
              <w:spacing w:line="240" w:lineRule="auto"/>
              <w:jc w:val="center"/>
              <w:rPr>
                <w:rFonts w:hint="default" w:ascii="Times New Roman" w:hAnsi="Times New Roman" w:eastAsia="宋体" w:cs="Times New Roman"/>
                <w:color w:val="auto"/>
                <w:sz w:val="18"/>
                <w:szCs w:val="18"/>
              </w:rPr>
            </w:pPr>
          </w:p>
        </w:tc>
        <w:tc>
          <w:tcPr>
            <w:tcW w:w="1402" w:type="pct"/>
            <w:tcBorders>
              <w:tl2br w:val="nil"/>
              <w:tr2bl w:val="nil"/>
            </w:tcBorders>
            <w:vAlign w:val="top"/>
          </w:tcPr>
          <w:p w14:paraId="169EA834">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粉尘</w:t>
            </w:r>
          </w:p>
        </w:tc>
        <w:tc>
          <w:tcPr>
            <w:tcW w:w="1249" w:type="pct"/>
            <w:tcBorders>
              <w:tl2br w:val="nil"/>
              <w:tr2bl w:val="nil"/>
            </w:tcBorders>
            <w:vAlign w:val="top"/>
          </w:tcPr>
          <w:p w14:paraId="0AD1D97B">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116</w:t>
            </w:r>
          </w:p>
        </w:tc>
      </w:tr>
      <w:tr w14:paraId="737051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tcBorders>
              <w:tl2br w:val="nil"/>
              <w:tr2bl w:val="nil"/>
            </w:tcBorders>
            <w:vAlign w:val="top"/>
          </w:tcPr>
          <w:p w14:paraId="526922DA">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w:t>
            </w:r>
          </w:p>
        </w:tc>
        <w:tc>
          <w:tcPr>
            <w:tcW w:w="1097" w:type="pct"/>
            <w:tcBorders>
              <w:tl2br w:val="nil"/>
              <w:tr2bl w:val="nil"/>
            </w:tcBorders>
            <w:vAlign w:val="top"/>
          </w:tcPr>
          <w:p w14:paraId="736AD75C">
            <w:pPr>
              <w:adjustRightInd w:val="0"/>
              <w:spacing w:line="240" w:lineRule="auto"/>
              <w:jc w:val="center"/>
              <w:rPr>
                <w:rFonts w:hint="default" w:ascii="Times New Roman" w:hAnsi="Times New Roman" w:eastAsia="宋体" w:cs="Times New Roman"/>
                <w:color w:val="auto"/>
                <w:sz w:val="18"/>
                <w:szCs w:val="18"/>
              </w:rPr>
            </w:pPr>
          </w:p>
        </w:tc>
        <w:tc>
          <w:tcPr>
            <w:tcW w:w="1402" w:type="pct"/>
            <w:tcBorders>
              <w:tl2br w:val="nil"/>
              <w:tr2bl w:val="nil"/>
            </w:tcBorders>
            <w:vAlign w:val="top"/>
          </w:tcPr>
          <w:p w14:paraId="612C1A78">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w:t>
            </w:r>
          </w:p>
        </w:tc>
        <w:tc>
          <w:tcPr>
            <w:tcW w:w="1249" w:type="pct"/>
            <w:tcBorders>
              <w:tl2br w:val="nil"/>
              <w:tr2bl w:val="nil"/>
            </w:tcBorders>
            <w:vAlign w:val="top"/>
          </w:tcPr>
          <w:p w14:paraId="10EA5A92">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100000</w:t>
            </w:r>
          </w:p>
        </w:tc>
      </w:tr>
    </w:tbl>
    <w:p w14:paraId="74D76461">
      <w:pPr>
        <w:bidi w:val="0"/>
        <w:rPr>
          <w:rFonts w:hint="default" w:ascii="Times New Roman" w:hAnsi="Times New Roman" w:cs="Times New Roman" w:eastAsiaTheme="minorEastAsia"/>
          <w:b/>
          <w:bCs w:val="0"/>
          <w:color w:val="auto"/>
          <w:sz w:val="21"/>
          <w:szCs w:val="21"/>
          <w:lang w:val="en-US" w:eastAsia="zh-CN"/>
        </w:rPr>
      </w:pPr>
    </w:p>
    <w:p w14:paraId="2063E95A">
      <w:pPr>
        <w:pStyle w:val="7"/>
        <w:spacing w:before="0" w:after="0" w:line="360" w:lineRule="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.3.3.2元素平衡</w:t>
      </w:r>
    </w:p>
    <w:p w14:paraId="08DB2A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2"/>
          <w:sz w:val="24"/>
          <w:szCs w:val="24"/>
          <w:highlight w:val="none"/>
          <w:lang w:val="en-US" w:eastAsia="zh-CN" w:bidi="ar-SA"/>
        </w:rPr>
        <w:t>本项目</w:t>
      </w:r>
      <w:r>
        <w:rPr>
          <w:rFonts w:hint="default" w:ascii="Times New Roman" w:hAnsi="Times New Roman" w:eastAsia="宋体" w:cs="Times New Roman"/>
          <w:color w:val="auto"/>
          <w:kern w:val="2"/>
          <w:sz w:val="24"/>
          <w:szCs w:val="24"/>
          <w:highlight w:val="none"/>
          <w:lang w:val="en-US" w:eastAsia="zh-CN" w:bidi="ar-SA"/>
        </w:rPr>
        <w:t>年处理低品位铁矿1</w:t>
      </w:r>
      <w:r>
        <w:rPr>
          <w:rFonts w:hint="default" w:ascii="Times New Roman" w:hAnsi="Times New Roman"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en-US" w:eastAsia="zh-CN" w:bidi="ar-SA"/>
        </w:rPr>
        <w:t>0000</w:t>
      </w:r>
      <w:r>
        <w:rPr>
          <w:rFonts w:hint="default" w:ascii="Times New Roman" w:hAnsi="Times New Roman" w:cs="Times New Roman"/>
          <w:color w:val="auto"/>
          <w:kern w:val="2"/>
          <w:sz w:val="24"/>
          <w:szCs w:val="24"/>
          <w:highlight w:val="none"/>
          <w:lang w:val="en-US" w:eastAsia="zh-CN" w:bidi="ar-SA"/>
        </w:rPr>
        <w:t>t（含铁14.36%），</w:t>
      </w:r>
      <w:r>
        <w:rPr>
          <w:rFonts w:hint="default" w:ascii="Times New Roman" w:hAnsi="Times New Roman" w:eastAsia="宋体" w:cs="Times New Roman"/>
          <w:color w:val="auto"/>
          <w:kern w:val="2"/>
          <w:sz w:val="24"/>
          <w:szCs w:val="24"/>
          <w:highlight w:val="none"/>
          <w:lang w:val="en-US" w:eastAsia="zh-CN" w:bidi="ar-SA"/>
        </w:rPr>
        <w:t>年产</w:t>
      </w:r>
      <w:r>
        <w:rPr>
          <w:rFonts w:hint="default" w:ascii="Times New Roman" w:hAnsi="Times New Roman" w:cs="Times New Roman"/>
          <w:color w:val="auto"/>
          <w:kern w:val="2"/>
          <w:sz w:val="24"/>
          <w:szCs w:val="24"/>
          <w:highlight w:val="none"/>
          <w:lang w:val="en-US" w:eastAsia="zh-CN" w:bidi="ar-SA"/>
        </w:rPr>
        <w:t>铁矿石27000t/a（含铁31.76%），砂石料产生量为62884t/a</w:t>
      </w:r>
      <w:r>
        <w:rPr>
          <w:rFonts w:hint="default" w:ascii="Times New Roman" w:hAnsi="Times New Roman" w:cs="Times New Roman"/>
          <w:color w:val="auto"/>
          <w:kern w:val="0"/>
          <w:sz w:val="24"/>
          <w:szCs w:val="24"/>
          <w:highlight w:val="none"/>
          <w:lang w:val="en-US" w:eastAsia="zh-CN"/>
        </w:rPr>
        <w:t>，则项目全厂铁元素平衡表见下表。</w:t>
      </w:r>
    </w:p>
    <w:p w14:paraId="06317724">
      <w:pPr>
        <w:spacing w:line="360" w:lineRule="auto"/>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本项目铁元素平衡表见表</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.3</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p>
    <w:p w14:paraId="3A3F32D2">
      <w:pPr>
        <w:spacing w:line="360" w:lineRule="auto"/>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表</w:t>
      </w:r>
      <w:r>
        <w:rPr>
          <w:rFonts w:hint="default" w:ascii="Times New Roman" w:hAnsi="Times New Roman" w:eastAsia="黑体" w:cs="Times New Roman"/>
          <w:b w:val="0"/>
          <w:bCs/>
          <w:color w:val="auto"/>
          <w:sz w:val="21"/>
          <w:szCs w:val="21"/>
          <w:lang w:val="en-US" w:eastAsia="zh-CN"/>
        </w:rPr>
        <w:t>3</w:t>
      </w:r>
      <w:r>
        <w:rPr>
          <w:rFonts w:hint="default" w:ascii="Times New Roman" w:hAnsi="Times New Roman" w:eastAsia="黑体" w:cs="Times New Roman"/>
          <w:b w:val="0"/>
          <w:bCs/>
          <w:color w:val="auto"/>
          <w:sz w:val="21"/>
          <w:szCs w:val="21"/>
        </w:rPr>
        <w:t>.3</w:t>
      </w:r>
      <w:r>
        <w:rPr>
          <w:rFonts w:hint="default" w:ascii="Times New Roman" w:hAnsi="Times New Roman" w:eastAsia="黑体" w:cs="Times New Roman"/>
          <w:b w:val="0"/>
          <w:bCs/>
          <w:color w:val="auto"/>
          <w:sz w:val="21"/>
          <w:szCs w:val="21"/>
          <w:lang w:val="en-US" w:eastAsia="zh-CN"/>
        </w:rPr>
        <w:t>.3</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2</w:t>
      </w:r>
      <w:r>
        <w:rPr>
          <w:rFonts w:hint="default" w:ascii="Times New Roman" w:hAnsi="Times New Roman" w:eastAsia="黑体" w:cs="Times New Roman"/>
          <w:b w:val="0"/>
          <w:bCs/>
          <w:color w:val="auto"/>
          <w:sz w:val="21"/>
          <w:szCs w:val="21"/>
        </w:rPr>
        <w:t xml:space="preserve">  项目生产线铁元素平衡表   </w:t>
      </w:r>
      <w:r>
        <w:rPr>
          <w:rStyle w:val="54"/>
          <w:rFonts w:hint="default" w:ascii="Times New Roman" w:hAnsi="Times New Roman" w:eastAsia="黑体" w:cs="Times New Roman"/>
          <w:b w:val="0"/>
          <w:bCs/>
          <w:color w:val="auto"/>
          <w:sz w:val="21"/>
          <w:szCs w:val="21"/>
        </w:rPr>
        <w:t>单位：t/a</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133"/>
        <w:gridCol w:w="1009"/>
        <w:gridCol w:w="1016"/>
        <w:gridCol w:w="1878"/>
        <w:gridCol w:w="1118"/>
        <w:gridCol w:w="1150"/>
        <w:gridCol w:w="1066"/>
      </w:tblGrid>
      <w:tr w14:paraId="1AA876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193" w:type="pct"/>
            <w:gridSpan w:val="4"/>
            <w:tcBorders>
              <w:tl2br w:val="nil"/>
              <w:tr2bl w:val="nil"/>
            </w:tcBorders>
            <w:vAlign w:val="center"/>
          </w:tcPr>
          <w:p w14:paraId="3F8C62E0">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投入</w:t>
            </w:r>
          </w:p>
        </w:tc>
        <w:tc>
          <w:tcPr>
            <w:tcW w:w="2806" w:type="pct"/>
            <w:gridSpan w:val="4"/>
            <w:tcBorders>
              <w:tl2br w:val="nil"/>
              <w:tr2bl w:val="nil"/>
            </w:tcBorders>
            <w:vAlign w:val="center"/>
          </w:tcPr>
          <w:p w14:paraId="0DD876FA">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产出</w:t>
            </w:r>
          </w:p>
        </w:tc>
      </w:tr>
      <w:tr w14:paraId="2A9BC0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tcBorders>
              <w:tl2br w:val="nil"/>
              <w:tr2bl w:val="nil"/>
            </w:tcBorders>
            <w:vAlign w:val="center"/>
          </w:tcPr>
          <w:p w14:paraId="6F745C30">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610" w:type="pct"/>
            <w:tcBorders>
              <w:tl2br w:val="nil"/>
              <w:tr2bl w:val="nil"/>
            </w:tcBorders>
            <w:vAlign w:val="center"/>
          </w:tcPr>
          <w:p w14:paraId="5AB85C3F">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数量</w:t>
            </w:r>
          </w:p>
        </w:tc>
        <w:tc>
          <w:tcPr>
            <w:tcW w:w="543" w:type="pct"/>
            <w:tcBorders>
              <w:tl2br w:val="nil"/>
              <w:tr2bl w:val="nil"/>
            </w:tcBorders>
            <w:vAlign w:val="center"/>
          </w:tcPr>
          <w:p w14:paraId="4F02E65A">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TFe%</w:t>
            </w:r>
          </w:p>
        </w:tc>
        <w:tc>
          <w:tcPr>
            <w:tcW w:w="544" w:type="pct"/>
            <w:tcBorders>
              <w:tl2br w:val="nil"/>
              <w:tr2bl w:val="nil"/>
            </w:tcBorders>
            <w:vAlign w:val="center"/>
          </w:tcPr>
          <w:p w14:paraId="52DE4DC1">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Fe量</w:t>
            </w:r>
          </w:p>
        </w:tc>
        <w:tc>
          <w:tcPr>
            <w:tcW w:w="1011" w:type="pct"/>
            <w:tcBorders>
              <w:tl2br w:val="nil"/>
              <w:tr2bl w:val="nil"/>
            </w:tcBorders>
            <w:vAlign w:val="center"/>
          </w:tcPr>
          <w:p w14:paraId="24ECE0D6">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602" w:type="pct"/>
            <w:tcBorders>
              <w:tl2br w:val="nil"/>
              <w:tr2bl w:val="nil"/>
            </w:tcBorders>
            <w:vAlign w:val="center"/>
          </w:tcPr>
          <w:p w14:paraId="1503828F">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数量</w:t>
            </w:r>
          </w:p>
        </w:tc>
        <w:tc>
          <w:tcPr>
            <w:tcW w:w="619" w:type="pct"/>
            <w:tcBorders>
              <w:tl2br w:val="nil"/>
              <w:tr2bl w:val="nil"/>
            </w:tcBorders>
            <w:vAlign w:val="center"/>
          </w:tcPr>
          <w:p w14:paraId="2DE2908D">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TFe%</w:t>
            </w:r>
          </w:p>
        </w:tc>
        <w:tc>
          <w:tcPr>
            <w:tcW w:w="573" w:type="pct"/>
            <w:tcBorders>
              <w:tl2br w:val="nil"/>
              <w:tr2bl w:val="nil"/>
            </w:tcBorders>
            <w:vAlign w:val="center"/>
          </w:tcPr>
          <w:p w14:paraId="69C63EF3">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Fe量</w:t>
            </w:r>
          </w:p>
        </w:tc>
      </w:tr>
      <w:tr w14:paraId="7B756F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tcBorders>
              <w:tl2br w:val="nil"/>
              <w:tr2bl w:val="nil"/>
            </w:tcBorders>
            <w:vAlign w:val="center"/>
          </w:tcPr>
          <w:p w14:paraId="2D67E62C">
            <w:pPr>
              <w:adjustRightIn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低品位铁矿</w:t>
            </w:r>
          </w:p>
        </w:tc>
        <w:tc>
          <w:tcPr>
            <w:tcW w:w="610" w:type="pct"/>
            <w:tcBorders>
              <w:tl2br w:val="nil"/>
              <w:tr2bl w:val="nil"/>
            </w:tcBorders>
            <w:vAlign w:val="center"/>
          </w:tcPr>
          <w:p w14:paraId="1B19BACB">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100000</w:t>
            </w:r>
          </w:p>
        </w:tc>
        <w:tc>
          <w:tcPr>
            <w:tcW w:w="543" w:type="pct"/>
            <w:tcBorders>
              <w:tl2br w:val="nil"/>
              <w:tr2bl w:val="nil"/>
            </w:tcBorders>
            <w:vAlign w:val="center"/>
          </w:tcPr>
          <w:p w14:paraId="3734322C">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14.36</w:t>
            </w:r>
          </w:p>
        </w:tc>
        <w:tc>
          <w:tcPr>
            <w:tcW w:w="544" w:type="pct"/>
            <w:tcBorders>
              <w:tl2br w:val="nil"/>
              <w:tr2bl w:val="nil"/>
            </w:tcBorders>
            <w:vAlign w:val="center"/>
          </w:tcPr>
          <w:p w14:paraId="0AEF2809">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14360</w:t>
            </w:r>
          </w:p>
        </w:tc>
        <w:tc>
          <w:tcPr>
            <w:tcW w:w="1011" w:type="pct"/>
            <w:tcBorders>
              <w:tl2br w:val="nil"/>
              <w:tr2bl w:val="nil"/>
            </w:tcBorders>
            <w:vAlign w:val="center"/>
          </w:tcPr>
          <w:p w14:paraId="2BA9E522">
            <w:pPr>
              <w:adjustRightIn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铁矿石</w:t>
            </w:r>
          </w:p>
        </w:tc>
        <w:tc>
          <w:tcPr>
            <w:tcW w:w="602" w:type="pct"/>
            <w:tcBorders>
              <w:tl2br w:val="nil"/>
              <w:tr2bl w:val="nil"/>
            </w:tcBorders>
            <w:vAlign w:val="center"/>
          </w:tcPr>
          <w:p w14:paraId="7A678998">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27000</w:t>
            </w:r>
          </w:p>
        </w:tc>
        <w:tc>
          <w:tcPr>
            <w:tcW w:w="619" w:type="pct"/>
            <w:tcBorders>
              <w:tl2br w:val="nil"/>
              <w:tr2bl w:val="nil"/>
            </w:tcBorders>
            <w:vAlign w:val="center"/>
          </w:tcPr>
          <w:p w14:paraId="1E443523">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31.76</w:t>
            </w:r>
          </w:p>
        </w:tc>
        <w:tc>
          <w:tcPr>
            <w:tcW w:w="573" w:type="pct"/>
            <w:tcBorders>
              <w:tl2br w:val="nil"/>
              <w:tr2bl w:val="nil"/>
            </w:tcBorders>
            <w:vAlign w:val="center"/>
          </w:tcPr>
          <w:p w14:paraId="484AD9E8">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8575.2</w:t>
            </w:r>
          </w:p>
        </w:tc>
      </w:tr>
      <w:tr w14:paraId="6F535A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tcBorders>
              <w:tl2br w:val="nil"/>
              <w:tr2bl w:val="nil"/>
            </w:tcBorders>
            <w:vAlign w:val="center"/>
          </w:tcPr>
          <w:p w14:paraId="435BEBD8">
            <w:pPr>
              <w:adjustRightInd w:val="0"/>
              <w:spacing w:line="240" w:lineRule="auto"/>
              <w:jc w:val="center"/>
              <w:rPr>
                <w:rFonts w:hint="default" w:ascii="Times New Roman" w:hAnsi="Times New Roman" w:eastAsia="宋体" w:cs="Times New Roman"/>
                <w:color w:val="auto"/>
                <w:sz w:val="18"/>
                <w:szCs w:val="18"/>
              </w:rPr>
            </w:pPr>
          </w:p>
        </w:tc>
        <w:tc>
          <w:tcPr>
            <w:tcW w:w="610" w:type="pct"/>
            <w:tcBorders>
              <w:tl2br w:val="nil"/>
              <w:tr2bl w:val="nil"/>
            </w:tcBorders>
            <w:vAlign w:val="center"/>
          </w:tcPr>
          <w:p w14:paraId="0208CCE0">
            <w:pPr>
              <w:adjustRightInd w:val="0"/>
              <w:spacing w:line="240" w:lineRule="auto"/>
              <w:jc w:val="center"/>
              <w:rPr>
                <w:rFonts w:hint="default" w:ascii="Times New Roman" w:hAnsi="Times New Roman" w:eastAsia="宋体" w:cs="Times New Roman"/>
                <w:color w:val="auto"/>
                <w:sz w:val="18"/>
                <w:szCs w:val="18"/>
              </w:rPr>
            </w:pPr>
          </w:p>
        </w:tc>
        <w:tc>
          <w:tcPr>
            <w:tcW w:w="543" w:type="pct"/>
            <w:tcBorders>
              <w:tl2br w:val="nil"/>
              <w:tr2bl w:val="nil"/>
            </w:tcBorders>
            <w:vAlign w:val="center"/>
          </w:tcPr>
          <w:p w14:paraId="63E3EBDB">
            <w:pPr>
              <w:adjustRightInd w:val="0"/>
              <w:spacing w:line="240" w:lineRule="auto"/>
              <w:jc w:val="center"/>
              <w:rPr>
                <w:rFonts w:hint="default" w:ascii="Times New Roman" w:hAnsi="Times New Roman" w:eastAsia="宋体" w:cs="Times New Roman"/>
                <w:color w:val="auto"/>
                <w:sz w:val="18"/>
                <w:szCs w:val="18"/>
              </w:rPr>
            </w:pPr>
          </w:p>
        </w:tc>
        <w:tc>
          <w:tcPr>
            <w:tcW w:w="544" w:type="pct"/>
            <w:tcBorders>
              <w:tl2br w:val="nil"/>
              <w:tr2bl w:val="nil"/>
            </w:tcBorders>
            <w:vAlign w:val="center"/>
          </w:tcPr>
          <w:p w14:paraId="2401F918">
            <w:pPr>
              <w:adjustRightInd w:val="0"/>
              <w:spacing w:line="240" w:lineRule="auto"/>
              <w:jc w:val="center"/>
              <w:rPr>
                <w:rFonts w:hint="default" w:ascii="Times New Roman" w:hAnsi="Times New Roman" w:eastAsia="宋体" w:cs="Times New Roman"/>
                <w:color w:val="auto"/>
                <w:sz w:val="18"/>
                <w:szCs w:val="18"/>
              </w:rPr>
            </w:pPr>
          </w:p>
        </w:tc>
        <w:tc>
          <w:tcPr>
            <w:tcW w:w="1011" w:type="pct"/>
            <w:tcBorders>
              <w:tl2br w:val="nil"/>
              <w:tr2bl w:val="nil"/>
            </w:tcBorders>
            <w:vAlign w:val="center"/>
          </w:tcPr>
          <w:p w14:paraId="6E16491C">
            <w:pPr>
              <w:adjustRightIn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砂石料</w:t>
            </w:r>
          </w:p>
        </w:tc>
        <w:tc>
          <w:tcPr>
            <w:tcW w:w="602" w:type="pct"/>
            <w:tcBorders>
              <w:tl2br w:val="nil"/>
              <w:tr2bl w:val="nil"/>
            </w:tcBorders>
            <w:vAlign w:val="center"/>
          </w:tcPr>
          <w:p w14:paraId="4B94947F">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62884</w:t>
            </w:r>
          </w:p>
        </w:tc>
        <w:tc>
          <w:tcPr>
            <w:tcW w:w="619" w:type="pct"/>
            <w:tcBorders>
              <w:tl2br w:val="nil"/>
              <w:tr2bl w:val="nil"/>
            </w:tcBorders>
            <w:vAlign w:val="center"/>
          </w:tcPr>
          <w:p w14:paraId="5A67A4F6">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6.89</w:t>
            </w:r>
          </w:p>
        </w:tc>
        <w:tc>
          <w:tcPr>
            <w:tcW w:w="573" w:type="pct"/>
            <w:tcBorders>
              <w:tl2br w:val="nil"/>
              <w:tr2bl w:val="nil"/>
            </w:tcBorders>
            <w:vAlign w:val="center"/>
          </w:tcPr>
          <w:p w14:paraId="73304133">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4332.13</w:t>
            </w:r>
          </w:p>
        </w:tc>
      </w:tr>
      <w:tr w14:paraId="48153B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tcBorders>
              <w:tl2br w:val="nil"/>
              <w:tr2bl w:val="nil"/>
            </w:tcBorders>
            <w:vAlign w:val="center"/>
          </w:tcPr>
          <w:p w14:paraId="03CE3C10">
            <w:pPr>
              <w:adjustRightInd w:val="0"/>
              <w:spacing w:line="240" w:lineRule="auto"/>
              <w:jc w:val="center"/>
              <w:rPr>
                <w:rFonts w:hint="default" w:ascii="Times New Roman" w:hAnsi="Times New Roman" w:eastAsia="宋体" w:cs="Times New Roman"/>
                <w:color w:val="auto"/>
                <w:sz w:val="18"/>
                <w:szCs w:val="18"/>
              </w:rPr>
            </w:pPr>
          </w:p>
        </w:tc>
        <w:tc>
          <w:tcPr>
            <w:tcW w:w="610" w:type="pct"/>
            <w:tcBorders>
              <w:tl2br w:val="nil"/>
              <w:tr2bl w:val="nil"/>
            </w:tcBorders>
            <w:vAlign w:val="center"/>
          </w:tcPr>
          <w:p w14:paraId="69A31397">
            <w:pPr>
              <w:adjustRightInd w:val="0"/>
              <w:spacing w:line="240" w:lineRule="auto"/>
              <w:jc w:val="center"/>
              <w:rPr>
                <w:rFonts w:hint="default" w:ascii="Times New Roman" w:hAnsi="Times New Roman" w:eastAsia="宋体" w:cs="Times New Roman"/>
                <w:color w:val="auto"/>
                <w:sz w:val="18"/>
                <w:szCs w:val="18"/>
              </w:rPr>
            </w:pPr>
          </w:p>
        </w:tc>
        <w:tc>
          <w:tcPr>
            <w:tcW w:w="543" w:type="pct"/>
            <w:tcBorders>
              <w:tl2br w:val="nil"/>
              <w:tr2bl w:val="nil"/>
            </w:tcBorders>
            <w:vAlign w:val="center"/>
          </w:tcPr>
          <w:p w14:paraId="28D6D607">
            <w:pPr>
              <w:adjustRightInd w:val="0"/>
              <w:spacing w:line="240" w:lineRule="auto"/>
              <w:jc w:val="center"/>
              <w:rPr>
                <w:rFonts w:hint="default" w:ascii="Times New Roman" w:hAnsi="Times New Roman" w:eastAsia="宋体" w:cs="Times New Roman"/>
                <w:color w:val="auto"/>
                <w:sz w:val="18"/>
                <w:szCs w:val="18"/>
              </w:rPr>
            </w:pPr>
          </w:p>
        </w:tc>
        <w:tc>
          <w:tcPr>
            <w:tcW w:w="544" w:type="pct"/>
            <w:tcBorders>
              <w:tl2br w:val="nil"/>
              <w:tr2bl w:val="nil"/>
            </w:tcBorders>
            <w:vAlign w:val="center"/>
          </w:tcPr>
          <w:p w14:paraId="4022F5BE">
            <w:pPr>
              <w:adjustRightInd w:val="0"/>
              <w:spacing w:line="240" w:lineRule="auto"/>
              <w:jc w:val="center"/>
              <w:rPr>
                <w:rFonts w:hint="default" w:ascii="Times New Roman" w:hAnsi="Times New Roman" w:eastAsia="宋体" w:cs="Times New Roman"/>
                <w:color w:val="auto"/>
                <w:sz w:val="18"/>
                <w:szCs w:val="18"/>
              </w:rPr>
            </w:pPr>
          </w:p>
        </w:tc>
        <w:tc>
          <w:tcPr>
            <w:tcW w:w="1011" w:type="pct"/>
            <w:tcBorders>
              <w:tl2br w:val="nil"/>
              <w:tr2bl w:val="nil"/>
            </w:tcBorders>
            <w:vAlign w:val="center"/>
          </w:tcPr>
          <w:p w14:paraId="7F7CB784">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≥70mm原矿石</w:t>
            </w:r>
          </w:p>
        </w:tc>
        <w:tc>
          <w:tcPr>
            <w:tcW w:w="602" w:type="pct"/>
            <w:tcBorders>
              <w:tl2br w:val="nil"/>
              <w:tr2bl w:val="nil"/>
            </w:tcBorders>
            <w:vAlign w:val="center"/>
          </w:tcPr>
          <w:p w14:paraId="188FFDBE">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10000</w:t>
            </w:r>
          </w:p>
        </w:tc>
        <w:tc>
          <w:tcPr>
            <w:tcW w:w="619" w:type="pct"/>
            <w:tcBorders>
              <w:tl2br w:val="nil"/>
              <w:tr2bl w:val="nil"/>
            </w:tcBorders>
            <w:vAlign w:val="center"/>
          </w:tcPr>
          <w:p w14:paraId="0D960367">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14.36</w:t>
            </w:r>
          </w:p>
        </w:tc>
        <w:tc>
          <w:tcPr>
            <w:tcW w:w="573" w:type="pct"/>
            <w:tcBorders>
              <w:tl2br w:val="nil"/>
              <w:tr2bl w:val="nil"/>
            </w:tcBorders>
            <w:vAlign w:val="center"/>
          </w:tcPr>
          <w:p w14:paraId="55150156">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1436</w:t>
            </w:r>
          </w:p>
        </w:tc>
      </w:tr>
      <w:tr w14:paraId="41BDD1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tcBorders>
              <w:tl2br w:val="nil"/>
              <w:tr2bl w:val="nil"/>
            </w:tcBorders>
            <w:vAlign w:val="center"/>
          </w:tcPr>
          <w:p w14:paraId="30FD3066">
            <w:pPr>
              <w:adjustRightInd w:val="0"/>
              <w:spacing w:line="240" w:lineRule="auto"/>
              <w:jc w:val="center"/>
              <w:rPr>
                <w:rFonts w:hint="default" w:ascii="Times New Roman" w:hAnsi="Times New Roman" w:eastAsia="宋体" w:cs="Times New Roman"/>
                <w:color w:val="auto"/>
                <w:sz w:val="18"/>
                <w:szCs w:val="18"/>
              </w:rPr>
            </w:pPr>
          </w:p>
        </w:tc>
        <w:tc>
          <w:tcPr>
            <w:tcW w:w="610" w:type="pct"/>
            <w:tcBorders>
              <w:tl2br w:val="nil"/>
              <w:tr2bl w:val="nil"/>
            </w:tcBorders>
            <w:vAlign w:val="center"/>
          </w:tcPr>
          <w:p w14:paraId="19AF7361">
            <w:pPr>
              <w:adjustRightInd w:val="0"/>
              <w:spacing w:line="240" w:lineRule="auto"/>
              <w:jc w:val="center"/>
              <w:rPr>
                <w:rFonts w:hint="default" w:ascii="Times New Roman" w:hAnsi="Times New Roman" w:eastAsia="宋体" w:cs="Times New Roman"/>
                <w:color w:val="auto"/>
                <w:sz w:val="18"/>
                <w:szCs w:val="18"/>
              </w:rPr>
            </w:pPr>
          </w:p>
        </w:tc>
        <w:tc>
          <w:tcPr>
            <w:tcW w:w="543" w:type="pct"/>
            <w:tcBorders>
              <w:tl2br w:val="nil"/>
              <w:tr2bl w:val="nil"/>
            </w:tcBorders>
            <w:vAlign w:val="center"/>
          </w:tcPr>
          <w:p w14:paraId="44B4225D">
            <w:pPr>
              <w:adjustRightInd w:val="0"/>
              <w:spacing w:line="240" w:lineRule="auto"/>
              <w:jc w:val="center"/>
              <w:rPr>
                <w:rFonts w:hint="default" w:ascii="Times New Roman" w:hAnsi="Times New Roman" w:eastAsia="宋体" w:cs="Times New Roman"/>
                <w:color w:val="auto"/>
                <w:sz w:val="18"/>
                <w:szCs w:val="18"/>
              </w:rPr>
            </w:pPr>
          </w:p>
        </w:tc>
        <w:tc>
          <w:tcPr>
            <w:tcW w:w="544" w:type="pct"/>
            <w:tcBorders>
              <w:tl2br w:val="nil"/>
              <w:tr2bl w:val="nil"/>
            </w:tcBorders>
            <w:vAlign w:val="center"/>
          </w:tcPr>
          <w:p w14:paraId="484363C0">
            <w:pPr>
              <w:adjustRightInd w:val="0"/>
              <w:spacing w:line="240" w:lineRule="auto"/>
              <w:jc w:val="center"/>
              <w:rPr>
                <w:rFonts w:hint="default" w:ascii="Times New Roman" w:hAnsi="Times New Roman" w:eastAsia="宋体" w:cs="Times New Roman"/>
                <w:color w:val="auto"/>
                <w:sz w:val="18"/>
                <w:szCs w:val="18"/>
              </w:rPr>
            </w:pPr>
          </w:p>
        </w:tc>
        <w:tc>
          <w:tcPr>
            <w:tcW w:w="1011" w:type="pct"/>
            <w:tcBorders>
              <w:tl2br w:val="nil"/>
              <w:tr2bl w:val="nil"/>
            </w:tcBorders>
            <w:vAlign w:val="center"/>
          </w:tcPr>
          <w:p w14:paraId="56EC894C">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粉尘</w:t>
            </w:r>
          </w:p>
        </w:tc>
        <w:tc>
          <w:tcPr>
            <w:tcW w:w="602" w:type="pct"/>
            <w:tcBorders>
              <w:tl2br w:val="nil"/>
              <w:tr2bl w:val="nil"/>
            </w:tcBorders>
            <w:vAlign w:val="center"/>
          </w:tcPr>
          <w:p w14:paraId="55FE83CB">
            <w:pPr>
              <w:adjustRightInd w:val="0"/>
              <w:spacing w:line="240" w:lineRule="auto"/>
              <w:jc w:val="center"/>
              <w:rPr>
                <w:rFonts w:hint="default" w:ascii="Times New Roman" w:hAnsi="Times New Roman" w:eastAsia="宋体" w:cs="Times New Roman"/>
                <w:color w:val="auto"/>
                <w:sz w:val="18"/>
                <w:szCs w:val="18"/>
                <w:lang w:val="en-US"/>
              </w:rPr>
            </w:pPr>
            <w:r>
              <w:rPr>
                <w:rFonts w:hint="default" w:ascii="Times New Roman" w:hAnsi="Times New Roman" w:cs="Times New Roman"/>
                <w:color w:val="auto"/>
                <w:sz w:val="18"/>
                <w:szCs w:val="18"/>
                <w:lang w:val="en-US" w:eastAsia="zh-CN"/>
              </w:rPr>
              <w:t>116</w:t>
            </w:r>
          </w:p>
        </w:tc>
        <w:tc>
          <w:tcPr>
            <w:tcW w:w="619" w:type="pct"/>
            <w:tcBorders>
              <w:tl2br w:val="nil"/>
              <w:tr2bl w:val="nil"/>
            </w:tcBorders>
            <w:vAlign w:val="center"/>
          </w:tcPr>
          <w:p w14:paraId="6D400B24">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14.36</w:t>
            </w:r>
          </w:p>
        </w:tc>
        <w:tc>
          <w:tcPr>
            <w:tcW w:w="573" w:type="pct"/>
            <w:tcBorders>
              <w:tl2br w:val="nil"/>
              <w:tr2bl w:val="nil"/>
            </w:tcBorders>
            <w:vAlign w:val="center"/>
          </w:tcPr>
          <w:p w14:paraId="1A4A600D">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16.67</w:t>
            </w:r>
          </w:p>
        </w:tc>
      </w:tr>
      <w:tr w14:paraId="15F1EA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tcBorders>
              <w:tl2br w:val="nil"/>
              <w:tr2bl w:val="nil"/>
            </w:tcBorders>
            <w:vAlign w:val="center"/>
          </w:tcPr>
          <w:p w14:paraId="59C22363">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w:t>
            </w:r>
          </w:p>
        </w:tc>
        <w:tc>
          <w:tcPr>
            <w:tcW w:w="610" w:type="pct"/>
            <w:tcBorders>
              <w:tl2br w:val="nil"/>
              <w:tr2bl w:val="nil"/>
            </w:tcBorders>
            <w:vAlign w:val="center"/>
          </w:tcPr>
          <w:p w14:paraId="69436762">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100000</w:t>
            </w:r>
          </w:p>
        </w:tc>
        <w:tc>
          <w:tcPr>
            <w:tcW w:w="543" w:type="pct"/>
            <w:tcBorders>
              <w:tl2br w:val="nil"/>
              <w:tr2bl w:val="nil"/>
            </w:tcBorders>
            <w:vAlign w:val="center"/>
          </w:tcPr>
          <w:p w14:paraId="510923D9">
            <w:pPr>
              <w:adjustRightInd w:val="0"/>
              <w:spacing w:line="240" w:lineRule="auto"/>
              <w:jc w:val="center"/>
              <w:rPr>
                <w:rFonts w:hint="default" w:ascii="Times New Roman" w:hAnsi="Times New Roman" w:eastAsia="宋体" w:cs="Times New Roman"/>
                <w:color w:val="auto"/>
                <w:sz w:val="18"/>
                <w:szCs w:val="18"/>
              </w:rPr>
            </w:pPr>
          </w:p>
        </w:tc>
        <w:tc>
          <w:tcPr>
            <w:tcW w:w="544" w:type="pct"/>
            <w:tcBorders>
              <w:tl2br w:val="nil"/>
              <w:tr2bl w:val="nil"/>
            </w:tcBorders>
            <w:vAlign w:val="center"/>
          </w:tcPr>
          <w:p w14:paraId="311C4306">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14360</w:t>
            </w:r>
          </w:p>
        </w:tc>
        <w:tc>
          <w:tcPr>
            <w:tcW w:w="1011" w:type="pct"/>
            <w:tcBorders>
              <w:tl2br w:val="nil"/>
              <w:tr2bl w:val="nil"/>
            </w:tcBorders>
            <w:vAlign w:val="center"/>
          </w:tcPr>
          <w:p w14:paraId="355F842A">
            <w:pPr>
              <w:adjustRightIn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w:t>
            </w:r>
          </w:p>
        </w:tc>
        <w:tc>
          <w:tcPr>
            <w:tcW w:w="602" w:type="pct"/>
            <w:tcBorders>
              <w:tl2br w:val="nil"/>
              <w:tr2bl w:val="nil"/>
            </w:tcBorders>
            <w:vAlign w:val="center"/>
          </w:tcPr>
          <w:p w14:paraId="5AC59CDF">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100000</w:t>
            </w:r>
          </w:p>
        </w:tc>
        <w:tc>
          <w:tcPr>
            <w:tcW w:w="619" w:type="pct"/>
            <w:tcBorders>
              <w:tl2br w:val="nil"/>
              <w:tr2bl w:val="nil"/>
            </w:tcBorders>
            <w:vAlign w:val="center"/>
          </w:tcPr>
          <w:p w14:paraId="256974CC">
            <w:pPr>
              <w:adjustRightInd w:val="0"/>
              <w:spacing w:line="240" w:lineRule="auto"/>
              <w:jc w:val="center"/>
              <w:rPr>
                <w:rFonts w:hint="default" w:ascii="Times New Roman" w:hAnsi="Times New Roman" w:eastAsia="宋体" w:cs="Times New Roman"/>
                <w:color w:val="auto"/>
                <w:sz w:val="18"/>
                <w:szCs w:val="18"/>
              </w:rPr>
            </w:pPr>
          </w:p>
        </w:tc>
        <w:tc>
          <w:tcPr>
            <w:tcW w:w="573" w:type="pct"/>
            <w:tcBorders>
              <w:tl2br w:val="nil"/>
              <w:tr2bl w:val="nil"/>
            </w:tcBorders>
            <w:vAlign w:val="center"/>
          </w:tcPr>
          <w:p w14:paraId="41A3E78A">
            <w:pPr>
              <w:adjustRightIn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14360</w:t>
            </w:r>
          </w:p>
        </w:tc>
      </w:tr>
    </w:tbl>
    <w:p w14:paraId="30346DE7">
      <w:pPr>
        <w:pStyle w:val="6"/>
        <w:bidi w:val="0"/>
        <w:rPr>
          <w:rFonts w:hint="default" w:ascii="Times New Roman" w:hAnsi="Times New Roman" w:cs="Times New Roman"/>
          <w:color w:val="auto"/>
        </w:rPr>
      </w:pPr>
      <w:bookmarkStart w:id="274" w:name="_Toc165816743"/>
      <w:bookmarkStart w:id="275" w:name="_Toc14916"/>
      <w:r>
        <w:rPr>
          <w:rFonts w:hint="default" w:ascii="Times New Roman" w:hAnsi="Times New Roman" w:cs="Times New Roman"/>
          <w:color w:val="auto"/>
          <w:lang w:val="en-US" w:eastAsia="zh-CN"/>
        </w:rPr>
        <w:t>3</w:t>
      </w:r>
      <w:r>
        <w:rPr>
          <w:rFonts w:hint="default" w:ascii="Times New Roman" w:hAnsi="Times New Roman" w:cs="Times New Roman"/>
          <w:color w:val="auto"/>
        </w:rPr>
        <w:t>.3.4项目水平衡分析</w:t>
      </w:r>
      <w:bookmarkEnd w:id="274"/>
      <w:bookmarkEnd w:id="275"/>
    </w:p>
    <w:p w14:paraId="50E95D78">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sz w:val="24"/>
          <w:szCs w:val="24"/>
        </w:rPr>
        <w:t>一、用水量</w:t>
      </w:r>
    </w:p>
    <w:p w14:paraId="61461E7F">
      <w:pPr>
        <w:spacing w:line="360" w:lineRule="auto"/>
        <w:ind w:firstLine="480" w:firstLineChars="200"/>
        <w:rPr>
          <w:rFonts w:hint="default" w:ascii="Times New Roman" w:hAnsi="Times New Roman" w:cs="Times New Roman" w:eastAsiaTheme="minorEastAsia"/>
          <w:kern w:val="24"/>
          <w:sz w:val="24"/>
          <w:szCs w:val="24"/>
        </w:rPr>
      </w:pPr>
      <w:r>
        <w:rPr>
          <w:rFonts w:hint="default" w:ascii="Times New Roman" w:hAnsi="Times New Roman" w:cs="Times New Roman" w:eastAsiaTheme="minorEastAsia"/>
          <w:kern w:val="24"/>
          <w:sz w:val="24"/>
          <w:szCs w:val="24"/>
        </w:rPr>
        <w:t>项目用水主要为生活用水，</w:t>
      </w:r>
      <w:r>
        <w:rPr>
          <w:rFonts w:hint="default" w:ascii="Times New Roman" w:hAnsi="Times New Roman" w:cs="Times New Roman" w:eastAsiaTheme="minorEastAsia"/>
          <w:sz w:val="24"/>
          <w:szCs w:val="24"/>
        </w:rPr>
        <w:t>降尘用水</w:t>
      </w:r>
      <w:r>
        <w:rPr>
          <w:rFonts w:hint="default" w:ascii="Times New Roman" w:hAnsi="Times New Roman" w:cs="Times New Roman" w:eastAsiaTheme="minorEastAsia"/>
          <w:kern w:val="24"/>
          <w:sz w:val="24"/>
          <w:szCs w:val="24"/>
        </w:rPr>
        <w:t>。</w:t>
      </w:r>
    </w:p>
    <w:p w14:paraId="6D5DE706">
      <w:pPr>
        <w:spacing w:line="360" w:lineRule="auto"/>
        <w:ind w:firstLine="480" w:firstLineChars="200"/>
        <w:rPr>
          <w:rFonts w:hint="default" w:ascii="Times New Roman" w:hAnsi="Times New Roman" w:cs="Times New Roman" w:eastAsiaTheme="minorEastAsia"/>
          <w:kern w:val="24"/>
          <w:sz w:val="24"/>
          <w:szCs w:val="24"/>
        </w:rPr>
      </w:pPr>
      <w:r>
        <w:rPr>
          <w:rFonts w:hint="default" w:ascii="Times New Roman" w:hAnsi="Times New Roman" w:cs="Times New Roman" w:eastAsiaTheme="minorEastAsia"/>
          <w:kern w:val="24"/>
          <w:sz w:val="24"/>
          <w:szCs w:val="24"/>
        </w:rPr>
        <w:t>1、生活用水</w:t>
      </w:r>
    </w:p>
    <w:p w14:paraId="08EF5F51">
      <w:pPr>
        <w:spacing w:line="360" w:lineRule="auto"/>
        <w:ind w:firstLine="480" w:firstLineChars="200"/>
        <w:rPr>
          <w:rFonts w:hint="default" w:ascii="Times New Roman" w:hAnsi="Times New Roman" w:eastAsia="宋体" w:cs="Times New Roman"/>
          <w:color w:val="auto"/>
          <w:kern w:val="24"/>
          <w:sz w:val="24"/>
          <w:szCs w:val="24"/>
        </w:rPr>
      </w:pPr>
      <w:r>
        <w:rPr>
          <w:rFonts w:hint="default" w:ascii="Times New Roman" w:hAnsi="Times New Roman" w:cs="Times New Roman" w:eastAsiaTheme="minorEastAsia"/>
          <w:kern w:val="24"/>
          <w:sz w:val="24"/>
          <w:szCs w:val="24"/>
        </w:rPr>
        <w:t>本项目运营期新增劳动定员</w:t>
      </w:r>
      <w:r>
        <w:rPr>
          <w:rFonts w:hint="default" w:ascii="Times New Roman" w:hAnsi="Times New Roman" w:cs="Times New Roman" w:eastAsiaTheme="minorEastAsia"/>
          <w:kern w:val="24"/>
          <w:sz w:val="24"/>
          <w:szCs w:val="24"/>
          <w:lang w:val="en-US" w:eastAsia="zh-CN"/>
        </w:rPr>
        <w:t>5</w:t>
      </w:r>
      <w:r>
        <w:rPr>
          <w:rFonts w:hint="default" w:ascii="Times New Roman" w:hAnsi="Times New Roman" w:cs="Times New Roman" w:eastAsiaTheme="minorEastAsia"/>
          <w:kern w:val="24"/>
          <w:sz w:val="24"/>
          <w:szCs w:val="24"/>
        </w:rPr>
        <w:t>人，</w:t>
      </w:r>
      <w:r>
        <w:rPr>
          <w:rFonts w:hint="default" w:ascii="Times New Roman" w:hAnsi="Times New Roman" w:cs="Times New Roman" w:eastAsiaTheme="minorEastAsia"/>
          <w:kern w:val="24"/>
          <w:sz w:val="24"/>
          <w:szCs w:val="24"/>
          <w:lang w:val="en-US" w:eastAsia="zh-CN"/>
        </w:rPr>
        <w:t>依托矿山办公生活区，</w:t>
      </w:r>
      <w:r>
        <w:rPr>
          <w:rFonts w:hint="default" w:ascii="Times New Roman" w:hAnsi="Times New Roman" w:cs="Times New Roman" w:eastAsiaTheme="minorEastAsia"/>
          <w:sz w:val="24"/>
          <w:szCs w:val="24"/>
        </w:rPr>
        <w:t>均在厂内食宿。</w:t>
      </w:r>
      <w:r>
        <w:rPr>
          <w:rFonts w:hint="default" w:ascii="Times New Roman" w:hAnsi="Times New Roman" w:eastAsia="宋体" w:cs="Times New Roman"/>
          <w:color w:val="auto"/>
          <w:kern w:val="24"/>
          <w:sz w:val="24"/>
          <w:szCs w:val="24"/>
        </w:rPr>
        <w:t>参照《云南省地方标准用水定额》（DB53/T168-2019），本项目运营期食宿人员生活用水量按</w:t>
      </w:r>
      <w:r>
        <w:rPr>
          <w:rFonts w:hint="default" w:ascii="Times New Roman" w:hAnsi="Times New Roman" w:eastAsia="宋体" w:cs="Times New Roman"/>
          <w:color w:val="auto"/>
          <w:kern w:val="24"/>
          <w:sz w:val="24"/>
          <w:szCs w:val="24"/>
          <w:lang w:val="en-US" w:eastAsia="zh-CN"/>
        </w:rPr>
        <w:t>1</w:t>
      </w:r>
      <w:r>
        <w:rPr>
          <w:rFonts w:hint="default" w:ascii="Times New Roman" w:hAnsi="Times New Roman" w:eastAsia="宋体" w:cs="Times New Roman"/>
          <w:color w:val="auto"/>
          <w:kern w:val="24"/>
          <w:sz w:val="24"/>
          <w:szCs w:val="24"/>
        </w:rPr>
        <w:t>00L/人·d计算。</w:t>
      </w:r>
      <w:r>
        <w:rPr>
          <w:rFonts w:hint="default" w:ascii="Times New Roman" w:hAnsi="Times New Roman" w:eastAsia="宋体" w:cs="Times New Roman"/>
          <w:color w:val="auto"/>
          <w:sz w:val="24"/>
          <w:szCs w:val="24"/>
        </w:rPr>
        <w:t>年工作时间300天，</w:t>
      </w:r>
      <w:r>
        <w:rPr>
          <w:rFonts w:hint="default" w:ascii="Times New Roman" w:hAnsi="Times New Roman" w:eastAsia="宋体" w:cs="Times New Roman"/>
          <w:color w:val="auto"/>
          <w:kern w:val="24"/>
          <w:sz w:val="24"/>
          <w:szCs w:val="24"/>
        </w:rPr>
        <w:t>则生活用水量为</w:t>
      </w:r>
      <w:r>
        <w:rPr>
          <w:rFonts w:hint="default" w:ascii="Times New Roman" w:hAnsi="Times New Roman" w:cs="Times New Roman"/>
          <w:color w:val="auto"/>
          <w:kern w:val="24"/>
          <w:sz w:val="24"/>
          <w:szCs w:val="24"/>
          <w:lang w:val="en-US" w:eastAsia="zh-CN"/>
        </w:rPr>
        <w:t>150</w:t>
      </w:r>
      <w:r>
        <w:rPr>
          <w:rFonts w:hint="default" w:ascii="Times New Roman" w:hAnsi="Times New Roman" w:eastAsia="宋体" w:cs="Times New Roman"/>
          <w:color w:val="auto"/>
          <w:kern w:val="24"/>
          <w:sz w:val="24"/>
          <w:szCs w:val="24"/>
        </w:rPr>
        <w:t>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kern w:val="24"/>
          <w:sz w:val="24"/>
          <w:szCs w:val="24"/>
        </w:rPr>
        <w:t>/a（</w:t>
      </w:r>
      <w:r>
        <w:rPr>
          <w:rFonts w:hint="default" w:ascii="Times New Roman" w:hAnsi="Times New Roman" w:eastAsia="宋体" w:cs="Times New Roman"/>
          <w:color w:val="auto"/>
          <w:kern w:val="24"/>
          <w:sz w:val="24"/>
          <w:szCs w:val="24"/>
          <w:lang w:val="en-US" w:eastAsia="zh-CN"/>
        </w:rPr>
        <w:t>0.</w:t>
      </w:r>
      <w:r>
        <w:rPr>
          <w:rFonts w:hint="default" w:ascii="Times New Roman" w:hAnsi="Times New Roman" w:cs="Times New Roman"/>
          <w:color w:val="auto"/>
          <w:kern w:val="24"/>
          <w:sz w:val="24"/>
          <w:szCs w:val="24"/>
          <w:lang w:val="en-US" w:eastAsia="zh-CN"/>
        </w:rPr>
        <w:t>5</w:t>
      </w:r>
      <w:r>
        <w:rPr>
          <w:rFonts w:hint="default" w:ascii="Times New Roman" w:hAnsi="Times New Roman" w:eastAsia="宋体" w:cs="Times New Roman"/>
          <w:color w:val="auto"/>
          <w:kern w:val="24"/>
          <w:sz w:val="24"/>
          <w:szCs w:val="24"/>
        </w:rPr>
        <w:t>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kern w:val="24"/>
          <w:sz w:val="24"/>
          <w:szCs w:val="24"/>
        </w:rPr>
        <w:t>/d）。</w:t>
      </w:r>
    </w:p>
    <w:p w14:paraId="04CA467A">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2、降尘用水</w:t>
      </w:r>
    </w:p>
    <w:p w14:paraId="63883952">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①原料及成品堆棚降尘用水</w:t>
      </w:r>
    </w:p>
    <w:p w14:paraId="186F2D1B">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z w:val="24"/>
          <w:highlight w:val="none"/>
        </w:rPr>
      </w:pPr>
      <w:r>
        <w:rPr>
          <w:rFonts w:hint="default" w:ascii="Times New Roman" w:hAnsi="Times New Roman" w:cs="Times New Roman" w:eastAsiaTheme="minorEastAsia"/>
          <w:color w:val="auto"/>
          <w:sz w:val="24"/>
          <w:szCs w:val="24"/>
          <w:lang w:val="en-US" w:eastAsia="zh-CN"/>
        </w:rPr>
        <w:t>本项目在</w:t>
      </w:r>
      <w:r>
        <w:rPr>
          <w:rFonts w:hint="default" w:ascii="Times New Roman" w:hAnsi="Times New Roman" w:cs="Times New Roman" w:eastAsiaTheme="minorEastAsia"/>
          <w:sz w:val="24"/>
          <w:szCs w:val="24"/>
          <w:lang w:val="en-US" w:eastAsia="zh-CN"/>
        </w:rPr>
        <w:t>原料堆棚及砂石料、铁矿石成品堆棚</w:t>
      </w:r>
      <w:r>
        <w:rPr>
          <w:rFonts w:hint="default" w:ascii="Times New Roman" w:hAnsi="Times New Roman" w:cs="Times New Roman" w:eastAsiaTheme="minorEastAsia"/>
          <w:color w:val="auto"/>
          <w:sz w:val="24"/>
          <w:szCs w:val="24"/>
          <w:lang w:val="en-US" w:eastAsia="zh-CN"/>
        </w:rPr>
        <w:t>各设置一台雾炮机喷雾降尘，</w:t>
      </w:r>
      <w:r>
        <w:rPr>
          <w:rFonts w:hint="default" w:ascii="Times New Roman" w:hAnsi="Times New Roman" w:cs="Times New Roman"/>
          <w:color w:val="auto"/>
          <w:sz w:val="24"/>
          <w:szCs w:val="24"/>
        </w:rPr>
        <w:t>喷雾流量为</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L/min，雾炮机平均每天工作</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h，则用水量为</w:t>
      </w:r>
      <w:r>
        <w:rPr>
          <w:rFonts w:hint="default" w:ascii="Times New Roman" w:hAnsi="Times New Roman" w:cs="Times New Roman"/>
          <w:color w:val="auto"/>
          <w:sz w:val="24"/>
          <w:szCs w:val="24"/>
          <w:lang w:val="en-US" w:eastAsia="zh-CN"/>
        </w:rPr>
        <w:t>14.4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4320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rPr>
        <w:t>。</w:t>
      </w:r>
      <w:r>
        <w:rPr>
          <w:rFonts w:hint="default" w:ascii="Times New Roman" w:hAnsi="Times New Roman" w:cs="Times New Roman"/>
          <w:bCs/>
          <w:color w:val="auto"/>
          <w:sz w:val="24"/>
          <w:highlight w:val="none"/>
        </w:rPr>
        <w:t>降尘用水全部蒸发耗损，无废水产生。</w:t>
      </w:r>
    </w:p>
    <w:p w14:paraId="71F01FA6">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②进料口、一次筛分落料点降尘用水</w:t>
      </w:r>
    </w:p>
    <w:p w14:paraId="23EBBD09">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z w:val="24"/>
          <w:highlight w:val="none"/>
        </w:rPr>
      </w:pPr>
      <w:r>
        <w:rPr>
          <w:rFonts w:hint="default" w:ascii="Times New Roman" w:hAnsi="Times New Roman" w:cs="Times New Roman" w:eastAsiaTheme="minorEastAsia"/>
          <w:sz w:val="24"/>
          <w:szCs w:val="24"/>
          <w:lang w:val="en-US" w:eastAsia="zh-CN"/>
        </w:rPr>
        <w:t>项目在进料口、一次筛分落料点等位置设置喷雾降尘，共设置2</w:t>
      </w:r>
      <w:r>
        <w:rPr>
          <w:rFonts w:hint="default" w:ascii="Times New Roman" w:hAnsi="Times New Roman" w:cs="Times New Roman" w:eastAsiaTheme="minorEastAsia"/>
          <w:sz w:val="24"/>
          <w:szCs w:val="24"/>
        </w:rPr>
        <w:t>个喷雾头，喷雾流量为</w:t>
      </w:r>
      <w:r>
        <w:rPr>
          <w:rFonts w:hint="default"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rPr>
        <w:t>L/min，平均每天工作</w:t>
      </w:r>
      <w:r>
        <w:rPr>
          <w:rFonts w:hint="default" w:ascii="Times New Roman" w:hAnsi="Times New Roman" w:cs="Times New Roman" w:eastAsiaTheme="minorEastAsia"/>
          <w:sz w:val="24"/>
          <w:szCs w:val="24"/>
          <w:lang w:val="en-US" w:eastAsia="zh-CN"/>
        </w:rPr>
        <w:t>8</w:t>
      </w:r>
      <w:r>
        <w:rPr>
          <w:rFonts w:hint="default" w:ascii="Times New Roman" w:hAnsi="Times New Roman" w:cs="Times New Roman" w:eastAsiaTheme="minorEastAsia"/>
          <w:sz w:val="24"/>
          <w:szCs w:val="24"/>
        </w:rPr>
        <w:t>h，</w:t>
      </w:r>
      <w:r>
        <w:rPr>
          <w:rFonts w:hint="default" w:ascii="Times New Roman" w:hAnsi="Times New Roman" w:cs="Times New Roman"/>
          <w:sz w:val="24"/>
          <w:szCs w:val="24"/>
        </w:rPr>
        <w:t>非雨天按240天计</w:t>
      </w:r>
      <w:r>
        <w:rPr>
          <w:rFonts w:hint="default" w:ascii="Times New Roman" w:hAnsi="Times New Roman" w:cs="Times New Roman" w:eastAsiaTheme="minorEastAsia"/>
          <w:sz w:val="24"/>
          <w:szCs w:val="24"/>
        </w:rPr>
        <w:t>，则用水量为</w:t>
      </w:r>
      <w:r>
        <w:rPr>
          <w:rFonts w:hint="default" w:ascii="Times New Roman" w:hAnsi="Times New Roman" w:cs="Times New Roman" w:eastAsiaTheme="minorEastAsia"/>
          <w:sz w:val="24"/>
          <w:szCs w:val="24"/>
          <w:lang w:val="en-US" w:eastAsia="zh-CN"/>
        </w:rPr>
        <w:t>4.8</w:t>
      </w:r>
      <w:r>
        <w:rPr>
          <w:rFonts w:hint="default" w:ascii="Times New Roman" w:hAnsi="Times New Roman" w:cs="Times New Roman" w:eastAsiaTheme="minorEastAsia"/>
          <w:sz w:val="24"/>
          <w:szCs w:val="24"/>
        </w:rPr>
        <w:t>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/d、</w:t>
      </w:r>
      <w:r>
        <w:rPr>
          <w:rFonts w:hint="default" w:ascii="Times New Roman" w:hAnsi="Times New Roman" w:cs="Times New Roman" w:eastAsiaTheme="minorEastAsia"/>
          <w:sz w:val="24"/>
          <w:szCs w:val="24"/>
          <w:lang w:val="en-US" w:eastAsia="zh-CN"/>
        </w:rPr>
        <w:t>1152</w:t>
      </w:r>
      <w:r>
        <w:rPr>
          <w:rFonts w:hint="default" w:ascii="Times New Roman" w:hAnsi="Times New Roman" w:cs="Times New Roman" w:eastAsiaTheme="minorEastAsia"/>
          <w:sz w:val="24"/>
          <w:szCs w:val="24"/>
        </w:rPr>
        <w:t>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/a</w:t>
      </w:r>
      <w:r>
        <w:rPr>
          <w:rFonts w:hint="default" w:ascii="Times New Roman" w:hAnsi="Times New Roman" w:cs="Times New Roman" w:eastAsiaTheme="minorEastAsia"/>
          <w:sz w:val="24"/>
          <w:szCs w:val="24"/>
          <w:lang w:eastAsia="zh-CN"/>
        </w:rPr>
        <w:t>，</w:t>
      </w:r>
      <w:r>
        <w:rPr>
          <w:rFonts w:hint="default" w:ascii="Times New Roman" w:hAnsi="Times New Roman" w:cs="Times New Roman"/>
          <w:bCs/>
          <w:color w:val="auto"/>
          <w:sz w:val="24"/>
          <w:highlight w:val="none"/>
        </w:rPr>
        <w:t>降尘用水全部蒸发耗损，无废水产生。</w:t>
      </w:r>
    </w:p>
    <w:p w14:paraId="6070A6D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highlight w:val="none"/>
          <w:lang w:val="en-US" w:eastAsia="zh-CN"/>
        </w:rPr>
      </w:pPr>
      <w:r>
        <w:rPr>
          <w:rFonts w:hint="default" w:ascii="Times New Roman" w:hAnsi="Times New Roman" w:cs="Times New Roman"/>
          <w:snapToGrid w:val="0"/>
          <w:color w:val="auto"/>
          <w:kern w:val="0"/>
          <w:sz w:val="24"/>
          <w:szCs w:val="24"/>
          <w:highlight w:val="none"/>
          <w:lang w:val="en-US" w:eastAsia="zh-CN"/>
        </w:rPr>
        <w:t>③厂区及道路洒水降尘</w:t>
      </w:r>
    </w:p>
    <w:p w14:paraId="31D5D349">
      <w:pPr>
        <w:pStyle w:val="44"/>
        <w:spacing w:line="360" w:lineRule="auto"/>
        <w:ind w:firstLine="480"/>
        <w:rPr>
          <w:rFonts w:hint="default" w:ascii="Times New Roman" w:hAnsi="Times New Roman" w:eastAsia="宋体" w:cs="Times New Roman"/>
          <w:color w:val="0066FF"/>
          <w:sz w:val="24"/>
          <w:szCs w:val="24"/>
        </w:rPr>
      </w:pPr>
      <w:bookmarkStart w:id="276" w:name="OLE_LINK1"/>
      <w:r>
        <w:rPr>
          <w:rFonts w:hint="default" w:ascii="Times New Roman" w:hAnsi="Times New Roman" w:eastAsia="宋体" w:cs="Times New Roman"/>
          <w:bCs/>
          <w:color w:val="auto"/>
          <w:sz w:val="24"/>
          <w:szCs w:val="24"/>
          <w:lang w:val="en-US" w:eastAsia="zh-CN"/>
        </w:rPr>
        <w:t>为控制整个厂区无组织粉尘，项目拟设置一台雾炮机对项目区进行喷雾抑尘。雾炮机抑尘用水量按</w:t>
      </w:r>
      <w:r>
        <w:rPr>
          <w:rFonts w:hint="default" w:ascii="Times New Roman" w:hAnsi="Times New Roman" w:cs="Times New Roman"/>
          <w:sz w:val="24"/>
          <w:szCs w:val="24"/>
          <w:lang w:val="en-US" w:eastAsia="zh-CN"/>
        </w:rPr>
        <w:t>20</w:t>
      </w:r>
      <w:r>
        <w:rPr>
          <w:rFonts w:hint="default" w:ascii="Times New Roman" w:hAnsi="Times New Roman" w:cs="Times New Roman"/>
          <w:sz w:val="24"/>
          <w:szCs w:val="24"/>
        </w:rPr>
        <w:t>L/min</w:t>
      </w:r>
      <w:r>
        <w:rPr>
          <w:rFonts w:hint="default" w:ascii="Times New Roman" w:hAnsi="Times New Roman" w:eastAsia="宋体" w:cs="Times New Roman"/>
          <w:bCs/>
          <w:color w:val="auto"/>
          <w:sz w:val="24"/>
          <w:szCs w:val="24"/>
          <w:lang w:val="en-US" w:eastAsia="zh-CN"/>
        </w:rPr>
        <w:t>，雾炮机平均每天工作4h</w:t>
      </w:r>
      <w:r>
        <w:rPr>
          <w:rFonts w:hint="default" w:ascii="Times New Roman" w:hAnsi="Times New Roman" w:eastAsia="宋体" w:cs="Times New Roman"/>
          <w:bCs/>
          <w:color w:val="auto"/>
          <w:sz w:val="24"/>
          <w:szCs w:val="24"/>
        </w:rPr>
        <w:t>，项目区非雨天按240天计，则非雨天</w:t>
      </w:r>
      <w:r>
        <w:rPr>
          <w:rFonts w:hint="default" w:ascii="Times New Roman" w:hAnsi="Times New Roman" w:eastAsia="宋体" w:cs="Times New Roman"/>
          <w:color w:val="auto"/>
          <w:sz w:val="24"/>
          <w:szCs w:val="24"/>
        </w:rPr>
        <w:t>抑尘用水</w:t>
      </w:r>
      <w:r>
        <w:rPr>
          <w:rFonts w:hint="default" w:ascii="Times New Roman" w:hAnsi="Times New Roman" w:eastAsia="宋体" w:cs="Times New Roman"/>
          <w:bCs/>
          <w:color w:val="auto"/>
          <w:sz w:val="24"/>
          <w:szCs w:val="24"/>
        </w:rPr>
        <w:t>约为</w:t>
      </w:r>
      <w:r>
        <w:rPr>
          <w:rFonts w:hint="default" w:ascii="Times New Roman" w:hAnsi="Times New Roman" w:cs="Times New Roman"/>
          <w:bCs/>
          <w:color w:val="auto"/>
          <w:sz w:val="24"/>
          <w:szCs w:val="24"/>
          <w:lang w:val="en-US" w:eastAsia="zh-CN"/>
        </w:rPr>
        <w:t>4.8</w:t>
      </w:r>
      <w:r>
        <w:rPr>
          <w:rFonts w:hint="default" w:ascii="Times New Roman" w:hAnsi="Times New Roman" w:eastAsia="宋体" w:cs="Times New Roman"/>
          <w:bCs/>
          <w:color w:val="auto"/>
          <w:sz w:val="24"/>
          <w:szCs w:val="24"/>
        </w:rPr>
        <w:t>m³/d</w:t>
      </w:r>
      <w:r>
        <w:rPr>
          <w:rFonts w:hint="default" w:ascii="Times New Roman" w:hAnsi="Times New Roman" w:eastAsia="宋体" w:cs="Times New Roman"/>
          <w:bCs/>
          <w:color w:val="auto"/>
          <w:sz w:val="24"/>
          <w:szCs w:val="24"/>
          <w:lang w:eastAsia="zh-CN"/>
        </w:rPr>
        <w:t>（</w:t>
      </w:r>
      <w:r>
        <w:rPr>
          <w:rFonts w:hint="default" w:ascii="Times New Roman" w:hAnsi="Times New Roman" w:cs="Times New Roman"/>
          <w:bCs/>
          <w:color w:val="auto"/>
          <w:sz w:val="24"/>
          <w:szCs w:val="24"/>
          <w:lang w:val="en-US" w:eastAsia="zh-CN"/>
        </w:rPr>
        <w:t>1152</w:t>
      </w:r>
      <w:r>
        <w:rPr>
          <w:rFonts w:hint="default" w:ascii="Times New Roman" w:hAnsi="Times New Roman" w:eastAsia="宋体" w:cs="Times New Roman"/>
          <w:bCs/>
          <w:color w:val="auto"/>
          <w:sz w:val="24"/>
          <w:szCs w:val="24"/>
        </w:rPr>
        <w:t>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rPr>
        <w:t>/a</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color w:val="auto"/>
          <w:sz w:val="24"/>
          <w:szCs w:val="24"/>
        </w:rPr>
        <w:t>此过程用水全部蒸发，无废水产生。</w:t>
      </w:r>
      <w:bookmarkEnd w:id="276"/>
    </w:p>
    <w:p w14:paraId="21A42284">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eastAsiaTheme="minorEastAsia"/>
          <w:sz w:val="24"/>
          <w:szCs w:val="24"/>
          <w:lang w:val="en-US" w:eastAsia="zh-CN"/>
        </w:rPr>
        <w:t>综上，</w:t>
      </w:r>
      <w:r>
        <w:rPr>
          <w:rFonts w:hint="default" w:ascii="Times New Roman" w:hAnsi="Times New Roman" w:cs="Times New Roman"/>
          <w:sz w:val="24"/>
          <w:szCs w:val="24"/>
        </w:rPr>
        <w:t>项目降尘用水总用水量为晴天</w:t>
      </w:r>
      <w:r>
        <w:rPr>
          <w:rFonts w:hint="default" w:ascii="Times New Roman" w:hAnsi="Times New Roman" w:cs="Times New Roman"/>
          <w:kern w:val="24"/>
          <w:sz w:val="24"/>
          <w:szCs w:val="24"/>
          <w:lang w:val="en-US" w:eastAsia="zh-CN"/>
        </w:rPr>
        <w:t>24</w:t>
      </w:r>
      <w:r>
        <w:rPr>
          <w:rFonts w:hint="default" w:ascii="Times New Roman" w:hAnsi="Times New Roman" w:cs="Times New Roman"/>
          <w:kern w:val="24"/>
          <w:sz w:val="24"/>
          <w:szCs w:val="24"/>
        </w:rPr>
        <w:t>m</w:t>
      </w:r>
      <w:r>
        <w:rPr>
          <w:rFonts w:hint="default" w:ascii="Times New Roman" w:hAnsi="Times New Roman" w:cs="Times New Roman"/>
          <w:kern w:val="24"/>
          <w:sz w:val="24"/>
          <w:szCs w:val="24"/>
          <w:vertAlign w:val="superscript"/>
        </w:rPr>
        <w:t>3</w:t>
      </w:r>
      <w:r>
        <w:rPr>
          <w:rFonts w:hint="default" w:ascii="Times New Roman" w:hAnsi="Times New Roman" w:cs="Times New Roman"/>
          <w:kern w:val="24"/>
          <w:sz w:val="24"/>
          <w:szCs w:val="24"/>
        </w:rPr>
        <w:t>/d，雨天</w:t>
      </w:r>
      <w:r>
        <w:rPr>
          <w:rFonts w:hint="default" w:ascii="Times New Roman" w:hAnsi="Times New Roman" w:cs="Times New Roman"/>
          <w:kern w:val="24"/>
          <w:sz w:val="24"/>
          <w:szCs w:val="24"/>
          <w:lang w:val="en-US" w:eastAsia="zh-CN"/>
        </w:rPr>
        <w:t>14.4</w:t>
      </w:r>
      <w:r>
        <w:rPr>
          <w:rFonts w:hint="default" w:ascii="Times New Roman" w:hAnsi="Times New Roman" w:cs="Times New Roman"/>
          <w:kern w:val="24"/>
          <w:sz w:val="24"/>
          <w:szCs w:val="24"/>
        </w:rPr>
        <w:t>m</w:t>
      </w:r>
      <w:r>
        <w:rPr>
          <w:rFonts w:hint="default" w:ascii="Times New Roman" w:hAnsi="Times New Roman" w:cs="Times New Roman"/>
          <w:kern w:val="24"/>
          <w:sz w:val="24"/>
          <w:szCs w:val="24"/>
          <w:vertAlign w:val="superscript"/>
        </w:rPr>
        <w:t>3</w:t>
      </w:r>
      <w:r>
        <w:rPr>
          <w:rFonts w:hint="default" w:ascii="Times New Roman" w:hAnsi="Times New Roman" w:cs="Times New Roman"/>
          <w:kern w:val="24"/>
          <w:sz w:val="24"/>
          <w:szCs w:val="24"/>
        </w:rPr>
        <w:t>/d。</w:t>
      </w:r>
      <w:r>
        <w:rPr>
          <w:rFonts w:hint="default" w:ascii="Times New Roman" w:hAnsi="Times New Roman" w:cs="Times New Roman"/>
          <w:kern w:val="24"/>
          <w:sz w:val="24"/>
          <w:szCs w:val="24"/>
          <w:lang w:val="en-US" w:eastAsia="zh-CN"/>
        </w:rPr>
        <w:t>年用水量7560</w:t>
      </w:r>
      <w:r>
        <w:rPr>
          <w:rFonts w:hint="default" w:ascii="Times New Roman" w:hAnsi="Times New Roman" w:cs="Times New Roman"/>
          <w:kern w:val="24"/>
          <w:sz w:val="24"/>
          <w:szCs w:val="24"/>
        </w:rPr>
        <w:t>m</w:t>
      </w:r>
      <w:r>
        <w:rPr>
          <w:rFonts w:hint="default" w:ascii="Times New Roman" w:hAnsi="Times New Roman" w:cs="Times New Roman"/>
          <w:kern w:val="24"/>
          <w:sz w:val="24"/>
          <w:szCs w:val="24"/>
          <w:vertAlign w:val="superscript"/>
        </w:rPr>
        <w:t>3</w:t>
      </w:r>
      <w:r>
        <w:rPr>
          <w:rFonts w:hint="default" w:ascii="Times New Roman" w:hAnsi="Times New Roman" w:cs="Times New Roman"/>
          <w:kern w:val="24"/>
          <w:sz w:val="24"/>
          <w:szCs w:val="24"/>
          <w:vertAlign w:val="baseline"/>
          <w:lang w:eastAsia="zh-CN"/>
        </w:rPr>
        <w:t>。</w:t>
      </w:r>
    </w:p>
    <w:p w14:paraId="1DB28F91">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b/>
          <w:sz w:val="24"/>
          <w:szCs w:val="24"/>
        </w:rPr>
        <w:t>二、</w:t>
      </w:r>
      <w:r>
        <w:rPr>
          <w:rFonts w:hint="default" w:ascii="Times New Roman" w:hAnsi="Times New Roman" w:cs="Times New Roman" w:eastAsiaTheme="minorEastAsia"/>
          <w:b/>
          <w:bCs/>
          <w:sz w:val="24"/>
          <w:szCs w:val="24"/>
        </w:rPr>
        <w:t>废水量</w:t>
      </w:r>
    </w:p>
    <w:p w14:paraId="68BB97BC">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本项目无生产废水，废水主要为生活污水、初期雨水。</w:t>
      </w:r>
    </w:p>
    <w:p w14:paraId="63A0BB88">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1、生活污水</w:t>
      </w:r>
    </w:p>
    <w:p w14:paraId="4342495C">
      <w:pPr>
        <w:spacing w:line="360" w:lineRule="auto"/>
        <w:ind w:firstLine="480"/>
        <w:jc w:val="left"/>
        <w:rPr>
          <w:rFonts w:hint="default" w:ascii="Times New Roman" w:hAnsi="Times New Roman" w:cs="Times New Roman" w:eastAsiaTheme="minorEastAsia"/>
          <w:color w:val="auto"/>
          <w:sz w:val="24"/>
          <w:szCs w:val="24"/>
        </w:rPr>
      </w:pPr>
      <w:bookmarkStart w:id="277" w:name="_Hlk148951457"/>
      <w:r>
        <w:rPr>
          <w:rFonts w:hint="default" w:ascii="Times New Roman" w:hAnsi="Times New Roman" w:cs="Times New Roman" w:eastAsiaTheme="minorEastAsia"/>
          <w:color w:val="auto"/>
          <w:sz w:val="24"/>
          <w:szCs w:val="24"/>
        </w:rPr>
        <w:t>根据用水量分析，生活用水总量为</w:t>
      </w:r>
      <w:r>
        <w:rPr>
          <w:rFonts w:hint="default" w:ascii="Times New Roman" w:hAnsi="Times New Roman" w:cs="Times New Roman" w:eastAsiaTheme="minorEastAsia"/>
          <w:color w:val="auto"/>
          <w:sz w:val="24"/>
          <w:szCs w:val="24"/>
          <w:lang w:val="en-US" w:eastAsia="zh-CN"/>
        </w:rPr>
        <w:t>150</w:t>
      </w:r>
      <w:r>
        <w:rPr>
          <w:rFonts w:hint="default" w:ascii="Times New Roman" w:hAnsi="Times New Roman" w:cs="Times New Roman" w:eastAsiaTheme="minorEastAsia"/>
          <w:color w:val="auto"/>
          <w:kern w:val="24"/>
          <w:sz w:val="24"/>
          <w:szCs w:val="24"/>
        </w:rPr>
        <w:t>m</w:t>
      </w:r>
      <w:r>
        <w:rPr>
          <w:rFonts w:hint="default" w:ascii="Times New Roman" w:hAnsi="Times New Roman" w:cs="Times New Roman" w:eastAsiaTheme="minorEastAsia"/>
          <w:color w:val="auto"/>
          <w:kern w:val="24"/>
          <w:sz w:val="24"/>
          <w:szCs w:val="24"/>
          <w:vertAlign w:val="superscript"/>
        </w:rPr>
        <w:t>3</w:t>
      </w:r>
      <w:r>
        <w:rPr>
          <w:rFonts w:hint="default" w:ascii="Times New Roman" w:hAnsi="Times New Roman" w:cs="Times New Roman" w:eastAsiaTheme="minorEastAsia"/>
          <w:color w:val="auto"/>
          <w:kern w:val="24"/>
          <w:sz w:val="24"/>
          <w:szCs w:val="24"/>
        </w:rPr>
        <w:t>/a（</w:t>
      </w:r>
      <w:r>
        <w:rPr>
          <w:rFonts w:hint="default" w:ascii="Times New Roman" w:hAnsi="Times New Roman" w:cs="Times New Roman" w:eastAsiaTheme="minorEastAsia"/>
          <w:color w:val="auto"/>
          <w:kern w:val="24"/>
          <w:sz w:val="24"/>
          <w:szCs w:val="24"/>
          <w:lang w:val="en-US" w:eastAsia="zh-CN"/>
        </w:rPr>
        <w:t>0.5</w:t>
      </w:r>
      <w:r>
        <w:rPr>
          <w:rFonts w:hint="default" w:ascii="Times New Roman" w:hAnsi="Times New Roman" w:cs="Times New Roman" w:eastAsiaTheme="minorEastAsia"/>
          <w:color w:val="auto"/>
          <w:kern w:val="24"/>
          <w:sz w:val="24"/>
          <w:szCs w:val="24"/>
        </w:rPr>
        <w:t>m</w:t>
      </w:r>
      <w:r>
        <w:rPr>
          <w:rFonts w:hint="default" w:ascii="Times New Roman" w:hAnsi="Times New Roman" w:cs="Times New Roman" w:eastAsiaTheme="minorEastAsia"/>
          <w:color w:val="auto"/>
          <w:kern w:val="24"/>
          <w:sz w:val="24"/>
          <w:szCs w:val="24"/>
          <w:vertAlign w:val="superscript"/>
        </w:rPr>
        <w:t>3</w:t>
      </w:r>
      <w:r>
        <w:rPr>
          <w:rFonts w:hint="default" w:ascii="Times New Roman" w:hAnsi="Times New Roman" w:cs="Times New Roman" w:eastAsiaTheme="minorEastAsia"/>
          <w:color w:val="auto"/>
          <w:kern w:val="24"/>
          <w:sz w:val="24"/>
          <w:szCs w:val="24"/>
        </w:rPr>
        <w:t>/d）</w:t>
      </w:r>
      <w:r>
        <w:rPr>
          <w:rFonts w:hint="default" w:ascii="Times New Roman" w:hAnsi="Times New Roman" w:cs="Times New Roman" w:eastAsiaTheme="minorEastAsia"/>
          <w:color w:val="auto"/>
          <w:sz w:val="24"/>
          <w:szCs w:val="24"/>
        </w:rPr>
        <w:t>，生活污水产生量按80%计，则生活污水产生量为</w:t>
      </w:r>
      <w:r>
        <w:rPr>
          <w:rFonts w:hint="default" w:ascii="Times New Roman" w:hAnsi="Times New Roman" w:cs="Times New Roman" w:eastAsiaTheme="minorEastAsia"/>
          <w:color w:val="auto"/>
          <w:sz w:val="24"/>
          <w:szCs w:val="24"/>
          <w:lang w:val="en-US" w:eastAsia="zh-CN"/>
        </w:rPr>
        <w:t>120</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/a（</w:t>
      </w:r>
      <w:r>
        <w:rPr>
          <w:rFonts w:hint="default" w:ascii="Times New Roman" w:hAnsi="Times New Roman" w:cs="Times New Roman" w:eastAsiaTheme="minorEastAsia"/>
          <w:color w:val="auto"/>
          <w:sz w:val="24"/>
          <w:szCs w:val="24"/>
          <w:lang w:val="en-US" w:eastAsia="zh-CN"/>
        </w:rPr>
        <w:t>0.40</w:t>
      </w:r>
      <w:r>
        <w:rPr>
          <w:rFonts w:hint="default" w:ascii="Times New Roman" w:hAnsi="Times New Roman" w:cs="Times New Roman" w:eastAsiaTheme="minorEastAsia"/>
          <w:color w:val="auto"/>
          <w:sz w:val="24"/>
          <w:szCs w:val="24"/>
        </w:rPr>
        <w:t xml:space="preserve"> 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/d）。</w:t>
      </w:r>
      <w:bookmarkEnd w:id="277"/>
      <w:r>
        <w:rPr>
          <w:rFonts w:hint="default" w:ascii="Times New Roman" w:hAnsi="Times New Roman" w:cs="Times New Roman" w:eastAsiaTheme="minorEastAsia"/>
          <w:color w:val="auto"/>
          <w:sz w:val="24"/>
          <w:szCs w:val="24"/>
        </w:rPr>
        <w:t>生活污水依托</w:t>
      </w:r>
      <w:r>
        <w:rPr>
          <w:rFonts w:hint="default" w:ascii="Times New Roman" w:hAnsi="Times New Roman" w:cs="Times New Roman" w:eastAsiaTheme="minorEastAsia"/>
          <w:color w:val="auto"/>
          <w:sz w:val="24"/>
          <w:szCs w:val="24"/>
          <w:lang w:val="en-US" w:eastAsia="zh-CN"/>
        </w:rPr>
        <w:t>矿鲁奎山铁矿</w:t>
      </w:r>
      <w:r>
        <w:rPr>
          <w:rFonts w:hint="default" w:ascii="Times New Roman" w:hAnsi="Times New Roman" w:cs="Times New Roman" w:eastAsiaTheme="minorEastAsia"/>
          <w:color w:val="auto"/>
          <w:sz w:val="24"/>
          <w:szCs w:val="24"/>
        </w:rPr>
        <w:t>生活污水处理设施，厨房废水经隔油池隔油处理，宿舍区生活污水经化粪池处理后与厨房废水进入</w:t>
      </w:r>
      <w:r>
        <w:rPr>
          <w:rFonts w:hint="default" w:ascii="Times New Roman" w:hAnsi="Times New Roman" w:cs="Times New Roman" w:eastAsiaTheme="minorEastAsia"/>
          <w:color w:val="auto"/>
          <w:sz w:val="24"/>
          <w:szCs w:val="24"/>
          <w:lang w:val="en-US" w:eastAsia="zh-CN"/>
        </w:rPr>
        <w:t>矿山</w:t>
      </w:r>
      <w:r>
        <w:rPr>
          <w:rFonts w:hint="default" w:ascii="Times New Roman" w:hAnsi="Times New Roman" w:cs="Times New Roman" w:eastAsiaTheme="minorEastAsia"/>
          <w:color w:val="auto"/>
          <w:sz w:val="24"/>
          <w:szCs w:val="24"/>
        </w:rPr>
        <w:t>一体化污水处理设备，处理达</w:t>
      </w:r>
      <w:r>
        <w:rPr>
          <w:rFonts w:hint="default" w:ascii="Times New Roman" w:hAnsi="Times New Roman" w:eastAsia="宋体" w:cs="Times New Roman"/>
          <w:color w:val="auto"/>
          <w:sz w:val="24"/>
          <w:szCs w:val="24"/>
        </w:rPr>
        <w:t>到《城市污水再生利用城市杂用水水质》（GB/T18920-20</w:t>
      </w:r>
      <w:r>
        <w:rPr>
          <w:rFonts w:hint="default"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rPr>
        <w:t>）</w:t>
      </w:r>
      <w:r>
        <w:rPr>
          <w:rFonts w:hint="default" w:ascii="Times New Roman" w:hAnsi="Times New Roman" w:cs="Times New Roman" w:eastAsiaTheme="minorEastAsia"/>
          <w:color w:val="auto"/>
          <w:sz w:val="24"/>
          <w:szCs w:val="24"/>
        </w:rPr>
        <w:t>回用于</w:t>
      </w:r>
      <w:r>
        <w:rPr>
          <w:rFonts w:hint="default" w:ascii="Times New Roman" w:hAnsi="Times New Roman" w:cs="Times New Roman" w:eastAsiaTheme="minorEastAsia"/>
          <w:color w:val="auto"/>
          <w:sz w:val="24"/>
          <w:szCs w:val="24"/>
          <w:lang w:val="en-US" w:eastAsia="zh-CN"/>
        </w:rPr>
        <w:t>矿山</w:t>
      </w:r>
      <w:r>
        <w:rPr>
          <w:rFonts w:hint="default" w:ascii="Times New Roman" w:hAnsi="Times New Roman" w:cs="Times New Roman" w:eastAsiaTheme="minorEastAsia"/>
          <w:color w:val="auto"/>
          <w:sz w:val="24"/>
          <w:szCs w:val="24"/>
        </w:rPr>
        <w:t>绿化及洒水降尘。</w:t>
      </w:r>
    </w:p>
    <w:p w14:paraId="29F75F92">
      <w:pPr>
        <w:spacing w:line="360" w:lineRule="auto"/>
        <w:ind w:firstLine="48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2、初期雨水</w:t>
      </w:r>
    </w:p>
    <w:p w14:paraId="3AD947E1">
      <w:pPr>
        <w:pStyle w:val="56"/>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cs="Times New Roman" w:eastAsiaTheme="minorEastAsia"/>
          <w:sz w:val="24"/>
          <w:szCs w:val="24"/>
        </w:rPr>
        <w:t>结合项目特点，厂区地面上可能会存在跑冒滴漏少量的原料，降雨时雨水会带走这些物质，因此这部分初期雨水通过初期雨水收集池收集。</w:t>
      </w:r>
      <w:r>
        <w:rPr>
          <w:rFonts w:hint="default" w:ascii="Times New Roman" w:hAnsi="Times New Roman" w:cs="Times New Roman" w:eastAsiaTheme="minorEastAsia"/>
          <w:sz w:val="24"/>
          <w:szCs w:val="24"/>
          <w:lang w:val="en-US" w:eastAsia="zh-CN"/>
        </w:rPr>
        <w:t>根据现场调查，矿山6号料场未设置初期雨水收集，此次环评提出对6号料场整体设置一个初期雨水收集池及雨水沟。</w:t>
      </w:r>
      <w:r>
        <w:rPr>
          <w:rFonts w:hint="default" w:ascii="Times New Roman" w:hAnsi="Times New Roman" w:eastAsia="宋体" w:cs="Times New Roman"/>
          <w:color w:val="auto"/>
          <w:sz w:val="24"/>
          <w:szCs w:val="24"/>
        </w:rPr>
        <w:t>雨水量按下式计算：</w:t>
      </w:r>
    </w:p>
    <w:p w14:paraId="2628140D">
      <w:pPr>
        <w:pStyle w:val="56"/>
        <w:spacing w:line="360" w:lineRule="auto"/>
        <w:ind w:firstLine="480"/>
        <w:jc w:val="center"/>
        <w:rPr>
          <w:rFonts w:hint="default" w:ascii="Times New Roman" w:hAnsi="Times New Roman" w:eastAsia="宋体" w:cs="Times New Roman"/>
          <w:color w:val="auto"/>
          <w:sz w:val="24"/>
          <w:szCs w:val="24"/>
        </w:rPr>
      </w:pPr>
      <m:oMathPara>
        <m:oMath>
          <m:r>
            <m:rPr>
              <m:sty m:val="p"/>
            </m:rPr>
            <w:rPr>
              <w:rFonts w:hint="default" w:ascii="Cambria Math" w:hAnsi="Cambria Math" w:eastAsia="宋体" w:cs="Times New Roman"/>
              <w:color w:val="auto"/>
              <w:sz w:val="24"/>
              <w:szCs w:val="24"/>
            </w:rPr>
            <m:t>Q=q×ψ×F</m:t>
          </m:r>
        </m:oMath>
      </m:oMathPara>
    </w:p>
    <w:p w14:paraId="3D8F3B85">
      <w:pPr>
        <w:pStyle w:val="56"/>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其中：Q-雨水量，L/s；q-设计暴雨强度，L/(hm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•s)；</w:t>
      </w:r>
    </w:p>
    <w:p w14:paraId="15EB5C72">
      <w:pPr>
        <w:pStyle w:val="56"/>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ψ-综合径流系数，本项目取0.</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rPr>
        <w:t>；</w:t>
      </w:r>
    </w:p>
    <w:p w14:paraId="356C0AEA">
      <w:pPr>
        <w:pStyle w:val="56"/>
        <w:spacing w:line="360" w:lineRule="auto"/>
        <w:ind w:firstLine="48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F</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汇水面积，</w:t>
      </w:r>
      <w:r>
        <w:rPr>
          <w:rFonts w:hint="default" w:ascii="Times New Roman" w:hAnsi="Times New Roman" w:cs="Times New Roman"/>
          <w:color w:val="auto"/>
          <w:sz w:val="24"/>
          <w:szCs w:val="24"/>
          <w:lang w:val="en-US" w:eastAsia="zh-CN"/>
        </w:rPr>
        <w:t>6号料场</w:t>
      </w:r>
      <w:r>
        <w:rPr>
          <w:rFonts w:hint="default" w:ascii="Times New Roman" w:hAnsi="Times New Roman" w:eastAsia="宋体" w:cs="Times New Roman"/>
          <w:color w:val="auto"/>
          <w:sz w:val="24"/>
          <w:szCs w:val="24"/>
        </w:rPr>
        <w:t>汇水区域面积</w:t>
      </w:r>
      <w:r>
        <w:rPr>
          <w:rFonts w:hint="default" w:ascii="Times New Roman" w:hAnsi="Times New Roman" w:cs="Times New Roman"/>
          <w:color w:val="auto"/>
          <w:sz w:val="24"/>
          <w:szCs w:val="24"/>
          <w:lang w:val="en-US" w:eastAsia="zh-CN"/>
        </w:rPr>
        <w:t>按17800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1.78</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cs="Times New Roman"/>
          <w:color w:val="auto"/>
          <w:sz w:val="24"/>
          <w:szCs w:val="24"/>
          <w:vertAlign w:val="superscript"/>
          <w:lang w:val="en-US" w:eastAsia="zh-CN"/>
        </w:rPr>
        <w:t>,</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其中本项目3000㎡（</w:t>
      </w:r>
      <w:r>
        <w:rPr>
          <w:rFonts w:hint="default" w:ascii="Times New Roman" w:hAnsi="Times New Roman" w:eastAsia="宋体" w:cs="Times New Roman"/>
          <w:color w:val="auto"/>
          <w:sz w:val="24"/>
          <w:szCs w:val="24"/>
        </w:rPr>
        <w:t>0.</w:t>
      </w:r>
      <w:r>
        <w:rPr>
          <w:rFonts w:hint="default" w:ascii="Times New Roman" w:hAnsi="Times New Roman" w:cs="Times New Roman"/>
          <w:color w:val="auto"/>
          <w:sz w:val="24"/>
          <w:szCs w:val="24"/>
          <w:lang w:val="en-US" w:eastAsia="zh-CN"/>
        </w:rPr>
        <w:t>03</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cs="Times New Roman"/>
          <w:color w:val="auto"/>
          <w:sz w:val="24"/>
          <w:szCs w:val="24"/>
          <w:lang w:val="en-US" w:eastAsia="zh-CN"/>
        </w:rPr>
        <w:t>）</w:t>
      </w:r>
    </w:p>
    <w:p w14:paraId="50249CEF">
      <w:pPr>
        <w:pStyle w:val="56"/>
        <w:spacing w:line="360" w:lineRule="auto"/>
        <w:ind w:firstLine="480"/>
        <w:jc w:val="left"/>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新平</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玉溪地区无暴雨强度计算公式</w:t>
      </w:r>
      <w:r>
        <w:rPr>
          <w:rFonts w:hint="default" w:ascii="Times New Roman" w:hAnsi="Times New Roman" w:cs="Times New Roman"/>
          <w:color w:val="auto"/>
          <w:sz w:val="24"/>
          <w:szCs w:val="24"/>
          <w:lang w:eastAsia="zh-CN"/>
        </w:rPr>
        <w:t>，本评价暴雨强度按距离最近的昆明地区暴雨强度公式进行计算：</w:t>
      </w:r>
    </w:p>
    <w:p w14:paraId="6862CCA2">
      <w:pPr>
        <w:pStyle w:val="56"/>
        <w:spacing w:line="360" w:lineRule="auto"/>
        <w:ind w:firstLine="480"/>
        <w:jc w:val="left"/>
        <w:rPr>
          <w:rFonts w:hint="default" w:ascii="Times New Roman" w:hAnsi="Times New Roman" w:eastAsia="宋体" w:cs="Times New Roman"/>
          <w:color w:val="auto"/>
          <w:sz w:val="24"/>
          <w:szCs w:val="24"/>
          <w:lang w:val="en-US" w:eastAsia="zh-CN"/>
        </w:rPr>
      </w:pPr>
      <m:oMathPara>
        <m:oMath>
          <m:r>
            <m:rPr/>
            <w:rPr>
              <w:rFonts w:hint="default" w:ascii="Cambria Math" w:hAnsi="Cambria Math" w:cs="Times New Roman"/>
              <w:color w:val="auto"/>
              <w:sz w:val="24"/>
              <w:szCs w:val="24"/>
              <w:lang w:val="en-US" w:eastAsia="zh-CN"/>
            </w:rPr>
            <m:t>q</m:t>
          </m:r>
          <m:r>
            <m:rPr/>
            <w:rPr>
              <w:rFonts w:hint="default" w:ascii="Cambria Math" w:hAnsi="Cambria Math" w:cs="Times New Roman"/>
              <w:color w:val="auto"/>
              <w:sz w:val="24"/>
              <w:szCs w:val="24"/>
              <w:lang w:val="en-US"/>
            </w:rPr>
            <m:t>=</m:t>
          </m:r>
          <m:f>
            <m:fPr>
              <m:ctrlPr>
                <w:rPr>
                  <w:rFonts w:hint="default" w:ascii="Cambria Math" w:hAnsi="Cambria Math" w:cs="Times New Roman"/>
                  <w:i/>
                  <w:color w:val="auto"/>
                  <w:sz w:val="24"/>
                  <w:szCs w:val="24"/>
                  <w:lang w:val="en-US"/>
                </w:rPr>
              </m:ctrlPr>
            </m:fPr>
            <m:num>
              <m:r>
                <m:rPr/>
                <w:rPr>
                  <w:rFonts w:hint="default" w:ascii="Cambria Math" w:hAnsi="Cambria Math" w:cs="Times New Roman"/>
                  <w:color w:val="auto"/>
                  <w:sz w:val="24"/>
                  <w:szCs w:val="24"/>
                  <w:lang w:val="en-US" w:eastAsia="zh-CN"/>
                </w:rPr>
                <m:t>700∗（0.775</m:t>
              </m:r>
              <m:r>
                <m:rPr/>
                <w:rPr>
                  <w:rFonts w:hint="default" w:ascii="Cambria Math" w:hAnsi="Cambria Math" w:eastAsia="微软雅黑" w:cs="Times New Roman"/>
                  <w:color w:val="auto"/>
                  <w:sz w:val="24"/>
                  <w:szCs w:val="24"/>
                  <w:lang w:val="en-US" w:eastAsia="zh-CN"/>
                </w:rPr>
                <m:t>l</m:t>
              </m:r>
              <m:r>
                <m:rPr/>
                <w:rPr>
                  <w:rFonts w:hint="default" w:ascii="Cambria Math" w:hAnsi="Cambria Math" w:cs="Times New Roman"/>
                  <w:color w:val="auto"/>
                  <w:sz w:val="24"/>
                  <w:szCs w:val="24"/>
                  <w:lang w:val="en-US" w:eastAsia="zh-CN"/>
                </w:rPr>
                <m:t>gP）</m:t>
              </m:r>
              <m:ctrlPr>
                <w:rPr>
                  <w:rFonts w:hint="default" w:ascii="Cambria Math" w:hAnsi="Cambria Math" w:cs="Times New Roman"/>
                  <w:i/>
                  <w:color w:val="auto"/>
                  <w:sz w:val="24"/>
                  <w:szCs w:val="24"/>
                  <w:lang w:val="en-US"/>
                </w:rPr>
              </m:ctrlPr>
            </m:num>
            <m:den>
              <m:sSup>
                <m:sSupPr>
                  <m:ctrlPr>
                    <w:rPr>
                      <w:rFonts w:hint="default" w:ascii="Cambria Math" w:hAnsi="Cambria Math" w:cs="Times New Roman"/>
                      <w:i/>
                      <w:color w:val="auto"/>
                      <w:sz w:val="24"/>
                      <w:szCs w:val="24"/>
                      <w:lang w:val="en-US" w:eastAsia="zh-CN"/>
                    </w:rPr>
                  </m:ctrlPr>
                </m:sSupPr>
                <m:e>
                  <m:r>
                    <m:rPr/>
                    <w:rPr>
                      <w:rFonts w:hint="default" w:ascii="Cambria Math" w:hAnsi="Cambria Math" w:cs="Times New Roman"/>
                      <w:color w:val="auto"/>
                      <w:sz w:val="24"/>
                      <w:szCs w:val="24"/>
                      <w:lang w:val="en-US" w:eastAsia="zh-CN"/>
                    </w:rPr>
                    <m:t>t</m:t>
                  </m:r>
                  <m:ctrlPr>
                    <w:rPr>
                      <w:rFonts w:hint="default" w:ascii="Cambria Math" w:hAnsi="Cambria Math" w:cs="Times New Roman"/>
                      <w:i/>
                      <w:color w:val="auto"/>
                      <w:sz w:val="24"/>
                      <w:szCs w:val="24"/>
                      <w:lang w:val="en-US" w:eastAsia="zh-CN"/>
                    </w:rPr>
                  </m:ctrlPr>
                </m:e>
                <m:sup>
                  <m:r>
                    <m:rPr/>
                    <w:rPr>
                      <w:rFonts w:hint="default" w:ascii="Cambria Math" w:hAnsi="Cambria Math" w:cs="Times New Roman"/>
                      <w:color w:val="auto"/>
                      <w:sz w:val="24"/>
                      <w:szCs w:val="24"/>
                      <w:lang w:val="en-US" w:eastAsia="zh-CN"/>
                    </w:rPr>
                    <m:t>0.496</m:t>
                  </m:r>
                  <m:ctrlPr>
                    <w:rPr>
                      <w:rFonts w:hint="default" w:ascii="Cambria Math" w:hAnsi="Cambria Math" w:cs="Times New Roman"/>
                      <w:i/>
                      <w:color w:val="auto"/>
                      <w:sz w:val="24"/>
                      <w:szCs w:val="24"/>
                      <w:lang w:val="en-US" w:eastAsia="zh-CN"/>
                    </w:rPr>
                  </m:ctrlPr>
                </m:sup>
              </m:sSup>
              <m:ctrlPr>
                <w:rPr>
                  <w:rFonts w:hint="default" w:ascii="Cambria Math" w:hAnsi="Cambria Math" w:cs="Times New Roman"/>
                  <w:i/>
                  <w:color w:val="auto"/>
                  <w:sz w:val="24"/>
                  <w:szCs w:val="24"/>
                  <w:lang w:val="en-US"/>
                </w:rPr>
              </m:ctrlPr>
            </m:den>
          </m:f>
        </m:oMath>
      </m:oMathPara>
    </w:p>
    <w:p w14:paraId="6DD03489">
      <w:pPr>
        <w:pStyle w:val="56"/>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其中：q——暴雨强度，L/(hm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•s)；</w:t>
      </w:r>
    </w:p>
    <w:p w14:paraId="7C1DDB04">
      <w:pPr>
        <w:pStyle w:val="56"/>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P——暴雨重现期/年，取为5年；</w:t>
      </w:r>
    </w:p>
    <w:p w14:paraId="550BC190">
      <w:pPr>
        <w:pStyle w:val="56"/>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t——降雨历时，取15min。</w:t>
      </w:r>
    </w:p>
    <w:p w14:paraId="66A08158">
      <w:pPr>
        <w:pStyle w:val="56"/>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计算出暴雨强度q为</w:t>
      </w:r>
      <w:r>
        <w:rPr>
          <w:rFonts w:hint="default" w:ascii="Times New Roman" w:hAnsi="Times New Roman" w:cs="Times New Roman"/>
          <w:color w:val="auto"/>
          <w:sz w:val="24"/>
          <w:szCs w:val="24"/>
          <w:lang w:val="en-US" w:eastAsia="zh-CN"/>
        </w:rPr>
        <w:t>281.68</w:t>
      </w:r>
      <w:r>
        <w:rPr>
          <w:rFonts w:hint="default" w:ascii="Times New Roman" w:hAnsi="Times New Roman" w:eastAsia="宋体" w:cs="Times New Roman"/>
          <w:color w:val="auto"/>
          <w:sz w:val="24"/>
          <w:szCs w:val="24"/>
        </w:rPr>
        <w:t xml:space="preserve"> L/(hm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•s)，雨水量Q为</w:t>
      </w:r>
      <w:r>
        <w:rPr>
          <w:rFonts w:hint="default" w:ascii="Times New Roman" w:hAnsi="Times New Roman" w:cs="Times New Roman"/>
          <w:color w:val="auto"/>
          <w:sz w:val="24"/>
          <w:szCs w:val="24"/>
          <w:lang w:val="en-US" w:eastAsia="zh-CN"/>
        </w:rPr>
        <w:t>300.84</w:t>
      </w:r>
      <w:r>
        <w:rPr>
          <w:rFonts w:hint="default" w:ascii="Times New Roman" w:hAnsi="Times New Roman" w:eastAsia="宋体" w:cs="Times New Roman"/>
          <w:color w:val="auto"/>
          <w:sz w:val="24"/>
          <w:szCs w:val="24"/>
        </w:rPr>
        <w:t>L/s。本次评价考虑对前15min的雨水进行收集，则前15min初期雨水量为</w:t>
      </w:r>
      <w:r>
        <w:rPr>
          <w:rFonts w:hint="default" w:ascii="Times New Roman" w:hAnsi="Times New Roman" w:cs="Times New Roman"/>
          <w:color w:val="auto"/>
          <w:sz w:val="24"/>
          <w:szCs w:val="24"/>
          <w:lang w:val="en-US" w:eastAsia="zh-CN"/>
        </w:rPr>
        <w:t>270.76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。本次评价考虑1.2的系数，初期雨水收集池容积应不低于</w:t>
      </w:r>
      <w:r>
        <w:rPr>
          <w:rFonts w:hint="default" w:ascii="Times New Roman" w:hAnsi="Times New Roman" w:cs="Times New Roman"/>
          <w:color w:val="auto"/>
          <w:sz w:val="24"/>
          <w:szCs w:val="24"/>
          <w:lang w:val="en-US" w:eastAsia="zh-CN"/>
        </w:rPr>
        <w:t>325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其中，本项目产生初期雨水量为45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p>
    <w:p w14:paraId="5DAED4B6">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.3</w:t>
      </w:r>
      <w:r>
        <w:rPr>
          <w:rFonts w:hint="default" w:ascii="Times New Roman" w:hAnsi="Times New Roman" w:eastAsia="黑体" w:cs="Times New Roman"/>
          <w:b w:val="0"/>
          <w:bCs/>
          <w:sz w:val="21"/>
          <w:szCs w:val="21"/>
          <w:lang w:val="en-US" w:eastAsia="zh-CN"/>
        </w:rPr>
        <w:t>.4</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1</w:t>
      </w:r>
      <w:r>
        <w:rPr>
          <w:rFonts w:hint="default" w:ascii="Times New Roman" w:hAnsi="Times New Roman" w:eastAsia="黑体" w:cs="Times New Roman"/>
          <w:b w:val="0"/>
          <w:bCs/>
          <w:sz w:val="21"/>
          <w:szCs w:val="21"/>
        </w:rPr>
        <w:t xml:space="preserve">  项目用水量及废水产生量一览表  单位：m</w:t>
      </w:r>
      <w:r>
        <w:rPr>
          <w:rFonts w:hint="default" w:ascii="Times New Roman" w:hAnsi="Times New Roman" w:eastAsia="黑体" w:cs="Times New Roman"/>
          <w:b w:val="0"/>
          <w:bCs/>
          <w:sz w:val="21"/>
          <w:szCs w:val="21"/>
          <w:vertAlign w:val="superscript"/>
        </w:rPr>
        <w:t>3</w:t>
      </w:r>
      <w:r>
        <w:rPr>
          <w:rFonts w:hint="default" w:ascii="Times New Roman" w:hAnsi="Times New Roman" w:eastAsia="黑体" w:cs="Times New Roman"/>
          <w:b w:val="0"/>
          <w:bCs/>
          <w:sz w:val="21"/>
          <w:szCs w:val="21"/>
        </w:rPr>
        <w:t>/d</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350"/>
        <w:gridCol w:w="1451"/>
        <w:gridCol w:w="1161"/>
        <w:gridCol w:w="2731"/>
        <w:gridCol w:w="1766"/>
      </w:tblGrid>
      <w:tr w14:paraId="4D7536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tcBorders>
              <w:tl2br w:val="nil"/>
              <w:tr2bl w:val="nil"/>
            </w:tcBorders>
            <w:vAlign w:val="center"/>
          </w:tcPr>
          <w:p w14:paraId="5E82C06D">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序号</w:t>
            </w:r>
          </w:p>
        </w:tc>
        <w:tc>
          <w:tcPr>
            <w:tcW w:w="1350" w:type="dxa"/>
            <w:tcBorders>
              <w:tl2br w:val="nil"/>
              <w:tr2bl w:val="nil"/>
            </w:tcBorders>
            <w:vAlign w:val="center"/>
          </w:tcPr>
          <w:p w14:paraId="059BB355">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项目</w:t>
            </w:r>
          </w:p>
        </w:tc>
        <w:tc>
          <w:tcPr>
            <w:tcW w:w="1451" w:type="dxa"/>
            <w:tcBorders>
              <w:tl2br w:val="nil"/>
              <w:tr2bl w:val="nil"/>
            </w:tcBorders>
            <w:vAlign w:val="center"/>
          </w:tcPr>
          <w:p w14:paraId="3B182AC2">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用水量</w:t>
            </w:r>
          </w:p>
        </w:tc>
        <w:tc>
          <w:tcPr>
            <w:tcW w:w="1161" w:type="dxa"/>
            <w:tcBorders>
              <w:tl2br w:val="nil"/>
              <w:tr2bl w:val="nil"/>
            </w:tcBorders>
            <w:vAlign w:val="center"/>
          </w:tcPr>
          <w:p w14:paraId="357DAB9A">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废水量</w:t>
            </w:r>
          </w:p>
        </w:tc>
        <w:tc>
          <w:tcPr>
            <w:tcW w:w="2731" w:type="dxa"/>
            <w:tcBorders>
              <w:tl2br w:val="nil"/>
              <w:tr2bl w:val="nil"/>
            </w:tcBorders>
            <w:vAlign w:val="center"/>
          </w:tcPr>
          <w:p w14:paraId="09D65E28">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处置措施</w:t>
            </w:r>
          </w:p>
        </w:tc>
        <w:tc>
          <w:tcPr>
            <w:tcW w:w="1766" w:type="dxa"/>
            <w:tcBorders>
              <w:tl2br w:val="nil"/>
              <w:tr2bl w:val="nil"/>
            </w:tcBorders>
            <w:vAlign w:val="center"/>
          </w:tcPr>
          <w:p w14:paraId="516A6219">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去向</w:t>
            </w:r>
          </w:p>
        </w:tc>
      </w:tr>
      <w:tr w14:paraId="179EFB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tcBorders>
              <w:tl2br w:val="nil"/>
              <w:tr2bl w:val="nil"/>
            </w:tcBorders>
            <w:vAlign w:val="center"/>
          </w:tcPr>
          <w:p w14:paraId="063D7F44">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w:t>
            </w:r>
          </w:p>
        </w:tc>
        <w:tc>
          <w:tcPr>
            <w:tcW w:w="1350" w:type="dxa"/>
            <w:tcBorders>
              <w:tl2br w:val="nil"/>
              <w:tr2bl w:val="nil"/>
            </w:tcBorders>
            <w:vAlign w:val="center"/>
          </w:tcPr>
          <w:p w14:paraId="393EDF82">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生活用水</w:t>
            </w:r>
          </w:p>
        </w:tc>
        <w:tc>
          <w:tcPr>
            <w:tcW w:w="1451" w:type="dxa"/>
            <w:tcBorders>
              <w:tl2br w:val="nil"/>
              <w:tr2bl w:val="nil"/>
            </w:tcBorders>
            <w:vAlign w:val="center"/>
          </w:tcPr>
          <w:p w14:paraId="2DFF90D9">
            <w:pPr>
              <w:adjustRightInd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0.5</w:t>
            </w:r>
          </w:p>
        </w:tc>
        <w:tc>
          <w:tcPr>
            <w:tcW w:w="1161" w:type="dxa"/>
            <w:tcBorders>
              <w:tl2br w:val="nil"/>
              <w:tr2bl w:val="nil"/>
            </w:tcBorders>
            <w:vAlign w:val="center"/>
          </w:tcPr>
          <w:p w14:paraId="78303F4C">
            <w:pPr>
              <w:adjustRightInd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0.4</w:t>
            </w:r>
          </w:p>
        </w:tc>
        <w:tc>
          <w:tcPr>
            <w:tcW w:w="2731" w:type="dxa"/>
            <w:tcBorders>
              <w:tl2br w:val="nil"/>
              <w:tr2bl w:val="nil"/>
            </w:tcBorders>
            <w:vAlign w:val="center"/>
          </w:tcPr>
          <w:p w14:paraId="12CD7F8E">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依托</w:t>
            </w:r>
            <w:r>
              <w:rPr>
                <w:rFonts w:hint="default" w:ascii="Times New Roman" w:hAnsi="Times New Roman" w:cs="Times New Roman" w:eastAsiaTheme="minorEastAsia"/>
                <w:sz w:val="18"/>
                <w:szCs w:val="18"/>
                <w:lang w:val="en-US" w:eastAsia="zh-CN"/>
              </w:rPr>
              <w:t>鲁奎山铁矿</w:t>
            </w:r>
            <w:r>
              <w:rPr>
                <w:rFonts w:hint="default" w:ascii="Times New Roman" w:hAnsi="Times New Roman" w:cs="Times New Roman" w:eastAsiaTheme="minorEastAsia"/>
                <w:sz w:val="18"/>
                <w:szCs w:val="18"/>
              </w:rPr>
              <w:t>污水处理设备处理</w:t>
            </w:r>
          </w:p>
        </w:tc>
        <w:tc>
          <w:tcPr>
            <w:tcW w:w="1766" w:type="dxa"/>
            <w:tcBorders>
              <w:tl2br w:val="nil"/>
              <w:tr2bl w:val="nil"/>
            </w:tcBorders>
            <w:vAlign w:val="center"/>
          </w:tcPr>
          <w:p w14:paraId="5AEDCF8D">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回用于绿化、洒水降尘</w:t>
            </w:r>
          </w:p>
        </w:tc>
      </w:tr>
      <w:tr w14:paraId="6020C6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tcBorders>
              <w:tl2br w:val="nil"/>
              <w:tr2bl w:val="nil"/>
            </w:tcBorders>
            <w:vAlign w:val="center"/>
          </w:tcPr>
          <w:p w14:paraId="5CF98C3A">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w:t>
            </w:r>
          </w:p>
        </w:tc>
        <w:tc>
          <w:tcPr>
            <w:tcW w:w="1350" w:type="dxa"/>
            <w:tcBorders>
              <w:tl2br w:val="nil"/>
              <w:tr2bl w:val="nil"/>
            </w:tcBorders>
            <w:vAlign w:val="center"/>
          </w:tcPr>
          <w:p w14:paraId="35686EDA">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降尘用水</w:t>
            </w:r>
          </w:p>
        </w:tc>
        <w:tc>
          <w:tcPr>
            <w:tcW w:w="1451" w:type="dxa"/>
            <w:tcBorders>
              <w:tl2br w:val="nil"/>
              <w:tr2bl w:val="nil"/>
            </w:tcBorders>
            <w:vAlign w:val="center"/>
          </w:tcPr>
          <w:p w14:paraId="292945F8">
            <w:pPr>
              <w:adjustRightInd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晴天24m</w:t>
            </w:r>
            <w:r>
              <w:rPr>
                <w:rFonts w:hint="default" w:ascii="Times New Roman" w:hAnsi="Times New Roman" w:cs="Times New Roman" w:eastAsiaTheme="minorEastAsia"/>
                <w:sz w:val="18"/>
                <w:szCs w:val="18"/>
                <w:vertAlign w:val="superscript"/>
                <w:lang w:val="en-US" w:eastAsia="zh-CN"/>
              </w:rPr>
              <w:t>3</w:t>
            </w:r>
            <w:r>
              <w:rPr>
                <w:rFonts w:hint="default" w:ascii="Times New Roman" w:hAnsi="Times New Roman" w:cs="Times New Roman" w:eastAsiaTheme="minorEastAsia"/>
                <w:sz w:val="18"/>
                <w:szCs w:val="18"/>
                <w:lang w:val="en-US" w:eastAsia="zh-CN"/>
              </w:rPr>
              <w:t>/d，雨天14.4m</w:t>
            </w:r>
            <w:r>
              <w:rPr>
                <w:rFonts w:hint="default" w:ascii="Times New Roman" w:hAnsi="Times New Roman" w:cs="Times New Roman" w:eastAsiaTheme="minorEastAsia"/>
                <w:sz w:val="18"/>
                <w:szCs w:val="18"/>
                <w:vertAlign w:val="superscript"/>
                <w:lang w:val="en-US" w:eastAsia="zh-CN"/>
              </w:rPr>
              <w:t>3</w:t>
            </w:r>
            <w:r>
              <w:rPr>
                <w:rFonts w:hint="default" w:ascii="Times New Roman" w:hAnsi="Times New Roman" w:cs="Times New Roman" w:eastAsiaTheme="minorEastAsia"/>
                <w:sz w:val="18"/>
                <w:szCs w:val="18"/>
                <w:lang w:val="en-US" w:eastAsia="zh-CN"/>
              </w:rPr>
              <w:t>/d</w:t>
            </w:r>
          </w:p>
        </w:tc>
        <w:tc>
          <w:tcPr>
            <w:tcW w:w="1161" w:type="dxa"/>
            <w:tcBorders>
              <w:tl2br w:val="nil"/>
              <w:tr2bl w:val="nil"/>
            </w:tcBorders>
            <w:vAlign w:val="center"/>
          </w:tcPr>
          <w:p w14:paraId="2CD9CF34">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2731" w:type="dxa"/>
            <w:tcBorders>
              <w:tl2br w:val="nil"/>
              <w:tr2bl w:val="nil"/>
            </w:tcBorders>
            <w:vAlign w:val="center"/>
          </w:tcPr>
          <w:p w14:paraId="7ECE5905">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w:t>
            </w:r>
          </w:p>
        </w:tc>
        <w:tc>
          <w:tcPr>
            <w:tcW w:w="1766" w:type="dxa"/>
            <w:tcBorders>
              <w:tl2br w:val="nil"/>
              <w:tr2bl w:val="nil"/>
            </w:tcBorders>
            <w:vAlign w:val="center"/>
          </w:tcPr>
          <w:p w14:paraId="69E5F3F6">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自然蒸发或进入原料</w:t>
            </w:r>
          </w:p>
        </w:tc>
      </w:tr>
      <w:tr w14:paraId="3CE97C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27" w:type="dxa"/>
            <w:tcBorders>
              <w:tl2br w:val="nil"/>
              <w:tr2bl w:val="nil"/>
            </w:tcBorders>
            <w:vAlign w:val="center"/>
          </w:tcPr>
          <w:p w14:paraId="4447075C">
            <w:pPr>
              <w:adjustRightInd w:val="0"/>
              <w:spacing w:line="240" w:lineRule="auto"/>
              <w:jc w:val="center"/>
              <w:rPr>
                <w:rFonts w:hint="default" w:ascii="Times New Roman" w:hAnsi="Times New Roman" w:cs="Times New Roman" w:eastAsiaTheme="minorEastAsia"/>
                <w:sz w:val="18"/>
                <w:szCs w:val="18"/>
                <w:lang w:eastAsia="zh-CN"/>
              </w:rPr>
            </w:pPr>
            <w:r>
              <w:rPr>
                <w:rFonts w:hint="default" w:ascii="Times New Roman" w:hAnsi="Times New Roman" w:cs="Times New Roman" w:eastAsiaTheme="minorEastAsia"/>
                <w:sz w:val="18"/>
                <w:szCs w:val="18"/>
                <w:lang w:val="en-US" w:eastAsia="zh-CN"/>
              </w:rPr>
              <w:t>3</w:t>
            </w:r>
          </w:p>
        </w:tc>
        <w:tc>
          <w:tcPr>
            <w:tcW w:w="1350" w:type="dxa"/>
            <w:tcBorders>
              <w:tl2br w:val="nil"/>
              <w:tr2bl w:val="nil"/>
            </w:tcBorders>
            <w:vAlign w:val="center"/>
          </w:tcPr>
          <w:p w14:paraId="0E1E15ED">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初期雨水</w:t>
            </w:r>
          </w:p>
        </w:tc>
        <w:tc>
          <w:tcPr>
            <w:tcW w:w="1451" w:type="dxa"/>
            <w:tcBorders>
              <w:tl2br w:val="nil"/>
              <w:tr2bl w:val="nil"/>
            </w:tcBorders>
            <w:vAlign w:val="center"/>
          </w:tcPr>
          <w:p w14:paraId="4ABBDF91">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w:t>
            </w:r>
          </w:p>
        </w:tc>
        <w:tc>
          <w:tcPr>
            <w:tcW w:w="1161" w:type="dxa"/>
            <w:tcBorders>
              <w:tl2br w:val="nil"/>
              <w:tr2bl w:val="nil"/>
            </w:tcBorders>
            <w:vAlign w:val="center"/>
          </w:tcPr>
          <w:p w14:paraId="6D20647B">
            <w:pPr>
              <w:adjustRightInd w:val="0"/>
              <w:spacing w:line="240" w:lineRule="auto"/>
              <w:jc w:val="center"/>
              <w:rPr>
                <w:rFonts w:hint="default" w:ascii="Times New Roman" w:hAnsi="Times New Roman" w:cs="Times New Roman" w:eastAsiaTheme="minorEastAsia"/>
                <w:sz w:val="18"/>
                <w:szCs w:val="18"/>
                <w:lang w:val="en-US"/>
              </w:rPr>
            </w:pPr>
            <w:r>
              <w:rPr>
                <w:rFonts w:hint="default" w:ascii="Times New Roman" w:hAnsi="Times New Roman" w:cs="Times New Roman" w:eastAsiaTheme="minorEastAsia"/>
                <w:sz w:val="18"/>
                <w:szCs w:val="18"/>
                <w:lang w:val="en-US" w:eastAsia="zh-CN"/>
              </w:rPr>
              <w:t>45</w:t>
            </w:r>
          </w:p>
        </w:tc>
        <w:tc>
          <w:tcPr>
            <w:tcW w:w="2731" w:type="dxa"/>
            <w:tcBorders>
              <w:tl2br w:val="nil"/>
              <w:tr2bl w:val="nil"/>
            </w:tcBorders>
            <w:vAlign w:val="center"/>
          </w:tcPr>
          <w:p w14:paraId="27B44AE8">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初期雨水收集池</w:t>
            </w:r>
          </w:p>
        </w:tc>
        <w:tc>
          <w:tcPr>
            <w:tcW w:w="1766" w:type="dxa"/>
            <w:tcBorders>
              <w:tl2br w:val="nil"/>
              <w:tr2bl w:val="nil"/>
            </w:tcBorders>
            <w:vAlign w:val="center"/>
          </w:tcPr>
          <w:p w14:paraId="052B1395">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绿化、洒水降尘</w:t>
            </w:r>
          </w:p>
        </w:tc>
      </w:tr>
    </w:tbl>
    <w:p w14:paraId="480A6978">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本项目水量平衡图见下图。</w:t>
      </w:r>
    </w:p>
    <w:p w14:paraId="11F876FF">
      <w:pPr>
        <w:spacing w:line="360" w:lineRule="auto"/>
        <w:jc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object>
          <v:shape id="_x0000_i1028" o:spt="75" type="#_x0000_t75" style="height:189.7pt;width:453.5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p>
    <w:p w14:paraId="4A2674B2">
      <w:pPr>
        <w:spacing w:line="360" w:lineRule="auto"/>
        <w:jc w:val="center"/>
        <w:rPr>
          <w:rFonts w:hint="default" w:ascii="Times New Roman" w:hAnsi="Times New Roman" w:cs="Times New Roman" w:eastAsiaTheme="minorEastAsia"/>
          <w:b/>
          <w:bCs/>
          <w:sz w:val="24"/>
          <w:szCs w:val="24"/>
          <w:lang w:bidi="en-US"/>
        </w:rPr>
      </w:pPr>
      <w:r>
        <w:rPr>
          <w:rStyle w:val="54"/>
          <w:rFonts w:hint="default" w:ascii="Times New Roman" w:hAnsi="Times New Roman" w:cs="Times New Roman" w:eastAsiaTheme="minorEastAsia"/>
          <w:b/>
          <w:sz w:val="24"/>
          <w:szCs w:val="24"/>
        </w:rPr>
        <w:t>图</w:t>
      </w:r>
      <w:r>
        <w:rPr>
          <w:rStyle w:val="54"/>
          <w:rFonts w:hint="default" w:ascii="Times New Roman" w:hAnsi="Times New Roman" w:cs="Times New Roman" w:eastAsiaTheme="minorEastAsia"/>
          <w:b/>
          <w:sz w:val="24"/>
          <w:szCs w:val="24"/>
          <w:lang w:val="en-US" w:eastAsia="zh-CN"/>
        </w:rPr>
        <w:t>3</w:t>
      </w:r>
      <w:r>
        <w:rPr>
          <w:rStyle w:val="54"/>
          <w:rFonts w:hint="default" w:ascii="Times New Roman" w:hAnsi="Times New Roman" w:cs="Times New Roman" w:eastAsiaTheme="minorEastAsia"/>
          <w:b/>
          <w:sz w:val="24"/>
          <w:szCs w:val="24"/>
        </w:rPr>
        <w:t>.3-3  本项目</w:t>
      </w:r>
      <w:r>
        <w:rPr>
          <w:rStyle w:val="54"/>
          <w:rFonts w:hint="default" w:ascii="Times New Roman" w:hAnsi="Times New Roman" w:cs="Times New Roman" w:eastAsiaTheme="minorEastAsia"/>
          <w:b/>
          <w:sz w:val="24"/>
          <w:szCs w:val="24"/>
          <w:lang w:val="en-US" w:eastAsia="zh-CN"/>
        </w:rPr>
        <w:t>非雨天</w:t>
      </w:r>
      <w:r>
        <w:rPr>
          <w:rStyle w:val="54"/>
          <w:rFonts w:hint="default" w:ascii="Times New Roman" w:hAnsi="Times New Roman" w:cs="Times New Roman" w:eastAsiaTheme="minorEastAsia"/>
          <w:b/>
          <w:sz w:val="24"/>
          <w:szCs w:val="24"/>
        </w:rPr>
        <w:t xml:space="preserve">水平衡图  </w:t>
      </w:r>
      <w:r>
        <w:rPr>
          <w:rFonts w:hint="default" w:ascii="Times New Roman" w:hAnsi="Times New Roman" w:cs="Times New Roman" w:eastAsiaTheme="minorEastAsia"/>
          <w:b/>
          <w:bCs/>
          <w:sz w:val="24"/>
          <w:szCs w:val="24"/>
          <w:lang w:bidi="en-US"/>
        </w:rPr>
        <w:t>单位：m</w:t>
      </w:r>
      <w:r>
        <w:rPr>
          <w:rFonts w:hint="default" w:ascii="Times New Roman" w:hAnsi="Times New Roman" w:cs="Times New Roman" w:eastAsiaTheme="minorEastAsia"/>
          <w:b/>
          <w:bCs/>
          <w:sz w:val="24"/>
          <w:szCs w:val="24"/>
          <w:vertAlign w:val="superscript"/>
          <w:lang w:bidi="en-US"/>
        </w:rPr>
        <w:t>3</w:t>
      </w:r>
      <w:r>
        <w:rPr>
          <w:rFonts w:hint="default" w:ascii="Times New Roman" w:hAnsi="Times New Roman" w:cs="Times New Roman" w:eastAsiaTheme="minorEastAsia"/>
          <w:b/>
          <w:bCs/>
          <w:sz w:val="24"/>
          <w:szCs w:val="24"/>
          <w:lang w:bidi="en-US"/>
        </w:rPr>
        <w:t>/d</w:t>
      </w:r>
    </w:p>
    <w:p w14:paraId="137C713D">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object>
          <v:shape id="_x0000_i1029" o:spt="75" type="#_x0000_t75" style="height:189.7pt;width:453.5pt;" o:ole="t" filled="f" o:preferrelative="t" stroked="f" coordsize="21600,21600">
            <v:path/>
            <v:fill on="f" focussize="0,0"/>
            <v:stroke on="f"/>
            <v:imagedata r:id="rId19" o:title=""/>
            <o:lock v:ext="edit" aspectratio="f"/>
            <w10:wrap type="none"/>
            <w10:anchorlock/>
          </v:shape>
          <o:OLEObject Type="Embed" ProgID="Visio.Drawing.11" ShapeID="_x0000_i1029" DrawAspect="Content" ObjectID="_1468075729" r:id="rId18">
            <o:LockedField>false</o:LockedField>
          </o:OLEObject>
        </w:object>
      </w:r>
      <w:r>
        <w:rPr>
          <w:rFonts w:hint="default" w:ascii="Times New Roman" w:hAnsi="Times New Roman" w:cs="Times New Roman" w:eastAsiaTheme="minorEastAsia"/>
          <w:sz w:val="24"/>
          <w:szCs w:val="24"/>
          <w:lang w:val="en-US" w:eastAsia="zh-CN"/>
        </w:rPr>
        <w:t xml:space="preserve">     </w:t>
      </w:r>
      <w:r>
        <w:rPr>
          <w:rFonts w:hint="default" w:ascii="Times New Roman" w:hAnsi="Times New Roman" w:cs="Times New Roman" w:eastAsiaTheme="minorEastAsia"/>
          <w:sz w:val="24"/>
          <w:szCs w:val="24"/>
        </w:rPr>
        <w:object>
          <v:shape id="_x0000_i1030" o:spt="75" type="#_x0000_t75" style="height:55.5pt;width:331.5pt;" o:ole="t" filled="f" o:preferrelative="t" stroked="f" coordsize="21600,21600">
            <v:path/>
            <v:fill on="f" focussize="0,0"/>
            <v:stroke on="f"/>
            <v:imagedata r:id="rId21" o:title=""/>
            <o:lock v:ext="edit" aspectratio="f"/>
            <w10:wrap type="none"/>
            <w10:anchorlock/>
          </v:shape>
          <o:OLEObject Type="Embed" ProgID="Visio.Drawing.11" ShapeID="_x0000_i1030" DrawAspect="Content" ObjectID="_1468075730" r:id="rId20">
            <o:LockedField>false</o:LockedField>
          </o:OLEObject>
        </w:object>
      </w:r>
    </w:p>
    <w:p w14:paraId="5D7113AB">
      <w:pPr>
        <w:tabs>
          <w:tab w:val="left" w:pos="8256"/>
        </w:tabs>
        <w:spacing w:line="360" w:lineRule="auto"/>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ab/>
      </w:r>
    </w:p>
    <w:p w14:paraId="018107F8">
      <w:pPr>
        <w:spacing w:line="360" w:lineRule="auto"/>
        <w:jc w:val="center"/>
        <w:rPr>
          <w:rFonts w:hint="default" w:ascii="Times New Roman" w:hAnsi="Times New Roman" w:cs="Times New Roman"/>
          <w:lang w:val="en-US" w:eastAsia="zh-CN"/>
        </w:rPr>
      </w:pPr>
      <w:r>
        <w:rPr>
          <w:rStyle w:val="54"/>
          <w:rFonts w:hint="default" w:ascii="Times New Roman" w:hAnsi="Times New Roman" w:cs="Times New Roman" w:eastAsiaTheme="minorEastAsia"/>
          <w:b/>
          <w:sz w:val="24"/>
          <w:szCs w:val="24"/>
        </w:rPr>
        <w:t>图</w:t>
      </w:r>
      <w:r>
        <w:rPr>
          <w:rStyle w:val="54"/>
          <w:rFonts w:hint="default" w:ascii="Times New Roman" w:hAnsi="Times New Roman" w:cs="Times New Roman" w:eastAsiaTheme="minorEastAsia"/>
          <w:b/>
          <w:sz w:val="24"/>
          <w:szCs w:val="24"/>
          <w:lang w:val="en-US" w:eastAsia="zh-CN"/>
        </w:rPr>
        <w:t>3</w:t>
      </w:r>
      <w:r>
        <w:rPr>
          <w:rStyle w:val="54"/>
          <w:rFonts w:hint="default" w:ascii="Times New Roman" w:hAnsi="Times New Roman" w:cs="Times New Roman" w:eastAsiaTheme="minorEastAsia"/>
          <w:b/>
          <w:sz w:val="24"/>
          <w:szCs w:val="24"/>
        </w:rPr>
        <w:t>.3-</w:t>
      </w:r>
      <w:r>
        <w:rPr>
          <w:rStyle w:val="54"/>
          <w:rFonts w:hint="default" w:ascii="Times New Roman" w:hAnsi="Times New Roman" w:cs="Times New Roman" w:eastAsiaTheme="minorEastAsia"/>
          <w:b/>
          <w:sz w:val="24"/>
          <w:szCs w:val="24"/>
          <w:lang w:val="en-US" w:eastAsia="zh-CN"/>
        </w:rPr>
        <w:t>4</w:t>
      </w:r>
      <w:r>
        <w:rPr>
          <w:rStyle w:val="54"/>
          <w:rFonts w:hint="default" w:ascii="Times New Roman" w:hAnsi="Times New Roman" w:cs="Times New Roman" w:eastAsiaTheme="minorEastAsia"/>
          <w:b/>
          <w:sz w:val="24"/>
          <w:szCs w:val="24"/>
        </w:rPr>
        <w:t xml:space="preserve">  本项目</w:t>
      </w:r>
      <w:r>
        <w:rPr>
          <w:rStyle w:val="54"/>
          <w:rFonts w:hint="default" w:ascii="Times New Roman" w:hAnsi="Times New Roman" w:cs="Times New Roman" w:eastAsiaTheme="minorEastAsia"/>
          <w:b/>
          <w:sz w:val="24"/>
          <w:szCs w:val="24"/>
          <w:lang w:val="en-US" w:eastAsia="zh-CN"/>
        </w:rPr>
        <w:t>雨天</w:t>
      </w:r>
      <w:r>
        <w:rPr>
          <w:rStyle w:val="54"/>
          <w:rFonts w:hint="default" w:ascii="Times New Roman" w:hAnsi="Times New Roman" w:cs="Times New Roman" w:eastAsiaTheme="minorEastAsia"/>
          <w:b/>
          <w:sz w:val="24"/>
          <w:szCs w:val="24"/>
        </w:rPr>
        <w:t xml:space="preserve">水平衡图  </w:t>
      </w:r>
      <w:r>
        <w:rPr>
          <w:rFonts w:hint="default" w:ascii="Times New Roman" w:hAnsi="Times New Roman" w:cs="Times New Roman" w:eastAsiaTheme="minorEastAsia"/>
          <w:b/>
          <w:bCs/>
          <w:sz w:val="24"/>
          <w:szCs w:val="24"/>
          <w:lang w:bidi="en-US"/>
        </w:rPr>
        <w:t>单位：m</w:t>
      </w:r>
      <w:r>
        <w:rPr>
          <w:rFonts w:hint="default" w:ascii="Times New Roman" w:hAnsi="Times New Roman" w:cs="Times New Roman" w:eastAsiaTheme="minorEastAsia"/>
          <w:b/>
          <w:bCs/>
          <w:sz w:val="24"/>
          <w:szCs w:val="24"/>
          <w:vertAlign w:val="superscript"/>
          <w:lang w:bidi="en-US"/>
        </w:rPr>
        <w:t>3</w:t>
      </w:r>
      <w:r>
        <w:rPr>
          <w:rFonts w:hint="default" w:ascii="Times New Roman" w:hAnsi="Times New Roman" w:cs="Times New Roman" w:eastAsiaTheme="minorEastAsia"/>
          <w:b/>
          <w:bCs/>
          <w:sz w:val="24"/>
          <w:szCs w:val="24"/>
          <w:lang w:bidi="en-US"/>
        </w:rPr>
        <w:t>/d</w:t>
      </w:r>
    </w:p>
    <w:p w14:paraId="4C15EA8C">
      <w:pPr>
        <w:pStyle w:val="5"/>
        <w:bidi w:val="0"/>
        <w:rPr>
          <w:rFonts w:hint="default" w:ascii="Times New Roman" w:hAnsi="Times New Roman" w:cs="Times New Roman"/>
        </w:rPr>
      </w:pPr>
      <w:bookmarkStart w:id="278" w:name="_Toc165816744"/>
      <w:bookmarkStart w:id="279" w:name="_Toc14994"/>
      <w:bookmarkStart w:id="280" w:name="_Toc26870"/>
      <w:bookmarkStart w:id="281" w:name="_Toc5929"/>
      <w:bookmarkStart w:id="282" w:name="_Toc11253"/>
      <w:bookmarkStart w:id="283" w:name="_Toc22517"/>
      <w:r>
        <w:rPr>
          <w:rFonts w:hint="default" w:ascii="Times New Roman" w:hAnsi="Times New Roman" w:cs="Times New Roman"/>
          <w:lang w:val="en-US" w:eastAsia="zh-CN"/>
        </w:rPr>
        <w:t>3</w:t>
      </w:r>
      <w:r>
        <w:rPr>
          <w:rFonts w:hint="default" w:ascii="Times New Roman" w:hAnsi="Times New Roman" w:cs="Times New Roman"/>
        </w:rPr>
        <w:t>.4施工期污染源源强核算</w:t>
      </w:r>
      <w:bookmarkEnd w:id="278"/>
      <w:bookmarkEnd w:id="279"/>
      <w:bookmarkEnd w:id="280"/>
      <w:bookmarkEnd w:id="281"/>
      <w:bookmarkEnd w:id="282"/>
      <w:bookmarkEnd w:id="283"/>
    </w:p>
    <w:p w14:paraId="372B41E7">
      <w:pPr>
        <w:pStyle w:val="6"/>
        <w:bidi w:val="0"/>
        <w:rPr>
          <w:rFonts w:hint="default" w:ascii="Times New Roman" w:hAnsi="Times New Roman" w:cs="Times New Roman"/>
        </w:rPr>
      </w:pPr>
      <w:bookmarkStart w:id="284" w:name="_Toc165816745"/>
      <w:bookmarkStart w:id="285" w:name="_Toc15366"/>
      <w:r>
        <w:rPr>
          <w:rFonts w:hint="default" w:ascii="Times New Roman" w:hAnsi="Times New Roman" w:cs="Times New Roman"/>
          <w:lang w:val="en-US" w:eastAsia="zh-CN"/>
        </w:rPr>
        <w:t>3</w:t>
      </w:r>
      <w:r>
        <w:rPr>
          <w:rFonts w:hint="default" w:ascii="Times New Roman" w:hAnsi="Times New Roman" w:cs="Times New Roman"/>
        </w:rPr>
        <w:t>.4.1施工期废气</w:t>
      </w:r>
      <w:bookmarkEnd w:id="284"/>
      <w:bookmarkEnd w:id="285"/>
    </w:p>
    <w:p w14:paraId="08D9720A">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eastAsia="宋体" w:cs="Times New Roman"/>
          <w:kern w:val="24"/>
          <w:sz w:val="24"/>
        </w:rPr>
        <w:t>本项目</w:t>
      </w:r>
      <w:r>
        <w:rPr>
          <w:rFonts w:hint="default" w:ascii="Times New Roman" w:hAnsi="Times New Roman" w:cs="Times New Roman"/>
          <w:kern w:val="24"/>
          <w:sz w:val="24"/>
          <w:lang w:val="en-US" w:eastAsia="zh-CN"/>
        </w:rPr>
        <w:t>生产设备</w:t>
      </w:r>
      <w:r>
        <w:rPr>
          <w:rFonts w:hint="default" w:ascii="Times New Roman" w:hAnsi="Times New Roman" w:eastAsia="宋体" w:cs="Times New Roman"/>
          <w:kern w:val="24"/>
          <w:sz w:val="24"/>
        </w:rPr>
        <w:t>已</w:t>
      </w:r>
      <w:r>
        <w:rPr>
          <w:rFonts w:hint="default" w:ascii="Times New Roman" w:hAnsi="Times New Roman" w:cs="Times New Roman"/>
          <w:kern w:val="24"/>
          <w:sz w:val="24"/>
          <w:lang w:val="en-US" w:eastAsia="zh-CN"/>
        </w:rPr>
        <w:t>安装</w:t>
      </w:r>
      <w:r>
        <w:rPr>
          <w:rFonts w:hint="default" w:ascii="Times New Roman" w:hAnsi="Times New Roman" w:eastAsia="宋体" w:cs="Times New Roman"/>
          <w:kern w:val="24"/>
          <w:sz w:val="24"/>
        </w:rPr>
        <w:t>完成，项目前期施工过程无环境遗留问题</w:t>
      </w:r>
      <w:r>
        <w:rPr>
          <w:rFonts w:hint="default" w:ascii="Times New Roman" w:hAnsi="Times New Roman" w:cs="Times New Roman"/>
          <w:kern w:val="24"/>
          <w:sz w:val="24"/>
          <w:lang w:eastAsia="zh-CN"/>
        </w:rPr>
        <w:t>，</w:t>
      </w:r>
      <w:r>
        <w:rPr>
          <w:rFonts w:hint="default" w:ascii="Times New Roman" w:hAnsi="Times New Roman" w:eastAsia="宋体" w:cs="Times New Roman"/>
          <w:kern w:val="24"/>
          <w:sz w:val="24"/>
        </w:rPr>
        <w:t>也未受到相关环保问题的投诉。</w:t>
      </w:r>
      <w:r>
        <w:rPr>
          <w:rFonts w:hint="default" w:ascii="Times New Roman" w:hAnsi="Times New Roman" w:cs="Times New Roman"/>
          <w:kern w:val="24"/>
          <w:sz w:val="24"/>
          <w:lang w:val="en-US" w:eastAsia="zh-CN"/>
        </w:rPr>
        <w:t>现对本次环评提出的建设内容产生的污染进行分析。</w:t>
      </w:r>
      <w:r>
        <w:rPr>
          <w:rFonts w:hint="default" w:ascii="Times New Roman" w:hAnsi="Times New Roman" w:cs="Times New Roman" w:eastAsiaTheme="minorEastAsia"/>
          <w:sz w:val="24"/>
          <w:szCs w:val="24"/>
        </w:rPr>
        <w:t>施工期的大气污染主要有裸露地表风力起尘的扬尘污染、施工及运输车辆引起的扬尘污染、焊接烟尘、汽车尾气污染和装修废气等。</w:t>
      </w:r>
    </w:p>
    <w:p w14:paraId="155AFF7A">
      <w:pPr>
        <w:spacing w:line="360" w:lineRule="auto"/>
        <w:ind w:firstLine="482"/>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（1）裸露地表扬尘</w:t>
      </w:r>
    </w:p>
    <w:p w14:paraId="3CA72F24">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施工期裸露地表会产生风力起尘，风力起尘主要是施工期间由于裸露的施工区表层浮尘由于天气干燥及大风，产生风力扬尘。结合项目场址所在区域的实际情况，采用西安冶金建筑学院推荐的干堆计算公式进行估算，估算公式如下：</w:t>
      </w:r>
    </w:p>
    <w:p w14:paraId="034A3240">
      <w:pPr>
        <w:spacing w:line="360" w:lineRule="auto"/>
        <w:ind w:firstLine="48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Q=4.23×10</w:t>
      </w:r>
      <w:r>
        <w:rPr>
          <w:rFonts w:hint="default" w:ascii="Times New Roman" w:hAnsi="Times New Roman" w:cs="Times New Roman" w:eastAsiaTheme="minorEastAsia"/>
          <w:sz w:val="24"/>
          <w:szCs w:val="24"/>
          <w:vertAlign w:val="superscript"/>
        </w:rPr>
        <w:t>-4</w:t>
      </w:r>
      <w:r>
        <w:rPr>
          <w:rFonts w:hint="default" w:ascii="Times New Roman" w:hAnsi="Times New Roman" w:cs="Times New Roman" w:eastAsiaTheme="minorEastAsia"/>
          <w:sz w:val="24"/>
          <w:szCs w:val="24"/>
        </w:rPr>
        <w:t>×V</w:t>
      </w:r>
      <w:r>
        <w:rPr>
          <w:rFonts w:hint="default" w:ascii="Times New Roman" w:hAnsi="Times New Roman" w:cs="Times New Roman" w:eastAsiaTheme="minorEastAsia"/>
          <w:sz w:val="24"/>
          <w:szCs w:val="24"/>
          <w:vertAlign w:val="superscript"/>
        </w:rPr>
        <w:t>4.9</w:t>
      </w:r>
      <w:r>
        <w:rPr>
          <w:rFonts w:hint="default" w:ascii="Times New Roman" w:hAnsi="Times New Roman" w:cs="Times New Roman" w:eastAsiaTheme="minorEastAsia"/>
          <w:sz w:val="24"/>
          <w:szCs w:val="24"/>
        </w:rPr>
        <w:t>×S</w:t>
      </w:r>
    </w:p>
    <w:p w14:paraId="156BB1E9">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式中：Q—物料无组织排放速率，mg/s；</w:t>
      </w:r>
    </w:p>
    <w:p w14:paraId="5B19EAC9">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V—当地平均风速，m/s，项目区多年平均风速为2.</w:t>
      </w:r>
      <w:r>
        <w:rPr>
          <w:rFonts w:hint="default" w:ascii="Times New Roman" w:hAnsi="Times New Roman" w:cs="Times New Roman" w:eastAsiaTheme="minorEastAsia"/>
          <w:sz w:val="24"/>
          <w:szCs w:val="24"/>
          <w:lang w:val="en-US" w:eastAsia="zh-CN"/>
        </w:rPr>
        <w:t>0</w:t>
      </w:r>
      <w:r>
        <w:rPr>
          <w:rFonts w:hint="default" w:ascii="Times New Roman" w:hAnsi="Times New Roman" w:cs="Times New Roman" w:eastAsiaTheme="minorEastAsia"/>
          <w:sz w:val="24"/>
          <w:szCs w:val="24"/>
        </w:rPr>
        <w:t>m/s；</w:t>
      </w:r>
    </w:p>
    <w:p w14:paraId="4895D513">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S—裸露面积，本次环评以项目施工扰动裸露地表面积计算，约为</w:t>
      </w:r>
      <w:r>
        <w:rPr>
          <w:rFonts w:hint="default" w:ascii="Times New Roman" w:hAnsi="Times New Roman" w:cs="Times New Roman" w:eastAsiaTheme="minorEastAsia"/>
          <w:sz w:val="24"/>
          <w:szCs w:val="24"/>
          <w:lang w:val="en-US" w:eastAsia="zh-CN"/>
        </w:rPr>
        <w:t>2000</w:t>
      </w:r>
      <w:r>
        <w:rPr>
          <w:rFonts w:hint="default" w:ascii="Times New Roman" w:hAnsi="Times New Roman" w:cs="Times New Roman" w:eastAsiaTheme="minorEastAsia"/>
          <w:sz w:val="24"/>
          <w:szCs w:val="24"/>
        </w:rPr>
        <w:t>m</w:t>
      </w:r>
      <w:r>
        <w:rPr>
          <w:rFonts w:hint="default" w:ascii="Times New Roman" w:hAnsi="Times New Roman" w:cs="Times New Roman" w:eastAsiaTheme="minorEastAsia"/>
          <w:sz w:val="24"/>
          <w:szCs w:val="24"/>
          <w:vertAlign w:val="superscript"/>
        </w:rPr>
        <w:t>2</w:t>
      </w:r>
      <w:r>
        <w:rPr>
          <w:rFonts w:hint="default" w:ascii="Times New Roman" w:hAnsi="Times New Roman" w:cs="Times New Roman" w:eastAsiaTheme="minorEastAsia"/>
          <w:sz w:val="24"/>
          <w:szCs w:val="24"/>
        </w:rPr>
        <w:t>。</w:t>
      </w:r>
    </w:p>
    <w:p w14:paraId="3AA35B13">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经过估算，地表裸露区域扬尘产生量约为</w:t>
      </w:r>
      <w:r>
        <w:rPr>
          <w:rFonts w:hint="default" w:ascii="Times New Roman" w:hAnsi="Times New Roman" w:cs="Times New Roman" w:eastAsiaTheme="minorEastAsia"/>
          <w:sz w:val="24"/>
          <w:szCs w:val="24"/>
          <w:lang w:val="en-US" w:eastAsia="zh-CN"/>
        </w:rPr>
        <w:t>25.3</w:t>
      </w:r>
      <w:r>
        <w:rPr>
          <w:rFonts w:hint="default" w:ascii="Times New Roman" w:hAnsi="Times New Roman" w:cs="Times New Roman" w:eastAsiaTheme="minorEastAsia"/>
          <w:sz w:val="24"/>
          <w:szCs w:val="24"/>
        </w:rPr>
        <w:t>mg/s，在采取洒水降尘及物料加盖遮盖物等措施控制后，施工期扬尘的产生量可削减约为80%左右，则项目施工期间料场扬尘的实际排放量约为</w:t>
      </w:r>
      <w:r>
        <w:rPr>
          <w:rFonts w:hint="default" w:ascii="Times New Roman" w:hAnsi="Times New Roman" w:cs="Times New Roman" w:eastAsiaTheme="minorEastAsia"/>
          <w:sz w:val="24"/>
          <w:szCs w:val="24"/>
          <w:lang w:val="en-US" w:eastAsia="zh-CN"/>
        </w:rPr>
        <w:t>5.06</w:t>
      </w:r>
      <w:r>
        <w:rPr>
          <w:rFonts w:hint="default" w:ascii="Times New Roman" w:hAnsi="Times New Roman" w:cs="Times New Roman" w:eastAsiaTheme="minorEastAsia"/>
          <w:sz w:val="24"/>
          <w:szCs w:val="24"/>
        </w:rPr>
        <w:t>mg/s。</w:t>
      </w:r>
    </w:p>
    <w:p w14:paraId="640D42AC">
      <w:pPr>
        <w:spacing w:line="360" w:lineRule="auto"/>
        <w:ind w:firstLine="482"/>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（2）车辆行驶的动力起尘</w:t>
      </w:r>
    </w:p>
    <w:p w14:paraId="01E15D44">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车辆行驶产生的扬尘占总扬尘的60%以上。在同样路面清洁程度条件下，车速越快，扬尘量越大；而在同样车速情况下，路面越脏，则扬尘量越大。根据工程交通运输起尘采用下述公式进行计算：</w:t>
      </w:r>
    </w:p>
    <w:p w14:paraId="7742A48B">
      <w:pPr>
        <w:spacing w:line="360" w:lineRule="auto"/>
        <w:ind w:firstLine="480"/>
        <w:rPr>
          <w:rFonts w:hint="default" w:ascii="Times New Roman" w:hAnsi="Times New Roman" w:cs="Times New Roman" w:eastAsiaTheme="minorEastAsia"/>
          <w:sz w:val="24"/>
          <w:szCs w:val="24"/>
        </w:rPr>
      </w:pPr>
      <w:bookmarkStart w:id="286" w:name="_Toc359245866"/>
      <w:bookmarkStart w:id="287" w:name="_Toc361602119"/>
      <w:bookmarkStart w:id="288" w:name="_Toc358039874"/>
      <w:bookmarkStart w:id="289" w:name="_Toc358149658"/>
      <w:r>
        <w:rPr>
          <w:rFonts w:hint="default" w:ascii="Times New Roman" w:hAnsi="Times New Roman" w:cs="Times New Roman" w:eastAsiaTheme="minorEastAsia"/>
          <w:sz w:val="24"/>
          <w:szCs w:val="24"/>
        </w:rPr>
        <w:t>Q=0.123×（V/5）×（M/6.8）</w:t>
      </w:r>
      <w:r>
        <w:rPr>
          <w:rFonts w:hint="default" w:ascii="Times New Roman" w:hAnsi="Times New Roman" w:cs="Times New Roman" w:eastAsiaTheme="minorEastAsia"/>
          <w:sz w:val="24"/>
          <w:szCs w:val="24"/>
          <w:vertAlign w:val="superscript"/>
        </w:rPr>
        <w:t>0.85</w:t>
      </w:r>
      <w:r>
        <w:rPr>
          <w:rFonts w:hint="default" w:ascii="Times New Roman" w:hAnsi="Times New Roman" w:cs="Times New Roman" w:eastAsiaTheme="minorEastAsia"/>
          <w:sz w:val="24"/>
          <w:szCs w:val="24"/>
        </w:rPr>
        <w:t>×（P/0.5）</w:t>
      </w:r>
      <w:r>
        <w:rPr>
          <w:rFonts w:hint="default" w:ascii="Times New Roman" w:hAnsi="Times New Roman" w:cs="Times New Roman" w:eastAsiaTheme="minorEastAsia"/>
          <w:sz w:val="24"/>
          <w:szCs w:val="24"/>
          <w:vertAlign w:val="superscript"/>
        </w:rPr>
        <w:t>0.7</w:t>
      </w:r>
      <w:bookmarkEnd w:id="286"/>
      <w:bookmarkEnd w:id="287"/>
      <w:bookmarkEnd w:id="288"/>
      <w:bookmarkEnd w:id="289"/>
      <w:r>
        <w:rPr>
          <w:rFonts w:hint="default" w:ascii="Times New Roman" w:hAnsi="Times New Roman" w:cs="Times New Roman" w:eastAsiaTheme="minorEastAsia"/>
          <w:sz w:val="24"/>
          <w:szCs w:val="24"/>
          <w:vertAlign w:val="superscript"/>
        </w:rPr>
        <w:t>2</w:t>
      </w:r>
    </w:p>
    <w:p w14:paraId="4474F8F3">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式中：</w:t>
      </w:r>
      <w:bookmarkStart w:id="290" w:name="_Toc358149659"/>
      <w:bookmarkStart w:id="291" w:name="_Toc359245867"/>
      <w:bookmarkStart w:id="292" w:name="_Toc358039875"/>
      <w:bookmarkStart w:id="293" w:name="_Toc361602120"/>
      <w:r>
        <w:rPr>
          <w:rFonts w:hint="default" w:ascii="Times New Roman" w:hAnsi="Times New Roman" w:cs="Times New Roman" w:eastAsiaTheme="minorEastAsia"/>
          <w:sz w:val="24"/>
          <w:szCs w:val="24"/>
        </w:rPr>
        <w:t>Q——汽车行驶的扬尘，kg/km•辆；</w:t>
      </w:r>
      <w:bookmarkEnd w:id="290"/>
      <w:bookmarkEnd w:id="291"/>
      <w:bookmarkEnd w:id="292"/>
      <w:bookmarkEnd w:id="293"/>
    </w:p>
    <w:p w14:paraId="40025AA2">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V——汽车速度，km/h；项目施工车辆平均运输速度为20km/h；</w:t>
      </w:r>
    </w:p>
    <w:p w14:paraId="38159C6A">
      <w:pPr>
        <w:spacing w:line="360" w:lineRule="auto"/>
        <w:ind w:firstLine="480"/>
        <w:rPr>
          <w:rFonts w:hint="default" w:ascii="Times New Roman" w:hAnsi="Times New Roman" w:cs="Times New Roman" w:eastAsiaTheme="minorEastAsia"/>
          <w:sz w:val="24"/>
          <w:szCs w:val="24"/>
        </w:rPr>
      </w:pPr>
      <w:bookmarkStart w:id="294" w:name="_Toc358149660"/>
      <w:bookmarkStart w:id="295" w:name="_Toc361602121"/>
      <w:bookmarkStart w:id="296" w:name="_Toc358039876"/>
      <w:bookmarkStart w:id="297" w:name="_Toc359245868"/>
      <w:r>
        <w:rPr>
          <w:rFonts w:hint="default" w:ascii="Times New Roman" w:hAnsi="Times New Roman" w:cs="Times New Roman" w:eastAsiaTheme="minorEastAsia"/>
          <w:sz w:val="24"/>
          <w:szCs w:val="24"/>
        </w:rPr>
        <w:t>M——汽车载重量，吨；项目载重量为25t/辆；</w:t>
      </w:r>
      <w:bookmarkEnd w:id="294"/>
      <w:bookmarkEnd w:id="295"/>
      <w:bookmarkEnd w:id="296"/>
      <w:bookmarkEnd w:id="297"/>
    </w:p>
    <w:p w14:paraId="2C4C522C">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P——道路表面粉尘量，kg/m</w:t>
      </w:r>
      <w:r>
        <w:rPr>
          <w:rFonts w:hint="default" w:ascii="Times New Roman" w:hAnsi="Times New Roman" w:cs="Times New Roman" w:eastAsiaTheme="minorEastAsia"/>
          <w:sz w:val="24"/>
          <w:szCs w:val="24"/>
          <w:vertAlign w:val="superscript"/>
        </w:rPr>
        <w:t>2</w:t>
      </w:r>
      <w:r>
        <w:rPr>
          <w:rFonts w:hint="default" w:ascii="Times New Roman" w:hAnsi="Times New Roman" w:cs="Times New Roman" w:eastAsiaTheme="minorEastAsia"/>
          <w:sz w:val="24"/>
          <w:szCs w:val="24"/>
        </w:rPr>
        <w:t>，项目的P值取0.1；</w:t>
      </w:r>
    </w:p>
    <w:p w14:paraId="0DA6739A">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经过估算，项目施工期运输扬尘起尘量为0.47kg/km•辆。一般情况下不同路面清洁程度，不同行驶速度情况下产生的扬尘量不同；在同样的路面清洁情况下，车速越快，产生的扬尘量越大；而在同样车速的情况下，路面清洁度越差，则产生的扬尘量越大，在对起尘区域进行洒水降尘后，控制车速后，运输扬尘能够降低70%左右，则项目施工期间运输扬尘的实际排放量为0.14kg/km•辆。</w:t>
      </w:r>
    </w:p>
    <w:p w14:paraId="5C044A02">
      <w:pPr>
        <w:spacing w:line="360" w:lineRule="auto"/>
        <w:ind w:firstLine="482"/>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（3）焊接烟尘</w:t>
      </w:r>
    </w:p>
    <w:p w14:paraId="6AF64BF0">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施工期焊接烟尘主要产生于车间钢架结构焊接作业等，在项目建设过程中钢架结构在厂家预制完成，运至项目区内进行焊接组装和吊装，将钢架跨梁焊接在钢管立柱上即可，彩钢瓦采用钢钉固定在跨梁上。项目设备安装焊接工程量相对较小，在采用合格的焊条进行焊接，产生的焊接烟尘较小，不进行定量分析。</w:t>
      </w:r>
    </w:p>
    <w:p w14:paraId="7CE26AE8">
      <w:pPr>
        <w:spacing w:line="360" w:lineRule="auto"/>
        <w:ind w:firstLine="482"/>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（4）施工机械废气</w:t>
      </w:r>
    </w:p>
    <w:p w14:paraId="2ED3CB28">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项目施工期间，各种施工机械消耗油料会产生燃油废气，均是动力燃料柴油和汽油燃烧后所产生，为施工期影响空气环境的主要污染物之一，主要成分为CO、NO</w:t>
      </w:r>
      <w:r>
        <w:rPr>
          <w:rFonts w:hint="default" w:ascii="Times New Roman" w:hAnsi="Times New Roman" w:cs="Times New Roman" w:eastAsiaTheme="minorEastAsia"/>
          <w:sz w:val="24"/>
          <w:szCs w:val="24"/>
          <w:vertAlign w:val="subscript"/>
        </w:rPr>
        <w:t>X</w:t>
      </w:r>
      <w:r>
        <w:rPr>
          <w:rFonts w:hint="default" w:ascii="Times New Roman" w:hAnsi="Times New Roman" w:cs="Times New Roman" w:eastAsiaTheme="minorEastAsia"/>
          <w:sz w:val="24"/>
          <w:szCs w:val="24"/>
        </w:rPr>
        <w:t>和总碳氢化合物（THC），其中CO是柴油燃烧的产物；NO</w:t>
      </w:r>
      <w:r>
        <w:rPr>
          <w:rFonts w:hint="default" w:ascii="Times New Roman" w:hAnsi="Times New Roman" w:cs="Times New Roman" w:eastAsiaTheme="minorEastAsia"/>
          <w:sz w:val="24"/>
          <w:szCs w:val="24"/>
          <w:vertAlign w:val="subscript"/>
        </w:rPr>
        <w:t>X</w:t>
      </w:r>
      <w:r>
        <w:rPr>
          <w:rFonts w:hint="default" w:ascii="Times New Roman" w:hAnsi="Times New Roman" w:cs="Times New Roman" w:eastAsiaTheme="minorEastAsia"/>
          <w:sz w:val="24"/>
          <w:szCs w:val="24"/>
        </w:rPr>
        <w:t>是柴油爆裂时，进入的空气中氮与氧化合而成的产物；THC是柴油不完全燃烧的产物。浓度与汽车行驶条件有很大关系。尤其是在怠速和慢速行驶时，汽车尾气中污染物含量最高。汽车排放的尾气在露天发散，燃油烟气呈无组织排放，由于施工点多且比较分散，加之其排放方式为间断排放，因此对于每个施工点而言施工产生的燃油废气较少，不进行定量分析。</w:t>
      </w:r>
    </w:p>
    <w:p w14:paraId="7F724E3A">
      <w:pPr>
        <w:pStyle w:val="6"/>
        <w:bidi w:val="0"/>
        <w:rPr>
          <w:rFonts w:hint="default" w:ascii="Times New Roman" w:hAnsi="Times New Roman" w:cs="Times New Roman"/>
        </w:rPr>
      </w:pPr>
      <w:bookmarkStart w:id="298" w:name="_Toc24084"/>
      <w:bookmarkStart w:id="299" w:name="_Toc165816746"/>
      <w:r>
        <w:rPr>
          <w:rFonts w:hint="default" w:ascii="Times New Roman" w:hAnsi="Times New Roman" w:cs="Times New Roman"/>
          <w:lang w:val="en-US" w:eastAsia="zh-CN"/>
        </w:rPr>
        <w:t>3</w:t>
      </w:r>
      <w:r>
        <w:rPr>
          <w:rFonts w:hint="default" w:ascii="Times New Roman" w:hAnsi="Times New Roman" w:cs="Times New Roman"/>
        </w:rPr>
        <w:t>.4.2施工期废水</w:t>
      </w:r>
      <w:bookmarkEnd w:id="298"/>
      <w:bookmarkEnd w:id="299"/>
    </w:p>
    <w:p w14:paraId="07B96BBD">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项目施工期废水包括施工机械清洗废水、施工人员生活污水、雨天地表径流。</w:t>
      </w:r>
    </w:p>
    <w:p w14:paraId="2B85BC10">
      <w:pPr>
        <w:spacing w:line="360" w:lineRule="auto"/>
        <w:ind w:firstLine="482"/>
        <w:rPr>
          <w:rFonts w:hint="default" w:ascii="Times New Roman" w:hAnsi="Times New Roman" w:cs="Times New Roman" w:eastAsiaTheme="minorEastAsia"/>
          <w:sz w:val="24"/>
          <w:szCs w:val="24"/>
        </w:rPr>
      </w:pPr>
      <w:r>
        <w:rPr>
          <w:rFonts w:hint="default" w:ascii="Times New Roman" w:hAnsi="Times New Roman" w:cs="Times New Roman" w:eastAsiaTheme="minorEastAsia"/>
          <w:b/>
          <w:sz w:val="24"/>
          <w:szCs w:val="24"/>
        </w:rPr>
        <w:t>（1）施工机械清洗废水</w:t>
      </w:r>
    </w:p>
    <w:p w14:paraId="3B132014">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项目施工废水主要由机械设备清洗产生，其产生量较小。机械设备、工具清洗等产生的废水与大多数建筑工程一样，不含有毒</w:t>
      </w:r>
      <w:r>
        <w:rPr>
          <w:rFonts w:hint="default" w:ascii="Times New Roman" w:hAnsi="Times New Roman" w:cs="Times New Roman" w:eastAsiaTheme="minorEastAsia"/>
          <w:sz w:val="24"/>
          <w:szCs w:val="24"/>
          <w:lang w:eastAsia="zh-CN"/>
        </w:rPr>
        <w:t>成分</w:t>
      </w:r>
      <w:r>
        <w:rPr>
          <w:rFonts w:hint="default" w:ascii="Times New Roman" w:hAnsi="Times New Roman" w:cs="Times New Roman" w:eastAsiaTheme="minorEastAsia"/>
          <w:sz w:val="24"/>
          <w:szCs w:val="24"/>
        </w:rPr>
        <w:t>，主要是泥沙悬浮物含量较大。经类比，本项目施工机械清洗废水</w:t>
      </w:r>
      <w:r>
        <w:rPr>
          <w:rFonts w:hint="default" w:ascii="Times New Roman" w:hAnsi="Times New Roman" w:cs="Times New Roman" w:eastAsiaTheme="minorEastAsia"/>
          <w:color w:val="000000"/>
          <w:sz w:val="24"/>
          <w:szCs w:val="24"/>
        </w:rPr>
        <w:t>的产生量、污染因子浓度及发生量难以定量预测，本次评价不做定量分析，只提出防治措施。</w:t>
      </w:r>
      <w:r>
        <w:rPr>
          <w:rFonts w:hint="default" w:ascii="Times New Roman" w:hAnsi="Times New Roman" w:cs="Times New Roman" w:eastAsiaTheme="minorEastAsia"/>
          <w:sz w:val="24"/>
          <w:szCs w:val="24"/>
        </w:rPr>
        <w:t>本项目施工机械清洗废水经</w:t>
      </w:r>
      <w:r>
        <w:rPr>
          <w:rFonts w:hint="default" w:ascii="Times New Roman" w:hAnsi="Times New Roman" w:cs="Times New Roman" w:eastAsiaTheme="minorEastAsia"/>
          <w:sz w:val="24"/>
          <w:szCs w:val="24"/>
          <w:lang w:val="en-US" w:eastAsia="zh-CN"/>
        </w:rPr>
        <w:t>建设一个5m³</w:t>
      </w:r>
      <w:r>
        <w:rPr>
          <w:rFonts w:hint="default" w:ascii="Times New Roman" w:hAnsi="Times New Roman" w:cs="Times New Roman" w:eastAsiaTheme="minorEastAsia"/>
          <w:sz w:val="24"/>
          <w:szCs w:val="24"/>
        </w:rPr>
        <w:t>临时沉淀池处理后回用于场地洒水抑尘等，不外排。</w:t>
      </w:r>
    </w:p>
    <w:p w14:paraId="6B2716C3">
      <w:pPr>
        <w:spacing w:line="360" w:lineRule="auto"/>
        <w:ind w:firstLine="482"/>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（2）施工人员生活污水</w:t>
      </w:r>
    </w:p>
    <w:p w14:paraId="7AAD8F4F">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项目施工期人数约为</w:t>
      </w:r>
      <w:r>
        <w:rPr>
          <w:rFonts w:hint="default" w:ascii="Times New Roman" w:hAnsi="Times New Roman" w:cs="Times New Roman" w:eastAsiaTheme="minorEastAsia"/>
          <w:sz w:val="24"/>
          <w:szCs w:val="24"/>
          <w:lang w:val="en-US" w:eastAsia="zh-CN"/>
        </w:rPr>
        <w:t>10</w:t>
      </w:r>
      <w:r>
        <w:rPr>
          <w:rFonts w:hint="default" w:ascii="Times New Roman" w:hAnsi="Times New Roman" w:cs="Times New Roman" w:eastAsiaTheme="minorEastAsia"/>
          <w:sz w:val="24"/>
          <w:szCs w:val="24"/>
        </w:rPr>
        <w:t>人，</w:t>
      </w:r>
      <w:r>
        <w:rPr>
          <w:rFonts w:hint="default" w:ascii="Times New Roman" w:hAnsi="Times New Roman" w:cs="Times New Roman" w:eastAsiaTheme="minorEastAsia"/>
          <w:sz w:val="24"/>
          <w:szCs w:val="24"/>
          <w:lang w:val="en-US" w:eastAsia="zh-CN"/>
        </w:rPr>
        <w:t>均不在厂区食宿，</w:t>
      </w:r>
      <w:r>
        <w:rPr>
          <w:rFonts w:hint="default" w:ascii="Times New Roman" w:hAnsi="Times New Roman" w:cs="Times New Roman" w:eastAsiaTheme="minorEastAsia"/>
          <w:sz w:val="24"/>
          <w:szCs w:val="24"/>
        </w:rPr>
        <w:t>施工期使用</w:t>
      </w:r>
      <w:r>
        <w:rPr>
          <w:rFonts w:hint="default" w:ascii="Times New Roman" w:hAnsi="Times New Roman" w:cs="Times New Roman" w:eastAsiaTheme="minorEastAsia"/>
          <w:sz w:val="24"/>
          <w:szCs w:val="24"/>
          <w:lang w:val="en-US" w:eastAsia="zh-CN"/>
        </w:rPr>
        <w:t>鲁奎山铁矿旱厕（位于2号料场的废石加工厂场）</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用水主要为洗手，</w:t>
      </w:r>
      <w:r>
        <w:rPr>
          <w:rFonts w:hint="default" w:ascii="Times New Roman" w:hAnsi="Times New Roman" w:cs="Times New Roman" w:eastAsiaTheme="minorEastAsia"/>
          <w:sz w:val="24"/>
          <w:szCs w:val="24"/>
        </w:rPr>
        <w:t>以10L/人•d计，则施工期生活用水量为0.</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/d，产污系数为0.8，则施工生活污水产生量为0.</w:t>
      </w:r>
      <w:r>
        <w:rPr>
          <w:rFonts w:hint="default" w:ascii="Times New Roman" w:hAnsi="Times New Roman" w:cs="Times New Roman" w:eastAsiaTheme="minorEastAsia"/>
          <w:sz w:val="24"/>
          <w:szCs w:val="24"/>
          <w:lang w:val="en-US" w:eastAsia="zh-CN"/>
        </w:rPr>
        <w:t>08</w:t>
      </w:r>
      <w:r>
        <w:rPr>
          <w:rFonts w:hint="default" w:ascii="Times New Roman" w:hAnsi="Times New Roman" w:cs="Times New Roman" w:eastAsiaTheme="minorEastAsia"/>
          <w:sz w:val="24"/>
          <w:szCs w:val="24"/>
        </w:rPr>
        <w:t>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/d。</w:t>
      </w:r>
      <w:r>
        <w:rPr>
          <w:rFonts w:hint="default" w:ascii="Times New Roman" w:hAnsi="Times New Roman" w:cs="Times New Roman" w:eastAsiaTheme="minorEastAsia"/>
          <w:color w:val="000000"/>
          <w:sz w:val="24"/>
          <w:szCs w:val="24"/>
        </w:rPr>
        <w:t>施工人员生活污水</w:t>
      </w:r>
      <w:r>
        <w:rPr>
          <w:rFonts w:hint="default" w:ascii="Times New Roman" w:hAnsi="Times New Roman" w:cs="Times New Roman" w:eastAsiaTheme="minorEastAsia"/>
          <w:sz w:val="24"/>
          <w:szCs w:val="24"/>
        </w:rPr>
        <w:t>经临时沉淀池处理后回用于场地洒水抑尘等，不外排。</w:t>
      </w:r>
    </w:p>
    <w:p w14:paraId="50CF967B">
      <w:pPr>
        <w:pStyle w:val="6"/>
        <w:bidi w:val="0"/>
        <w:rPr>
          <w:rFonts w:hint="default" w:ascii="Times New Roman" w:hAnsi="Times New Roman" w:cs="Times New Roman"/>
        </w:rPr>
      </w:pPr>
      <w:bookmarkStart w:id="300" w:name="_Toc165816747"/>
      <w:bookmarkStart w:id="301" w:name="_Toc15388"/>
      <w:r>
        <w:rPr>
          <w:rFonts w:hint="default" w:ascii="Times New Roman" w:hAnsi="Times New Roman" w:cs="Times New Roman"/>
          <w:lang w:val="en-US" w:eastAsia="zh-CN"/>
        </w:rPr>
        <w:t>3</w:t>
      </w:r>
      <w:r>
        <w:rPr>
          <w:rFonts w:hint="default" w:ascii="Times New Roman" w:hAnsi="Times New Roman" w:cs="Times New Roman"/>
        </w:rPr>
        <w:t>.4.3施工期噪声</w:t>
      </w:r>
      <w:bookmarkEnd w:id="300"/>
      <w:bookmarkEnd w:id="301"/>
    </w:p>
    <w:p w14:paraId="7280807A">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施工期噪声主要是施工现场的施工机械和运输车辆。</w:t>
      </w:r>
    </w:p>
    <w:p w14:paraId="48F7FA9E">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（1）施工现场噪声</w:t>
      </w:r>
    </w:p>
    <w:p w14:paraId="4F207C10">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施工现场噪声主要为机械噪声和施工作业噪声。机械噪声主要由施工机械所造成，如挖土机械、打桩机械、升降机等，以点声源为主；施工作业噪声主要指一些零星的敲打声、装卸车辆的撞击声、吆喝声、拆卸模板的撞击声等，多为瞬时噪声。在这些施工噪声中，对声环境影响最大的是机械噪声。</w:t>
      </w:r>
    </w:p>
    <w:p w14:paraId="6C063EC6">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为了便于</w:t>
      </w:r>
      <w:r>
        <w:rPr>
          <w:rFonts w:hint="default" w:ascii="Times New Roman" w:hAnsi="Times New Roman" w:cs="Times New Roman" w:eastAsiaTheme="minorEastAsia"/>
          <w:sz w:val="24"/>
          <w:szCs w:val="24"/>
          <w:lang w:val="en-US" w:eastAsia="zh-CN"/>
        </w:rPr>
        <w:t>本</w:t>
      </w:r>
      <w:r>
        <w:rPr>
          <w:rFonts w:hint="default" w:ascii="Times New Roman" w:hAnsi="Times New Roman" w:cs="Times New Roman" w:eastAsiaTheme="minorEastAsia"/>
          <w:sz w:val="24"/>
          <w:szCs w:val="24"/>
        </w:rPr>
        <w:t>项目施工期噪声影响分析，从噪声的角度出发，将施工过程分为场地平整阶段、土方阶段、基础阶段、结构阶段和装修阶段。施工机械较多、噪声污染也比较严重，不同阶段又具有不同的噪声污染特征。参考《环境噪声与振动控制工程设计导则》</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HJ2034-2013</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附录A中列出的常用施工机械所产生的噪声值，具体见下表。</w:t>
      </w:r>
    </w:p>
    <w:p w14:paraId="24E9FA2D">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.4</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-1  施工期主要噪声源强    单位：dB（A）</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756"/>
        <w:gridCol w:w="3752"/>
        <w:gridCol w:w="3774"/>
      </w:tblGrid>
      <w:tr w14:paraId="559AC2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946" w:type="pct"/>
            <w:tcBorders>
              <w:left w:val="nil"/>
            </w:tcBorders>
            <w:vAlign w:val="center"/>
          </w:tcPr>
          <w:p w14:paraId="0CF05539">
            <w:pPr>
              <w:widowControl/>
              <w:ind w:firstLine="42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序号</w:t>
            </w:r>
          </w:p>
        </w:tc>
        <w:tc>
          <w:tcPr>
            <w:tcW w:w="2020" w:type="pct"/>
            <w:vAlign w:val="center"/>
          </w:tcPr>
          <w:p w14:paraId="706CAABF">
            <w:pPr>
              <w:widowControl/>
              <w:ind w:firstLine="42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施工机械名称</w:t>
            </w:r>
          </w:p>
        </w:tc>
        <w:tc>
          <w:tcPr>
            <w:tcW w:w="2032" w:type="pct"/>
            <w:tcBorders>
              <w:right w:val="nil"/>
            </w:tcBorders>
            <w:vAlign w:val="center"/>
          </w:tcPr>
          <w:p w14:paraId="2F0C0DF7">
            <w:pPr>
              <w:widowControl/>
              <w:ind w:firstLine="42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噪声</w:t>
            </w:r>
          </w:p>
        </w:tc>
      </w:tr>
      <w:tr w14:paraId="45F321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946" w:type="pct"/>
            <w:tcBorders>
              <w:left w:val="nil"/>
            </w:tcBorders>
            <w:vAlign w:val="center"/>
          </w:tcPr>
          <w:p w14:paraId="5FE9B86F">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1</w:t>
            </w:r>
          </w:p>
        </w:tc>
        <w:tc>
          <w:tcPr>
            <w:tcW w:w="2020" w:type="pct"/>
            <w:vAlign w:val="center"/>
          </w:tcPr>
          <w:p w14:paraId="505BCC9D">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推土机</w:t>
            </w:r>
          </w:p>
        </w:tc>
        <w:tc>
          <w:tcPr>
            <w:tcW w:w="2032" w:type="pct"/>
            <w:tcBorders>
              <w:right w:val="nil"/>
            </w:tcBorders>
            <w:vAlign w:val="center"/>
          </w:tcPr>
          <w:p w14:paraId="1659F893">
            <w:pPr>
              <w:ind w:firstLine="42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86</w:t>
            </w:r>
          </w:p>
        </w:tc>
      </w:tr>
      <w:tr w14:paraId="0B698C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946" w:type="pct"/>
            <w:tcBorders>
              <w:left w:val="nil"/>
            </w:tcBorders>
            <w:vAlign w:val="center"/>
          </w:tcPr>
          <w:p w14:paraId="14FD11AE">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2</w:t>
            </w:r>
          </w:p>
        </w:tc>
        <w:tc>
          <w:tcPr>
            <w:tcW w:w="2020" w:type="pct"/>
            <w:vAlign w:val="center"/>
          </w:tcPr>
          <w:p w14:paraId="42C4DBF2">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装载机</w:t>
            </w:r>
          </w:p>
        </w:tc>
        <w:tc>
          <w:tcPr>
            <w:tcW w:w="2032" w:type="pct"/>
            <w:tcBorders>
              <w:right w:val="nil"/>
            </w:tcBorders>
            <w:vAlign w:val="center"/>
          </w:tcPr>
          <w:p w14:paraId="259D888D">
            <w:pPr>
              <w:ind w:firstLine="42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79</w:t>
            </w:r>
          </w:p>
        </w:tc>
      </w:tr>
      <w:tr w14:paraId="326617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946" w:type="pct"/>
            <w:tcBorders>
              <w:left w:val="nil"/>
            </w:tcBorders>
            <w:vAlign w:val="center"/>
          </w:tcPr>
          <w:p w14:paraId="57CBE9BB">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3</w:t>
            </w:r>
          </w:p>
        </w:tc>
        <w:tc>
          <w:tcPr>
            <w:tcW w:w="2020" w:type="pct"/>
            <w:vAlign w:val="center"/>
          </w:tcPr>
          <w:p w14:paraId="498733ED">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大型载重车</w:t>
            </w:r>
          </w:p>
        </w:tc>
        <w:tc>
          <w:tcPr>
            <w:tcW w:w="2032" w:type="pct"/>
            <w:tcBorders>
              <w:right w:val="nil"/>
            </w:tcBorders>
            <w:vAlign w:val="center"/>
          </w:tcPr>
          <w:p w14:paraId="2CE05C73">
            <w:pPr>
              <w:ind w:firstLine="42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79</w:t>
            </w:r>
          </w:p>
        </w:tc>
      </w:tr>
      <w:tr w14:paraId="694CEB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946" w:type="pct"/>
            <w:tcBorders>
              <w:left w:val="nil"/>
            </w:tcBorders>
            <w:vAlign w:val="center"/>
          </w:tcPr>
          <w:p w14:paraId="1DDE985E">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4</w:t>
            </w:r>
          </w:p>
        </w:tc>
        <w:tc>
          <w:tcPr>
            <w:tcW w:w="2020" w:type="pct"/>
            <w:vAlign w:val="center"/>
          </w:tcPr>
          <w:p w14:paraId="4C83D95A">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电锯</w:t>
            </w:r>
          </w:p>
        </w:tc>
        <w:tc>
          <w:tcPr>
            <w:tcW w:w="2032" w:type="pct"/>
            <w:tcBorders>
              <w:right w:val="nil"/>
            </w:tcBorders>
            <w:vAlign w:val="center"/>
          </w:tcPr>
          <w:p w14:paraId="7E6803DE">
            <w:pPr>
              <w:ind w:firstLine="42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94</w:t>
            </w:r>
          </w:p>
        </w:tc>
      </w:tr>
      <w:tr w14:paraId="373F4B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946" w:type="pct"/>
            <w:tcBorders>
              <w:left w:val="nil"/>
            </w:tcBorders>
            <w:vAlign w:val="center"/>
          </w:tcPr>
          <w:p w14:paraId="478B5272">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5</w:t>
            </w:r>
          </w:p>
        </w:tc>
        <w:tc>
          <w:tcPr>
            <w:tcW w:w="2020" w:type="pct"/>
            <w:vAlign w:val="center"/>
          </w:tcPr>
          <w:p w14:paraId="23688388">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电焊机</w:t>
            </w:r>
          </w:p>
        </w:tc>
        <w:tc>
          <w:tcPr>
            <w:tcW w:w="2032" w:type="pct"/>
            <w:tcBorders>
              <w:right w:val="nil"/>
            </w:tcBorders>
            <w:vAlign w:val="center"/>
          </w:tcPr>
          <w:p w14:paraId="3BD7A654">
            <w:pPr>
              <w:ind w:firstLine="42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89</w:t>
            </w:r>
          </w:p>
        </w:tc>
      </w:tr>
      <w:tr w14:paraId="16590F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946" w:type="pct"/>
            <w:tcBorders>
              <w:left w:val="nil"/>
            </w:tcBorders>
            <w:vAlign w:val="center"/>
          </w:tcPr>
          <w:p w14:paraId="1ED70A91">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6</w:t>
            </w:r>
          </w:p>
        </w:tc>
        <w:tc>
          <w:tcPr>
            <w:tcW w:w="2020" w:type="pct"/>
            <w:vAlign w:val="center"/>
          </w:tcPr>
          <w:p w14:paraId="1B567E6A">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中型载重车</w:t>
            </w:r>
          </w:p>
        </w:tc>
        <w:tc>
          <w:tcPr>
            <w:tcW w:w="2032" w:type="pct"/>
            <w:tcBorders>
              <w:right w:val="nil"/>
            </w:tcBorders>
            <w:vAlign w:val="center"/>
          </w:tcPr>
          <w:p w14:paraId="5627DD91">
            <w:pPr>
              <w:ind w:firstLine="42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74</w:t>
            </w:r>
          </w:p>
        </w:tc>
      </w:tr>
      <w:tr w14:paraId="647479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946" w:type="pct"/>
            <w:tcBorders>
              <w:left w:val="nil"/>
            </w:tcBorders>
            <w:vAlign w:val="center"/>
          </w:tcPr>
          <w:p w14:paraId="45642751">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7</w:t>
            </w:r>
          </w:p>
        </w:tc>
        <w:tc>
          <w:tcPr>
            <w:tcW w:w="2020" w:type="pct"/>
            <w:vAlign w:val="center"/>
          </w:tcPr>
          <w:p w14:paraId="39266FC1">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电钻</w:t>
            </w:r>
          </w:p>
        </w:tc>
        <w:tc>
          <w:tcPr>
            <w:tcW w:w="2032" w:type="pct"/>
            <w:tcBorders>
              <w:right w:val="nil"/>
            </w:tcBorders>
            <w:vAlign w:val="center"/>
          </w:tcPr>
          <w:p w14:paraId="32F273DE">
            <w:pPr>
              <w:ind w:firstLine="420"/>
              <w:jc w:val="center"/>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t>100</w:t>
            </w:r>
          </w:p>
        </w:tc>
      </w:tr>
      <w:tr w14:paraId="0C0A63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946" w:type="pct"/>
            <w:tcBorders>
              <w:left w:val="nil"/>
            </w:tcBorders>
            <w:vAlign w:val="center"/>
          </w:tcPr>
          <w:p w14:paraId="7BEA6EFC">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8</w:t>
            </w:r>
          </w:p>
        </w:tc>
        <w:tc>
          <w:tcPr>
            <w:tcW w:w="2020" w:type="pct"/>
            <w:vAlign w:val="center"/>
          </w:tcPr>
          <w:p w14:paraId="74AFB884">
            <w:pPr>
              <w:pStyle w:val="47"/>
              <w:spacing w:line="360" w:lineRule="auto"/>
              <w:ind w:firstLine="380"/>
              <w:rPr>
                <w:rFonts w:hint="default" w:ascii="Times New Roman" w:hAnsi="Times New Roman" w:eastAsia="宋体" w:cs="Times New Roman"/>
                <w:b w:val="0"/>
                <w:bCs w:val="0"/>
                <w:color w:val="000000" w:themeColor="text1"/>
                <w:kern w:val="2"/>
                <w:sz w:val="18"/>
                <w:szCs w:val="18"/>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14:textFill>
                  <w14:solidFill>
                    <w14:schemeClr w14:val="tx1"/>
                  </w14:solidFill>
                </w14:textFill>
              </w:rPr>
              <w:t>手工钻</w:t>
            </w:r>
          </w:p>
        </w:tc>
        <w:tc>
          <w:tcPr>
            <w:tcW w:w="2032" w:type="pct"/>
            <w:tcBorders>
              <w:right w:val="nil"/>
            </w:tcBorders>
            <w:vAlign w:val="center"/>
          </w:tcPr>
          <w:p w14:paraId="27C010CC">
            <w:pPr>
              <w:ind w:firstLine="42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99</w:t>
            </w:r>
          </w:p>
        </w:tc>
      </w:tr>
    </w:tbl>
    <w:p w14:paraId="3A2DFAD7">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（2）施工交通噪声</w:t>
      </w:r>
    </w:p>
    <w:p w14:paraId="51561FEA">
      <w:pPr>
        <w:spacing w:line="360" w:lineRule="auto"/>
        <w:ind w:firstLine="480"/>
        <w:rPr>
          <w:rFonts w:hint="default" w:ascii="Times New Roman" w:hAnsi="Times New Roman" w:cs="Times New Roman" w:eastAsiaTheme="minorEastAsia"/>
          <w:kern w:val="0"/>
          <w:sz w:val="24"/>
          <w:szCs w:val="24"/>
        </w:rPr>
      </w:pPr>
      <w:r>
        <w:rPr>
          <w:rFonts w:hint="default" w:ascii="Times New Roman" w:hAnsi="Times New Roman" w:cs="Times New Roman" w:eastAsiaTheme="minorEastAsia"/>
          <w:kern w:val="0"/>
          <w:sz w:val="24"/>
          <w:szCs w:val="24"/>
        </w:rPr>
        <w:t>根据相关研究资料，本项目施工阶段物料运输车辆产生的噪声声级见下表。</w:t>
      </w:r>
    </w:p>
    <w:p w14:paraId="0B0CE187">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.4</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-2  交通运输车辆声级</w:t>
      </w:r>
    </w:p>
    <w:tbl>
      <w:tblPr>
        <w:tblStyle w:val="2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4"/>
        <w:gridCol w:w="3087"/>
        <w:gridCol w:w="2470"/>
        <w:gridCol w:w="1605"/>
      </w:tblGrid>
      <w:tr w14:paraId="501F24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951" w:type="dxa"/>
            <w:tcBorders>
              <w:tl2br w:val="nil"/>
              <w:tr2bl w:val="nil"/>
            </w:tcBorders>
            <w:vAlign w:val="center"/>
          </w:tcPr>
          <w:p w14:paraId="47105359">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施工阶段</w:t>
            </w:r>
          </w:p>
        </w:tc>
        <w:tc>
          <w:tcPr>
            <w:tcW w:w="2835" w:type="dxa"/>
            <w:tcBorders>
              <w:tl2br w:val="nil"/>
              <w:tr2bl w:val="nil"/>
            </w:tcBorders>
            <w:vAlign w:val="center"/>
          </w:tcPr>
          <w:p w14:paraId="22CB8D4C">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运输内容</w:t>
            </w:r>
          </w:p>
        </w:tc>
        <w:tc>
          <w:tcPr>
            <w:tcW w:w="2268" w:type="dxa"/>
            <w:tcBorders>
              <w:tl2br w:val="nil"/>
              <w:tr2bl w:val="nil"/>
            </w:tcBorders>
            <w:vAlign w:val="center"/>
          </w:tcPr>
          <w:p w14:paraId="6A895F40">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车辆类型</w:t>
            </w:r>
          </w:p>
        </w:tc>
        <w:tc>
          <w:tcPr>
            <w:tcW w:w="1474" w:type="dxa"/>
            <w:tcBorders>
              <w:tl2br w:val="nil"/>
              <w:tr2bl w:val="nil"/>
            </w:tcBorders>
            <w:vAlign w:val="center"/>
          </w:tcPr>
          <w:p w14:paraId="5C4A3CA0">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声级／dB(A)</w:t>
            </w:r>
          </w:p>
        </w:tc>
      </w:tr>
      <w:tr w14:paraId="4DD56E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951" w:type="dxa"/>
            <w:tcBorders>
              <w:tl2br w:val="nil"/>
              <w:tr2bl w:val="nil"/>
            </w:tcBorders>
            <w:vAlign w:val="center"/>
          </w:tcPr>
          <w:p w14:paraId="31E4EDF3">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lang w:eastAsia="zh-CN"/>
              </w:rPr>
              <w:t>土石方</w:t>
            </w:r>
            <w:r>
              <w:rPr>
                <w:rFonts w:hint="default" w:ascii="Times New Roman" w:hAnsi="Times New Roman" w:eastAsia="宋体" w:cs="Times New Roman"/>
                <w:b w:val="0"/>
                <w:bCs/>
                <w:sz w:val="18"/>
                <w:szCs w:val="18"/>
              </w:rPr>
              <w:t>、基础阶段</w:t>
            </w:r>
          </w:p>
        </w:tc>
        <w:tc>
          <w:tcPr>
            <w:tcW w:w="2835" w:type="dxa"/>
            <w:tcBorders>
              <w:tl2br w:val="nil"/>
              <w:tr2bl w:val="nil"/>
            </w:tcBorders>
            <w:vAlign w:val="center"/>
          </w:tcPr>
          <w:p w14:paraId="03494527">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土石方运输</w:t>
            </w:r>
          </w:p>
        </w:tc>
        <w:tc>
          <w:tcPr>
            <w:tcW w:w="2268" w:type="dxa"/>
            <w:tcBorders>
              <w:tl2br w:val="nil"/>
              <w:tr2bl w:val="nil"/>
            </w:tcBorders>
            <w:vAlign w:val="center"/>
          </w:tcPr>
          <w:p w14:paraId="64FB48C5">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大型载重车、装载机</w:t>
            </w:r>
          </w:p>
        </w:tc>
        <w:tc>
          <w:tcPr>
            <w:tcW w:w="1474" w:type="dxa"/>
            <w:tcBorders>
              <w:tl2br w:val="nil"/>
              <w:tr2bl w:val="nil"/>
            </w:tcBorders>
            <w:vAlign w:val="center"/>
          </w:tcPr>
          <w:p w14:paraId="2DDE50C4">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90</w:t>
            </w:r>
          </w:p>
        </w:tc>
      </w:tr>
      <w:tr w14:paraId="37B4CB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951" w:type="dxa"/>
            <w:tcBorders>
              <w:tl2br w:val="nil"/>
              <w:tr2bl w:val="nil"/>
            </w:tcBorders>
            <w:vAlign w:val="center"/>
          </w:tcPr>
          <w:p w14:paraId="4EEC6EFA">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基础、结构阶段</w:t>
            </w:r>
          </w:p>
        </w:tc>
        <w:tc>
          <w:tcPr>
            <w:tcW w:w="2835" w:type="dxa"/>
            <w:tcBorders>
              <w:tl2br w:val="nil"/>
              <w:tr2bl w:val="nil"/>
            </w:tcBorders>
            <w:vAlign w:val="center"/>
          </w:tcPr>
          <w:p w14:paraId="4E467AAC">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lang w:eastAsia="zh-CN"/>
              </w:rPr>
              <w:t>钢</w:t>
            </w:r>
            <w:r>
              <w:rPr>
                <w:rFonts w:hint="default" w:ascii="Times New Roman" w:hAnsi="Times New Roman" w:eastAsia="宋体" w:cs="Times New Roman"/>
                <w:b w:val="0"/>
                <w:bCs/>
                <w:sz w:val="18"/>
                <w:szCs w:val="18"/>
              </w:rPr>
              <w:t>筋、商品混凝土</w:t>
            </w:r>
          </w:p>
        </w:tc>
        <w:tc>
          <w:tcPr>
            <w:tcW w:w="2268" w:type="dxa"/>
            <w:tcBorders>
              <w:tl2br w:val="nil"/>
              <w:tr2bl w:val="nil"/>
            </w:tcBorders>
            <w:vAlign w:val="center"/>
          </w:tcPr>
          <w:p w14:paraId="64DD7BA8">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载重车</w:t>
            </w:r>
          </w:p>
        </w:tc>
        <w:tc>
          <w:tcPr>
            <w:tcW w:w="1474" w:type="dxa"/>
            <w:tcBorders>
              <w:tl2br w:val="nil"/>
              <w:tr2bl w:val="nil"/>
            </w:tcBorders>
            <w:vAlign w:val="center"/>
          </w:tcPr>
          <w:p w14:paraId="7D4339EE">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80～85</w:t>
            </w:r>
          </w:p>
        </w:tc>
      </w:tr>
      <w:tr w14:paraId="3A1B22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951" w:type="dxa"/>
            <w:tcBorders>
              <w:tl2br w:val="nil"/>
              <w:tr2bl w:val="nil"/>
            </w:tcBorders>
            <w:vAlign w:val="center"/>
          </w:tcPr>
          <w:p w14:paraId="463A959B">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装修阶段</w:t>
            </w:r>
          </w:p>
        </w:tc>
        <w:tc>
          <w:tcPr>
            <w:tcW w:w="2835" w:type="dxa"/>
            <w:tcBorders>
              <w:tl2br w:val="nil"/>
              <w:tr2bl w:val="nil"/>
            </w:tcBorders>
            <w:vAlign w:val="center"/>
          </w:tcPr>
          <w:p w14:paraId="271F202F">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各种装修材料及必要的设备</w:t>
            </w:r>
          </w:p>
        </w:tc>
        <w:tc>
          <w:tcPr>
            <w:tcW w:w="2268" w:type="dxa"/>
            <w:tcBorders>
              <w:tl2br w:val="nil"/>
              <w:tr2bl w:val="nil"/>
            </w:tcBorders>
            <w:vAlign w:val="center"/>
          </w:tcPr>
          <w:p w14:paraId="047E0E01">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轻型载重卡车</w:t>
            </w:r>
          </w:p>
        </w:tc>
        <w:tc>
          <w:tcPr>
            <w:tcW w:w="1474" w:type="dxa"/>
            <w:tcBorders>
              <w:tl2br w:val="nil"/>
              <w:tr2bl w:val="nil"/>
            </w:tcBorders>
            <w:vAlign w:val="center"/>
          </w:tcPr>
          <w:p w14:paraId="48A41154">
            <w:pPr>
              <w:pStyle w:val="47"/>
              <w:spacing w:line="360" w:lineRule="auto"/>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75</w:t>
            </w:r>
          </w:p>
        </w:tc>
      </w:tr>
    </w:tbl>
    <w:p w14:paraId="0FAC99CC">
      <w:pPr>
        <w:pStyle w:val="6"/>
        <w:bidi w:val="0"/>
        <w:rPr>
          <w:rFonts w:hint="default" w:ascii="Times New Roman" w:hAnsi="Times New Roman" w:cs="Times New Roman"/>
        </w:rPr>
      </w:pPr>
      <w:bookmarkStart w:id="302" w:name="_Toc165816748"/>
      <w:bookmarkStart w:id="303" w:name="_Toc2204"/>
      <w:r>
        <w:rPr>
          <w:rFonts w:hint="default" w:ascii="Times New Roman" w:hAnsi="Times New Roman" w:cs="Times New Roman"/>
          <w:lang w:val="en-US" w:eastAsia="zh-CN"/>
        </w:rPr>
        <w:t>3</w:t>
      </w:r>
      <w:r>
        <w:rPr>
          <w:rFonts w:hint="default" w:ascii="Times New Roman" w:hAnsi="Times New Roman" w:cs="Times New Roman"/>
        </w:rPr>
        <w:t>.4.4施工期固体废物</w:t>
      </w:r>
      <w:bookmarkEnd w:id="302"/>
      <w:bookmarkEnd w:id="303"/>
    </w:p>
    <w:p w14:paraId="613C752B">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项目施工期主要固体废弃物为开挖土石方、建筑垃圾和施工人员产生的生活垃圾。</w:t>
      </w:r>
    </w:p>
    <w:p w14:paraId="46ADF703">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（1）开挖土石方</w:t>
      </w:r>
    </w:p>
    <w:p w14:paraId="58E1BF51">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项目施工期土石方主要来源于场地平整、厂房基础开挖等基础开挖。施工期土石方达到场内平衡，不外排。</w:t>
      </w:r>
    </w:p>
    <w:p w14:paraId="15506FB7">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（2）建筑垃圾</w:t>
      </w:r>
    </w:p>
    <w:p w14:paraId="1DBF1F74">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w:t>
      </w:r>
      <w:r>
        <w:rPr>
          <w:rFonts w:hint="default" w:ascii="Times New Roman" w:hAnsi="Times New Roman" w:cs="Times New Roman" w:eastAsiaTheme="minorEastAsia"/>
          <w:bCs/>
          <w:sz w:val="24"/>
          <w:szCs w:val="24"/>
        </w:rPr>
        <w:t>施工期产生的另一固体废物主要为建筑废弃材料，包括砂石、石块、碎砖、废木料、废金属、废钢筋等杂物，产生的建筑垃圾采用分类清理、及时处置，如钢材和塑料等，可回收利用的回收利用，对残余混凝土等不可回收的建筑垃圾集中收集后按当地管理部门要求进行处置。禁止与生活垃圾混合处置，禁止随意丢弃。</w:t>
      </w:r>
    </w:p>
    <w:p w14:paraId="49ACD65F">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（3）装修废弃材料</w:t>
      </w:r>
    </w:p>
    <w:p w14:paraId="67A83E59">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建筑完工后对办公用房、附属用房等进行装修，在装修过程中会产生一定的废弃材料，如塑料以及腻子粉包装袋等各种装修材料固废，产生的废弃材料部分收集后回用，部分统一收集后按照当地管理部门的要求进行处理。</w:t>
      </w:r>
    </w:p>
    <w:p w14:paraId="773C23CD">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（4）生活垃圾</w:t>
      </w:r>
    </w:p>
    <w:p w14:paraId="0EDE1A63">
      <w:pPr>
        <w:spacing w:line="360" w:lineRule="auto"/>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sz w:val="24"/>
          <w:szCs w:val="24"/>
        </w:rPr>
        <w:t>项目内不设置临时施工营地，不设置食堂，项目平均施工人员</w:t>
      </w:r>
      <w:r>
        <w:rPr>
          <w:rFonts w:hint="default" w:ascii="Times New Roman" w:hAnsi="Times New Roman" w:cs="Times New Roman" w:eastAsiaTheme="minorEastAsia"/>
          <w:sz w:val="24"/>
          <w:szCs w:val="24"/>
          <w:lang w:val="en-US" w:eastAsia="zh-CN"/>
        </w:rPr>
        <w:t>10</w:t>
      </w:r>
      <w:r>
        <w:rPr>
          <w:rFonts w:hint="default" w:ascii="Times New Roman" w:hAnsi="Times New Roman" w:cs="Times New Roman" w:eastAsiaTheme="minorEastAsia"/>
          <w:sz w:val="24"/>
          <w:szCs w:val="24"/>
        </w:rPr>
        <w:t>人，</w:t>
      </w:r>
      <w:r>
        <w:rPr>
          <w:rFonts w:hint="default" w:ascii="Times New Roman" w:hAnsi="Times New Roman" w:cs="Times New Roman" w:eastAsiaTheme="minorEastAsia"/>
          <w:sz w:val="24"/>
          <w:szCs w:val="24"/>
          <w:lang w:val="en-US" w:eastAsia="zh-CN"/>
        </w:rPr>
        <w:t>均不在厂区食宿，</w:t>
      </w:r>
      <w:r>
        <w:rPr>
          <w:rFonts w:hint="default" w:ascii="Times New Roman" w:hAnsi="Times New Roman" w:cs="Times New Roman" w:eastAsiaTheme="minorEastAsia"/>
          <w:sz w:val="24"/>
          <w:szCs w:val="24"/>
        </w:rPr>
        <w:t>根据类比，不在工地内食宿人员生活垃圾产生量按0.5kg/d·人计，则项目工程施工人员生活垃圾产生量为</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kg/d。该部分垃圾</w:t>
      </w:r>
      <w:r>
        <w:rPr>
          <w:rFonts w:hint="default" w:ascii="Times New Roman" w:hAnsi="Times New Roman" w:cs="Times New Roman" w:eastAsiaTheme="minorEastAsia"/>
          <w:color w:val="auto"/>
          <w:sz w:val="24"/>
          <w:szCs w:val="24"/>
          <w:lang w:val="en-US" w:eastAsia="zh-CN"/>
        </w:rPr>
        <w:t>依托矿山垃圾池</w:t>
      </w:r>
      <w:r>
        <w:rPr>
          <w:rFonts w:hint="default" w:ascii="Times New Roman" w:hAnsi="Times New Roman" w:cs="Times New Roman" w:eastAsiaTheme="minorEastAsia"/>
          <w:color w:val="auto"/>
          <w:sz w:val="24"/>
          <w:szCs w:val="24"/>
        </w:rPr>
        <w:t>统一收集后</w:t>
      </w:r>
      <w:r>
        <w:rPr>
          <w:rFonts w:hint="default" w:ascii="Times New Roman" w:hAnsi="Times New Roman" w:cs="Times New Roman" w:eastAsiaTheme="minorEastAsia"/>
          <w:color w:val="auto"/>
          <w:sz w:val="24"/>
          <w:szCs w:val="24"/>
          <w:lang w:val="en-US" w:eastAsia="zh-CN"/>
        </w:rPr>
        <w:t>定期清运至扬武镇生活垃圾收集点</w:t>
      </w:r>
      <w:r>
        <w:rPr>
          <w:rFonts w:hint="default" w:ascii="Times New Roman" w:hAnsi="Times New Roman" w:cs="Times New Roman" w:eastAsiaTheme="minorEastAsia"/>
          <w:color w:val="auto"/>
          <w:sz w:val="24"/>
          <w:szCs w:val="24"/>
        </w:rPr>
        <w:t>，严禁随意乱丢及焚烧。</w:t>
      </w:r>
    </w:p>
    <w:p w14:paraId="2B8646C4">
      <w:pPr>
        <w:pStyle w:val="5"/>
        <w:bidi w:val="0"/>
        <w:rPr>
          <w:rFonts w:hint="default" w:ascii="Times New Roman" w:hAnsi="Times New Roman" w:cs="Times New Roman"/>
        </w:rPr>
      </w:pPr>
      <w:bookmarkStart w:id="304" w:name="_Toc31281"/>
      <w:bookmarkStart w:id="305" w:name="_Toc10794"/>
      <w:bookmarkStart w:id="306" w:name="_Toc165816749"/>
      <w:bookmarkStart w:id="307" w:name="_Toc31008"/>
      <w:bookmarkStart w:id="308" w:name="_Toc5575"/>
      <w:bookmarkStart w:id="309" w:name="_Toc28057"/>
      <w:r>
        <w:rPr>
          <w:rFonts w:hint="default" w:ascii="Times New Roman" w:hAnsi="Times New Roman" w:cs="Times New Roman"/>
          <w:lang w:val="en-US" w:eastAsia="zh-CN"/>
        </w:rPr>
        <w:t>3</w:t>
      </w:r>
      <w:r>
        <w:rPr>
          <w:rFonts w:hint="default" w:ascii="Times New Roman" w:hAnsi="Times New Roman" w:cs="Times New Roman"/>
        </w:rPr>
        <w:t>.5运营期污染源源强核算</w:t>
      </w:r>
      <w:bookmarkEnd w:id="304"/>
      <w:bookmarkEnd w:id="305"/>
      <w:bookmarkEnd w:id="306"/>
      <w:bookmarkEnd w:id="307"/>
      <w:bookmarkEnd w:id="308"/>
      <w:bookmarkEnd w:id="309"/>
    </w:p>
    <w:p w14:paraId="1F0B4316">
      <w:pPr>
        <w:pStyle w:val="6"/>
        <w:bidi w:val="0"/>
        <w:rPr>
          <w:rFonts w:hint="default" w:ascii="Times New Roman" w:hAnsi="Times New Roman" w:cs="Times New Roman"/>
        </w:rPr>
      </w:pPr>
      <w:bookmarkStart w:id="310" w:name="_Toc25331"/>
      <w:bookmarkStart w:id="311" w:name="_Toc165816750"/>
      <w:r>
        <w:rPr>
          <w:rFonts w:hint="default" w:ascii="Times New Roman" w:hAnsi="Times New Roman" w:cs="Times New Roman"/>
          <w:lang w:val="en-US" w:eastAsia="zh-CN"/>
        </w:rPr>
        <w:t>3</w:t>
      </w:r>
      <w:r>
        <w:rPr>
          <w:rFonts w:hint="default" w:ascii="Times New Roman" w:hAnsi="Times New Roman" w:cs="Times New Roman"/>
        </w:rPr>
        <w:t>.5.1运营期废水</w:t>
      </w:r>
      <w:bookmarkEnd w:id="310"/>
      <w:bookmarkEnd w:id="311"/>
    </w:p>
    <w:p w14:paraId="66EE1601">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w:t>
      </w:r>
      <w:bookmarkStart w:id="312" w:name="_Hlk162448190"/>
      <w:r>
        <w:rPr>
          <w:rFonts w:hint="default" w:ascii="Times New Roman" w:hAnsi="Times New Roman" w:cs="Times New Roman" w:eastAsiaTheme="minorEastAsia"/>
          <w:sz w:val="24"/>
          <w:szCs w:val="24"/>
        </w:rPr>
        <w:t>项目无生产废水，废水主要为生活污水、初期雨水。</w:t>
      </w:r>
    </w:p>
    <w:bookmarkEnd w:id="312"/>
    <w:p w14:paraId="5F2170CE">
      <w:pPr>
        <w:spacing w:line="360" w:lineRule="auto"/>
        <w:ind w:firstLine="482"/>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1、生活污水</w:t>
      </w:r>
    </w:p>
    <w:p w14:paraId="16A772D7">
      <w:pPr>
        <w:spacing w:line="360" w:lineRule="auto"/>
        <w:ind w:firstLine="48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根据用水量分析，生活用水总量为</w:t>
      </w:r>
      <w:r>
        <w:rPr>
          <w:rFonts w:hint="default" w:ascii="Times New Roman" w:hAnsi="Times New Roman" w:cs="Times New Roman" w:eastAsiaTheme="minorEastAsia"/>
          <w:color w:val="auto"/>
          <w:sz w:val="24"/>
          <w:szCs w:val="24"/>
          <w:lang w:val="en-US" w:eastAsia="zh-CN"/>
        </w:rPr>
        <w:t>150</w:t>
      </w:r>
      <w:r>
        <w:rPr>
          <w:rFonts w:hint="default" w:ascii="Times New Roman" w:hAnsi="Times New Roman" w:cs="Times New Roman" w:eastAsiaTheme="minorEastAsia"/>
          <w:color w:val="auto"/>
          <w:kern w:val="24"/>
          <w:sz w:val="24"/>
          <w:szCs w:val="24"/>
        </w:rPr>
        <w:t>m</w:t>
      </w:r>
      <w:r>
        <w:rPr>
          <w:rFonts w:hint="default" w:ascii="Times New Roman" w:hAnsi="Times New Roman" w:cs="Times New Roman" w:eastAsiaTheme="minorEastAsia"/>
          <w:color w:val="auto"/>
          <w:kern w:val="24"/>
          <w:sz w:val="24"/>
          <w:szCs w:val="24"/>
          <w:vertAlign w:val="superscript"/>
        </w:rPr>
        <w:t>3</w:t>
      </w:r>
      <w:r>
        <w:rPr>
          <w:rFonts w:hint="default" w:ascii="Times New Roman" w:hAnsi="Times New Roman" w:cs="Times New Roman" w:eastAsiaTheme="minorEastAsia"/>
          <w:color w:val="auto"/>
          <w:kern w:val="24"/>
          <w:sz w:val="24"/>
          <w:szCs w:val="24"/>
        </w:rPr>
        <w:t>/a（</w:t>
      </w:r>
      <w:r>
        <w:rPr>
          <w:rFonts w:hint="default" w:ascii="Times New Roman" w:hAnsi="Times New Roman" w:cs="Times New Roman" w:eastAsiaTheme="minorEastAsia"/>
          <w:color w:val="auto"/>
          <w:kern w:val="24"/>
          <w:sz w:val="24"/>
          <w:szCs w:val="24"/>
          <w:lang w:val="en-US" w:eastAsia="zh-CN"/>
        </w:rPr>
        <w:t>0.5</w:t>
      </w:r>
      <w:r>
        <w:rPr>
          <w:rFonts w:hint="default" w:ascii="Times New Roman" w:hAnsi="Times New Roman" w:cs="Times New Roman" w:eastAsiaTheme="minorEastAsia"/>
          <w:color w:val="auto"/>
          <w:kern w:val="24"/>
          <w:sz w:val="24"/>
          <w:szCs w:val="24"/>
        </w:rPr>
        <w:t>m</w:t>
      </w:r>
      <w:r>
        <w:rPr>
          <w:rFonts w:hint="default" w:ascii="Times New Roman" w:hAnsi="Times New Roman" w:cs="Times New Roman" w:eastAsiaTheme="minorEastAsia"/>
          <w:color w:val="auto"/>
          <w:kern w:val="24"/>
          <w:sz w:val="24"/>
          <w:szCs w:val="24"/>
          <w:vertAlign w:val="superscript"/>
        </w:rPr>
        <w:t>3</w:t>
      </w:r>
      <w:r>
        <w:rPr>
          <w:rFonts w:hint="default" w:ascii="Times New Roman" w:hAnsi="Times New Roman" w:cs="Times New Roman" w:eastAsiaTheme="minorEastAsia"/>
          <w:color w:val="auto"/>
          <w:kern w:val="24"/>
          <w:sz w:val="24"/>
          <w:szCs w:val="24"/>
        </w:rPr>
        <w:t>/d）</w:t>
      </w:r>
      <w:r>
        <w:rPr>
          <w:rFonts w:hint="default" w:ascii="Times New Roman" w:hAnsi="Times New Roman" w:cs="Times New Roman" w:eastAsiaTheme="minorEastAsia"/>
          <w:color w:val="auto"/>
          <w:sz w:val="24"/>
          <w:szCs w:val="24"/>
        </w:rPr>
        <w:t>，生活污水产生量按80%计，则生活污水产生量为</w:t>
      </w:r>
      <w:r>
        <w:rPr>
          <w:rFonts w:hint="default" w:ascii="Times New Roman" w:hAnsi="Times New Roman" w:cs="Times New Roman" w:eastAsiaTheme="minorEastAsia"/>
          <w:color w:val="auto"/>
          <w:sz w:val="24"/>
          <w:szCs w:val="24"/>
          <w:lang w:val="en-US" w:eastAsia="zh-CN"/>
        </w:rPr>
        <w:t>120</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/a（</w:t>
      </w:r>
      <w:r>
        <w:rPr>
          <w:rFonts w:hint="default" w:ascii="Times New Roman" w:hAnsi="Times New Roman" w:cs="Times New Roman" w:eastAsiaTheme="minorEastAsia"/>
          <w:color w:val="auto"/>
          <w:sz w:val="24"/>
          <w:szCs w:val="24"/>
          <w:lang w:val="en-US" w:eastAsia="zh-CN"/>
        </w:rPr>
        <w:t>0.40</w:t>
      </w:r>
      <w:r>
        <w:rPr>
          <w:rFonts w:hint="default" w:ascii="Times New Roman" w:hAnsi="Times New Roman" w:cs="Times New Roman" w:eastAsiaTheme="minorEastAsia"/>
          <w:color w:val="auto"/>
          <w:sz w:val="24"/>
          <w:szCs w:val="24"/>
        </w:rPr>
        <w:t xml:space="preserve"> 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/d）。生活污水依托</w:t>
      </w:r>
      <w:r>
        <w:rPr>
          <w:rFonts w:hint="default" w:ascii="Times New Roman" w:hAnsi="Times New Roman" w:cs="Times New Roman" w:eastAsiaTheme="minorEastAsia"/>
          <w:color w:val="auto"/>
          <w:sz w:val="24"/>
          <w:szCs w:val="24"/>
          <w:lang w:val="en-US" w:eastAsia="zh-CN"/>
        </w:rPr>
        <w:t>鲁奎山铁矿</w:t>
      </w:r>
      <w:r>
        <w:rPr>
          <w:rFonts w:hint="default" w:ascii="Times New Roman" w:hAnsi="Times New Roman" w:cs="Times New Roman" w:eastAsiaTheme="minorEastAsia"/>
          <w:color w:val="auto"/>
          <w:sz w:val="24"/>
          <w:szCs w:val="24"/>
        </w:rPr>
        <w:t>生活污水处理设施，厨房废水经隔油池隔油处理，宿舍区生活污水经化粪池处理后与厨房废水进入一体化污水处理设备，处理达</w:t>
      </w:r>
      <w:r>
        <w:rPr>
          <w:rFonts w:hint="default" w:ascii="Times New Roman" w:hAnsi="Times New Roman" w:eastAsia="宋体" w:cs="Times New Roman"/>
          <w:color w:val="auto"/>
          <w:sz w:val="24"/>
          <w:szCs w:val="24"/>
        </w:rPr>
        <w:t>到《城市污水再生利用城市杂用水水质》（GB/T18920-20</w:t>
      </w:r>
      <w:r>
        <w:rPr>
          <w:rFonts w:hint="default"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rPr>
        <w:t>）</w:t>
      </w:r>
      <w:r>
        <w:rPr>
          <w:rFonts w:hint="default" w:ascii="Times New Roman" w:hAnsi="Times New Roman" w:cs="Times New Roman" w:eastAsiaTheme="minorEastAsia"/>
          <w:color w:val="auto"/>
          <w:sz w:val="24"/>
          <w:szCs w:val="24"/>
        </w:rPr>
        <w:t>回用于</w:t>
      </w:r>
      <w:r>
        <w:rPr>
          <w:rFonts w:hint="default" w:ascii="Times New Roman" w:hAnsi="Times New Roman" w:cs="Times New Roman" w:eastAsiaTheme="minorEastAsia"/>
          <w:color w:val="auto"/>
          <w:sz w:val="24"/>
          <w:szCs w:val="24"/>
          <w:lang w:val="en-US" w:eastAsia="zh-CN"/>
        </w:rPr>
        <w:t>矿山</w:t>
      </w:r>
      <w:r>
        <w:rPr>
          <w:rFonts w:hint="default" w:ascii="Times New Roman" w:hAnsi="Times New Roman" w:cs="Times New Roman" w:eastAsiaTheme="minorEastAsia"/>
          <w:color w:val="auto"/>
          <w:sz w:val="24"/>
          <w:szCs w:val="24"/>
        </w:rPr>
        <w:t>绿化及洒水降尘。</w:t>
      </w:r>
    </w:p>
    <w:p w14:paraId="6DB1651E">
      <w:pPr>
        <w:spacing w:line="360" w:lineRule="auto"/>
        <w:ind w:firstLine="48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2、初期雨水</w:t>
      </w:r>
    </w:p>
    <w:p w14:paraId="449652DD">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w:t>
      </w:r>
      <w:r>
        <w:rPr>
          <w:rFonts w:hint="default" w:ascii="Times New Roman" w:hAnsi="Times New Roman" w:cs="Times New Roman" w:eastAsiaTheme="minorEastAsia"/>
          <w:sz w:val="24"/>
          <w:szCs w:val="24"/>
          <w:lang w:val="en-US" w:eastAsia="zh-CN"/>
        </w:rPr>
        <w:t>位于6号料场内，本次环评提出新建初期雨水收集池，收集本项目及整个6号料场初期雨水。初期雨水经沉淀后</w:t>
      </w:r>
      <w:r>
        <w:rPr>
          <w:rFonts w:hint="default" w:ascii="Times New Roman" w:hAnsi="Times New Roman" w:cs="Times New Roman" w:eastAsiaTheme="minorEastAsia"/>
          <w:sz w:val="24"/>
          <w:szCs w:val="24"/>
        </w:rPr>
        <w:t>用于降尘，不外排。雨水收集池总容积</w:t>
      </w:r>
      <w:r>
        <w:rPr>
          <w:rFonts w:hint="default" w:ascii="Times New Roman" w:hAnsi="Times New Roman" w:cs="Times New Roman" w:eastAsiaTheme="minorEastAsia"/>
          <w:sz w:val="24"/>
          <w:szCs w:val="24"/>
          <w:lang w:val="en-US" w:eastAsia="zh-CN"/>
        </w:rPr>
        <w:t>325</w:t>
      </w:r>
      <w:r>
        <w:rPr>
          <w:rFonts w:hint="default" w:ascii="Times New Roman" w:hAnsi="Times New Roman" w:cs="Times New Roman" w:eastAsiaTheme="minorEastAsia"/>
          <w:sz w:val="24"/>
          <w:szCs w:val="24"/>
        </w:rPr>
        <w:t>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，可以满足最大暴雨强度情况下雨水的收集。</w:t>
      </w:r>
    </w:p>
    <w:p w14:paraId="4923897E">
      <w:pPr>
        <w:adjustRightInd w:val="0"/>
        <w:snapToGrid w:val="0"/>
        <w:spacing w:line="360" w:lineRule="auto"/>
        <w:ind w:firstLine="420" w:firstLineChars="200"/>
        <w:jc w:val="center"/>
        <w:rPr>
          <w:rFonts w:hint="default" w:ascii="Times New Roman" w:hAnsi="Times New Roman" w:eastAsia="黑体" w:cs="Times New Roman"/>
          <w:b w:val="0"/>
          <w:bCs w:val="0"/>
          <w:kern w:val="24"/>
          <w:sz w:val="21"/>
          <w:szCs w:val="21"/>
        </w:rPr>
      </w:pPr>
      <w:r>
        <w:rPr>
          <w:rFonts w:hint="default" w:ascii="Times New Roman" w:hAnsi="Times New Roman" w:eastAsia="黑体" w:cs="Times New Roman"/>
          <w:b w:val="0"/>
          <w:bCs w:val="0"/>
          <w:kern w:val="24"/>
          <w:sz w:val="21"/>
          <w:szCs w:val="21"/>
        </w:rPr>
        <w:t>表</w:t>
      </w:r>
      <w:r>
        <w:rPr>
          <w:rFonts w:hint="default" w:ascii="Times New Roman" w:hAnsi="Times New Roman" w:eastAsia="黑体" w:cs="Times New Roman"/>
          <w:b w:val="0"/>
          <w:bCs w:val="0"/>
          <w:kern w:val="24"/>
          <w:sz w:val="21"/>
          <w:szCs w:val="21"/>
          <w:lang w:val="en-US" w:eastAsia="zh-CN"/>
        </w:rPr>
        <w:t>3</w:t>
      </w:r>
      <w:r>
        <w:rPr>
          <w:rFonts w:hint="default" w:ascii="Times New Roman" w:hAnsi="Times New Roman" w:eastAsia="黑体" w:cs="Times New Roman"/>
          <w:b w:val="0"/>
          <w:bCs w:val="0"/>
          <w:kern w:val="24"/>
          <w:sz w:val="21"/>
          <w:szCs w:val="21"/>
        </w:rPr>
        <w:t>.5</w:t>
      </w:r>
      <w:r>
        <w:rPr>
          <w:rFonts w:hint="default" w:ascii="Times New Roman" w:hAnsi="Times New Roman" w:eastAsia="黑体" w:cs="Times New Roman"/>
          <w:b w:val="0"/>
          <w:bCs w:val="0"/>
          <w:kern w:val="24"/>
          <w:sz w:val="21"/>
          <w:szCs w:val="21"/>
          <w:lang w:val="en-US" w:eastAsia="zh-CN"/>
        </w:rPr>
        <w:t>.1</w:t>
      </w:r>
      <w:r>
        <w:rPr>
          <w:rFonts w:hint="default" w:ascii="Times New Roman" w:hAnsi="Times New Roman" w:eastAsia="黑体" w:cs="Times New Roman"/>
          <w:b w:val="0"/>
          <w:bCs w:val="0"/>
          <w:kern w:val="24"/>
          <w:sz w:val="21"/>
          <w:szCs w:val="21"/>
        </w:rPr>
        <w:t>-1   项目建成后生活污水产生排放统计情况表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351"/>
        <w:gridCol w:w="776"/>
        <w:gridCol w:w="1059"/>
        <w:gridCol w:w="1043"/>
        <w:gridCol w:w="962"/>
        <w:gridCol w:w="997"/>
        <w:gridCol w:w="1007"/>
        <w:gridCol w:w="1007"/>
      </w:tblGrid>
      <w:tr w14:paraId="7AD465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084" w:type="dxa"/>
            <w:vMerge w:val="restart"/>
            <w:tcBorders>
              <w:tl2br w:val="nil"/>
              <w:tr2bl w:val="nil"/>
            </w:tcBorders>
            <w:vAlign w:val="center"/>
          </w:tcPr>
          <w:p w14:paraId="0D821496">
            <w:pPr>
              <w:pStyle w:val="9"/>
              <w:spacing w:line="240" w:lineRule="auto"/>
              <w:ind w:firstLine="0"/>
              <w:jc w:val="center"/>
              <w:rPr>
                <w:rFonts w:hint="default" w:ascii="Times New Roman" w:hAnsi="Times New Roman" w:cs="Times New Roman" w:eastAsiaTheme="minorEastAsia"/>
                <w:sz w:val="18"/>
                <w:szCs w:val="18"/>
              </w:rPr>
            </w:pPr>
            <w:bookmarkStart w:id="313" w:name="_Hlk162514758"/>
            <w:r>
              <w:rPr>
                <w:rFonts w:hint="default" w:ascii="Times New Roman" w:hAnsi="Times New Roman" w:cs="Times New Roman" w:eastAsiaTheme="minorEastAsia"/>
                <w:sz w:val="18"/>
                <w:szCs w:val="18"/>
              </w:rPr>
              <w:t>废水量</w:t>
            </w:r>
          </w:p>
        </w:tc>
        <w:tc>
          <w:tcPr>
            <w:tcW w:w="1351" w:type="dxa"/>
            <w:vMerge w:val="restart"/>
            <w:tcBorders>
              <w:tl2br w:val="nil"/>
              <w:tr2bl w:val="nil"/>
            </w:tcBorders>
            <w:vAlign w:val="center"/>
          </w:tcPr>
          <w:p w14:paraId="39B27535">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污染物浓度及排放量</w:t>
            </w:r>
          </w:p>
        </w:tc>
        <w:tc>
          <w:tcPr>
            <w:tcW w:w="776" w:type="dxa"/>
            <w:vMerge w:val="restart"/>
            <w:tcBorders>
              <w:tl2br w:val="nil"/>
              <w:tr2bl w:val="nil"/>
            </w:tcBorders>
            <w:vAlign w:val="center"/>
          </w:tcPr>
          <w:p w14:paraId="6AB1B1BE">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单位</w:t>
            </w:r>
          </w:p>
        </w:tc>
        <w:tc>
          <w:tcPr>
            <w:tcW w:w="6075" w:type="dxa"/>
            <w:gridSpan w:val="6"/>
            <w:tcBorders>
              <w:tl2br w:val="nil"/>
              <w:tr2bl w:val="nil"/>
            </w:tcBorders>
            <w:vAlign w:val="center"/>
          </w:tcPr>
          <w:p w14:paraId="773526DF">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污染物</w:t>
            </w:r>
          </w:p>
        </w:tc>
      </w:tr>
      <w:tr w14:paraId="610784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084" w:type="dxa"/>
            <w:vMerge w:val="continue"/>
            <w:tcBorders>
              <w:tl2br w:val="nil"/>
              <w:tr2bl w:val="nil"/>
            </w:tcBorders>
            <w:vAlign w:val="center"/>
          </w:tcPr>
          <w:p w14:paraId="1125EA9C">
            <w:pPr>
              <w:pStyle w:val="9"/>
              <w:spacing w:line="240" w:lineRule="auto"/>
              <w:ind w:firstLine="0"/>
              <w:jc w:val="center"/>
              <w:rPr>
                <w:rFonts w:hint="default" w:ascii="Times New Roman" w:hAnsi="Times New Roman" w:cs="Times New Roman" w:eastAsiaTheme="minorEastAsia"/>
                <w:sz w:val="18"/>
                <w:szCs w:val="18"/>
              </w:rPr>
            </w:pPr>
          </w:p>
        </w:tc>
        <w:tc>
          <w:tcPr>
            <w:tcW w:w="1351" w:type="dxa"/>
            <w:vMerge w:val="continue"/>
            <w:tcBorders>
              <w:tl2br w:val="nil"/>
              <w:tr2bl w:val="nil"/>
            </w:tcBorders>
            <w:vAlign w:val="center"/>
          </w:tcPr>
          <w:p w14:paraId="10E146C6">
            <w:pPr>
              <w:pStyle w:val="9"/>
              <w:spacing w:line="240" w:lineRule="auto"/>
              <w:ind w:firstLine="0"/>
              <w:jc w:val="center"/>
              <w:rPr>
                <w:rFonts w:hint="default" w:ascii="Times New Roman" w:hAnsi="Times New Roman" w:cs="Times New Roman" w:eastAsiaTheme="minorEastAsia"/>
                <w:sz w:val="18"/>
                <w:szCs w:val="18"/>
              </w:rPr>
            </w:pPr>
          </w:p>
        </w:tc>
        <w:tc>
          <w:tcPr>
            <w:tcW w:w="776" w:type="dxa"/>
            <w:vMerge w:val="continue"/>
            <w:tcBorders>
              <w:tl2br w:val="nil"/>
              <w:tr2bl w:val="nil"/>
            </w:tcBorders>
            <w:vAlign w:val="center"/>
          </w:tcPr>
          <w:p w14:paraId="22183E46">
            <w:pPr>
              <w:pStyle w:val="9"/>
              <w:spacing w:line="240" w:lineRule="auto"/>
              <w:ind w:firstLine="0"/>
              <w:jc w:val="center"/>
              <w:rPr>
                <w:rFonts w:hint="default" w:ascii="Times New Roman" w:hAnsi="Times New Roman" w:cs="Times New Roman" w:eastAsiaTheme="minorEastAsia"/>
                <w:sz w:val="18"/>
                <w:szCs w:val="18"/>
              </w:rPr>
            </w:pPr>
          </w:p>
        </w:tc>
        <w:tc>
          <w:tcPr>
            <w:tcW w:w="1059" w:type="dxa"/>
            <w:tcBorders>
              <w:tl2br w:val="nil"/>
              <w:tr2bl w:val="nil"/>
            </w:tcBorders>
            <w:vAlign w:val="center"/>
          </w:tcPr>
          <w:p w14:paraId="7B553FFB">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COD</w:t>
            </w:r>
            <w:r>
              <w:rPr>
                <w:rFonts w:hint="default" w:ascii="Times New Roman" w:hAnsi="Times New Roman" w:cs="Times New Roman" w:eastAsiaTheme="minorEastAsia"/>
                <w:sz w:val="18"/>
                <w:szCs w:val="18"/>
                <w:vertAlign w:val="subscript"/>
              </w:rPr>
              <w:t>cr</w:t>
            </w:r>
          </w:p>
        </w:tc>
        <w:tc>
          <w:tcPr>
            <w:tcW w:w="1043" w:type="dxa"/>
            <w:tcBorders>
              <w:tl2br w:val="nil"/>
              <w:tr2bl w:val="nil"/>
            </w:tcBorders>
            <w:vAlign w:val="center"/>
          </w:tcPr>
          <w:p w14:paraId="434BEFBE">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BOD</w:t>
            </w:r>
            <w:r>
              <w:rPr>
                <w:rFonts w:hint="default" w:ascii="Times New Roman" w:hAnsi="Times New Roman" w:cs="Times New Roman" w:eastAsiaTheme="minorEastAsia"/>
                <w:sz w:val="18"/>
                <w:szCs w:val="18"/>
                <w:vertAlign w:val="subscript"/>
              </w:rPr>
              <w:t>5</w:t>
            </w:r>
          </w:p>
        </w:tc>
        <w:tc>
          <w:tcPr>
            <w:tcW w:w="962" w:type="dxa"/>
            <w:tcBorders>
              <w:tl2br w:val="nil"/>
              <w:tr2bl w:val="nil"/>
            </w:tcBorders>
            <w:vAlign w:val="center"/>
          </w:tcPr>
          <w:p w14:paraId="41721B07">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NH</w:t>
            </w:r>
            <w:r>
              <w:rPr>
                <w:rFonts w:hint="default" w:ascii="Times New Roman" w:hAnsi="Times New Roman" w:cs="Times New Roman" w:eastAsiaTheme="minorEastAsia"/>
                <w:sz w:val="18"/>
                <w:szCs w:val="18"/>
                <w:vertAlign w:val="subscript"/>
              </w:rPr>
              <w:t>3</w:t>
            </w:r>
            <w:r>
              <w:rPr>
                <w:rFonts w:hint="default" w:ascii="Times New Roman" w:hAnsi="Times New Roman" w:cs="Times New Roman" w:eastAsiaTheme="minorEastAsia"/>
                <w:sz w:val="18"/>
                <w:szCs w:val="18"/>
              </w:rPr>
              <w:t>-N</w:t>
            </w:r>
          </w:p>
        </w:tc>
        <w:tc>
          <w:tcPr>
            <w:tcW w:w="997" w:type="dxa"/>
            <w:tcBorders>
              <w:tl2br w:val="nil"/>
              <w:tr2bl w:val="nil"/>
            </w:tcBorders>
            <w:vAlign w:val="center"/>
          </w:tcPr>
          <w:p w14:paraId="173A5333">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SS</w:t>
            </w:r>
          </w:p>
        </w:tc>
        <w:tc>
          <w:tcPr>
            <w:tcW w:w="1007" w:type="dxa"/>
            <w:tcBorders>
              <w:tl2br w:val="nil"/>
              <w:tr2bl w:val="nil"/>
            </w:tcBorders>
            <w:vAlign w:val="center"/>
          </w:tcPr>
          <w:p w14:paraId="0390DD81">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TP</w:t>
            </w:r>
          </w:p>
        </w:tc>
        <w:tc>
          <w:tcPr>
            <w:tcW w:w="1007" w:type="dxa"/>
            <w:tcBorders>
              <w:tl2br w:val="nil"/>
              <w:tr2bl w:val="nil"/>
            </w:tcBorders>
            <w:vAlign w:val="center"/>
          </w:tcPr>
          <w:p w14:paraId="7435D45E">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动植物油</w:t>
            </w:r>
          </w:p>
        </w:tc>
      </w:tr>
      <w:tr w14:paraId="0021E0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084" w:type="dxa"/>
            <w:vMerge w:val="restart"/>
            <w:tcBorders>
              <w:tl2br w:val="nil"/>
              <w:tr2bl w:val="nil"/>
            </w:tcBorders>
            <w:vAlign w:val="center"/>
          </w:tcPr>
          <w:p w14:paraId="66549F85">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生活污水</w:t>
            </w:r>
          </w:p>
          <w:p w14:paraId="5D4AD8F4">
            <w:pPr>
              <w:pStyle w:val="9"/>
              <w:spacing w:line="240" w:lineRule="auto"/>
              <w:ind w:firstLine="0"/>
              <w:jc w:val="center"/>
              <w:rPr>
                <w:rFonts w:hint="default" w:ascii="Times New Roman" w:hAnsi="Times New Roman" w:cs="Times New Roman" w:eastAsiaTheme="minorEastAsia"/>
                <w:kern w:val="24"/>
                <w:sz w:val="18"/>
                <w:szCs w:val="18"/>
              </w:rPr>
            </w:pPr>
            <w:r>
              <w:rPr>
                <w:rFonts w:hint="default" w:ascii="Times New Roman" w:hAnsi="Times New Roman" w:cs="Times New Roman" w:eastAsiaTheme="minorEastAsia"/>
                <w:kern w:val="24"/>
                <w:sz w:val="18"/>
                <w:szCs w:val="18"/>
                <w:lang w:val="en-US" w:eastAsia="zh-CN"/>
              </w:rPr>
              <w:t>0.4</w:t>
            </w:r>
            <w:r>
              <w:rPr>
                <w:rFonts w:hint="default" w:ascii="Times New Roman" w:hAnsi="Times New Roman" w:cs="Times New Roman" w:eastAsiaTheme="minorEastAsia"/>
                <w:kern w:val="24"/>
                <w:sz w:val="18"/>
                <w:szCs w:val="18"/>
              </w:rPr>
              <w:t>m</w:t>
            </w:r>
            <w:r>
              <w:rPr>
                <w:rFonts w:hint="default" w:ascii="Times New Roman" w:hAnsi="Times New Roman" w:cs="Times New Roman" w:eastAsiaTheme="minorEastAsia"/>
                <w:kern w:val="24"/>
                <w:sz w:val="18"/>
                <w:szCs w:val="18"/>
                <w:vertAlign w:val="superscript"/>
              </w:rPr>
              <w:t>3/</w:t>
            </w:r>
            <w:r>
              <w:rPr>
                <w:rFonts w:hint="default" w:ascii="Times New Roman" w:hAnsi="Times New Roman" w:cs="Times New Roman" w:eastAsiaTheme="minorEastAsia"/>
                <w:kern w:val="24"/>
                <w:sz w:val="18"/>
                <w:szCs w:val="18"/>
              </w:rPr>
              <w:t>d</w:t>
            </w:r>
          </w:p>
          <w:p w14:paraId="18BA2595">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kern w:val="24"/>
                <w:sz w:val="18"/>
                <w:szCs w:val="18"/>
                <w:lang w:val="en-US" w:eastAsia="zh-CN"/>
              </w:rPr>
              <w:t>120</w:t>
            </w:r>
            <w:r>
              <w:rPr>
                <w:rFonts w:hint="default" w:ascii="Times New Roman" w:hAnsi="Times New Roman" w:cs="Times New Roman" w:eastAsiaTheme="minorEastAsia"/>
                <w:sz w:val="18"/>
                <w:szCs w:val="18"/>
              </w:rPr>
              <w:t>m</w:t>
            </w:r>
            <w:r>
              <w:rPr>
                <w:rFonts w:hint="default" w:ascii="Times New Roman" w:hAnsi="Times New Roman" w:cs="Times New Roman" w:eastAsiaTheme="minorEastAsia"/>
                <w:sz w:val="18"/>
                <w:szCs w:val="18"/>
                <w:vertAlign w:val="superscript"/>
              </w:rPr>
              <w:t>3</w:t>
            </w:r>
            <w:r>
              <w:rPr>
                <w:rFonts w:hint="default" w:ascii="Times New Roman" w:hAnsi="Times New Roman" w:cs="Times New Roman" w:eastAsiaTheme="minorEastAsia"/>
                <w:sz w:val="18"/>
                <w:szCs w:val="18"/>
              </w:rPr>
              <w:t>/a</w:t>
            </w:r>
          </w:p>
        </w:tc>
        <w:tc>
          <w:tcPr>
            <w:tcW w:w="1351" w:type="dxa"/>
            <w:tcBorders>
              <w:tl2br w:val="nil"/>
              <w:tr2bl w:val="nil"/>
            </w:tcBorders>
            <w:vAlign w:val="center"/>
          </w:tcPr>
          <w:p w14:paraId="5B748681">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产生浓度</w:t>
            </w:r>
          </w:p>
        </w:tc>
        <w:tc>
          <w:tcPr>
            <w:tcW w:w="776" w:type="dxa"/>
            <w:tcBorders>
              <w:tl2br w:val="nil"/>
              <w:tr2bl w:val="nil"/>
            </w:tcBorders>
            <w:vAlign w:val="center"/>
          </w:tcPr>
          <w:p w14:paraId="0551E1EC">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mg/L</w:t>
            </w:r>
          </w:p>
        </w:tc>
        <w:tc>
          <w:tcPr>
            <w:tcW w:w="1059" w:type="dxa"/>
            <w:tcBorders>
              <w:tl2br w:val="nil"/>
              <w:tr2bl w:val="nil"/>
            </w:tcBorders>
            <w:vAlign w:val="center"/>
          </w:tcPr>
          <w:p w14:paraId="339CE51C">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300</w:t>
            </w:r>
          </w:p>
        </w:tc>
        <w:tc>
          <w:tcPr>
            <w:tcW w:w="1043" w:type="dxa"/>
            <w:tcBorders>
              <w:tl2br w:val="nil"/>
              <w:tr2bl w:val="nil"/>
            </w:tcBorders>
            <w:vAlign w:val="center"/>
          </w:tcPr>
          <w:p w14:paraId="6F7E2D51">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150</w:t>
            </w:r>
          </w:p>
        </w:tc>
        <w:tc>
          <w:tcPr>
            <w:tcW w:w="962" w:type="dxa"/>
            <w:tcBorders>
              <w:tl2br w:val="nil"/>
              <w:tr2bl w:val="nil"/>
            </w:tcBorders>
            <w:vAlign w:val="center"/>
          </w:tcPr>
          <w:p w14:paraId="1836BBF7">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30</w:t>
            </w:r>
          </w:p>
        </w:tc>
        <w:tc>
          <w:tcPr>
            <w:tcW w:w="997" w:type="dxa"/>
            <w:tcBorders>
              <w:tl2br w:val="nil"/>
              <w:tr2bl w:val="nil"/>
            </w:tcBorders>
            <w:vAlign w:val="center"/>
          </w:tcPr>
          <w:p w14:paraId="7E1B5C38">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200</w:t>
            </w:r>
          </w:p>
        </w:tc>
        <w:tc>
          <w:tcPr>
            <w:tcW w:w="1007" w:type="dxa"/>
            <w:tcBorders>
              <w:tl2br w:val="nil"/>
              <w:tr2bl w:val="nil"/>
            </w:tcBorders>
            <w:vAlign w:val="center"/>
          </w:tcPr>
          <w:p w14:paraId="2AD4A6F9">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6</w:t>
            </w:r>
          </w:p>
        </w:tc>
        <w:tc>
          <w:tcPr>
            <w:tcW w:w="1007" w:type="dxa"/>
            <w:tcBorders>
              <w:tl2br w:val="nil"/>
              <w:tr2bl w:val="nil"/>
            </w:tcBorders>
            <w:vAlign w:val="center"/>
          </w:tcPr>
          <w:p w14:paraId="27DA343C">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20</w:t>
            </w:r>
          </w:p>
        </w:tc>
      </w:tr>
      <w:tr w14:paraId="39B43B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84" w:type="dxa"/>
            <w:vMerge w:val="continue"/>
            <w:tcBorders>
              <w:tl2br w:val="nil"/>
              <w:tr2bl w:val="nil"/>
            </w:tcBorders>
            <w:vAlign w:val="center"/>
          </w:tcPr>
          <w:p w14:paraId="74F46A19">
            <w:pPr>
              <w:pStyle w:val="9"/>
              <w:spacing w:line="240" w:lineRule="auto"/>
              <w:ind w:firstLine="0"/>
              <w:jc w:val="center"/>
              <w:rPr>
                <w:rFonts w:hint="default" w:ascii="Times New Roman" w:hAnsi="Times New Roman" w:cs="Times New Roman" w:eastAsiaTheme="minorEastAsia"/>
                <w:sz w:val="18"/>
                <w:szCs w:val="18"/>
              </w:rPr>
            </w:pPr>
          </w:p>
        </w:tc>
        <w:tc>
          <w:tcPr>
            <w:tcW w:w="1351" w:type="dxa"/>
            <w:tcBorders>
              <w:tl2br w:val="nil"/>
              <w:tr2bl w:val="nil"/>
            </w:tcBorders>
            <w:vAlign w:val="center"/>
          </w:tcPr>
          <w:p w14:paraId="6F9444A4">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污染物产生量</w:t>
            </w:r>
          </w:p>
        </w:tc>
        <w:tc>
          <w:tcPr>
            <w:tcW w:w="776" w:type="dxa"/>
            <w:tcBorders>
              <w:tl2br w:val="nil"/>
              <w:tr2bl w:val="nil"/>
            </w:tcBorders>
            <w:vAlign w:val="center"/>
          </w:tcPr>
          <w:p w14:paraId="114785FB">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t/a</w:t>
            </w:r>
          </w:p>
        </w:tc>
        <w:tc>
          <w:tcPr>
            <w:tcW w:w="1059" w:type="dxa"/>
            <w:tcBorders>
              <w:tl2br w:val="nil"/>
              <w:tr2bl w:val="nil"/>
            </w:tcBorders>
            <w:vAlign w:val="center"/>
          </w:tcPr>
          <w:p w14:paraId="51610F9C">
            <w:pPr>
              <w:pStyle w:val="9"/>
              <w:spacing w:line="240" w:lineRule="auto"/>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rPr>
              <w:t>0.</w:t>
            </w:r>
            <w:r>
              <w:rPr>
                <w:rFonts w:hint="default" w:ascii="Times New Roman" w:hAnsi="Times New Roman" w:cs="Times New Roman" w:eastAsiaTheme="minorEastAsia"/>
                <w:sz w:val="18"/>
                <w:szCs w:val="18"/>
                <w:lang w:val="en-US" w:eastAsia="zh-CN"/>
              </w:rPr>
              <w:t>036</w:t>
            </w:r>
          </w:p>
        </w:tc>
        <w:tc>
          <w:tcPr>
            <w:tcW w:w="1043" w:type="dxa"/>
            <w:tcBorders>
              <w:tl2br w:val="nil"/>
              <w:tr2bl w:val="nil"/>
            </w:tcBorders>
            <w:vAlign w:val="center"/>
          </w:tcPr>
          <w:p w14:paraId="2CADB6B4">
            <w:pPr>
              <w:pStyle w:val="9"/>
              <w:spacing w:line="240" w:lineRule="auto"/>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0.018</w:t>
            </w:r>
          </w:p>
        </w:tc>
        <w:tc>
          <w:tcPr>
            <w:tcW w:w="962" w:type="dxa"/>
            <w:tcBorders>
              <w:tl2br w:val="nil"/>
              <w:tr2bl w:val="nil"/>
            </w:tcBorders>
            <w:vAlign w:val="center"/>
          </w:tcPr>
          <w:p w14:paraId="253FBC57">
            <w:pPr>
              <w:pStyle w:val="9"/>
              <w:spacing w:line="240" w:lineRule="auto"/>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0.0036</w:t>
            </w:r>
          </w:p>
        </w:tc>
        <w:tc>
          <w:tcPr>
            <w:tcW w:w="997" w:type="dxa"/>
            <w:tcBorders>
              <w:tl2br w:val="nil"/>
              <w:tr2bl w:val="nil"/>
            </w:tcBorders>
            <w:vAlign w:val="center"/>
          </w:tcPr>
          <w:p w14:paraId="3E6FC869">
            <w:pPr>
              <w:pStyle w:val="9"/>
              <w:spacing w:line="240" w:lineRule="auto"/>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0.024</w:t>
            </w:r>
          </w:p>
        </w:tc>
        <w:tc>
          <w:tcPr>
            <w:tcW w:w="1007" w:type="dxa"/>
            <w:tcBorders>
              <w:tl2br w:val="nil"/>
              <w:tr2bl w:val="nil"/>
            </w:tcBorders>
            <w:vAlign w:val="center"/>
          </w:tcPr>
          <w:p w14:paraId="118D4B41">
            <w:pPr>
              <w:pStyle w:val="9"/>
              <w:spacing w:line="240" w:lineRule="auto"/>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0.0007</w:t>
            </w:r>
          </w:p>
        </w:tc>
        <w:tc>
          <w:tcPr>
            <w:tcW w:w="1007" w:type="dxa"/>
            <w:tcBorders>
              <w:tl2br w:val="nil"/>
              <w:tr2bl w:val="nil"/>
            </w:tcBorders>
            <w:vAlign w:val="center"/>
          </w:tcPr>
          <w:p w14:paraId="09D5F9A2">
            <w:pPr>
              <w:pStyle w:val="9"/>
              <w:spacing w:line="240" w:lineRule="auto"/>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0.0024</w:t>
            </w:r>
          </w:p>
        </w:tc>
      </w:tr>
      <w:tr w14:paraId="554C8C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84" w:type="dxa"/>
            <w:vMerge w:val="continue"/>
            <w:tcBorders>
              <w:tl2br w:val="nil"/>
              <w:tr2bl w:val="nil"/>
            </w:tcBorders>
            <w:vAlign w:val="center"/>
          </w:tcPr>
          <w:p w14:paraId="4E0A10B6">
            <w:pPr>
              <w:pStyle w:val="9"/>
              <w:spacing w:line="240" w:lineRule="auto"/>
              <w:ind w:firstLine="0"/>
              <w:jc w:val="center"/>
              <w:rPr>
                <w:rFonts w:hint="default" w:ascii="Times New Roman" w:hAnsi="Times New Roman" w:cs="Times New Roman" w:eastAsiaTheme="minorEastAsia"/>
                <w:sz w:val="18"/>
                <w:szCs w:val="18"/>
              </w:rPr>
            </w:pPr>
          </w:p>
        </w:tc>
        <w:tc>
          <w:tcPr>
            <w:tcW w:w="1351" w:type="dxa"/>
            <w:tcBorders>
              <w:tl2br w:val="nil"/>
              <w:tr2bl w:val="nil"/>
            </w:tcBorders>
            <w:vAlign w:val="center"/>
          </w:tcPr>
          <w:p w14:paraId="5ED57FA6">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去除率</w:t>
            </w:r>
          </w:p>
        </w:tc>
        <w:tc>
          <w:tcPr>
            <w:tcW w:w="776" w:type="dxa"/>
            <w:tcBorders>
              <w:tl2br w:val="nil"/>
              <w:tr2bl w:val="nil"/>
            </w:tcBorders>
            <w:vAlign w:val="center"/>
          </w:tcPr>
          <w:p w14:paraId="01FE3B36">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w:t>
            </w:r>
          </w:p>
        </w:tc>
        <w:tc>
          <w:tcPr>
            <w:tcW w:w="1059" w:type="dxa"/>
            <w:tcBorders>
              <w:tl2br w:val="nil"/>
              <w:tr2bl w:val="nil"/>
            </w:tcBorders>
            <w:vAlign w:val="center"/>
          </w:tcPr>
          <w:p w14:paraId="7F3118CC">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80</w:t>
            </w:r>
          </w:p>
        </w:tc>
        <w:tc>
          <w:tcPr>
            <w:tcW w:w="1043" w:type="dxa"/>
            <w:tcBorders>
              <w:tl2br w:val="nil"/>
              <w:tr2bl w:val="nil"/>
            </w:tcBorders>
            <w:vAlign w:val="center"/>
          </w:tcPr>
          <w:p w14:paraId="11C3D25F">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95</w:t>
            </w:r>
          </w:p>
        </w:tc>
        <w:tc>
          <w:tcPr>
            <w:tcW w:w="962" w:type="dxa"/>
            <w:tcBorders>
              <w:tl2br w:val="nil"/>
              <w:tr2bl w:val="nil"/>
            </w:tcBorders>
            <w:vAlign w:val="center"/>
          </w:tcPr>
          <w:p w14:paraId="7ACF4DB8">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85</w:t>
            </w:r>
          </w:p>
        </w:tc>
        <w:tc>
          <w:tcPr>
            <w:tcW w:w="997" w:type="dxa"/>
            <w:tcBorders>
              <w:tl2br w:val="nil"/>
              <w:tr2bl w:val="nil"/>
            </w:tcBorders>
            <w:vAlign w:val="center"/>
          </w:tcPr>
          <w:p w14:paraId="2A3FA554">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80</w:t>
            </w:r>
          </w:p>
        </w:tc>
        <w:tc>
          <w:tcPr>
            <w:tcW w:w="1007" w:type="dxa"/>
            <w:tcBorders>
              <w:tl2br w:val="nil"/>
              <w:tr2bl w:val="nil"/>
            </w:tcBorders>
            <w:vAlign w:val="center"/>
          </w:tcPr>
          <w:p w14:paraId="24CC2362">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90</w:t>
            </w:r>
          </w:p>
        </w:tc>
        <w:tc>
          <w:tcPr>
            <w:tcW w:w="1007" w:type="dxa"/>
            <w:tcBorders>
              <w:tl2br w:val="nil"/>
              <w:tr2bl w:val="nil"/>
            </w:tcBorders>
            <w:vAlign w:val="center"/>
          </w:tcPr>
          <w:p w14:paraId="32BE1F12">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90</w:t>
            </w:r>
          </w:p>
        </w:tc>
      </w:tr>
      <w:tr w14:paraId="211BD7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84" w:type="dxa"/>
            <w:vMerge w:val="continue"/>
            <w:tcBorders>
              <w:tl2br w:val="nil"/>
              <w:tr2bl w:val="nil"/>
            </w:tcBorders>
            <w:vAlign w:val="center"/>
          </w:tcPr>
          <w:p w14:paraId="497EFD07">
            <w:pPr>
              <w:pStyle w:val="9"/>
              <w:spacing w:line="240" w:lineRule="auto"/>
              <w:ind w:firstLine="0"/>
              <w:jc w:val="center"/>
              <w:rPr>
                <w:rFonts w:hint="default" w:ascii="Times New Roman" w:hAnsi="Times New Roman" w:cs="Times New Roman" w:eastAsiaTheme="minorEastAsia"/>
                <w:sz w:val="18"/>
                <w:szCs w:val="18"/>
              </w:rPr>
            </w:pPr>
          </w:p>
        </w:tc>
        <w:tc>
          <w:tcPr>
            <w:tcW w:w="1351" w:type="dxa"/>
            <w:tcBorders>
              <w:tl2br w:val="nil"/>
              <w:tr2bl w:val="nil"/>
            </w:tcBorders>
            <w:vAlign w:val="center"/>
          </w:tcPr>
          <w:p w14:paraId="58684291">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排放浓度</w:t>
            </w:r>
          </w:p>
        </w:tc>
        <w:tc>
          <w:tcPr>
            <w:tcW w:w="776" w:type="dxa"/>
            <w:tcBorders>
              <w:tl2br w:val="nil"/>
              <w:tr2bl w:val="nil"/>
            </w:tcBorders>
            <w:vAlign w:val="center"/>
          </w:tcPr>
          <w:p w14:paraId="207382B5">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mg/L</w:t>
            </w:r>
          </w:p>
        </w:tc>
        <w:tc>
          <w:tcPr>
            <w:tcW w:w="1059" w:type="dxa"/>
            <w:tcBorders>
              <w:tl2br w:val="nil"/>
              <w:tr2bl w:val="nil"/>
            </w:tcBorders>
            <w:vAlign w:val="center"/>
          </w:tcPr>
          <w:p w14:paraId="2BFAEDE3">
            <w:pPr>
              <w:pStyle w:val="9"/>
              <w:spacing w:line="240" w:lineRule="auto"/>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60</w:t>
            </w:r>
          </w:p>
        </w:tc>
        <w:tc>
          <w:tcPr>
            <w:tcW w:w="1043" w:type="dxa"/>
            <w:tcBorders>
              <w:tl2br w:val="nil"/>
              <w:tr2bl w:val="nil"/>
            </w:tcBorders>
            <w:vAlign w:val="center"/>
          </w:tcPr>
          <w:p w14:paraId="2BA4BE90">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7.5</w:t>
            </w:r>
          </w:p>
        </w:tc>
        <w:tc>
          <w:tcPr>
            <w:tcW w:w="962" w:type="dxa"/>
            <w:tcBorders>
              <w:tl2br w:val="nil"/>
              <w:tr2bl w:val="nil"/>
            </w:tcBorders>
            <w:vAlign w:val="center"/>
          </w:tcPr>
          <w:p w14:paraId="02EA284A">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4.5</w:t>
            </w:r>
          </w:p>
        </w:tc>
        <w:tc>
          <w:tcPr>
            <w:tcW w:w="997" w:type="dxa"/>
            <w:tcBorders>
              <w:tl2br w:val="nil"/>
              <w:tr2bl w:val="nil"/>
            </w:tcBorders>
            <w:vAlign w:val="center"/>
          </w:tcPr>
          <w:p w14:paraId="50CE0CEB">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40</w:t>
            </w:r>
          </w:p>
        </w:tc>
        <w:tc>
          <w:tcPr>
            <w:tcW w:w="1007" w:type="dxa"/>
            <w:tcBorders>
              <w:tl2br w:val="nil"/>
              <w:tr2bl w:val="nil"/>
            </w:tcBorders>
            <w:vAlign w:val="center"/>
          </w:tcPr>
          <w:p w14:paraId="59AA0E42">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0.6</w:t>
            </w:r>
          </w:p>
        </w:tc>
        <w:tc>
          <w:tcPr>
            <w:tcW w:w="1007" w:type="dxa"/>
            <w:tcBorders>
              <w:tl2br w:val="nil"/>
              <w:tr2bl w:val="nil"/>
            </w:tcBorders>
            <w:vAlign w:val="center"/>
          </w:tcPr>
          <w:p w14:paraId="00E3D48A">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w:t>
            </w:r>
          </w:p>
        </w:tc>
      </w:tr>
      <w:tr w14:paraId="54AFC7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84" w:type="dxa"/>
            <w:vMerge w:val="continue"/>
            <w:tcBorders>
              <w:tl2br w:val="nil"/>
              <w:tr2bl w:val="nil"/>
            </w:tcBorders>
            <w:vAlign w:val="center"/>
          </w:tcPr>
          <w:p w14:paraId="0AC2A91C">
            <w:pPr>
              <w:pStyle w:val="9"/>
              <w:spacing w:line="240" w:lineRule="auto"/>
              <w:ind w:firstLine="0"/>
              <w:jc w:val="center"/>
              <w:rPr>
                <w:rFonts w:hint="default" w:ascii="Times New Roman" w:hAnsi="Times New Roman" w:cs="Times New Roman" w:eastAsiaTheme="minorEastAsia"/>
                <w:sz w:val="18"/>
                <w:szCs w:val="18"/>
              </w:rPr>
            </w:pPr>
          </w:p>
        </w:tc>
        <w:tc>
          <w:tcPr>
            <w:tcW w:w="1351" w:type="dxa"/>
            <w:tcBorders>
              <w:tl2br w:val="nil"/>
              <w:tr2bl w:val="nil"/>
            </w:tcBorders>
            <w:vAlign w:val="center"/>
          </w:tcPr>
          <w:p w14:paraId="6780CE13">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污染物排放量</w:t>
            </w:r>
          </w:p>
        </w:tc>
        <w:tc>
          <w:tcPr>
            <w:tcW w:w="776" w:type="dxa"/>
            <w:tcBorders>
              <w:tl2br w:val="nil"/>
              <w:tr2bl w:val="nil"/>
            </w:tcBorders>
            <w:vAlign w:val="center"/>
          </w:tcPr>
          <w:p w14:paraId="4FA37F73">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t/a</w:t>
            </w:r>
          </w:p>
        </w:tc>
        <w:tc>
          <w:tcPr>
            <w:tcW w:w="1059" w:type="dxa"/>
            <w:tcBorders>
              <w:tl2br w:val="nil"/>
              <w:tr2bl w:val="nil"/>
            </w:tcBorders>
            <w:vAlign w:val="center"/>
          </w:tcPr>
          <w:p w14:paraId="4E79FD21">
            <w:pPr>
              <w:pStyle w:val="9"/>
              <w:spacing w:line="240" w:lineRule="auto"/>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0.007</w:t>
            </w:r>
          </w:p>
        </w:tc>
        <w:tc>
          <w:tcPr>
            <w:tcW w:w="1043" w:type="dxa"/>
            <w:tcBorders>
              <w:tl2br w:val="nil"/>
              <w:tr2bl w:val="nil"/>
            </w:tcBorders>
            <w:vAlign w:val="center"/>
          </w:tcPr>
          <w:p w14:paraId="2921B859">
            <w:pPr>
              <w:pStyle w:val="9"/>
              <w:spacing w:line="240" w:lineRule="auto"/>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0.0009</w:t>
            </w:r>
          </w:p>
        </w:tc>
        <w:tc>
          <w:tcPr>
            <w:tcW w:w="962" w:type="dxa"/>
            <w:tcBorders>
              <w:tl2br w:val="nil"/>
              <w:tr2bl w:val="nil"/>
            </w:tcBorders>
            <w:vAlign w:val="center"/>
          </w:tcPr>
          <w:p w14:paraId="34C28154">
            <w:pPr>
              <w:pStyle w:val="9"/>
              <w:spacing w:line="240" w:lineRule="auto"/>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0.0005</w:t>
            </w:r>
          </w:p>
        </w:tc>
        <w:tc>
          <w:tcPr>
            <w:tcW w:w="997" w:type="dxa"/>
            <w:tcBorders>
              <w:tl2br w:val="nil"/>
              <w:tr2bl w:val="nil"/>
            </w:tcBorders>
            <w:vAlign w:val="center"/>
          </w:tcPr>
          <w:p w14:paraId="4A1E4D19">
            <w:pPr>
              <w:pStyle w:val="9"/>
              <w:spacing w:line="240" w:lineRule="auto"/>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rPr>
              <w:t>0.0</w:t>
            </w:r>
            <w:r>
              <w:rPr>
                <w:rFonts w:hint="default" w:ascii="Times New Roman" w:hAnsi="Times New Roman" w:cs="Times New Roman" w:eastAsiaTheme="minorEastAsia"/>
                <w:sz w:val="18"/>
                <w:szCs w:val="18"/>
                <w:lang w:val="en-US" w:eastAsia="zh-CN"/>
              </w:rPr>
              <w:t>048</w:t>
            </w:r>
          </w:p>
        </w:tc>
        <w:tc>
          <w:tcPr>
            <w:tcW w:w="1007" w:type="dxa"/>
            <w:tcBorders>
              <w:tl2br w:val="nil"/>
              <w:tr2bl w:val="nil"/>
            </w:tcBorders>
            <w:vAlign w:val="center"/>
          </w:tcPr>
          <w:p w14:paraId="514CB6F0">
            <w:pPr>
              <w:pStyle w:val="9"/>
              <w:spacing w:line="240" w:lineRule="auto"/>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rPr>
              <w:t>0.00</w:t>
            </w:r>
            <w:r>
              <w:rPr>
                <w:rFonts w:hint="default" w:ascii="Times New Roman" w:hAnsi="Times New Roman" w:cs="Times New Roman" w:eastAsiaTheme="minorEastAsia"/>
                <w:sz w:val="18"/>
                <w:szCs w:val="18"/>
                <w:lang w:val="en-US" w:eastAsia="zh-CN"/>
              </w:rPr>
              <w:t>007</w:t>
            </w:r>
          </w:p>
        </w:tc>
        <w:tc>
          <w:tcPr>
            <w:tcW w:w="1007" w:type="dxa"/>
            <w:tcBorders>
              <w:tl2br w:val="nil"/>
              <w:tr2bl w:val="nil"/>
            </w:tcBorders>
            <w:vAlign w:val="center"/>
          </w:tcPr>
          <w:p w14:paraId="45C3F450">
            <w:pPr>
              <w:pStyle w:val="9"/>
              <w:spacing w:line="240" w:lineRule="auto"/>
              <w:ind w:firstLine="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rPr>
              <w:t>0.00</w:t>
            </w:r>
            <w:r>
              <w:rPr>
                <w:rFonts w:hint="default" w:ascii="Times New Roman" w:hAnsi="Times New Roman" w:cs="Times New Roman" w:eastAsiaTheme="minorEastAsia"/>
                <w:sz w:val="18"/>
                <w:szCs w:val="18"/>
                <w:lang w:val="en-US" w:eastAsia="zh-CN"/>
              </w:rPr>
              <w:t>024</w:t>
            </w:r>
          </w:p>
        </w:tc>
      </w:tr>
      <w:tr w14:paraId="512C25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084" w:type="dxa"/>
            <w:vMerge w:val="continue"/>
            <w:tcBorders>
              <w:tl2br w:val="nil"/>
              <w:tr2bl w:val="nil"/>
            </w:tcBorders>
            <w:vAlign w:val="center"/>
          </w:tcPr>
          <w:p w14:paraId="4F979F66">
            <w:pPr>
              <w:pStyle w:val="9"/>
              <w:spacing w:line="240" w:lineRule="auto"/>
              <w:ind w:firstLine="0"/>
              <w:jc w:val="center"/>
              <w:rPr>
                <w:rFonts w:hint="default" w:ascii="Times New Roman" w:hAnsi="Times New Roman" w:cs="Times New Roman" w:eastAsiaTheme="minorEastAsia"/>
                <w:sz w:val="18"/>
                <w:szCs w:val="18"/>
              </w:rPr>
            </w:pPr>
          </w:p>
        </w:tc>
        <w:tc>
          <w:tcPr>
            <w:tcW w:w="1351" w:type="dxa"/>
            <w:tcBorders>
              <w:tl2br w:val="nil"/>
              <w:tr2bl w:val="nil"/>
            </w:tcBorders>
            <w:vAlign w:val="center"/>
          </w:tcPr>
          <w:p w14:paraId="7925DC77">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处理措施</w:t>
            </w:r>
          </w:p>
        </w:tc>
        <w:tc>
          <w:tcPr>
            <w:tcW w:w="6851" w:type="dxa"/>
            <w:gridSpan w:val="7"/>
            <w:tcBorders>
              <w:tl2br w:val="nil"/>
              <w:tr2bl w:val="nil"/>
            </w:tcBorders>
            <w:vAlign w:val="center"/>
          </w:tcPr>
          <w:p w14:paraId="5915E9D2">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color w:val="auto"/>
                <w:sz w:val="18"/>
                <w:szCs w:val="18"/>
              </w:rPr>
              <w:t>项目生活污水依托</w:t>
            </w:r>
            <w:r>
              <w:rPr>
                <w:rFonts w:hint="default" w:ascii="Times New Roman" w:hAnsi="Times New Roman" w:cs="Times New Roman" w:eastAsiaTheme="minorEastAsia"/>
                <w:color w:val="auto"/>
                <w:sz w:val="18"/>
                <w:szCs w:val="18"/>
                <w:lang w:val="en-US" w:eastAsia="zh-CN"/>
              </w:rPr>
              <w:t>鲁奎山铁矿</w:t>
            </w:r>
            <w:r>
              <w:rPr>
                <w:rFonts w:hint="default" w:ascii="Times New Roman" w:hAnsi="Times New Roman" w:cs="Times New Roman" w:eastAsiaTheme="minorEastAsia"/>
                <w:color w:val="auto"/>
                <w:sz w:val="18"/>
                <w:szCs w:val="18"/>
              </w:rPr>
              <w:t>生活污水处理设施，食堂废水经隔油池处理后与其他污水经化粪池预处理后，再排入一体化生活污水处理设施处理达</w:t>
            </w:r>
            <w:bookmarkStart w:id="314" w:name="_Hlk162448462"/>
            <w:r>
              <w:rPr>
                <w:rFonts w:hint="default" w:ascii="Times New Roman" w:hAnsi="Times New Roman" w:cs="Times New Roman" w:eastAsiaTheme="minorEastAsia"/>
                <w:color w:val="auto"/>
                <w:sz w:val="18"/>
                <w:szCs w:val="18"/>
              </w:rPr>
              <w:t>《城市污水再生利用 城市杂用水水质》（GB/T18920-2020）中城市绿化、道路清扫标准后，</w:t>
            </w:r>
            <w:bookmarkEnd w:id="314"/>
            <w:r>
              <w:rPr>
                <w:rFonts w:hint="default" w:ascii="Times New Roman" w:hAnsi="Times New Roman" w:cs="Times New Roman" w:eastAsiaTheme="minorEastAsia"/>
                <w:color w:val="auto"/>
                <w:sz w:val="18"/>
                <w:szCs w:val="18"/>
              </w:rPr>
              <w:t>回用于</w:t>
            </w:r>
            <w:r>
              <w:rPr>
                <w:rFonts w:hint="default" w:ascii="Times New Roman" w:hAnsi="Times New Roman" w:cs="Times New Roman" w:eastAsiaTheme="minorEastAsia"/>
                <w:color w:val="auto"/>
                <w:sz w:val="18"/>
                <w:szCs w:val="18"/>
                <w:lang w:val="en-US" w:eastAsia="zh-CN"/>
              </w:rPr>
              <w:t>矿山</w:t>
            </w:r>
            <w:r>
              <w:rPr>
                <w:rFonts w:hint="default" w:ascii="Times New Roman" w:hAnsi="Times New Roman" w:cs="Times New Roman" w:eastAsiaTheme="minorEastAsia"/>
                <w:color w:val="auto"/>
                <w:sz w:val="18"/>
                <w:szCs w:val="18"/>
              </w:rPr>
              <w:t>厂区内降尘和绿化，不外排。</w:t>
            </w:r>
          </w:p>
        </w:tc>
      </w:tr>
      <w:tr w14:paraId="0D8F64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084" w:type="dxa"/>
            <w:vMerge w:val="continue"/>
            <w:tcBorders>
              <w:tl2br w:val="nil"/>
              <w:tr2bl w:val="nil"/>
            </w:tcBorders>
            <w:vAlign w:val="center"/>
          </w:tcPr>
          <w:p w14:paraId="0CB4DE85">
            <w:pPr>
              <w:pStyle w:val="9"/>
              <w:spacing w:line="240" w:lineRule="auto"/>
              <w:ind w:firstLine="0"/>
              <w:jc w:val="center"/>
              <w:rPr>
                <w:rFonts w:hint="default" w:ascii="Times New Roman" w:hAnsi="Times New Roman" w:cs="Times New Roman" w:eastAsiaTheme="minorEastAsia"/>
                <w:sz w:val="18"/>
                <w:szCs w:val="18"/>
              </w:rPr>
            </w:pPr>
          </w:p>
        </w:tc>
        <w:tc>
          <w:tcPr>
            <w:tcW w:w="1351" w:type="dxa"/>
            <w:tcBorders>
              <w:tl2br w:val="nil"/>
              <w:tr2bl w:val="nil"/>
            </w:tcBorders>
            <w:vAlign w:val="center"/>
          </w:tcPr>
          <w:p w14:paraId="3180F945">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排放方式</w:t>
            </w:r>
          </w:p>
        </w:tc>
        <w:tc>
          <w:tcPr>
            <w:tcW w:w="6851" w:type="dxa"/>
            <w:gridSpan w:val="7"/>
            <w:tcBorders>
              <w:tl2br w:val="nil"/>
              <w:tr2bl w:val="nil"/>
            </w:tcBorders>
            <w:vAlign w:val="center"/>
          </w:tcPr>
          <w:p w14:paraId="243E5BCD">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不外排</w:t>
            </w:r>
          </w:p>
        </w:tc>
      </w:tr>
      <w:tr w14:paraId="3490DF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084" w:type="dxa"/>
            <w:vMerge w:val="continue"/>
            <w:tcBorders>
              <w:tl2br w:val="nil"/>
              <w:tr2bl w:val="nil"/>
            </w:tcBorders>
            <w:vAlign w:val="center"/>
          </w:tcPr>
          <w:p w14:paraId="1A7E562A">
            <w:pPr>
              <w:pStyle w:val="9"/>
              <w:spacing w:line="240" w:lineRule="auto"/>
              <w:ind w:firstLine="0"/>
              <w:jc w:val="center"/>
              <w:rPr>
                <w:rFonts w:hint="default" w:ascii="Times New Roman" w:hAnsi="Times New Roman" w:cs="Times New Roman" w:eastAsiaTheme="minorEastAsia"/>
                <w:sz w:val="18"/>
                <w:szCs w:val="18"/>
              </w:rPr>
            </w:pPr>
          </w:p>
        </w:tc>
        <w:tc>
          <w:tcPr>
            <w:tcW w:w="1351" w:type="dxa"/>
            <w:tcBorders>
              <w:tl2br w:val="nil"/>
              <w:tr2bl w:val="nil"/>
            </w:tcBorders>
            <w:vAlign w:val="center"/>
          </w:tcPr>
          <w:p w14:paraId="38E7FBF4">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回用去向</w:t>
            </w:r>
          </w:p>
        </w:tc>
        <w:tc>
          <w:tcPr>
            <w:tcW w:w="6851" w:type="dxa"/>
            <w:gridSpan w:val="7"/>
            <w:tcBorders>
              <w:tl2br w:val="nil"/>
              <w:tr2bl w:val="nil"/>
            </w:tcBorders>
            <w:vAlign w:val="center"/>
          </w:tcPr>
          <w:p w14:paraId="26EBC194">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回用于</w:t>
            </w:r>
            <w:r>
              <w:rPr>
                <w:rFonts w:hint="default" w:ascii="Times New Roman" w:hAnsi="Times New Roman" w:cs="Times New Roman" w:eastAsiaTheme="minorEastAsia"/>
                <w:sz w:val="18"/>
                <w:szCs w:val="18"/>
                <w:lang w:val="en-US" w:eastAsia="zh-CN"/>
              </w:rPr>
              <w:t>矿山</w:t>
            </w:r>
            <w:r>
              <w:rPr>
                <w:rFonts w:hint="default" w:ascii="Times New Roman" w:hAnsi="Times New Roman" w:cs="Times New Roman" w:eastAsiaTheme="minorEastAsia"/>
                <w:sz w:val="18"/>
                <w:szCs w:val="18"/>
              </w:rPr>
              <w:t>厂区内降尘和绿化</w:t>
            </w:r>
          </w:p>
        </w:tc>
      </w:tr>
      <w:tr w14:paraId="5ABFDD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084" w:type="dxa"/>
            <w:vMerge w:val="continue"/>
            <w:tcBorders>
              <w:tl2br w:val="nil"/>
              <w:tr2bl w:val="nil"/>
            </w:tcBorders>
            <w:vAlign w:val="center"/>
          </w:tcPr>
          <w:p w14:paraId="48E77723">
            <w:pPr>
              <w:pStyle w:val="9"/>
              <w:spacing w:line="240" w:lineRule="auto"/>
              <w:ind w:firstLine="0"/>
              <w:jc w:val="center"/>
              <w:rPr>
                <w:rFonts w:hint="default" w:ascii="Times New Roman" w:hAnsi="Times New Roman" w:cs="Times New Roman" w:eastAsiaTheme="minorEastAsia"/>
                <w:sz w:val="18"/>
                <w:szCs w:val="18"/>
              </w:rPr>
            </w:pPr>
          </w:p>
        </w:tc>
        <w:tc>
          <w:tcPr>
            <w:tcW w:w="1351" w:type="dxa"/>
            <w:tcBorders>
              <w:tl2br w:val="nil"/>
              <w:tr2bl w:val="nil"/>
            </w:tcBorders>
            <w:vAlign w:val="center"/>
          </w:tcPr>
          <w:p w14:paraId="0975445D">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回用标准</w:t>
            </w:r>
          </w:p>
        </w:tc>
        <w:tc>
          <w:tcPr>
            <w:tcW w:w="6851" w:type="dxa"/>
            <w:gridSpan w:val="7"/>
            <w:tcBorders>
              <w:tl2br w:val="nil"/>
              <w:tr2bl w:val="nil"/>
            </w:tcBorders>
            <w:vAlign w:val="center"/>
          </w:tcPr>
          <w:p w14:paraId="23B2E5EA">
            <w:pPr>
              <w:pStyle w:val="9"/>
              <w:spacing w:line="240" w:lineRule="auto"/>
              <w:ind w:firstLine="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《城市污水再生利用 城市杂用水水质》（GB/T18920-2020）中城市绿化、道路清扫标准</w:t>
            </w:r>
          </w:p>
        </w:tc>
      </w:tr>
      <w:bookmarkEnd w:id="313"/>
    </w:tbl>
    <w:p w14:paraId="186AE844">
      <w:pPr>
        <w:pStyle w:val="6"/>
        <w:bidi w:val="0"/>
        <w:rPr>
          <w:rFonts w:hint="default" w:ascii="Times New Roman" w:hAnsi="Times New Roman" w:cs="Times New Roman"/>
        </w:rPr>
      </w:pPr>
      <w:bookmarkStart w:id="315" w:name="_Toc165816751"/>
      <w:bookmarkStart w:id="316" w:name="_Toc30551"/>
      <w:r>
        <w:rPr>
          <w:rFonts w:hint="default" w:ascii="Times New Roman" w:hAnsi="Times New Roman" w:cs="Times New Roman"/>
          <w:lang w:val="en-US" w:eastAsia="zh-CN"/>
        </w:rPr>
        <w:t>3</w:t>
      </w:r>
      <w:r>
        <w:rPr>
          <w:rFonts w:hint="default" w:ascii="Times New Roman" w:hAnsi="Times New Roman" w:cs="Times New Roman"/>
        </w:rPr>
        <w:t>.5.2运营期废气</w:t>
      </w:r>
      <w:bookmarkEnd w:id="315"/>
      <w:bookmarkEnd w:id="316"/>
    </w:p>
    <w:p w14:paraId="561D21F6">
      <w:pPr>
        <w:spacing w:line="360" w:lineRule="auto"/>
        <w:ind w:firstLine="480"/>
        <w:rPr>
          <w:rFonts w:hint="default" w:ascii="Times New Roman" w:hAnsi="Times New Roman" w:cs="Times New Roman" w:eastAsiaTheme="minorEastAsia"/>
          <w:sz w:val="24"/>
          <w:szCs w:val="24"/>
          <w:lang w:bidi="en-US"/>
        </w:rPr>
      </w:pPr>
      <w:bookmarkStart w:id="317" w:name="_Hlk162431891"/>
      <w:r>
        <w:rPr>
          <w:rFonts w:hint="default" w:ascii="Times New Roman" w:hAnsi="Times New Roman" w:cs="Times New Roman" w:eastAsiaTheme="minorEastAsia"/>
          <w:sz w:val="24"/>
          <w:szCs w:val="24"/>
          <w:lang w:bidi="en-US"/>
        </w:rPr>
        <w:t>项目运营期的大气污染物主要为破碎粉尘、筛分粉尘、磁选粉尘、卸料粉尘、原矿装卸扬尘、运输粉尘和运输尾气等。</w:t>
      </w:r>
    </w:p>
    <w:bookmarkEnd w:id="317"/>
    <w:p w14:paraId="32C90259">
      <w:pPr>
        <w:spacing w:line="360" w:lineRule="auto"/>
        <w:ind w:firstLine="480"/>
        <w:rPr>
          <w:rFonts w:hint="default" w:ascii="Times New Roman" w:hAnsi="Times New Roman" w:cs="Times New Roman" w:eastAsiaTheme="minorEastAsia"/>
          <w:sz w:val="24"/>
          <w:szCs w:val="24"/>
          <w:lang w:bidi="en-US"/>
        </w:rPr>
      </w:pPr>
      <w:r>
        <w:rPr>
          <w:rFonts w:hint="default" w:ascii="Times New Roman" w:hAnsi="Times New Roman" w:cs="Times New Roman" w:eastAsiaTheme="minorEastAsia"/>
          <w:sz w:val="24"/>
          <w:szCs w:val="24"/>
          <w:lang w:bidi="en-US"/>
        </w:rPr>
        <w:t>根据《污染源源强核算技术指南 准则》（HJ 884-2018），</w:t>
      </w:r>
      <w:r>
        <w:rPr>
          <w:rFonts w:hint="default" w:ascii="Times New Roman" w:hAnsi="Times New Roman" w:cs="Times New Roman" w:eastAsiaTheme="minorEastAsia"/>
          <w:color w:val="000000"/>
          <w:sz w:val="24"/>
          <w:szCs w:val="24"/>
        </w:rPr>
        <w:t>常用污染源核算方法包括物料衡算法、类比法、实测法、产污系数法。</w:t>
      </w:r>
      <w:r>
        <w:rPr>
          <w:rFonts w:hint="default" w:ascii="Times New Roman" w:hAnsi="Times New Roman" w:cs="Times New Roman" w:eastAsiaTheme="minorEastAsia"/>
          <w:sz w:val="24"/>
          <w:szCs w:val="24"/>
          <w:lang w:bidi="en-US"/>
        </w:rPr>
        <w:t>本项目废气污染源源强核算方法主要采用产污系数法。</w:t>
      </w:r>
    </w:p>
    <w:p w14:paraId="5746D46E">
      <w:pPr>
        <w:pStyle w:val="7"/>
        <w:spacing w:before="0" w:after="0"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.5.2.1</w:t>
      </w:r>
      <w:r>
        <w:rPr>
          <w:rFonts w:hint="default" w:ascii="Times New Roman" w:hAnsi="Times New Roman" w:cs="Times New Roman" w:eastAsiaTheme="minorEastAsia"/>
          <w:sz w:val="24"/>
          <w:szCs w:val="24"/>
          <w:lang w:bidi="en-US"/>
        </w:rPr>
        <w:t>有组织废气</w:t>
      </w:r>
    </w:p>
    <w:p w14:paraId="01A84DD7">
      <w:pPr>
        <w:spacing w:line="360" w:lineRule="auto"/>
        <w:ind w:firstLine="480"/>
        <w:rPr>
          <w:rFonts w:hint="default" w:ascii="Times New Roman" w:hAnsi="Times New Roman" w:cs="Times New Roman" w:eastAsiaTheme="minorEastAsia"/>
          <w:sz w:val="24"/>
          <w:szCs w:val="24"/>
          <w:lang w:val="en-US" w:eastAsia="zh-CN" w:bidi="en-US"/>
        </w:rPr>
      </w:pPr>
      <w:r>
        <w:rPr>
          <w:rFonts w:hint="default" w:ascii="Times New Roman" w:hAnsi="Times New Roman" w:cs="Times New Roman" w:eastAsiaTheme="minorEastAsia"/>
          <w:color w:val="000000"/>
          <w:sz w:val="24"/>
          <w:szCs w:val="24"/>
        </w:rPr>
        <w:t>本项目有组织废气主要为破碎、筛分、磁选等工序产生粉尘。</w:t>
      </w:r>
      <w:r>
        <w:rPr>
          <w:rFonts w:hint="default" w:ascii="Times New Roman" w:hAnsi="Times New Roman" w:cs="Times New Roman" w:eastAsiaTheme="minorEastAsia"/>
          <w:sz w:val="24"/>
          <w:szCs w:val="24"/>
          <w:lang w:bidi="en-US"/>
        </w:rPr>
        <w:t>污染物源强核算参照《排放源统计调查产排污核算方法和系数手册》（2021.6.11）中“0810铁矿采选行业系数手册”，见下表</w:t>
      </w:r>
      <w:r>
        <w:rPr>
          <w:rFonts w:hint="default" w:ascii="Times New Roman" w:hAnsi="Times New Roman" w:cs="Times New Roman" w:eastAsiaTheme="minorEastAsia"/>
          <w:sz w:val="24"/>
          <w:szCs w:val="24"/>
          <w:lang w:val="en-US" w:eastAsia="zh-CN" w:bidi="en-US"/>
        </w:rPr>
        <w:t>3</w:t>
      </w:r>
      <w:r>
        <w:rPr>
          <w:rFonts w:hint="default" w:ascii="Times New Roman" w:hAnsi="Times New Roman" w:cs="Times New Roman" w:eastAsiaTheme="minorEastAsia"/>
          <w:sz w:val="24"/>
          <w:szCs w:val="24"/>
          <w:lang w:bidi="en-US"/>
        </w:rPr>
        <w:t>.5</w:t>
      </w:r>
      <w:r>
        <w:rPr>
          <w:rFonts w:hint="default" w:ascii="Times New Roman" w:hAnsi="Times New Roman" w:cs="Times New Roman" w:eastAsiaTheme="minorEastAsia"/>
          <w:sz w:val="24"/>
          <w:szCs w:val="24"/>
          <w:lang w:val="en-US" w:eastAsia="zh-CN" w:bidi="en-US"/>
        </w:rPr>
        <w:t>.2</w:t>
      </w:r>
      <w:r>
        <w:rPr>
          <w:rFonts w:hint="default" w:ascii="Times New Roman" w:hAnsi="Times New Roman" w:cs="Times New Roman" w:eastAsiaTheme="minorEastAsia"/>
          <w:sz w:val="24"/>
          <w:szCs w:val="24"/>
          <w:lang w:bidi="en-US"/>
        </w:rPr>
        <w:t>-</w:t>
      </w:r>
      <w:r>
        <w:rPr>
          <w:rFonts w:hint="default" w:ascii="Times New Roman" w:hAnsi="Times New Roman" w:cs="Times New Roman" w:eastAsiaTheme="minorEastAsia"/>
          <w:sz w:val="24"/>
          <w:szCs w:val="24"/>
          <w:lang w:val="en-US" w:eastAsia="zh-CN" w:bidi="en-US"/>
        </w:rPr>
        <w:t>1</w:t>
      </w:r>
      <w:r>
        <w:rPr>
          <w:rFonts w:hint="default" w:ascii="Times New Roman" w:hAnsi="Times New Roman" w:cs="Times New Roman" w:eastAsiaTheme="minorEastAsia"/>
          <w:sz w:val="24"/>
          <w:szCs w:val="24"/>
          <w:lang w:bidi="en-US"/>
        </w:rPr>
        <w:t>。</w:t>
      </w:r>
    </w:p>
    <w:p w14:paraId="580907F2">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.5</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1</w:t>
      </w:r>
      <w:r>
        <w:rPr>
          <w:rFonts w:hint="default" w:ascii="Times New Roman" w:hAnsi="Times New Roman" w:eastAsia="黑体" w:cs="Times New Roman"/>
          <w:b w:val="0"/>
          <w:bCs/>
          <w:sz w:val="21"/>
          <w:szCs w:val="21"/>
        </w:rPr>
        <w:t xml:space="preserve">  铁矿采选行业系数表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59"/>
        <w:gridCol w:w="1165"/>
        <w:gridCol w:w="1292"/>
        <w:gridCol w:w="724"/>
        <w:gridCol w:w="1305"/>
        <w:gridCol w:w="1597"/>
        <w:gridCol w:w="1304"/>
      </w:tblGrid>
      <w:tr w14:paraId="3B51BA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tcBorders>
              <w:tl2br w:val="nil"/>
              <w:tr2bl w:val="nil"/>
            </w:tcBorders>
            <w:vAlign w:val="center"/>
          </w:tcPr>
          <w:p w14:paraId="1252DD95">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工段</w:t>
            </w:r>
          </w:p>
          <w:p w14:paraId="27ED5282">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名称</w:t>
            </w:r>
          </w:p>
        </w:tc>
        <w:tc>
          <w:tcPr>
            <w:tcW w:w="1159" w:type="dxa"/>
            <w:tcBorders>
              <w:tl2br w:val="nil"/>
              <w:tr2bl w:val="nil"/>
            </w:tcBorders>
            <w:vAlign w:val="center"/>
          </w:tcPr>
          <w:p w14:paraId="3012451E">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产品</w:t>
            </w:r>
          </w:p>
          <w:p w14:paraId="74743E72">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名称</w:t>
            </w:r>
          </w:p>
        </w:tc>
        <w:tc>
          <w:tcPr>
            <w:tcW w:w="1165" w:type="dxa"/>
            <w:tcBorders>
              <w:tl2br w:val="nil"/>
              <w:tr2bl w:val="nil"/>
            </w:tcBorders>
            <w:vAlign w:val="center"/>
          </w:tcPr>
          <w:p w14:paraId="6F5DCEA5">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原料名称</w:t>
            </w:r>
          </w:p>
        </w:tc>
        <w:tc>
          <w:tcPr>
            <w:tcW w:w="1292" w:type="dxa"/>
            <w:tcBorders>
              <w:tl2br w:val="nil"/>
              <w:tr2bl w:val="nil"/>
            </w:tcBorders>
            <w:vAlign w:val="center"/>
          </w:tcPr>
          <w:p w14:paraId="4BDD1BA7">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工艺名称</w:t>
            </w:r>
          </w:p>
        </w:tc>
        <w:tc>
          <w:tcPr>
            <w:tcW w:w="724" w:type="dxa"/>
            <w:tcBorders>
              <w:tl2br w:val="nil"/>
              <w:tr2bl w:val="nil"/>
            </w:tcBorders>
            <w:vAlign w:val="center"/>
          </w:tcPr>
          <w:p w14:paraId="6C09F183">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规模</w:t>
            </w:r>
          </w:p>
          <w:p w14:paraId="790BBB46">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等级</w:t>
            </w:r>
          </w:p>
        </w:tc>
        <w:tc>
          <w:tcPr>
            <w:tcW w:w="1305" w:type="dxa"/>
            <w:tcBorders>
              <w:tl2br w:val="nil"/>
              <w:tr2bl w:val="nil"/>
            </w:tcBorders>
            <w:vAlign w:val="center"/>
          </w:tcPr>
          <w:p w14:paraId="1A0A7F8E">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污染物指标</w:t>
            </w:r>
          </w:p>
        </w:tc>
        <w:tc>
          <w:tcPr>
            <w:tcW w:w="1597" w:type="dxa"/>
            <w:tcBorders>
              <w:tl2br w:val="nil"/>
              <w:tr2bl w:val="nil"/>
            </w:tcBorders>
            <w:vAlign w:val="center"/>
          </w:tcPr>
          <w:p w14:paraId="0D54DA83">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单位</w:t>
            </w:r>
          </w:p>
        </w:tc>
        <w:tc>
          <w:tcPr>
            <w:tcW w:w="1304" w:type="dxa"/>
            <w:tcBorders>
              <w:tl2br w:val="nil"/>
              <w:tr2bl w:val="nil"/>
            </w:tcBorders>
            <w:vAlign w:val="center"/>
          </w:tcPr>
          <w:p w14:paraId="39C12217">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产污系数</w:t>
            </w:r>
          </w:p>
        </w:tc>
      </w:tr>
      <w:tr w14:paraId="188613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40" w:type="dxa"/>
            <w:tcBorders>
              <w:tl2br w:val="nil"/>
              <w:tr2bl w:val="nil"/>
            </w:tcBorders>
            <w:vAlign w:val="center"/>
          </w:tcPr>
          <w:p w14:paraId="0CBB5DA5">
            <w:pPr>
              <w:spacing w:line="240" w:lineRule="auto"/>
              <w:jc w:val="center"/>
              <w:rPr>
                <w:rFonts w:hint="default" w:ascii="Times New Roman" w:hAnsi="Times New Roman" w:cs="Times New Roman" w:eastAsiaTheme="minorEastAsia"/>
                <w:color w:val="auto"/>
                <w:sz w:val="18"/>
                <w:szCs w:val="18"/>
                <w:lang w:val="en-US" w:eastAsia="zh-CN" w:bidi="en-US"/>
              </w:rPr>
            </w:pPr>
            <w:r>
              <w:rPr>
                <w:rFonts w:hint="default" w:ascii="Times New Roman" w:hAnsi="Times New Roman" w:cs="Times New Roman" w:eastAsiaTheme="minorEastAsia"/>
                <w:color w:val="auto"/>
                <w:sz w:val="18"/>
                <w:szCs w:val="18"/>
                <w:lang w:val="en-US" w:eastAsia="zh-CN" w:bidi="en-US"/>
              </w:rPr>
              <w:t>破碎、筛分</w:t>
            </w:r>
          </w:p>
        </w:tc>
        <w:tc>
          <w:tcPr>
            <w:tcW w:w="1159" w:type="dxa"/>
            <w:tcBorders>
              <w:tl2br w:val="nil"/>
              <w:tr2bl w:val="nil"/>
            </w:tcBorders>
            <w:vAlign w:val="center"/>
          </w:tcPr>
          <w:p w14:paraId="5706EC4A">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val="en-US" w:eastAsia="zh-CN" w:bidi="en-US"/>
              </w:rPr>
              <w:t>铁矿石</w:t>
            </w:r>
          </w:p>
        </w:tc>
        <w:tc>
          <w:tcPr>
            <w:tcW w:w="1165" w:type="dxa"/>
            <w:tcBorders>
              <w:tl2br w:val="nil"/>
              <w:tr2bl w:val="nil"/>
            </w:tcBorders>
            <w:vAlign w:val="center"/>
          </w:tcPr>
          <w:p w14:paraId="5872DC24">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val="en-US" w:eastAsia="zh-CN" w:bidi="en-US"/>
              </w:rPr>
              <w:t>低品位</w:t>
            </w:r>
            <w:r>
              <w:rPr>
                <w:rFonts w:hint="default" w:ascii="Times New Roman" w:hAnsi="Times New Roman" w:cs="Times New Roman" w:eastAsiaTheme="minorEastAsia"/>
                <w:color w:val="auto"/>
                <w:sz w:val="18"/>
                <w:szCs w:val="18"/>
                <w:lang w:bidi="en-US"/>
              </w:rPr>
              <w:t>菱铁矿石</w:t>
            </w:r>
          </w:p>
        </w:tc>
        <w:tc>
          <w:tcPr>
            <w:tcW w:w="1292" w:type="dxa"/>
            <w:tcBorders>
              <w:tl2br w:val="nil"/>
              <w:tr2bl w:val="nil"/>
            </w:tcBorders>
            <w:vAlign w:val="center"/>
          </w:tcPr>
          <w:p w14:paraId="39303DAD">
            <w:pPr>
              <w:spacing w:line="240" w:lineRule="auto"/>
              <w:jc w:val="center"/>
              <w:rPr>
                <w:rFonts w:hint="default" w:ascii="Times New Roman" w:hAnsi="Times New Roman" w:cs="Times New Roman" w:eastAsiaTheme="minorEastAsia"/>
                <w:color w:val="auto"/>
                <w:sz w:val="18"/>
                <w:szCs w:val="18"/>
                <w:lang w:bidi="en-US"/>
              </w:rPr>
            </w:pPr>
            <w:bookmarkStart w:id="318" w:name="_Hlk138154205"/>
            <w:r>
              <w:rPr>
                <w:rFonts w:hint="default" w:ascii="Times New Roman" w:hAnsi="Times New Roman" w:cs="Times New Roman" w:eastAsiaTheme="minorEastAsia"/>
                <w:color w:val="auto"/>
                <w:sz w:val="18"/>
                <w:szCs w:val="18"/>
                <w:lang w:bidi="en-US"/>
              </w:rPr>
              <w:t>破碎-筛分</w:t>
            </w:r>
            <w:bookmarkEnd w:id="318"/>
          </w:p>
        </w:tc>
        <w:tc>
          <w:tcPr>
            <w:tcW w:w="724" w:type="dxa"/>
            <w:tcBorders>
              <w:tl2br w:val="nil"/>
              <w:tr2bl w:val="nil"/>
            </w:tcBorders>
            <w:vAlign w:val="center"/>
          </w:tcPr>
          <w:p w14:paraId="185FC9B7">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所有</w:t>
            </w:r>
          </w:p>
          <w:p w14:paraId="73B11FEE">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规模</w:t>
            </w:r>
          </w:p>
        </w:tc>
        <w:tc>
          <w:tcPr>
            <w:tcW w:w="1305" w:type="dxa"/>
            <w:tcBorders>
              <w:tl2br w:val="nil"/>
              <w:tr2bl w:val="nil"/>
            </w:tcBorders>
            <w:vAlign w:val="center"/>
          </w:tcPr>
          <w:p w14:paraId="731F2B78">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颗粒物</w:t>
            </w:r>
          </w:p>
        </w:tc>
        <w:tc>
          <w:tcPr>
            <w:tcW w:w="1597" w:type="dxa"/>
            <w:tcBorders>
              <w:tl2br w:val="nil"/>
              <w:tr2bl w:val="nil"/>
            </w:tcBorders>
            <w:vAlign w:val="center"/>
          </w:tcPr>
          <w:p w14:paraId="07C3A98D">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千克/吨</w:t>
            </w:r>
            <w:r>
              <w:rPr>
                <w:rFonts w:hint="default" w:ascii="Times New Roman" w:hAnsi="Times New Roman" w:cs="Times New Roman" w:eastAsiaTheme="minorEastAsia"/>
                <w:color w:val="auto"/>
                <w:sz w:val="18"/>
                <w:szCs w:val="18"/>
                <w:lang w:eastAsia="zh-CN" w:bidi="en-US"/>
              </w:rPr>
              <w:t>－</w:t>
            </w:r>
            <w:r>
              <w:rPr>
                <w:rFonts w:hint="default" w:ascii="Times New Roman" w:hAnsi="Times New Roman" w:cs="Times New Roman" w:eastAsiaTheme="minorEastAsia"/>
                <w:color w:val="auto"/>
                <w:sz w:val="18"/>
                <w:szCs w:val="18"/>
                <w:lang w:bidi="en-US"/>
              </w:rPr>
              <w:t>产品</w:t>
            </w:r>
          </w:p>
        </w:tc>
        <w:tc>
          <w:tcPr>
            <w:tcW w:w="1304" w:type="dxa"/>
            <w:tcBorders>
              <w:tl2br w:val="nil"/>
              <w:tr2bl w:val="nil"/>
            </w:tcBorders>
            <w:vAlign w:val="center"/>
          </w:tcPr>
          <w:p w14:paraId="59DC4CE1">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0.66</w:t>
            </w:r>
          </w:p>
        </w:tc>
      </w:tr>
      <w:tr w14:paraId="34E3BC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40" w:type="dxa"/>
            <w:tcBorders>
              <w:tl2br w:val="nil"/>
              <w:tr2bl w:val="nil"/>
            </w:tcBorders>
            <w:vAlign w:val="center"/>
          </w:tcPr>
          <w:p w14:paraId="3A74167C">
            <w:pPr>
              <w:spacing w:line="240" w:lineRule="auto"/>
              <w:jc w:val="center"/>
              <w:rPr>
                <w:rFonts w:hint="default" w:ascii="Times New Roman" w:hAnsi="Times New Roman" w:cs="Times New Roman" w:eastAsiaTheme="minorEastAsia"/>
                <w:color w:val="auto"/>
                <w:sz w:val="18"/>
                <w:szCs w:val="18"/>
                <w:lang w:val="en-US" w:eastAsia="zh-CN" w:bidi="en-US"/>
              </w:rPr>
            </w:pPr>
            <w:r>
              <w:rPr>
                <w:rFonts w:hint="default" w:ascii="Times New Roman" w:hAnsi="Times New Roman" w:cs="Times New Roman" w:eastAsiaTheme="minorEastAsia"/>
                <w:color w:val="auto"/>
                <w:sz w:val="18"/>
                <w:szCs w:val="18"/>
                <w:lang w:val="en-US" w:eastAsia="zh-CN" w:bidi="en-US"/>
              </w:rPr>
              <w:t>磁选</w:t>
            </w:r>
          </w:p>
        </w:tc>
        <w:tc>
          <w:tcPr>
            <w:tcW w:w="1159" w:type="dxa"/>
            <w:tcBorders>
              <w:tl2br w:val="nil"/>
              <w:tr2bl w:val="nil"/>
            </w:tcBorders>
            <w:vAlign w:val="center"/>
          </w:tcPr>
          <w:p w14:paraId="5F065F21">
            <w:pPr>
              <w:spacing w:line="240" w:lineRule="auto"/>
              <w:jc w:val="center"/>
              <w:rPr>
                <w:rFonts w:hint="default" w:ascii="Times New Roman" w:hAnsi="Times New Roman" w:cs="Times New Roman" w:eastAsiaTheme="minorEastAsia"/>
                <w:color w:val="auto"/>
                <w:sz w:val="18"/>
                <w:szCs w:val="18"/>
                <w:lang w:val="en-US" w:eastAsia="zh-CN" w:bidi="en-US"/>
              </w:rPr>
            </w:pPr>
            <w:r>
              <w:rPr>
                <w:rFonts w:hint="default" w:ascii="Times New Roman" w:hAnsi="Times New Roman" w:cs="Times New Roman" w:eastAsiaTheme="minorEastAsia"/>
                <w:color w:val="auto"/>
                <w:sz w:val="18"/>
                <w:szCs w:val="18"/>
                <w:lang w:val="en-US" w:eastAsia="zh-CN" w:bidi="en-US"/>
              </w:rPr>
              <w:t>铁矿石</w:t>
            </w:r>
          </w:p>
        </w:tc>
        <w:tc>
          <w:tcPr>
            <w:tcW w:w="1165" w:type="dxa"/>
            <w:tcBorders>
              <w:tl2br w:val="nil"/>
              <w:tr2bl w:val="nil"/>
            </w:tcBorders>
            <w:vAlign w:val="center"/>
          </w:tcPr>
          <w:p w14:paraId="7D814D85">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val="en-US" w:eastAsia="zh-CN" w:bidi="en-US"/>
              </w:rPr>
              <w:t>低品位</w:t>
            </w:r>
            <w:r>
              <w:rPr>
                <w:rFonts w:hint="default" w:ascii="Times New Roman" w:hAnsi="Times New Roman" w:cs="Times New Roman" w:eastAsiaTheme="minorEastAsia"/>
                <w:color w:val="auto"/>
                <w:sz w:val="18"/>
                <w:szCs w:val="18"/>
                <w:lang w:bidi="en-US"/>
              </w:rPr>
              <w:t>菱铁矿石</w:t>
            </w:r>
          </w:p>
        </w:tc>
        <w:tc>
          <w:tcPr>
            <w:tcW w:w="1292" w:type="dxa"/>
            <w:tcBorders>
              <w:tl2br w:val="nil"/>
              <w:tr2bl w:val="nil"/>
            </w:tcBorders>
            <w:vAlign w:val="center"/>
          </w:tcPr>
          <w:p w14:paraId="687A9C5B">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val="en-US" w:eastAsia="zh-CN" w:bidi="en-US"/>
              </w:rPr>
              <w:t>干式强磁选</w:t>
            </w:r>
          </w:p>
        </w:tc>
        <w:tc>
          <w:tcPr>
            <w:tcW w:w="724" w:type="dxa"/>
            <w:tcBorders>
              <w:tl2br w:val="nil"/>
              <w:tr2bl w:val="nil"/>
            </w:tcBorders>
            <w:vAlign w:val="center"/>
          </w:tcPr>
          <w:p w14:paraId="607AE601">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所有</w:t>
            </w:r>
          </w:p>
          <w:p w14:paraId="7A5A5503">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规模</w:t>
            </w:r>
          </w:p>
        </w:tc>
        <w:tc>
          <w:tcPr>
            <w:tcW w:w="1305" w:type="dxa"/>
            <w:tcBorders>
              <w:tl2br w:val="nil"/>
              <w:tr2bl w:val="nil"/>
            </w:tcBorders>
            <w:vAlign w:val="center"/>
          </w:tcPr>
          <w:p w14:paraId="2E23F532">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颗粒物</w:t>
            </w:r>
          </w:p>
        </w:tc>
        <w:tc>
          <w:tcPr>
            <w:tcW w:w="1597" w:type="dxa"/>
            <w:tcBorders>
              <w:tl2br w:val="nil"/>
              <w:tr2bl w:val="nil"/>
            </w:tcBorders>
            <w:vAlign w:val="center"/>
          </w:tcPr>
          <w:p w14:paraId="382684D7">
            <w:pPr>
              <w:spacing w:line="240" w:lineRule="auto"/>
              <w:jc w:val="center"/>
              <w:rPr>
                <w:rFonts w:hint="default" w:ascii="Times New Roman" w:hAnsi="Times New Roman" w:cs="Times New Roman" w:eastAsiaTheme="minorEastAsia"/>
                <w:color w:val="auto"/>
                <w:sz w:val="18"/>
                <w:szCs w:val="18"/>
                <w:lang w:bidi="en-US"/>
              </w:rPr>
            </w:pPr>
            <w:r>
              <w:rPr>
                <w:rFonts w:hint="default" w:ascii="Times New Roman" w:hAnsi="Times New Roman" w:cs="Times New Roman" w:eastAsiaTheme="minorEastAsia"/>
                <w:color w:val="auto"/>
                <w:sz w:val="18"/>
                <w:szCs w:val="18"/>
                <w:lang w:bidi="en-US"/>
              </w:rPr>
              <w:t>千克/吨</w:t>
            </w:r>
            <w:r>
              <w:rPr>
                <w:rFonts w:hint="default" w:ascii="Times New Roman" w:hAnsi="Times New Roman" w:cs="Times New Roman" w:eastAsiaTheme="minorEastAsia"/>
                <w:color w:val="auto"/>
                <w:sz w:val="18"/>
                <w:szCs w:val="18"/>
                <w:lang w:eastAsia="zh-CN" w:bidi="en-US"/>
              </w:rPr>
              <w:t>－</w:t>
            </w:r>
            <w:r>
              <w:rPr>
                <w:rFonts w:hint="default" w:ascii="Times New Roman" w:hAnsi="Times New Roman" w:cs="Times New Roman" w:eastAsiaTheme="minorEastAsia"/>
                <w:color w:val="auto"/>
                <w:sz w:val="18"/>
                <w:szCs w:val="18"/>
                <w:lang w:bidi="en-US"/>
              </w:rPr>
              <w:t>产品</w:t>
            </w:r>
          </w:p>
        </w:tc>
        <w:tc>
          <w:tcPr>
            <w:tcW w:w="1304" w:type="dxa"/>
            <w:tcBorders>
              <w:tl2br w:val="nil"/>
              <w:tr2bl w:val="nil"/>
            </w:tcBorders>
            <w:vAlign w:val="center"/>
          </w:tcPr>
          <w:p w14:paraId="696A3241">
            <w:pPr>
              <w:spacing w:line="240" w:lineRule="auto"/>
              <w:jc w:val="center"/>
              <w:rPr>
                <w:rFonts w:hint="default" w:ascii="Times New Roman" w:hAnsi="Times New Roman" w:cs="Times New Roman" w:eastAsiaTheme="minorEastAsia"/>
                <w:color w:val="auto"/>
                <w:sz w:val="18"/>
                <w:szCs w:val="18"/>
                <w:lang w:val="en-US" w:eastAsia="zh-CN" w:bidi="en-US"/>
              </w:rPr>
            </w:pPr>
            <w:r>
              <w:rPr>
                <w:rFonts w:hint="default" w:ascii="Times New Roman" w:hAnsi="Times New Roman" w:cs="Times New Roman" w:eastAsiaTheme="minorEastAsia"/>
                <w:color w:val="auto"/>
                <w:sz w:val="18"/>
                <w:szCs w:val="18"/>
                <w:lang w:val="en-US" w:eastAsia="zh-CN" w:bidi="en-US"/>
              </w:rPr>
              <w:t>0.62</w:t>
            </w:r>
          </w:p>
        </w:tc>
      </w:tr>
    </w:tbl>
    <w:p w14:paraId="5FFE4E8A">
      <w:pPr>
        <w:spacing w:line="360" w:lineRule="auto"/>
        <w:jc w:val="left"/>
        <w:rPr>
          <w:rFonts w:hint="default" w:ascii="Times New Roman" w:hAnsi="Times New Roman" w:cs="Times New Roman" w:eastAsiaTheme="minorEastAsia"/>
          <w:color w:val="auto"/>
          <w:sz w:val="24"/>
          <w:szCs w:val="24"/>
          <w:lang w:val="en-US" w:eastAsia="zh-CN" w:bidi="en-US"/>
        </w:rPr>
      </w:pPr>
      <w:r>
        <w:rPr>
          <w:rFonts w:hint="default" w:ascii="Times New Roman" w:hAnsi="Times New Roman" w:cs="Times New Roman" w:eastAsiaTheme="minorEastAsia"/>
          <w:color w:val="auto"/>
          <w:sz w:val="24"/>
          <w:szCs w:val="24"/>
          <w:lang w:val="en-US" w:eastAsia="zh-CN" w:bidi="en-US"/>
        </w:rPr>
        <w:t>1、有组织粉尘</w:t>
      </w:r>
    </w:p>
    <w:p w14:paraId="2D0181A2">
      <w:pPr>
        <w:spacing w:line="360" w:lineRule="auto"/>
        <w:ind w:firstLine="482"/>
        <w:rPr>
          <w:rFonts w:hint="default" w:ascii="Times New Roman" w:hAnsi="Times New Roman" w:cs="Times New Roman" w:eastAsiaTheme="minorEastAsia"/>
          <w:color w:val="auto"/>
          <w:sz w:val="24"/>
          <w:szCs w:val="24"/>
          <w:lang w:bidi="en-US"/>
        </w:rPr>
      </w:pPr>
      <w:r>
        <w:rPr>
          <w:rFonts w:hint="default" w:ascii="Times New Roman" w:hAnsi="Times New Roman" w:cs="Times New Roman" w:eastAsiaTheme="minorEastAsia"/>
          <w:color w:val="auto"/>
          <w:sz w:val="24"/>
          <w:szCs w:val="24"/>
          <w:lang w:bidi="en-US"/>
        </w:rPr>
        <w:t>（1）</w:t>
      </w:r>
      <w:bookmarkStart w:id="319" w:name="_Hlk162431945"/>
      <w:r>
        <w:rPr>
          <w:rFonts w:hint="default" w:ascii="Times New Roman" w:hAnsi="Times New Roman" w:cs="Times New Roman" w:eastAsiaTheme="minorEastAsia"/>
          <w:color w:val="auto"/>
          <w:sz w:val="24"/>
          <w:szCs w:val="24"/>
          <w:lang w:val="en-US" w:eastAsia="zh-CN"/>
        </w:rPr>
        <w:t>破碎、</w:t>
      </w:r>
      <w:r>
        <w:rPr>
          <w:rFonts w:hint="default" w:ascii="Times New Roman" w:hAnsi="Times New Roman" w:cs="Times New Roman" w:eastAsiaTheme="minorEastAsia"/>
          <w:color w:val="auto"/>
          <w:sz w:val="24"/>
          <w:szCs w:val="24"/>
          <w:lang w:bidi="en-US"/>
        </w:rPr>
        <w:t>筛分粉尘</w:t>
      </w:r>
      <w:bookmarkEnd w:id="319"/>
    </w:p>
    <w:p w14:paraId="6281A19D">
      <w:pPr>
        <w:spacing w:line="360" w:lineRule="auto"/>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项目年产</w:t>
      </w:r>
      <w:r>
        <w:rPr>
          <w:rFonts w:hint="default" w:ascii="Times New Roman" w:hAnsi="Times New Roman" w:cs="Times New Roman" w:eastAsiaTheme="minorEastAsia"/>
          <w:color w:val="auto"/>
          <w:sz w:val="24"/>
          <w:szCs w:val="24"/>
          <w:lang w:val="en-US" w:eastAsia="zh-CN"/>
        </w:rPr>
        <w:t>27000</w:t>
      </w:r>
      <w:r>
        <w:rPr>
          <w:rFonts w:hint="default" w:ascii="Times New Roman" w:hAnsi="Times New Roman" w:cs="Times New Roman" w:eastAsiaTheme="minorEastAsia"/>
          <w:color w:val="auto"/>
          <w:sz w:val="24"/>
          <w:szCs w:val="24"/>
        </w:rPr>
        <w:t>吨</w:t>
      </w:r>
      <w:r>
        <w:rPr>
          <w:rFonts w:hint="default" w:ascii="Times New Roman" w:hAnsi="Times New Roman" w:cs="Times New Roman" w:eastAsiaTheme="minorEastAsia"/>
          <w:color w:val="auto"/>
          <w:sz w:val="24"/>
          <w:szCs w:val="24"/>
          <w:lang w:val="en-US" w:eastAsia="zh-CN"/>
        </w:rPr>
        <w:t>铁矿石</w:t>
      </w:r>
      <w:r>
        <w:rPr>
          <w:rFonts w:hint="default" w:ascii="Times New Roman" w:hAnsi="Times New Roman" w:cs="Times New Roman" w:eastAsiaTheme="minorEastAsia"/>
          <w:color w:val="auto"/>
          <w:sz w:val="24"/>
          <w:szCs w:val="24"/>
          <w:lang w:eastAsia="zh-CN"/>
        </w:rPr>
        <w:t>，</w:t>
      </w:r>
      <w:bookmarkStart w:id="320" w:name="_Hlk162432021"/>
      <w:r>
        <w:rPr>
          <w:rFonts w:hint="default" w:ascii="Times New Roman" w:hAnsi="Times New Roman" w:cs="Times New Roman" w:eastAsiaTheme="minorEastAsia"/>
          <w:color w:val="auto"/>
          <w:sz w:val="24"/>
          <w:szCs w:val="24"/>
          <w:lang w:val="en-US" w:eastAsia="zh-CN"/>
        </w:rPr>
        <w:t>62884吨砂石料，破碎</w:t>
      </w:r>
      <w:r>
        <w:rPr>
          <w:rFonts w:hint="default" w:ascii="Times New Roman" w:hAnsi="Times New Roman" w:cs="Times New Roman" w:eastAsiaTheme="minorEastAsia"/>
          <w:color w:val="auto"/>
          <w:sz w:val="24"/>
          <w:szCs w:val="24"/>
        </w:rPr>
        <w:t>、筛分工序</w:t>
      </w:r>
      <w:bookmarkEnd w:id="320"/>
      <w:r>
        <w:rPr>
          <w:rFonts w:hint="default" w:ascii="Times New Roman" w:hAnsi="Times New Roman" w:cs="Times New Roman" w:eastAsiaTheme="minorEastAsia"/>
          <w:color w:val="auto"/>
          <w:sz w:val="24"/>
          <w:szCs w:val="24"/>
        </w:rPr>
        <w:t>产污系数为0.66千克/吨</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产品，则</w:t>
      </w:r>
      <w:r>
        <w:rPr>
          <w:rFonts w:hint="default" w:ascii="Times New Roman" w:hAnsi="Times New Roman" w:cs="Times New Roman" w:eastAsiaTheme="minorEastAsia"/>
          <w:color w:val="auto"/>
          <w:sz w:val="24"/>
          <w:szCs w:val="24"/>
          <w:lang w:val="en-US" w:eastAsia="zh-CN"/>
        </w:rPr>
        <w:t>破碎</w:t>
      </w:r>
      <w:r>
        <w:rPr>
          <w:rFonts w:hint="default" w:ascii="Times New Roman" w:hAnsi="Times New Roman" w:cs="Times New Roman" w:eastAsiaTheme="minorEastAsia"/>
          <w:color w:val="auto"/>
          <w:sz w:val="24"/>
          <w:szCs w:val="24"/>
        </w:rPr>
        <w:t>、筛分工序的颗粒物产生量为</w:t>
      </w:r>
      <w:r>
        <w:rPr>
          <w:rFonts w:hint="default" w:ascii="Times New Roman" w:hAnsi="Times New Roman" w:cs="Times New Roman" w:eastAsiaTheme="minorEastAsia"/>
          <w:color w:val="auto"/>
          <w:sz w:val="24"/>
          <w:szCs w:val="24"/>
          <w:lang w:val="en-US" w:eastAsia="zh-CN"/>
        </w:rPr>
        <w:t>59.32</w:t>
      </w:r>
      <w:r>
        <w:rPr>
          <w:rFonts w:hint="default" w:ascii="Times New Roman" w:hAnsi="Times New Roman" w:cs="Times New Roman" w:eastAsiaTheme="minorEastAsia"/>
          <w:color w:val="auto"/>
          <w:sz w:val="24"/>
          <w:szCs w:val="24"/>
        </w:rPr>
        <w:t>t/a（</w:t>
      </w:r>
      <w:r>
        <w:rPr>
          <w:rFonts w:hint="default" w:ascii="Times New Roman" w:hAnsi="Times New Roman" w:cs="Times New Roman" w:eastAsiaTheme="minorEastAsia"/>
          <w:color w:val="auto"/>
          <w:sz w:val="24"/>
          <w:szCs w:val="24"/>
          <w:lang w:val="en-US" w:eastAsia="zh-CN"/>
        </w:rPr>
        <w:t>24.72</w:t>
      </w:r>
      <w:r>
        <w:rPr>
          <w:rFonts w:hint="default" w:ascii="Times New Roman" w:hAnsi="Times New Roman" w:cs="Times New Roman" w:eastAsiaTheme="minorEastAsia"/>
          <w:color w:val="auto"/>
          <w:sz w:val="24"/>
          <w:szCs w:val="24"/>
        </w:rPr>
        <w:t>kg/h）。</w:t>
      </w:r>
    </w:p>
    <w:p w14:paraId="03A71BBD">
      <w:pPr>
        <w:spacing w:line="360" w:lineRule="auto"/>
        <w:ind w:firstLine="482"/>
        <w:rPr>
          <w:rFonts w:hint="default" w:ascii="Times New Roman" w:hAnsi="Times New Roman" w:cs="Times New Roman" w:eastAsiaTheme="minorEastAsia"/>
          <w:color w:val="auto"/>
          <w:sz w:val="24"/>
          <w:szCs w:val="24"/>
          <w:lang w:val="en-US" w:eastAsia="zh-CN" w:bidi="en-US"/>
        </w:rPr>
      </w:pPr>
      <w:bookmarkStart w:id="321" w:name="_Hlk162432049"/>
      <w:r>
        <w:rPr>
          <w:rFonts w:hint="default" w:ascii="Times New Roman" w:hAnsi="Times New Roman" w:cs="Times New Roman" w:eastAsiaTheme="minorEastAsia"/>
          <w:color w:val="auto"/>
          <w:sz w:val="24"/>
          <w:szCs w:val="24"/>
          <w:lang w:bidi="en-US"/>
        </w:rPr>
        <w:t>（3）</w:t>
      </w:r>
      <w:r>
        <w:rPr>
          <w:rFonts w:hint="default" w:ascii="Times New Roman" w:hAnsi="Times New Roman" w:cs="Times New Roman" w:eastAsiaTheme="minorEastAsia"/>
          <w:color w:val="auto"/>
          <w:sz w:val="24"/>
          <w:szCs w:val="24"/>
          <w:lang w:val="en-US" w:eastAsia="zh-CN"/>
        </w:rPr>
        <w:t>磁选粉尘</w:t>
      </w:r>
    </w:p>
    <w:p w14:paraId="278C79E5">
      <w:pPr>
        <w:spacing w:line="360" w:lineRule="auto"/>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项目年产</w:t>
      </w:r>
      <w:r>
        <w:rPr>
          <w:rFonts w:hint="default" w:ascii="Times New Roman" w:hAnsi="Times New Roman" w:cs="Times New Roman" w:eastAsiaTheme="minorEastAsia"/>
          <w:color w:val="auto"/>
          <w:sz w:val="24"/>
          <w:szCs w:val="24"/>
          <w:lang w:val="en-US" w:eastAsia="zh-CN"/>
        </w:rPr>
        <w:t>27000</w:t>
      </w:r>
      <w:r>
        <w:rPr>
          <w:rFonts w:hint="default" w:ascii="Times New Roman" w:hAnsi="Times New Roman" w:cs="Times New Roman" w:eastAsiaTheme="minorEastAsia"/>
          <w:color w:val="auto"/>
          <w:sz w:val="24"/>
          <w:szCs w:val="24"/>
        </w:rPr>
        <w:t>吨</w:t>
      </w:r>
      <w:r>
        <w:rPr>
          <w:rFonts w:hint="default" w:ascii="Times New Roman" w:hAnsi="Times New Roman" w:cs="Times New Roman" w:eastAsiaTheme="minorEastAsia"/>
          <w:color w:val="auto"/>
          <w:sz w:val="24"/>
          <w:szCs w:val="24"/>
          <w:lang w:val="en-US" w:eastAsia="zh-CN"/>
        </w:rPr>
        <w:t>铁矿石</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62884吨砂石料，</w:t>
      </w:r>
      <w:r>
        <w:rPr>
          <w:rFonts w:hint="default" w:ascii="Times New Roman" w:hAnsi="Times New Roman" w:cs="Times New Roman" w:eastAsiaTheme="minorEastAsia"/>
          <w:color w:val="auto"/>
          <w:sz w:val="24"/>
          <w:szCs w:val="24"/>
        </w:rPr>
        <w:t>磁选粉尘产污系数为</w:t>
      </w:r>
      <w:r>
        <w:rPr>
          <w:rFonts w:hint="default" w:ascii="Times New Roman" w:hAnsi="Times New Roman" w:cs="Times New Roman" w:eastAsiaTheme="minorEastAsia"/>
          <w:color w:val="auto"/>
          <w:sz w:val="24"/>
          <w:szCs w:val="24"/>
          <w:lang w:val="en-US" w:eastAsia="zh-CN"/>
        </w:rPr>
        <w:t>0.62</w:t>
      </w:r>
      <w:r>
        <w:rPr>
          <w:rFonts w:hint="default" w:ascii="Times New Roman" w:hAnsi="Times New Roman" w:cs="Times New Roman" w:eastAsiaTheme="minorEastAsia"/>
          <w:color w:val="auto"/>
          <w:sz w:val="24"/>
          <w:szCs w:val="24"/>
        </w:rPr>
        <w:t>千克/吨</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产品</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则磁选工序的粉尘产生量为</w:t>
      </w:r>
      <w:r>
        <w:rPr>
          <w:rFonts w:hint="default" w:ascii="Times New Roman" w:hAnsi="Times New Roman" w:cs="Times New Roman" w:eastAsiaTheme="minorEastAsia"/>
          <w:color w:val="auto"/>
          <w:sz w:val="24"/>
          <w:szCs w:val="24"/>
          <w:lang w:val="en-US" w:eastAsia="zh-CN"/>
        </w:rPr>
        <w:t>55.73</w:t>
      </w:r>
      <w:r>
        <w:rPr>
          <w:rFonts w:hint="default" w:ascii="Times New Roman" w:hAnsi="Times New Roman" w:cs="Times New Roman" w:eastAsiaTheme="minorEastAsia"/>
          <w:color w:val="auto"/>
          <w:sz w:val="24"/>
          <w:szCs w:val="24"/>
        </w:rPr>
        <w:t>t/a（</w:t>
      </w:r>
      <w:r>
        <w:rPr>
          <w:rFonts w:hint="default" w:ascii="Times New Roman" w:hAnsi="Times New Roman" w:cs="Times New Roman" w:eastAsiaTheme="minorEastAsia"/>
          <w:color w:val="auto"/>
          <w:sz w:val="24"/>
          <w:szCs w:val="24"/>
          <w:lang w:val="en-US" w:eastAsia="zh-CN"/>
        </w:rPr>
        <w:t>23.22</w:t>
      </w:r>
      <w:r>
        <w:rPr>
          <w:rFonts w:hint="default" w:ascii="Times New Roman" w:hAnsi="Times New Roman" w:cs="Times New Roman" w:eastAsiaTheme="minorEastAsia"/>
          <w:color w:val="auto"/>
          <w:sz w:val="24"/>
          <w:szCs w:val="24"/>
        </w:rPr>
        <w:t>kg/h）。</w:t>
      </w:r>
    </w:p>
    <w:p w14:paraId="5E1DD1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项目破碎、筛分、磁选过程粉尘产生总量为47.94</w:t>
      </w:r>
      <w:r>
        <w:rPr>
          <w:rFonts w:hint="default" w:ascii="Times New Roman" w:hAnsi="Times New Roman" w:cs="Times New Roman" w:eastAsiaTheme="minorEastAsia"/>
          <w:color w:val="auto"/>
          <w:sz w:val="24"/>
          <w:szCs w:val="24"/>
        </w:rPr>
        <w:t>kg/h</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115.05</w:t>
      </w:r>
      <w:r>
        <w:rPr>
          <w:rFonts w:hint="default" w:ascii="Times New Roman" w:hAnsi="Times New Roman" w:cs="Times New Roman" w:eastAsiaTheme="minorEastAsia"/>
          <w:color w:val="auto"/>
          <w:sz w:val="24"/>
          <w:szCs w:val="24"/>
        </w:rPr>
        <w:t>t/a</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color w:val="auto"/>
          <w:sz w:val="24"/>
          <w:szCs w:val="24"/>
        </w:rPr>
        <w:t>采用在每台破碎</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筛分、磁选设备</w:t>
      </w:r>
      <w:r>
        <w:rPr>
          <w:rFonts w:hint="default" w:ascii="Times New Roman" w:hAnsi="Times New Roman" w:cs="Times New Roman" w:eastAsiaTheme="minorEastAsia"/>
          <w:color w:val="auto"/>
          <w:sz w:val="24"/>
          <w:szCs w:val="24"/>
        </w:rPr>
        <w:t>上方设置集气罩和风管，粉尘经收集后引至1套袋式除尘器（TA001）进行处理；处理后</w:t>
      </w:r>
      <w:r>
        <w:rPr>
          <w:rFonts w:hint="default" w:ascii="Times New Roman" w:hAnsi="Times New Roman" w:cs="Times New Roman" w:eastAsiaTheme="minorEastAsia"/>
          <w:color w:val="auto"/>
          <w:sz w:val="24"/>
          <w:szCs w:val="24"/>
          <w:lang w:val="en-US" w:eastAsia="zh-CN"/>
        </w:rPr>
        <w:t>经</w:t>
      </w:r>
      <w:r>
        <w:rPr>
          <w:rFonts w:hint="default" w:ascii="Times New Roman" w:hAnsi="Times New Roman" w:cs="Times New Roman" w:eastAsiaTheme="minorEastAsia"/>
          <w:color w:val="auto"/>
          <w:sz w:val="24"/>
          <w:szCs w:val="24"/>
        </w:rPr>
        <w:t>1根15m高排气筒排放（DA001）。集气罩收集效率以8</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%计，袋式除尘器除尘效率按99</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%。袋式除尘器（TA001）设计风量为</w:t>
      </w:r>
      <w:r>
        <w:rPr>
          <w:rFonts w:hint="default" w:ascii="Times New Roman" w:hAnsi="Times New Roman" w:cs="Times New Roman" w:eastAsiaTheme="minorEastAsia"/>
          <w:color w:val="auto"/>
          <w:sz w:val="24"/>
          <w:szCs w:val="24"/>
          <w:lang w:val="en-US" w:eastAsia="zh-CN"/>
        </w:rPr>
        <w:t>40000</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/h</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有组织粉尘产生量40.75</w:t>
      </w:r>
      <w:r>
        <w:rPr>
          <w:rFonts w:hint="default" w:ascii="Times New Roman" w:hAnsi="Times New Roman" w:cs="Times New Roman" w:eastAsiaTheme="minorEastAsia"/>
          <w:color w:val="auto"/>
          <w:sz w:val="24"/>
          <w:szCs w:val="24"/>
        </w:rPr>
        <w:t>kg/h</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97.79</w:t>
      </w:r>
      <w:r>
        <w:rPr>
          <w:rFonts w:hint="default" w:ascii="Times New Roman" w:hAnsi="Times New Roman" w:cs="Times New Roman" w:eastAsiaTheme="minorEastAsia"/>
          <w:color w:val="auto"/>
          <w:sz w:val="24"/>
          <w:szCs w:val="24"/>
        </w:rPr>
        <w:t>t/a</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color w:val="auto"/>
          <w:sz w:val="24"/>
          <w:szCs w:val="24"/>
          <w:lang w:val="en-US" w:eastAsia="zh-CN"/>
        </w:rPr>
        <w:t>排放的颗粒物量为0.204</w:t>
      </w:r>
      <w:r>
        <w:rPr>
          <w:rFonts w:hint="default" w:ascii="Times New Roman" w:hAnsi="Times New Roman" w:cs="Times New Roman" w:eastAsiaTheme="minorEastAsia"/>
          <w:color w:val="auto"/>
          <w:sz w:val="24"/>
          <w:szCs w:val="24"/>
        </w:rPr>
        <w:t>kg/h</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0.489</w:t>
      </w:r>
      <w:r>
        <w:rPr>
          <w:rFonts w:hint="default" w:ascii="Times New Roman" w:hAnsi="Times New Roman" w:cs="Times New Roman" w:eastAsiaTheme="minorEastAsia"/>
          <w:color w:val="auto"/>
          <w:sz w:val="24"/>
          <w:szCs w:val="24"/>
        </w:rPr>
        <w:t>t/a</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排放</w:t>
      </w:r>
      <w:r>
        <w:rPr>
          <w:rFonts w:hint="default" w:ascii="Times New Roman" w:hAnsi="Times New Roman" w:cs="Times New Roman"/>
          <w:color w:val="auto"/>
          <w:sz w:val="24"/>
          <w:szCs w:val="24"/>
          <w:lang w:val="en-US" w:eastAsia="zh-CN"/>
        </w:rPr>
        <w:t>浓度为5.1mg/m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；排放浓度可满足</w:t>
      </w:r>
      <w:r>
        <w:rPr>
          <w:rFonts w:hint="default" w:ascii="Times New Roman" w:hAnsi="Times New Roman" w:cs="Times New Roman"/>
          <w:color w:val="auto"/>
          <w:sz w:val="24"/>
          <w:szCs w:val="24"/>
        </w:rPr>
        <w:t>《铁矿采选工业污染物排放标准》（GB28661-2012）表5新建企业大气污染物排放浓度限值</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即颗粒物≤20mg/m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w:t>
      </w:r>
    </w:p>
    <w:bookmarkEnd w:id="321"/>
    <w:p w14:paraId="7EACB140">
      <w:pPr>
        <w:pStyle w:val="7"/>
        <w:spacing w:before="0" w:after="0" w:line="360" w:lineRule="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.5.2.2</w:t>
      </w:r>
      <w:r>
        <w:rPr>
          <w:rFonts w:hint="default" w:ascii="Times New Roman" w:hAnsi="Times New Roman" w:cs="Times New Roman" w:eastAsiaTheme="minorEastAsia"/>
          <w:color w:val="auto"/>
          <w:sz w:val="24"/>
          <w:szCs w:val="24"/>
          <w:lang w:bidi="en-US"/>
        </w:rPr>
        <w:t>无组织废气</w:t>
      </w:r>
    </w:p>
    <w:p w14:paraId="72333632">
      <w:pPr>
        <w:pStyle w:val="2"/>
        <w:spacing w:after="0" w:line="360" w:lineRule="auto"/>
        <w:ind w:firstLine="482"/>
        <w:rPr>
          <w:rFonts w:hint="default" w:ascii="Times New Roman" w:hAnsi="Times New Roman" w:cs="Times New Roman" w:eastAsiaTheme="minorEastAsia"/>
          <w:color w:val="auto"/>
          <w:kern w:val="0"/>
          <w:sz w:val="24"/>
          <w:szCs w:val="24"/>
        </w:rPr>
      </w:pPr>
      <w:bookmarkStart w:id="322" w:name="_Hlk162444217"/>
      <w:r>
        <w:rPr>
          <w:rFonts w:hint="default" w:ascii="Times New Roman" w:hAnsi="Times New Roman" w:cs="Times New Roman" w:eastAsiaTheme="minorEastAsia"/>
          <w:color w:val="auto"/>
          <w:kern w:val="0"/>
          <w:sz w:val="24"/>
          <w:szCs w:val="24"/>
          <w:lang w:val="en-US" w:eastAsia="zh-CN"/>
        </w:rPr>
        <w:t>①</w:t>
      </w:r>
      <w:r>
        <w:rPr>
          <w:rFonts w:hint="default" w:ascii="Times New Roman" w:hAnsi="Times New Roman" w:cs="Times New Roman" w:eastAsiaTheme="minorEastAsia"/>
          <w:color w:val="auto"/>
          <w:kern w:val="0"/>
          <w:sz w:val="24"/>
          <w:szCs w:val="24"/>
        </w:rPr>
        <w:t>生产工艺无组织粉尘</w:t>
      </w:r>
    </w:p>
    <w:p w14:paraId="2B37CFB8">
      <w:pPr>
        <w:pStyle w:val="17"/>
        <w:keepNext w:val="0"/>
        <w:keepLines w:val="0"/>
        <w:pageBreakBefore w:val="0"/>
        <w:widowControl w:val="0"/>
        <w:kinsoku/>
        <w:wordWrap/>
        <w:overflowPunct/>
        <w:topLinePunct w:val="0"/>
        <w:autoSpaceDE/>
        <w:autoSpaceDN/>
        <w:bidi w:val="0"/>
        <w:adjustRightInd/>
        <w:snapToGrid/>
        <w:spacing w:beforeLines="0" w:line="360" w:lineRule="auto"/>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eastAsiaTheme="minorEastAsia"/>
          <w:color w:val="auto"/>
          <w:sz w:val="24"/>
          <w:szCs w:val="24"/>
        </w:rPr>
        <w:t>生产工艺无组织粉尘主要来自各工序集气罩未收集的粉尘。本项目</w:t>
      </w:r>
      <w:r>
        <w:rPr>
          <w:rFonts w:hint="default" w:ascii="Times New Roman" w:hAnsi="Times New Roman" w:cs="Times New Roman" w:eastAsiaTheme="minorEastAsia"/>
          <w:color w:val="auto"/>
          <w:sz w:val="24"/>
          <w:szCs w:val="24"/>
          <w:lang w:val="en-US" w:eastAsia="zh-CN"/>
        </w:rPr>
        <w:t>破碎</w:t>
      </w:r>
      <w:r>
        <w:rPr>
          <w:rFonts w:hint="default" w:ascii="Times New Roman" w:hAnsi="Times New Roman" w:cs="Times New Roman" w:eastAsiaTheme="minorEastAsia"/>
          <w:color w:val="auto"/>
          <w:sz w:val="24"/>
          <w:szCs w:val="24"/>
        </w:rPr>
        <w:t>、筛分</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磁选</w:t>
      </w:r>
      <w:r>
        <w:rPr>
          <w:rFonts w:hint="default" w:ascii="Times New Roman" w:hAnsi="Times New Roman" w:cs="Times New Roman" w:eastAsiaTheme="minorEastAsia"/>
          <w:color w:val="auto"/>
          <w:sz w:val="24"/>
          <w:szCs w:val="24"/>
        </w:rPr>
        <w:t>工序无组织粉尘产生量</w:t>
      </w:r>
      <w:r>
        <w:rPr>
          <w:rFonts w:hint="default" w:ascii="Times New Roman" w:hAnsi="Times New Roman" w:cs="Times New Roman" w:eastAsiaTheme="minorEastAsia"/>
          <w:color w:val="auto"/>
          <w:sz w:val="24"/>
          <w:szCs w:val="24"/>
          <w:lang w:val="en-US" w:eastAsia="zh-CN"/>
        </w:rPr>
        <w:t>7.19</w:t>
      </w:r>
      <w:r>
        <w:rPr>
          <w:rFonts w:hint="default" w:ascii="Times New Roman" w:hAnsi="Times New Roman" w:cs="Times New Roman" w:eastAsiaTheme="minorEastAsia"/>
          <w:color w:val="auto"/>
          <w:sz w:val="24"/>
          <w:szCs w:val="24"/>
        </w:rPr>
        <w:t>kg/h</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17.26</w:t>
      </w:r>
      <w:r>
        <w:rPr>
          <w:rFonts w:hint="default" w:ascii="Times New Roman" w:hAnsi="Times New Roman" w:cs="Times New Roman" w:eastAsiaTheme="minorEastAsia"/>
          <w:color w:val="auto"/>
          <w:sz w:val="24"/>
          <w:szCs w:val="24"/>
        </w:rPr>
        <w:t>t/a</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color w:val="auto"/>
          <w:sz w:val="24"/>
          <w:lang w:val="en-US" w:eastAsia="zh-CN"/>
        </w:rPr>
        <w:t>生产工艺产生的</w:t>
      </w:r>
      <w:r>
        <w:rPr>
          <w:rFonts w:hint="default" w:ascii="Times New Roman" w:hAnsi="Times New Roman" w:cs="Times New Roman"/>
          <w:color w:val="auto"/>
          <w:sz w:val="24"/>
        </w:rPr>
        <w:t>无组织粉尘</w:t>
      </w:r>
      <w:r>
        <w:rPr>
          <w:rFonts w:hint="default" w:ascii="Times New Roman" w:hAnsi="Times New Roman" w:cs="Times New Roman"/>
          <w:color w:val="auto"/>
          <w:sz w:val="24"/>
          <w:lang w:val="en-US" w:eastAsia="zh-CN"/>
        </w:rPr>
        <w:t>通采用彩钢板封闭设备</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配合场地喷雾降尘，</w:t>
      </w:r>
      <w:r>
        <w:rPr>
          <w:rFonts w:hint="default" w:ascii="Times New Roman" w:hAnsi="Times New Roman" w:cs="Times New Roman"/>
          <w:color w:val="auto"/>
          <w:sz w:val="24"/>
        </w:rPr>
        <w:t>参考《工业源固体物料堆场颗粒物核算系数手册》附录粉尘</w:t>
      </w:r>
      <w:r>
        <w:rPr>
          <w:rFonts w:hint="default" w:ascii="Times New Roman" w:hAnsi="Times New Roman" w:cs="Times New Roman"/>
          <w:color w:val="auto"/>
          <w:sz w:val="24"/>
          <w:lang w:val="en-US" w:eastAsia="zh-CN"/>
        </w:rPr>
        <w:t>综合</w:t>
      </w:r>
      <w:r>
        <w:rPr>
          <w:rFonts w:hint="default" w:ascii="Times New Roman" w:hAnsi="Times New Roman" w:cs="Times New Roman"/>
          <w:color w:val="auto"/>
          <w:sz w:val="24"/>
        </w:rPr>
        <w:t>控制措施效率</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设备</w:t>
      </w:r>
      <w:r>
        <w:rPr>
          <w:rFonts w:hint="default" w:ascii="Times New Roman" w:hAnsi="Times New Roman" w:cs="Times New Roman"/>
          <w:color w:val="auto"/>
          <w:sz w:val="24"/>
        </w:rPr>
        <w:t>通过</w:t>
      </w:r>
      <w:r>
        <w:rPr>
          <w:rFonts w:hint="default" w:ascii="Times New Roman" w:hAnsi="Times New Roman" w:cs="Times New Roman"/>
          <w:color w:val="auto"/>
          <w:sz w:val="24"/>
          <w:lang w:val="en-US" w:eastAsia="zh-CN"/>
        </w:rPr>
        <w:t>彩钢板封闭</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取90%</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和喷雾降尘后</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74%</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，无组织粉尘</w:t>
      </w:r>
      <w:r>
        <w:rPr>
          <w:rFonts w:hint="default" w:ascii="Times New Roman" w:hAnsi="Times New Roman" w:cs="Times New Roman"/>
          <w:color w:val="auto"/>
          <w:sz w:val="24"/>
          <w:lang w:val="en-US" w:eastAsia="zh-CN"/>
        </w:rPr>
        <w:t>综合</w:t>
      </w:r>
      <w:r>
        <w:rPr>
          <w:rFonts w:hint="default" w:ascii="Times New Roman" w:hAnsi="Times New Roman" w:cs="Times New Roman"/>
          <w:color w:val="auto"/>
          <w:sz w:val="24"/>
        </w:rPr>
        <w:t>控制效率取</w:t>
      </w:r>
      <w:r>
        <w:rPr>
          <w:rFonts w:hint="default" w:ascii="Times New Roman" w:hAnsi="Times New Roman" w:cs="Times New Roman"/>
          <w:color w:val="auto"/>
          <w:sz w:val="24"/>
          <w:lang w:val="en-US" w:eastAsia="zh-CN"/>
        </w:rPr>
        <w:t>97.4</w:t>
      </w:r>
      <w:r>
        <w:rPr>
          <w:rFonts w:hint="default" w:ascii="Times New Roman" w:hAnsi="Times New Roman" w:cs="Times New Roman"/>
          <w:color w:val="auto"/>
          <w:sz w:val="24"/>
        </w:rPr>
        <w:t>%，则</w:t>
      </w:r>
      <w:r>
        <w:rPr>
          <w:rFonts w:hint="default" w:ascii="Times New Roman" w:hAnsi="Times New Roman" w:cs="Times New Roman"/>
          <w:color w:val="auto"/>
          <w:sz w:val="24"/>
          <w:lang w:val="en-US" w:eastAsia="zh-CN"/>
        </w:rPr>
        <w:t>生产工序</w:t>
      </w:r>
      <w:r>
        <w:rPr>
          <w:rFonts w:hint="default" w:ascii="Times New Roman" w:hAnsi="Times New Roman" w:cs="Times New Roman"/>
          <w:color w:val="auto"/>
          <w:sz w:val="24"/>
        </w:rPr>
        <w:t>无组织排放量为</w:t>
      </w:r>
      <w:r>
        <w:rPr>
          <w:rFonts w:hint="default" w:ascii="Times New Roman" w:hAnsi="Times New Roman" w:cs="Times New Roman"/>
          <w:color w:val="auto"/>
          <w:sz w:val="24"/>
          <w:lang w:val="en-US" w:eastAsia="zh-CN"/>
        </w:rPr>
        <w:t>0.449</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0.187kg/h</w:t>
      </w:r>
      <w:r>
        <w:rPr>
          <w:rFonts w:hint="default" w:ascii="Times New Roman" w:hAnsi="Times New Roman" w:cs="Times New Roman"/>
          <w:color w:val="auto"/>
          <w:sz w:val="24"/>
          <w:lang w:eastAsia="zh-CN"/>
        </w:rPr>
        <w:t>。</w:t>
      </w:r>
    </w:p>
    <w:bookmarkEnd w:id="322"/>
    <w:p w14:paraId="664C1AC9">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②</w:t>
      </w:r>
      <w:r>
        <w:rPr>
          <w:rFonts w:hint="default" w:ascii="Times New Roman" w:hAnsi="Times New Roman" w:cs="Times New Roman"/>
          <w:color w:val="auto"/>
          <w:sz w:val="24"/>
        </w:rPr>
        <w:t>原矿料</w:t>
      </w:r>
      <w:r>
        <w:rPr>
          <w:rFonts w:hint="default" w:ascii="Times New Roman" w:hAnsi="Times New Roman" w:cs="Times New Roman"/>
          <w:color w:val="auto"/>
          <w:sz w:val="24"/>
          <w:lang w:val="en-US" w:eastAsia="zh-CN"/>
        </w:rPr>
        <w:t>斗</w:t>
      </w:r>
      <w:r>
        <w:rPr>
          <w:rFonts w:hint="default" w:ascii="Times New Roman" w:hAnsi="Times New Roman" w:cs="Times New Roman"/>
          <w:color w:val="auto"/>
          <w:sz w:val="24"/>
        </w:rPr>
        <w:t>给料粉尘</w:t>
      </w:r>
    </w:p>
    <w:p w14:paraId="78AED3D1">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本项目破碎车间内设置1个</w:t>
      </w:r>
      <w:r>
        <w:rPr>
          <w:rFonts w:hint="default" w:ascii="Times New Roman" w:hAnsi="Times New Roman" w:cs="Times New Roman"/>
          <w:color w:val="auto"/>
          <w:sz w:val="24"/>
        </w:rPr>
        <w:t>原矿料</w:t>
      </w:r>
      <w:r>
        <w:rPr>
          <w:rFonts w:hint="default" w:ascii="Times New Roman" w:hAnsi="Times New Roman" w:cs="Times New Roman"/>
          <w:color w:val="auto"/>
          <w:sz w:val="24"/>
          <w:lang w:val="en-US" w:eastAsia="zh-CN"/>
        </w:rPr>
        <w:t>斗，</w:t>
      </w:r>
      <w:r>
        <w:rPr>
          <w:rFonts w:hint="default" w:ascii="Times New Roman" w:hAnsi="Times New Roman" w:cs="Times New Roman"/>
          <w:color w:val="auto"/>
          <w:sz w:val="24"/>
        </w:rPr>
        <w:t>给料过程中会产生粉尘。参照《逸散性工业粉尘控制技术》（J.A.奥里蒙、G.A.久兹等编著中国环境科学出版社，1989）中粒料加工厂的碎石卸料逸散粉尘产污系数0.02kg/t-卸料。</w:t>
      </w:r>
    </w:p>
    <w:p w14:paraId="5F9F5B55">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项目原矿料</w:t>
      </w:r>
      <w:r>
        <w:rPr>
          <w:rFonts w:hint="default" w:ascii="Times New Roman" w:hAnsi="Times New Roman" w:cs="Times New Roman"/>
          <w:color w:val="auto"/>
          <w:sz w:val="24"/>
          <w:lang w:val="en-US" w:eastAsia="zh-CN"/>
        </w:rPr>
        <w:t>斗</w:t>
      </w:r>
      <w:r>
        <w:rPr>
          <w:rFonts w:hint="default" w:ascii="Times New Roman" w:hAnsi="Times New Roman" w:cs="Times New Roman"/>
          <w:color w:val="auto"/>
          <w:sz w:val="24"/>
        </w:rPr>
        <w:t>年卸料</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万吨，则原矿料</w:t>
      </w:r>
      <w:r>
        <w:rPr>
          <w:rFonts w:hint="default" w:ascii="Times New Roman" w:hAnsi="Times New Roman" w:cs="Times New Roman"/>
          <w:color w:val="auto"/>
          <w:sz w:val="24"/>
          <w:lang w:val="en-US" w:eastAsia="zh-CN"/>
        </w:rPr>
        <w:t>斗</w:t>
      </w:r>
      <w:r>
        <w:rPr>
          <w:rFonts w:hint="default" w:ascii="Times New Roman" w:hAnsi="Times New Roman" w:cs="Times New Roman"/>
          <w:color w:val="auto"/>
          <w:sz w:val="24"/>
        </w:rPr>
        <w:t>给料粉尘产生量为</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0.83kg/h。</w:t>
      </w:r>
    </w:p>
    <w:p w14:paraId="7D8766D1">
      <w:pPr>
        <w:spacing w:line="360" w:lineRule="auto"/>
        <w:ind w:firstLine="482"/>
        <w:rPr>
          <w:rFonts w:hint="default" w:ascii="Times New Roman" w:hAnsi="Times New Roman" w:cs="Times New Roman" w:eastAsiaTheme="minorEastAsia"/>
          <w:color w:val="auto"/>
          <w:sz w:val="24"/>
          <w:szCs w:val="24"/>
        </w:rPr>
      </w:pPr>
      <w:r>
        <w:rPr>
          <w:rFonts w:hint="default" w:ascii="Times New Roman" w:hAnsi="Times New Roman" w:cs="Times New Roman"/>
          <w:color w:val="auto"/>
          <w:sz w:val="24"/>
          <w:lang w:val="en-US" w:eastAsia="zh-CN"/>
        </w:rPr>
        <w:t>本次环评提出</w:t>
      </w:r>
      <w:r>
        <w:rPr>
          <w:rFonts w:hint="default" w:ascii="Times New Roman" w:hAnsi="Times New Roman" w:cs="Times New Roman"/>
          <w:color w:val="auto"/>
          <w:sz w:val="24"/>
        </w:rPr>
        <w:t>项目原矿料</w:t>
      </w:r>
      <w:r>
        <w:rPr>
          <w:rFonts w:hint="default" w:ascii="Times New Roman" w:hAnsi="Times New Roman" w:cs="Times New Roman"/>
          <w:color w:val="auto"/>
          <w:sz w:val="24"/>
          <w:lang w:val="en-US" w:eastAsia="zh-CN"/>
        </w:rPr>
        <w:t>斗设置三面围挡</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同时</w:t>
      </w:r>
      <w:r>
        <w:rPr>
          <w:rFonts w:hint="default" w:ascii="Times New Roman" w:hAnsi="Times New Roman" w:cs="Times New Roman"/>
          <w:color w:val="auto"/>
          <w:sz w:val="24"/>
        </w:rPr>
        <w:t>设置喷雾除尘，参考《工业源固体物料堆场颗粒物核算系数手册》附录粉尘控制措施效率，无组织粉尘</w:t>
      </w:r>
      <w:r>
        <w:rPr>
          <w:rFonts w:hint="default" w:ascii="Times New Roman" w:hAnsi="Times New Roman" w:cs="Times New Roman"/>
          <w:color w:val="auto"/>
          <w:sz w:val="24"/>
          <w:lang w:val="en-US" w:eastAsia="zh-CN"/>
        </w:rPr>
        <w:t>综合</w:t>
      </w:r>
      <w:r>
        <w:rPr>
          <w:rFonts w:hint="default" w:ascii="Times New Roman" w:hAnsi="Times New Roman" w:cs="Times New Roman"/>
          <w:color w:val="auto"/>
          <w:sz w:val="24"/>
        </w:rPr>
        <w:t>控制效率取</w:t>
      </w:r>
      <w:r>
        <w:rPr>
          <w:rFonts w:hint="default" w:ascii="Times New Roman" w:hAnsi="Times New Roman" w:cs="Times New Roman"/>
          <w:color w:val="auto"/>
          <w:sz w:val="24"/>
          <w:lang w:val="en-US" w:eastAsia="zh-CN"/>
        </w:rPr>
        <w:t>89.6</w:t>
      </w:r>
      <w:r>
        <w:rPr>
          <w:rFonts w:hint="default" w:ascii="Times New Roman" w:hAnsi="Times New Roman" w:cs="Times New Roman"/>
          <w:color w:val="auto"/>
          <w:sz w:val="24"/>
        </w:rPr>
        <w:t>%，则原矿料</w:t>
      </w:r>
      <w:r>
        <w:rPr>
          <w:rFonts w:hint="default" w:ascii="Times New Roman" w:hAnsi="Times New Roman" w:cs="Times New Roman"/>
          <w:color w:val="auto"/>
          <w:sz w:val="24"/>
          <w:lang w:val="en-US" w:eastAsia="zh-CN"/>
        </w:rPr>
        <w:t>斗</w:t>
      </w:r>
      <w:r>
        <w:rPr>
          <w:rFonts w:hint="default" w:ascii="Times New Roman" w:hAnsi="Times New Roman" w:cs="Times New Roman"/>
          <w:color w:val="auto"/>
          <w:sz w:val="24"/>
        </w:rPr>
        <w:t>给料粉尘无组织排放量为</w:t>
      </w:r>
      <w:r>
        <w:rPr>
          <w:rFonts w:hint="default" w:ascii="Times New Roman" w:hAnsi="Times New Roman" w:cs="Times New Roman"/>
          <w:color w:val="auto"/>
          <w:sz w:val="24"/>
          <w:lang w:val="en-US" w:eastAsia="zh-CN"/>
        </w:rPr>
        <w:t>0.208</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0.086kg/h</w:t>
      </w:r>
      <w:r>
        <w:rPr>
          <w:rFonts w:hint="default" w:ascii="Times New Roman" w:hAnsi="Times New Roman" w:cs="Times New Roman"/>
          <w:color w:val="auto"/>
          <w:sz w:val="24"/>
          <w:lang w:eastAsia="zh-CN"/>
        </w:rPr>
        <w:t>。</w:t>
      </w:r>
    </w:p>
    <w:p w14:paraId="4444F970">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③一次筛分大块料落料粉尘</w:t>
      </w:r>
    </w:p>
    <w:p w14:paraId="6C131CA6">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一次筛分将≥70mm原料筛出，落料点会产生粉尘。</w:t>
      </w:r>
      <w:r>
        <w:rPr>
          <w:rFonts w:hint="default" w:ascii="Times New Roman" w:hAnsi="Times New Roman" w:cs="Times New Roman"/>
          <w:color w:val="auto"/>
          <w:sz w:val="24"/>
        </w:rPr>
        <w:t>产污系数0.02kg/t</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卸料</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根据建设单位提供资料，≥70mm原料约占进料量的10%，为10000吨，粉尘产生量为0.2</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0.083kg/h。落料点采取设置三面围挡，喷雾降尘，</w:t>
      </w:r>
      <w:r>
        <w:rPr>
          <w:rFonts w:hint="default" w:ascii="Times New Roman" w:hAnsi="Times New Roman" w:cs="Times New Roman"/>
          <w:color w:val="auto"/>
          <w:sz w:val="24"/>
        </w:rPr>
        <w:t>无组织粉尘</w:t>
      </w:r>
      <w:r>
        <w:rPr>
          <w:rFonts w:hint="default" w:ascii="Times New Roman" w:hAnsi="Times New Roman" w:cs="Times New Roman"/>
          <w:color w:val="auto"/>
          <w:sz w:val="24"/>
          <w:lang w:val="en-US" w:eastAsia="zh-CN"/>
        </w:rPr>
        <w:t>综合</w:t>
      </w:r>
      <w:r>
        <w:rPr>
          <w:rFonts w:hint="default" w:ascii="Times New Roman" w:hAnsi="Times New Roman" w:cs="Times New Roman"/>
          <w:color w:val="auto"/>
          <w:sz w:val="24"/>
        </w:rPr>
        <w:t>控制效率取</w:t>
      </w:r>
      <w:r>
        <w:rPr>
          <w:rFonts w:hint="default" w:ascii="Times New Roman" w:hAnsi="Times New Roman" w:cs="Times New Roman"/>
          <w:color w:val="auto"/>
          <w:sz w:val="24"/>
          <w:lang w:val="en-US" w:eastAsia="zh-CN"/>
        </w:rPr>
        <w:t>89.6</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，则粉尘排放量为0.021</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0.0086kg/h。</w:t>
      </w:r>
    </w:p>
    <w:p w14:paraId="005F6B4C">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④</w:t>
      </w:r>
      <w:r>
        <w:rPr>
          <w:rFonts w:hint="default" w:ascii="Times New Roman" w:hAnsi="Times New Roman" w:cs="Times New Roman"/>
          <w:color w:val="auto"/>
          <w:sz w:val="24"/>
        </w:rPr>
        <w:t>皮带输送粉尘</w:t>
      </w:r>
    </w:p>
    <w:p w14:paraId="57623A10">
      <w:pPr>
        <w:pStyle w:val="17"/>
        <w:keepNext w:val="0"/>
        <w:keepLines w:val="0"/>
        <w:pageBreakBefore w:val="0"/>
        <w:widowControl w:val="0"/>
        <w:kinsoku/>
        <w:wordWrap/>
        <w:overflowPunct/>
        <w:topLinePunct w:val="0"/>
        <w:autoSpaceDE/>
        <w:autoSpaceDN/>
        <w:bidi w:val="0"/>
        <w:adjustRightInd/>
        <w:snapToGrid/>
        <w:spacing w:beforeLines="0" w:line="360" w:lineRule="auto"/>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本项目各工艺之间物料转运采用胶带输送进行，通过重力自由下落至各自的运输皮带，以及皮带输送过程中均会产生少量扬尘。皮带输送环节扬尘的产生具有产生量小的特性，本</w:t>
      </w:r>
      <w:bookmarkStart w:id="323" w:name="_Hlk162444478"/>
      <w:r>
        <w:rPr>
          <w:rFonts w:hint="default" w:ascii="Times New Roman" w:hAnsi="Times New Roman" w:cs="Times New Roman"/>
          <w:color w:val="auto"/>
          <w:sz w:val="24"/>
          <w:lang w:val="en-US" w:eastAsia="zh-CN"/>
        </w:rPr>
        <w:t>项目胶带输送廊道采用彩钢板封闭，有效防止输送落料扬尘污染，产生粉尘量很小，落料点设置有集气罩（破碎筛分及磁选工艺已配套建设），只有极少部分粉尘会逸散到大气环境中，该部分粉尘在破碎筛分、磁选环节已核算，不重复核算。</w:t>
      </w:r>
    </w:p>
    <w:bookmarkEnd w:id="323"/>
    <w:p w14:paraId="50F68B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堆场扬尘</w:t>
      </w:r>
    </w:p>
    <w:p w14:paraId="775BC395">
      <w:pPr>
        <w:pStyle w:val="39"/>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auto"/>
          <w:sz w:val="24"/>
          <w:szCs w:val="24"/>
          <w:lang w:bidi="en-US"/>
        </w:rPr>
      </w:pPr>
      <w:r>
        <w:rPr>
          <w:rFonts w:hint="default" w:ascii="Times New Roman" w:hAnsi="Times New Roman" w:cs="Times New Roman"/>
          <w:color w:val="auto"/>
          <w:sz w:val="24"/>
          <w:szCs w:val="24"/>
          <w:lang w:bidi="en-US"/>
        </w:rPr>
        <w:t>项目</w:t>
      </w:r>
      <w:r>
        <w:rPr>
          <w:rFonts w:hint="default" w:ascii="Times New Roman" w:hAnsi="Times New Roman" w:cs="Times New Roman"/>
          <w:color w:val="auto"/>
          <w:sz w:val="24"/>
          <w:szCs w:val="24"/>
          <w:lang w:val="en-US" w:eastAsia="zh-CN" w:bidi="en-US"/>
        </w:rPr>
        <w:t>设置1个</w:t>
      </w:r>
      <w:r>
        <w:rPr>
          <w:rFonts w:hint="default" w:ascii="Times New Roman" w:hAnsi="Times New Roman" w:cs="Times New Roman"/>
          <w:color w:val="auto"/>
          <w:sz w:val="24"/>
          <w:szCs w:val="24"/>
          <w:lang w:val="en-US" w:eastAsia="zh-CN"/>
        </w:rPr>
        <w:t>铁矿石</w:t>
      </w:r>
      <w:r>
        <w:rPr>
          <w:rFonts w:hint="default" w:ascii="Times New Roman" w:hAnsi="Times New Roman" w:cs="Times New Roman"/>
          <w:color w:val="auto"/>
          <w:sz w:val="24"/>
          <w:szCs w:val="24"/>
        </w:rPr>
        <w:t>堆场、</w:t>
      </w:r>
      <w:r>
        <w:rPr>
          <w:rFonts w:hint="default" w:ascii="Times New Roman" w:hAnsi="Times New Roman" w:cs="Times New Roman"/>
          <w:color w:val="auto"/>
          <w:sz w:val="24"/>
          <w:szCs w:val="24"/>
          <w:lang w:val="en-US" w:eastAsia="zh-CN"/>
        </w:rPr>
        <w:t>1个砂石料堆场，以及依托的鲁奎山铁矿原料堆场。</w:t>
      </w:r>
      <w:r>
        <w:rPr>
          <w:rFonts w:hint="default" w:ascii="Times New Roman" w:hAnsi="Times New Roman" w:cs="Times New Roman"/>
          <w:color w:val="auto"/>
          <w:sz w:val="24"/>
          <w:szCs w:val="24"/>
        </w:rPr>
        <w:t>堆场的装卸扬尘源强核算</w:t>
      </w:r>
      <w:r>
        <w:rPr>
          <w:rFonts w:hint="default" w:ascii="Times New Roman" w:hAnsi="Times New Roman" w:cs="Times New Roman"/>
          <w:color w:val="auto"/>
          <w:sz w:val="24"/>
          <w:szCs w:val="24"/>
          <w:lang w:bidi="en-US"/>
        </w:rPr>
        <w:t>参照《排放源统计调查产排污核算方法和系数手册》（2021.6.11）中“附表2 工业源固体物料堆场颗粒物核算系数手册”中的核算方法进行核算。</w:t>
      </w:r>
    </w:p>
    <w:p w14:paraId="159029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szCs w:val="24"/>
        </w:rPr>
        <w:t>工业企业固体物料堆存</w:t>
      </w:r>
      <w:r>
        <w:rPr>
          <w:rFonts w:hint="default" w:ascii="Times New Roman" w:hAnsi="Times New Roman" w:cs="Times New Roman"/>
          <w:color w:val="auto"/>
          <w:sz w:val="24"/>
        </w:rPr>
        <w:t>颗粒物包括装卸</w:t>
      </w:r>
      <w:r>
        <w:rPr>
          <w:rFonts w:hint="default" w:ascii="Times New Roman" w:hAnsi="Times New Roman" w:cs="Times New Roman"/>
          <w:color w:val="auto"/>
          <w:sz w:val="24"/>
          <w:lang w:val="en-US" w:eastAsia="zh-CN"/>
        </w:rPr>
        <w:t>扬尘</w:t>
      </w:r>
      <w:r>
        <w:rPr>
          <w:rFonts w:hint="default" w:ascii="Times New Roman" w:hAnsi="Times New Roman" w:cs="Times New Roman"/>
          <w:color w:val="auto"/>
          <w:sz w:val="24"/>
        </w:rPr>
        <w:t>和风蚀扬尘，颗粒物产生量核算公式如下：</w:t>
      </w:r>
    </w:p>
    <w:p w14:paraId="738117C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0" distR="0">
            <wp:extent cx="4267200" cy="243840"/>
            <wp:effectExtent l="0" t="0" r="0" b="3810"/>
            <wp:docPr id="972865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65612" name="图片 1"/>
                    <pic:cNvPicPr>
                      <a:picLocks noChangeAspect="1"/>
                    </pic:cNvPicPr>
                  </pic:nvPicPr>
                  <pic:blipFill>
                    <a:blip r:embed="rId22"/>
                    <a:stretch>
                      <a:fillRect/>
                    </a:stretch>
                  </pic:blipFill>
                  <pic:spPr>
                    <a:xfrm>
                      <a:off x="0" y="0"/>
                      <a:ext cx="4267570" cy="243861"/>
                    </a:xfrm>
                    <a:prstGeom prst="rect">
                      <a:avLst/>
                    </a:prstGeom>
                  </pic:spPr>
                </pic:pic>
              </a:graphicData>
            </a:graphic>
          </wp:inline>
        </w:drawing>
      </w:r>
    </w:p>
    <w:p w14:paraId="2B7318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式中：P指颗粒物产生量（单位：吨）；</w:t>
      </w:r>
    </w:p>
    <w:p w14:paraId="35111D3B">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ZCy指装卸扬尘产生量（单位：吨）；</w:t>
      </w:r>
    </w:p>
    <w:p w14:paraId="3D86ADFA">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FCy指风蚀扬尘产生量（单位：吨）；</w:t>
      </w:r>
    </w:p>
    <w:p w14:paraId="176B3C15">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Nc指年物料运载车次（单位：车）；</w:t>
      </w:r>
    </w:p>
    <w:p w14:paraId="75E7FB25">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D指单车平均运载量（单位：吨/车）；</w:t>
      </w:r>
    </w:p>
    <w:p w14:paraId="39A6FA94">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（a/b）指装卸扬尘概化系数（单位：千克/吨），a指各省风速概化系数，b指物料含水率概化系数；</w:t>
      </w:r>
    </w:p>
    <w:p w14:paraId="0AF29AEF">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E</w:t>
      </w:r>
      <w:r>
        <w:rPr>
          <w:rFonts w:hint="default" w:ascii="Times New Roman" w:hAnsi="Times New Roman" w:cs="Times New Roman"/>
          <w:color w:val="auto"/>
          <w:sz w:val="24"/>
          <w:vertAlign w:val="subscript"/>
        </w:rPr>
        <w:t>f</w:t>
      </w:r>
      <w:r>
        <w:rPr>
          <w:rFonts w:hint="default" w:ascii="Times New Roman" w:hAnsi="Times New Roman" w:cs="Times New Roman"/>
          <w:color w:val="auto"/>
          <w:sz w:val="24"/>
        </w:rPr>
        <w:t>指堆场风蚀扬尘概化系数，（单位：千克/平方米）；</w:t>
      </w:r>
    </w:p>
    <w:p w14:paraId="21CA982B">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S指堆场占地面积（单位：平方米）。</w:t>
      </w:r>
    </w:p>
    <w:p w14:paraId="357382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工业企业固体物料堆场颗粒物排放量核算公式如下：</w:t>
      </w:r>
    </w:p>
    <w:p w14:paraId="7C1146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0" distR="0">
            <wp:extent cx="2689860" cy="304800"/>
            <wp:effectExtent l="0" t="0" r="15240" b="0"/>
            <wp:docPr id="528602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02536" name="图片 1"/>
                    <pic:cNvPicPr>
                      <a:picLocks noChangeAspect="1"/>
                    </pic:cNvPicPr>
                  </pic:nvPicPr>
                  <pic:blipFill>
                    <a:blip r:embed="rId23"/>
                    <a:stretch>
                      <a:fillRect/>
                    </a:stretch>
                  </pic:blipFill>
                  <pic:spPr>
                    <a:xfrm>
                      <a:off x="0" y="0"/>
                      <a:ext cx="2690093" cy="304826"/>
                    </a:xfrm>
                    <a:prstGeom prst="rect">
                      <a:avLst/>
                    </a:prstGeom>
                  </pic:spPr>
                </pic:pic>
              </a:graphicData>
            </a:graphic>
          </wp:inline>
        </w:drawing>
      </w:r>
    </w:p>
    <w:p w14:paraId="5DCA6A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式中：P指颗粒物产生量（单位：吨）；</w:t>
      </w:r>
    </w:p>
    <w:p w14:paraId="1F1431B2">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Uc指颗粒物排放量（单位：吨）；</w:t>
      </w:r>
    </w:p>
    <w:p w14:paraId="668B6B02">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Cm指颗粒物控制措施控制效率（单位：%）； </w:t>
      </w:r>
    </w:p>
    <w:p w14:paraId="209ED639">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Tm指堆场类型控制效率（单位：%）。</w:t>
      </w:r>
    </w:p>
    <w:p w14:paraId="53CDAC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原料堆场、成品</w:t>
      </w:r>
      <w:r>
        <w:rPr>
          <w:rFonts w:hint="default" w:ascii="Times New Roman" w:hAnsi="Times New Roman" w:cs="Times New Roman"/>
          <w:color w:val="auto"/>
          <w:sz w:val="24"/>
        </w:rPr>
        <w:t>堆场主要采取降尘措施为：“三面围挡+彩钢瓦顶棚”</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60%</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，设置喷雾降尘措施</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74%</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同时采取编织物覆盖措施</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86%</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根据本项目工程内容及《工业源固体物料堆场颗粒物核算系数手册》附录，堆场扬尘计算参数取值见下表。</w:t>
      </w:r>
    </w:p>
    <w:p w14:paraId="0CD35F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表3.5.2-2  铁矿石堆场扬尘计算参数一览表</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2469"/>
        <w:gridCol w:w="2305"/>
        <w:gridCol w:w="2205"/>
      </w:tblGrid>
      <w:tr w14:paraId="52FEB7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1A929F0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参数名称</w:t>
            </w:r>
          </w:p>
        </w:tc>
        <w:tc>
          <w:tcPr>
            <w:tcW w:w="2126" w:type="dxa"/>
            <w:tcBorders>
              <w:tl2br w:val="nil"/>
              <w:tr2bl w:val="nil"/>
            </w:tcBorders>
            <w:vAlign w:val="center"/>
          </w:tcPr>
          <w:p w14:paraId="4C33295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取值</w:t>
            </w:r>
          </w:p>
        </w:tc>
        <w:tc>
          <w:tcPr>
            <w:tcW w:w="1985" w:type="dxa"/>
            <w:tcBorders>
              <w:tl2br w:val="nil"/>
              <w:tr2bl w:val="nil"/>
            </w:tcBorders>
            <w:vAlign w:val="center"/>
          </w:tcPr>
          <w:p w14:paraId="0F6785B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参数名称</w:t>
            </w:r>
          </w:p>
        </w:tc>
        <w:tc>
          <w:tcPr>
            <w:tcW w:w="1899" w:type="dxa"/>
            <w:tcBorders>
              <w:tl2br w:val="nil"/>
              <w:tr2bl w:val="nil"/>
            </w:tcBorders>
            <w:vAlign w:val="center"/>
          </w:tcPr>
          <w:p w14:paraId="4EF3029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取值</w:t>
            </w:r>
          </w:p>
        </w:tc>
      </w:tr>
      <w:tr w14:paraId="3062D3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0074C72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Nc</w:t>
            </w:r>
          </w:p>
        </w:tc>
        <w:tc>
          <w:tcPr>
            <w:tcW w:w="2126" w:type="dxa"/>
            <w:tcBorders>
              <w:tl2br w:val="nil"/>
              <w:tr2bl w:val="nil"/>
            </w:tcBorders>
            <w:vAlign w:val="center"/>
          </w:tcPr>
          <w:p w14:paraId="0ACD773A">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900</w:t>
            </w:r>
          </w:p>
        </w:tc>
        <w:tc>
          <w:tcPr>
            <w:tcW w:w="1985" w:type="dxa"/>
            <w:tcBorders>
              <w:tl2br w:val="nil"/>
              <w:tr2bl w:val="nil"/>
            </w:tcBorders>
            <w:vAlign w:val="center"/>
          </w:tcPr>
          <w:p w14:paraId="4412524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w:t>
            </w:r>
          </w:p>
        </w:tc>
        <w:tc>
          <w:tcPr>
            <w:tcW w:w="1899" w:type="dxa"/>
            <w:tcBorders>
              <w:tl2br w:val="nil"/>
              <w:tr2bl w:val="nil"/>
            </w:tcBorders>
            <w:vAlign w:val="center"/>
          </w:tcPr>
          <w:p w14:paraId="55A7A95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w:t>
            </w:r>
          </w:p>
        </w:tc>
      </w:tr>
      <w:tr w14:paraId="21AA1E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7358A52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w:t>
            </w:r>
          </w:p>
        </w:tc>
        <w:tc>
          <w:tcPr>
            <w:tcW w:w="2126" w:type="dxa"/>
            <w:tcBorders>
              <w:tl2br w:val="nil"/>
              <w:tr2bl w:val="nil"/>
            </w:tcBorders>
            <w:vAlign w:val="center"/>
          </w:tcPr>
          <w:p w14:paraId="456A3AD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0.0009 </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云南省</w:t>
            </w:r>
            <w:r>
              <w:rPr>
                <w:rFonts w:hint="default" w:ascii="Times New Roman" w:hAnsi="Times New Roman" w:cs="Times New Roman"/>
                <w:color w:val="auto"/>
                <w:sz w:val="18"/>
                <w:szCs w:val="18"/>
                <w:lang w:eastAsia="zh-CN"/>
              </w:rPr>
              <w:t>）</w:t>
            </w:r>
          </w:p>
        </w:tc>
        <w:tc>
          <w:tcPr>
            <w:tcW w:w="1985" w:type="dxa"/>
            <w:tcBorders>
              <w:tl2br w:val="nil"/>
              <w:tr2bl w:val="nil"/>
            </w:tcBorders>
            <w:vAlign w:val="center"/>
          </w:tcPr>
          <w:p w14:paraId="01C64B0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b</w:t>
            </w:r>
          </w:p>
        </w:tc>
        <w:tc>
          <w:tcPr>
            <w:tcW w:w="1899" w:type="dxa"/>
            <w:tcBorders>
              <w:tl2br w:val="nil"/>
              <w:tr2bl w:val="nil"/>
            </w:tcBorders>
            <w:vAlign w:val="center"/>
          </w:tcPr>
          <w:p w14:paraId="33F3B5B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0.0074 </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铁矿石</w:t>
            </w:r>
            <w:r>
              <w:rPr>
                <w:rFonts w:hint="default" w:ascii="Times New Roman" w:hAnsi="Times New Roman" w:cs="Times New Roman"/>
                <w:color w:val="auto"/>
                <w:sz w:val="18"/>
                <w:szCs w:val="18"/>
                <w:lang w:eastAsia="zh-CN"/>
              </w:rPr>
              <w:t>）</w:t>
            </w:r>
          </w:p>
        </w:tc>
      </w:tr>
      <w:tr w14:paraId="30DD78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39D138B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w:t>
            </w:r>
            <w:r>
              <w:rPr>
                <w:rFonts w:hint="default" w:ascii="Times New Roman" w:hAnsi="Times New Roman" w:cs="Times New Roman"/>
                <w:color w:val="auto"/>
                <w:sz w:val="18"/>
                <w:szCs w:val="18"/>
                <w:vertAlign w:val="subscript"/>
              </w:rPr>
              <w:t>f</w:t>
            </w:r>
          </w:p>
        </w:tc>
        <w:tc>
          <w:tcPr>
            <w:tcW w:w="2126" w:type="dxa"/>
            <w:tcBorders>
              <w:tl2br w:val="nil"/>
              <w:tr2bl w:val="nil"/>
            </w:tcBorders>
            <w:vAlign w:val="center"/>
          </w:tcPr>
          <w:p w14:paraId="1CAA1AD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0 </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铁矿石</w:t>
            </w:r>
            <w:r>
              <w:rPr>
                <w:rFonts w:hint="default" w:ascii="Times New Roman" w:hAnsi="Times New Roman" w:cs="Times New Roman"/>
                <w:color w:val="auto"/>
                <w:sz w:val="18"/>
                <w:szCs w:val="18"/>
                <w:lang w:eastAsia="zh-CN"/>
              </w:rPr>
              <w:t>）</w:t>
            </w:r>
          </w:p>
        </w:tc>
        <w:tc>
          <w:tcPr>
            <w:tcW w:w="1985" w:type="dxa"/>
            <w:tcBorders>
              <w:tl2br w:val="nil"/>
              <w:tr2bl w:val="nil"/>
            </w:tcBorders>
            <w:vAlign w:val="center"/>
          </w:tcPr>
          <w:p w14:paraId="09E446B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w:t>
            </w:r>
          </w:p>
        </w:tc>
        <w:tc>
          <w:tcPr>
            <w:tcW w:w="1899" w:type="dxa"/>
            <w:tcBorders>
              <w:tl2br w:val="nil"/>
              <w:tr2bl w:val="nil"/>
            </w:tcBorders>
            <w:vAlign w:val="center"/>
          </w:tcPr>
          <w:p w14:paraId="42FE3E3E">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100</w:t>
            </w:r>
          </w:p>
        </w:tc>
      </w:tr>
      <w:tr w14:paraId="32F356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1D8590B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Cm</w:t>
            </w:r>
          </w:p>
        </w:tc>
        <w:tc>
          <w:tcPr>
            <w:tcW w:w="2126" w:type="dxa"/>
            <w:tcBorders>
              <w:tl2br w:val="nil"/>
              <w:tr2bl w:val="nil"/>
            </w:tcBorders>
            <w:vAlign w:val="center"/>
          </w:tcPr>
          <w:p w14:paraId="24B53F6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98.54</w:t>
            </w:r>
            <w:r>
              <w:rPr>
                <w:rFonts w:hint="default" w:ascii="Times New Roman" w:hAnsi="Times New Roman" w:cs="Times New Roman"/>
                <w:color w:val="auto"/>
                <w:sz w:val="18"/>
                <w:szCs w:val="18"/>
              </w:rPr>
              <w:t>%</w:t>
            </w:r>
          </w:p>
        </w:tc>
        <w:tc>
          <w:tcPr>
            <w:tcW w:w="1985" w:type="dxa"/>
            <w:tcBorders>
              <w:tl2br w:val="nil"/>
              <w:tr2bl w:val="nil"/>
            </w:tcBorders>
            <w:vAlign w:val="center"/>
          </w:tcPr>
          <w:p w14:paraId="7D8C5F9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Tm</w:t>
            </w:r>
          </w:p>
        </w:tc>
        <w:tc>
          <w:tcPr>
            <w:tcW w:w="1899" w:type="dxa"/>
            <w:tcBorders>
              <w:tl2br w:val="nil"/>
              <w:tr2bl w:val="nil"/>
            </w:tcBorders>
            <w:vAlign w:val="center"/>
          </w:tcPr>
          <w:p w14:paraId="1B0133C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r>
    </w:tbl>
    <w:p w14:paraId="68B10E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经计算，</w:t>
      </w:r>
      <w:r>
        <w:rPr>
          <w:rFonts w:hint="default" w:ascii="Times New Roman" w:hAnsi="Times New Roman" w:cs="Times New Roman"/>
          <w:color w:val="auto"/>
          <w:sz w:val="24"/>
          <w:lang w:val="en-US" w:eastAsia="zh-CN"/>
        </w:rPr>
        <w:t>铁矿石</w:t>
      </w:r>
      <w:r>
        <w:rPr>
          <w:rFonts w:hint="default" w:ascii="Times New Roman" w:hAnsi="Times New Roman" w:cs="Times New Roman"/>
          <w:color w:val="auto"/>
          <w:sz w:val="24"/>
        </w:rPr>
        <w:t>堆场扬尘产生量为</w:t>
      </w:r>
      <w:r>
        <w:rPr>
          <w:rFonts w:hint="default" w:ascii="Times New Roman" w:hAnsi="Times New Roman" w:cs="Times New Roman"/>
          <w:color w:val="auto"/>
          <w:sz w:val="24"/>
          <w:lang w:val="en-US" w:eastAsia="zh-CN"/>
        </w:rPr>
        <w:t>3.28</w:t>
      </w:r>
      <w:r>
        <w:rPr>
          <w:rFonts w:hint="default" w:ascii="Times New Roman" w:hAnsi="Times New Roman" w:cs="Times New Roman"/>
          <w:color w:val="auto"/>
          <w:sz w:val="24"/>
        </w:rPr>
        <w:t>t/a，排放量为</w:t>
      </w:r>
      <w:r>
        <w:rPr>
          <w:rFonts w:hint="default" w:ascii="Times New Roman" w:hAnsi="Times New Roman" w:cs="Times New Roman"/>
          <w:color w:val="auto"/>
          <w:sz w:val="24"/>
          <w:lang w:val="en-US" w:eastAsia="zh-CN"/>
        </w:rPr>
        <w:t>0.048</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0.02kg/h</w:t>
      </w:r>
      <w:r>
        <w:rPr>
          <w:rFonts w:hint="default" w:ascii="Times New Roman" w:hAnsi="Times New Roman" w:cs="Times New Roman"/>
          <w:color w:val="auto"/>
          <w:sz w:val="24"/>
        </w:rPr>
        <w:t>。</w:t>
      </w:r>
    </w:p>
    <w:p w14:paraId="27C851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表3.5.2-3  砂石料堆场扬尘计算参数一览表</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2469"/>
        <w:gridCol w:w="2305"/>
        <w:gridCol w:w="2205"/>
      </w:tblGrid>
      <w:tr w14:paraId="1A86C7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2BCF0B9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参数名称</w:t>
            </w:r>
          </w:p>
        </w:tc>
        <w:tc>
          <w:tcPr>
            <w:tcW w:w="2126" w:type="dxa"/>
            <w:tcBorders>
              <w:tl2br w:val="nil"/>
              <w:tr2bl w:val="nil"/>
            </w:tcBorders>
            <w:vAlign w:val="center"/>
          </w:tcPr>
          <w:p w14:paraId="7DBBB89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取值</w:t>
            </w:r>
          </w:p>
        </w:tc>
        <w:tc>
          <w:tcPr>
            <w:tcW w:w="1985" w:type="dxa"/>
            <w:tcBorders>
              <w:tl2br w:val="nil"/>
              <w:tr2bl w:val="nil"/>
            </w:tcBorders>
            <w:vAlign w:val="center"/>
          </w:tcPr>
          <w:p w14:paraId="4F80065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参数名称</w:t>
            </w:r>
          </w:p>
        </w:tc>
        <w:tc>
          <w:tcPr>
            <w:tcW w:w="1899" w:type="dxa"/>
            <w:tcBorders>
              <w:tl2br w:val="nil"/>
              <w:tr2bl w:val="nil"/>
            </w:tcBorders>
            <w:vAlign w:val="center"/>
          </w:tcPr>
          <w:p w14:paraId="6DB22D4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取值</w:t>
            </w:r>
          </w:p>
        </w:tc>
      </w:tr>
      <w:tr w14:paraId="7AD066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56EB3F7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Nc</w:t>
            </w:r>
          </w:p>
        </w:tc>
        <w:tc>
          <w:tcPr>
            <w:tcW w:w="2126" w:type="dxa"/>
            <w:tcBorders>
              <w:tl2br w:val="nil"/>
              <w:tr2bl w:val="nil"/>
            </w:tcBorders>
            <w:vAlign w:val="center"/>
          </w:tcPr>
          <w:p w14:paraId="2408D210">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2100</w:t>
            </w:r>
          </w:p>
        </w:tc>
        <w:tc>
          <w:tcPr>
            <w:tcW w:w="1985" w:type="dxa"/>
            <w:tcBorders>
              <w:tl2br w:val="nil"/>
              <w:tr2bl w:val="nil"/>
            </w:tcBorders>
            <w:vAlign w:val="center"/>
          </w:tcPr>
          <w:p w14:paraId="7B6795E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w:t>
            </w:r>
          </w:p>
        </w:tc>
        <w:tc>
          <w:tcPr>
            <w:tcW w:w="1899" w:type="dxa"/>
            <w:tcBorders>
              <w:tl2br w:val="nil"/>
              <w:tr2bl w:val="nil"/>
            </w:tcBorders>
            <w:vAlign w:val="center"/>
          </w:tcPr>
          <w:p w14:paraId="238D0EE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w:t>
            </w:r>
          </w:p>
        </w:tc>
      </w:tr>
      <w:tr w14:paraId="6B7D34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293B6E7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w:t>
            </w:r>
          </w:p>
        </w:tc>
        <w:tc>
          <w:tcPr>
            <w:tcW w:w="2126" w:type="dxa"/>
            <w:tcBorders>
              <w:tl2br w:val="nil"/>
              <w:tr2bl w:val="nil"/>
            </w:tcBorders>
            <w:vAlign w:val="center"/>
          </w:tcPr>
          <w:p w14:paraId="118684C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0.0009 </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云南省</w:t>
            </w:r>
            <w:r>
              <w:rPr>
                <w:rFonts w:hint="default" w:ascii="Times New Roman" w:hAnsi="Times New Roman" w:cs="Times New Roman"/>
                <w:color w:val="auto"/>
                <w:sz w:val="18"/>
                <w:szCs w:val="18"/>
                <w:lang w:eastAsia="zh-CN"/>
              </w:rPr>
              <w:t>）</w:t>
            </w:r>
          </w:p>
        </w:tc>
        <w:tc>
          <w:tcPr>
            <w:tcW w:w="1985" w:type="dxa"/>
            <w:tcBorders>
              <w:tl2br w:val="nil"/>
              <w:tr2bl w:val="nil"/>
            </w:tcBorders>
            <w:vAlign w:val="center"/>
          </w:tcPr>
          <w:p w14:paraId="0360240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b</w:t>
            </w:r>
          </w:p>
        </w:tc>
        <w:tc>
          <w:tcPr>
            <w:tcW w:w="1899" w:type="dxa"/>
            <w:tcBorders>
              <w:tl2br w:val="nil"/>
              <w:tr2bl w:val="nil"/>
            </w:tcBorders>
            <w:vAlign w:val="center"/>
          </w:tcPr>
          <w:p w14:paraId="1F91854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0.0074 </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参照</w:t>
            </w:r>
            <w:r>
              <w:rPr>
                <w:rFonts w:hint="default" w:ascii="Times New Roman" w:hAnsi="Times New Roman" w:cs="Times New Roman"/>
                <w:color w:val="auto"/>
                <w:sz w:val="18"/>
                <w:szCs w:val="18"/>
              </w:rPr>
              <w:t>铁矿石</w:t>
            </w:r>
            <w:r>
              <w:rPr>
                <w:rFonts w:hint="default" w:ascii="Times New Roman" w:hAnsi="Times New Roman" w:cs="Times New Roman"/>
                <w:color w:val="auto"/>
                <w:sz w:val="18"/>
                <w:szCs w:val="18"/>
                <w:lang w:eastAsia="zh-CN"/>
              </w:rPr>
              <w:t>）</w:t>
            </w:r>
          </w:p>
        </w:tc>
      </w:tr>
      <w:tr w14:paraId="43600D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1745C6E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w:t>
            </w:r>
            <w:r>
              <w:rPr>
                <w:rFonts w:hint="default" w:ascii="Times New Roman" w:hAnsi="Times New Roman" w:cs="Times New Roman"/>
                <w:color w:val="auto"/>
                <w:sz w:val="18"/>
                <w:szCs w:val="18"/>
                <w:vertAlign w:val="subscript"/>
              </w:rPr>
              <w:t>f</w:t>
            </w:r>
          </w:p>
        </w:tc>
        <w:tc>
          <w:tcPr>
            <w:tcW w:w="2126" w:type="dxa"/>
            <w:tcBorders>
              <w:tl2br w:val="nil"/>
              <w:tr2bl w:val="nil"/>
            </w:tcBorders>
            <w:vAlign w:val="center"/>
          </w:tcPr>
          <w:p w14:paraId="014AC62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0 </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参照</w:t>
            </w:r>
            <w:r>
              <w:rPr>
                <w:rFonts w:hint="default" w:ascii="Times New Roman" w:hAnsi="Times New Roman" w:cs="Times New Roman"/>
                <w:color w:val="auto"/>
                <w:sz w:val="18"/>
                <w:szCs w:val="18"/>
              </w:rPr>
              <w:t>铁矿石</w:t>
            </w:r>
            <w:r>
              <w:rPr>
                <w:rFonts w:hint="default" w:ascii="Times New Roman" w:hAnsi="Times New Roman" w:cs="Times New Roman"/>
                <w:color w:val="auto"/>
                <w:sz w:val="18"/>
                <w:szCs w:val="18"/>
                <w:lang w:eastAsia="zh-CN"/>
              </w:rPr>
              <w:t>）</w:t>
            </w:r>
          </w:p>
        </w:tc>
        <w:tc>
          <w:tcPr>
            <w:tcW w:w="1985" w:type="dxa"/>
            <w:tcBorders>
              <w:tl2br w:val="nil"/>
              <w:tr2bl w:val="nil"/>
            </w:tcBorders>
            <w:vAlign w:val="center"/>
          </w:tcPr>
          <w:p w14:paraId="787101A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w:t>
            </w:r>
          </w:p>
        </w:tc>
        <w:tc>
          <w:tcPr>
            <w:tcW w:w="1899" w:type="dxa"/>
            <w:tcBorders>
              <w:tl2br w:val="nil"/>
              <w:tr2bl w:val="nil"/>
            </w:tcBorders>
            <w:vAlign w:val="center"/>
          </w:tcPr>
          <w:p w14:paraId="40096E2B">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300</w:t>
            </w:r>
          </w:p>
        </w:tc>
      </w:tr>
      <w:tr w14:paraId="195045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0FB7F28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Cm</w:t>
            </w:r>
          </w:p>
        </w:tc>
        <w:tc>
          <w:tcPr>
            <w:tcW w:w="2126" w:type="dxa"/>
            <w:tcBorders>
              <w:tl2br w:val="nil"/>
              <w:tr2bl w:val="nil"/>
            </w:tcBorders>
            <w:vAlign w:val="center"/>
          </w:tcPr>
          <w:p w14:paraId="7DDA285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98.54</w:t>
            </w:r>
            <w:r>
              <w:rPr>
                <w:rFonts w:hint="default" w:ascii="Times New Roman" w:hAnsi="Times New Roman" w:cs="Times New Roman"/>
                <w:color w:val="auto"/>
                <w:sz w:val="18"/>
                <w:szCs w:val="18"/>
              </w:rPr>
              <w:t>%</w:t>
            </w:r>
          </w:p>
        </w:tc>
        <w:tc>
          <w:tcPr>
            <w:tcW w:w="1985" w:type="dxa"/>
            <w:tcBorders>
              <w:tl2br w:val="nil"/>
              <w:tr2bl w:val="nil"/>
            </w:tcBorders>
            <w:vAlign w:val="center"/>
          </w:tcPr>
          <w:p w14:paraId="300487F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Tm</w:t>
            </w:r>
          </w:p>
        </w:tc>
        <w:tc>
          <w:tcPr>
            <w:tcW w:w="1899" w:type="dxa"/>
            <w:tcBorders>
              <w:tl2br w:val="nil"/>
              <w:tr2bl w:val="nil"/>
            </w:tcBorders>
            <w:vAlign w:val="center"/>
          </w:tcPr>
          <w:p w14:paraId="0838787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r>
    </w:tbl>
    <w:p w14:paraId="7659449D">
      <w:pPr>
        <w:pStyle w:val="2"/>
        <w:spacing w:line="360" w:lineRule="auto"/>
        <w:ind w:left="480"/>
        <w:jc w:val="left"/>
        <w:rPr>
          <w:rFonts w:hint="default" w:ascii="Times New Roman" w:hAnsi="Times New Roman" w:cs="Times New Roman" w:eastAsiaTheme="minorEastAsia"/>
          <w:color w:val="auto"/>
          <w:sz w:val="24"/>
          <w:szCs w:val="24"/>
        </w:rPr>
      </w:pPr>
      <w:r>
        <w:rPr>
          <w:rFonts w:hint="default" w:ascii="Times New Roman" w:hAnsi="Times New Roman" w:cs="Times New Roman"/>
          <w:color w:val="auto"/>
          <w:sz w:val="24"/>
        </w:rPr>
        <w:t>经计算，</w:t>
      </w:r>
      <w:r>
        <w:rPr>
          <w:rFonts w:hint="default" w:ascii="Times New Roman" w:hAnsi="Times New Roman" w:cs="Times New Roman"/>
          <w:color w:val="auto"/>
          <w:sz w:val="24"/>
          <w:lang w:val="en-US" w:eastAsia="zh-CN"/>
        </w:rPr>
        <w:t>砂石料</w:t>
      </w:r>
      <w:r>
        <w:rPr>
          <w:rFonts w:hint="default" w:ascii="Times New Roman" w:hAnsi="Times New Roman" w:cs="Times New Roman"/>
          <w:color w:val="auto"/>
          <w:sz w:val="24"/>
        </w:rPr>
        <w:t>堆场扬尘产生量为</w:t>
      </w:r>
      <w:r>
        <w:rPr>
          <w:rFonts w:hint="default" w:ascii="Times New Roman" w:hAnsi="Times New Roman" w:cs="Times New Roman"/>
          <w:color w:val="auto"/>
          <w:sz w:val="24"/>
          <w:lang w:val="en-US" w:eastAsia="zh-CN"/>
        </w:rPr>
        <w:t>7.66</w:t>
      </w:r>
      <w:r>
        <w:rPr>
          <w:rFonts w:hint="default" w:ascii="Times New Roman" w:hAnsi="Times New Roman" w:cs="Times New Roman"/>
          <w:color w:val="auto"/>
          <w:sz w:val="24"/>
        </w:rPr>
        <w:t>t/a，排放量为</w:t>
      </w:r>
      <w:r>
        <w:rPr>
          <w:rFonts w:hint="default" w:ascii="Times New Roman" w:hAnsi="Times New Roman" w:cs="Times New Roman"/>
          <w:color w:val="auto"/>
          <w:sz w:val="24"/>
          <w:lang w:val="en-US" w:eastAsia="zh-CN"/>
        </w:rPr>
        <w:t>0.11</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0.045kg/h</w:t>
      </w:r>
      <w:r>
        <w:rPr>
          <w:rFonts w:hint="default" w:ascii="Times New Roman" w:hAnsi="Times New Roman" w:cs="Times New Roman"/>
          <w:color w:val="auto"/>
          <w:sz w:val="24"/>
        </w:rPr>
        <w:t>。</w:t>
      </w:r>
    </w:p>
    <w:p w14:paraId="639CE9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表3.5.2-4  原料堆场扬尘计算参数一览表</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2469"/>
        <w:gridCol w:w="2305"/>
        <w:gridCol w:w="2205"/>
      </w:tblGrid>
      <w:tr w14:paraId="15EF19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2E4911B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参数名称</w:t>
            </w:r>
          </w:p>
        </w:tc>
        <w:tc>
          <w:tcPr>
            <w:tcW w:w="2126" w:type="dxa"/>
            <w:tcBorders>
              <w:tl2br w:val="nil"/>
              <w:tr2bl w:val="nil"/>
            </w:tcBorders>
            <w:vAlign w:val="center"/>
          </w:tcPr>
          <w:p w14:paraId="0C5441C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取值</w:t>
            </w:r>
          </w:p>
        </w:tc>
        <w:tc>
          <w:tcPr>
            <w:tcW w:w="1985" w:type="dxa"/>
            <w:tcBorders>
              <w:tl2br w:val="nil"/>
              <w:tr2bl w:val="nil"/>
            </w:tcBorders>
            <w:vAlign w:val="center"/>
          </w:tcPr>
          <w:p w14:paraId="2F0A76B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参数名称</w:t>
            </w:r>
          </w:p>
        </w:tc>
        <w:tc>
          <w:tcPr>
            <w:tcW w:w="1899" w:type="dxa"/>
            <w:tcBorders>
              <w:tl2br w:val="nil"/>
              <w:tr2bl w:val="nil"/>
            </w:tcBorders>
            <w:vAlign w:val="center"/>
          </w:tcPr>
          <w:p w14:paraId="4F1019C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取值</w:t>
            </w:r>
          </w:p>
        </w:tc>
      </w:tr>
      <w:tr w14:paraId="6D7691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5EA87C7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Nc</w:t>
            </w:r>
          </w:p>
        </w:tc>
        <w:tc>
          <w:tcPr>
            <w:tcW w:w="2126" w:type="dxa"/>
            <w:tcBorders>
              <w:tl2br w:val="nil"/>
              <w:tr2bl w:val="nil"/>
            </w:tcBorders>
            <w:vAlign w:val="center"/>
          </w:tcPr>
          <w:p w14:paraId="14C3E70B">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3333</w:t>
            </w:r>
          </w:p>
        </w:tc>
        <w:tc>
          <w:tcPr>
            <w:tcW w:w="1985" w:type="dxa"/>
            <w:tcBorders>
              <w:tl2br w:val="nil"/>
              <w:tr2bl w:val="nil"/>
            </w:tcBorders>
            <w:vAlign w:val="center"/>
          </w:tcPr>
          <w:p w14:paraId="2BAEEDD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w:t>
            </w:r>
          </w:p>
        </w:tc>
        <w:tc>
          <w:tcPr>
            <w:tcW w:w="1899" w:type="dxa"/>
            <w:tcBorders>
              <w:tl2br w:val="nil"/>
              <w:tr2bl w:val="nil"/>
            </w:tcBorders>
            <w:vAlign w:val="center"/>
          </w:tcPr>
          <w:p w14:paraId="4B7806B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w:t>
            </w:r>
          </w:p>
        </w:tc>
      </w:tr>
      <w:tr w14:paraId="6E9137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1F73677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w:t>
            </w:r>
          </w:p>
        </w:tc>
        <w:tc>
          <w:tcPr>
            <w:tcW w:w="2126" w:type="dxa"/>
            <w:tcBorders>
              <w:tl2br w:val="nil"/>
              <w:tr2bl w:val="nil"/>
            </w:tcBorders>
            <w:vAlign w:val="center"/>
          </w:tcPr>
          <w:p w14:paraId="5C25B0E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0.0009 </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云南省</w:t>
            </w:r>
            <w:r>
              <w:rPr>
                <w:rFonts w:hint="default" w:ascii="Times New Roman" w:hAnsi="Times New Roman" w:cs="Times New Roman"/>
                <w:color w:val="auto"/>
                <w:sz w:val="18"/>
                <w:szCs w:val="18"/>
                <w:lang w:eastAsia="zh-CN"/>
              </w:rPr>
              <w:t>）</w:t>
            </w:r>
          </w:p>
        </w:tc>
        <w:tc>
          <w:tcPr>
            <w:tcW w:w="1985" w:type="dxa"/>
            <w:tcBorders>
              <w:tl2br w:val="nil"/>
              <w:tr2bl w:val="nil"/>
            </w:tcBorders>
            <w:vAlign w:val="center"/>
          </w:tcPr>
          <w:p w14:paraId="45D63BD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b</w:t>
            </w:r>
          </w:p>
        </w:tc>
        <w:tc>
          <w:tcPr>
            <w:tcW w:w="1899" w:type="dxa"/>
            <w:tcBorders>
              <w:tl2br w:val="nil"/>
              <w:tr2bl w:val="nil"/>
            </w:tcBorders>
            <w:vAlign w:val="center"/>
          </w:tcPr>
          <w:p w14:paraId="4FD80DB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0.0074 </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铁矿石</w:t>
            </w:r>
            <w:r>
              <w:rPr>
                <w:rFonts w:hint="default" w:ascii="Times New Roman" w:hAnsi="Times New Roman" w:cs="Times New Roman"/>
                <w:color w:val="auto"/>
                <w:sz w:val="18"/>
                <w:szCs w:val="18"/>
                <w:lang w:eastAsia="zh-CN"/>
              </w:rPr>
              <w:t>）</w:t>
            </w:r>
          </w:p>
        </w:tc>
      </w:tr>
      <w:tr w14:paraId="1F6501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6535F8E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w:t>
            </w:r>
            <w:r>
              <w:rPr>
                <w:rFonts w:hint="default" w:ascii="Times New Roman" w:hAnsi="Times New Roman" w:cs="Times New Roman"/>
                <w:color w:val="auto"/>
                <w:sz w:val="18"/>
                <w:szCs w:val="18"/>
                <w:vertAlign w:val="subscript"/>
              </w:rPr>
              <w:t>f</w:t>
            </w:r>
          </w:p>
        </w:tc>
        <w:tc>
          <w:tcPr>
            <w:tcW w:w="2126" w:type="dxa"/>
            <w:tcBorders>
              <w:tl2br w:val="nil"/>
              <w:tr2bl w:val="nil"/>
            </w:tcBorders>
            <w:vAlign w:val="center"/>
          </w:tcPr>
          <w:p w14:paraId="4449F00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0 </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铁矿石</w:t>
            </w:r>
            <w:r>
              <w:rPr>
                <w:rFonts w:hint="default" w:ascii="Times New Roman" w:hAnsi="Times New Roman" w:cs="Times New Roman"/>
                <w:color w:val="auto"/>
                <w:sz w:val="18"/>
                <w:szCs w:val="18"/>
                <w:lang w:eastAsia="zh-CN"/>
              </w:rPr>
              <w:t>）</w:t>
            </w:r>
          </w:p>
        </w:tc>
        <w:tc>
          <w:tcPr>
            <w:tcW w:w="1985" w:type="dxa"/>
            <w:tcBorders>
              <w:tl2br w:val="nil"/>
              <w:tr2bl w:val="nil"/>
            </w:tcBorders>
            <w:vAlign w:val="center"/>
          </w:tcPr>
          <w:p w14:paraId="664D4DB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w:t>
            </w:r>
          </w:p>
        </w:tc>
        <w:tc>
          <w:tcPr>
            <w:tcW w:w="1899" w:type="dxa"/>
            <w:tcBorders>
              <w:tl2br w:val="nil"/>
              <w:tr2bl w:val="nil"/>
            </w:tcBorders>
            <w:vAlign w:val="center"/>
          </w:tcPr>
          <w:p w14:paraId="4CEF91CE">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40000</w:t>
            </w:r>
          </w:p>
        </w:tc>
      </w:tr>
      <w:tr w14:paraId="0F7160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tcBorders>
              <w:tl2br w:val="nil"/>
              <w:tr2bl w:val="nil"/>
            </w:tcBorders>
            <w:vAlign w:val="center"/>
          </w:tcPr>
          <w:p w14:paraId="139961B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Cm</w:t>
            </w:r>
          </w:p>
        </w:tc>
        <w:tc>
          <w:tcPr>
            <w:tcW w:w="2126" w:type="dxa"/>
            <w:tcBorders>
              <w:tl2br w:val="nil"/>
              <w:tr2bl w:val="nil"/>
            </w:tcBorders>
            <w:vAlign w:val="center"/>
          </w:tcPr>
          <w:p w14:paraId="38CF6FC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98.54</w:t>
            </w:r>
            <w:r>
              <w:rPr>
                <w:rFonts w:hint="default" w:ascii="Times New Roman" w:hAnsi="Times New Roman" w:cs="Times New Roman"/>
                <w:color w:val="auto"/>
                <w:sz w:val="18"/>
                <w:szCs w:val="18"/>
              </w:rPr>
              <w:t>%</w:t>
            </w:r>
          </w:p>
        </w:tc>
        <w:tc>
          <w:tcPr>
            <w:tcW w:w="1985" w:type="dxa"/>
            <w:tcBorders>
              <w:tl2br w:val="nil"/>
              <w:tr2bl w:val="nil"/>
            </w:tcBorders>
            <w:vAlign w:val="center"/>
          </w:tcPr>
          <w:p w14:paraId="41F7F46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Tm</w:t>
            </w:r>
          </w:p>
        </w:tc>
        <w:tc>
          <w:tcPr>
            <w:tcW w:w="1899" w:type="dxa"/>
            <w:tcBorders>
              <w:tl2br w:val="nil"/>
              <w:tr2bl w:val="nil"/>
            </w:tcBorders>
            <w:vAlign w:val="center"/>
          </w:tcPr>
          <w:p w14:paraId="0E86FC3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r>
    </w:tbl>
    <w:p w14:paraId="759CCE2A">
      <w:pPr>
        <w:pStyle w:val="2"/>
        <w:spacing w:line="360" w:lineRule="auto"/>
        <w:ind w:left="480"/>
        <w:jc w:val="left"/>
        <w:rPr>
          <w:rFonts w:hint="default" w:ascii="Times New Roman" w:hAnsi="Times New Roman" w:cs="Times New Roman" w:eastAsiaTheme="minorEastAsia"/>
          <w:color w:val="auto"/>
          <w:sz w:val="24"/>
          <w:szCs w:val="24"/>
        </w:rPr>
      </w:pPr>
      <w:r>
        <w:rPr>
          <w:rFonts w:hint="default" w:ascii="Times New Roman" w:hAnsi="Times New Roman" w:cs="Times New Roman"/>
          <w:color w:val="auto"/>
          <w:sz w:val="24"/>
        </w:rPr>
        <w:t>经计算，</w:t>
      </w:r>
      <w:r>
        <w:rPr>
          <w:rFonts w:hint="default" w:ascii="Times New Roman" w:hAnsi="Times New Roman" w:cs="Times New Roman"/>
          <w:color w:val="auto"/>
          <w:sz w:val="24"/>
          <w:lang w:val="en-US" w:eastAsia="zh-CN"/>
        </w:rPr>
        <w:t>原料</w:t>
      </w:r>
      <w:r>
        <w:rPr>
          <w:rFonts w:hint="default" w:ascii="Times New Roman" w:hAnsi="Times New Roman" w:cs="Times New Roman"/>
          <w:color w:val="auto"/>
          <w:sz w:val="24"/>
        </w:rPr>
        <w:t>堆场扬尘产生量为</w:t>
      </w:r>
      <w:r>
        <w:rPr>
          <w:rFonts w:hint="default" w:ascii="Times New Roman" w:hAnsi="Times New Roman" w:cs="Times New Roman"/>
          <w:color w:val="auto"/>
          <w:sz w:val="24"/>
          <w:lang w:val="en-US" w:eastAsia="zh-CN"/>
        </w:rPr>
        <w:t>12.16</w:t>
      </w:r>
      <w:r>
        <w:rPr>
          <w:rFonts w:hint="default" w:ascii="Times New Roman" w:hAnsi="Times New Roman" w:cs="Times New Roman"/>
          <w:color w:val="auto"/>
          <w:sz w:val="24"/>
        </w:rPr>
        <w:t>t/a，排放量为</w:t>
      </w:r>
      <w:r>
        <w:rPr>
          <w:rFonts w:hint="default" w:ascii="Times New Roman" w:hAnsi="Times New Roman" w:cs="Times New Roman"/>
          <w:color w:val="auto"/>
          <w:sz w:val="24"/>
          <w:lang w:val="en-US" w:eastAsia="zh-CN"/>
        </w:rPr>
        <w:t>0.18</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0.075kg/h</w:t>
      </w:r>
      <w:r>
        <w:rPr>
          <w:rFonts w:hint="default" w:ascii="Times New Roman" w:hAnsi="Times New Roman" w:cs="Times New Roman"/>
          <w:color w:val="auto"/>
          <w:sz w:val="24"/>
        </w:rPr>
        <w:t>。</w:t>
      </w:r>
    </w:p>
    <w:p w14:paraId="44C8F2DB">
      <w:pPr>
        <w:pStyle w:val="2"/>
        <w:spacing w:line="360" w:lineRule="auto"/>
        <w:ind w:left="48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（5）</w:t>
      </w:r>
      <w:bookmarkStart w:id="324" w:name="_Hlk162444958"/>
      <w:r>
        <w:rPr>
          <w:rFonts w:hint="default" w:ascii="Times New Roman" w:hAnsi="Times New Roman" w:cs="Times New Roman" w:eastAsiaTheme="minorEastAsia"/>
          <w:sz w:val="24"/>
          <w:szCs w:val="24"/>
        </w:rPr>
        <w:t>车辆运输道路扬尘</w:t>
      </w:r>
      <w:bookmarkEnd w:id="324"/>
    </w:p>
    <w:p w14:paraId="5D285308">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本项目磁性产品和非磁性产品均采用汽车运输，汽车运输会产生运输扬尘。本次评价主要考虑厂内运输产生的运输扬尘的污染。</w:t>
      </w:r>
    </w:p>
    <w:p w14:paraId="040D4A8B">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车辆运输产生的颗粒物参照原环境保护部《大气可吸入颗粒物一次源排放清单编制技术指南（试行）》（公告2014年第92号）中《扬尘源颗粒物排放清单编制技术指南（试行）》的道路扬尘源排放量的计算方法进行估算。项目厂区道路为混凝土道路，采用铺装道路扬尘源排放系数计算公式。</w:t>
      </w:r>
    </w:p>
    <w:p w14:paraId="300DFE55">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每条道路的扬尘排放量计算公式如下：</w:t>
      </w:r>
    </w:p>
    <w:p w14:paraId="3B807721">
      <w:pPr>
        <w:spacing w:line="360" w:lineRule="auto"/>
        <w:ind w:firstLine="48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drawing>
          <wp:inline distT="0" distB="0" distL="0" distR="0">
            <wp:extent cx="3101340" cy="388620"/>
            <wp:effectExtent l="0" t="0" r="3810" b="11430"/>
            <wp:docPr id="1103675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75908" name="图片 1"/>
                    <pic:cNvPicPr>
                      <a:picLocks noChangeAspect="1"/>
                    </pic:cNvPicPr>
                  </pic:nvPicPr>
                  <pic:blipFill>
                    <a:blip r:embed="rId24"/>
                    <a:stretch>
                      <a:fillRect/>
                    </a:stretch>
                  </pic:blipFill>
                  <pic:spPr>
                    <a:xfrm>
                      <a:off x="0" y="0"/>
                      <a:ext cx="3101609" cy="388654"/>
                    </a:xfrm>
                    <a:prstGeom prst="rect">
                      <a:avLst/>
                    </a:prstGeom>
                  </pic:spPr>
                </pic:pic>
              </a:graphicData>
            </a:graphic>
          </wp:inline>
        </w:drawing>
      </w:r>
    </w:p>
    <w:p w14:paraId="1C75781A">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式中：</w:t>
      </w:r>
    </w:p>
    <w:p w14:paraId="1FEF3F0A">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 W</w:t>
      </w:r>
      <w:r>
        <w:rPr>
          <w:rFonts w:hint="default" w:ascii="Times New Roman" w:hAnsi="Times New Roman" w:cs="Times New Roman" w:eastAsiaTheme="minorEastAsia"/>
          <w:sz w:val="24"/>
          <w:szCs w:val="24"/>
          <w:vertAlign w:val="subscript"/>
        </w:rPr>
        <w:t>Ri</w:t>
      </w:r>
      <w:r>
        <w:rPr>
          <w:rFonts w:hint="default" w:ascii="Times New Roman" w:hAnsi="Times New Roman" w:cs="Times New Roman" w:eastAsiaTheme="minorEastAsia"/>
          <w:sz w:val="24"/>
          <w:szCs w:val="24"/>
        </w:rPr>
        <w:t xml:space="preserve"> 为道路扬尘源中颗粒物PMi 的总排放量，t/a。</w:t>
      </w:r>
    </w:p>
    <w:p w14:paraId="55C929F1">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 E</w:t>
      </w:r>
      <w:r>
        <w:rPr>
          <w:rFonts w:hint="default" w:ascii="Times New Roman" w:hAnsi="Times New Roman" w:cs="Times New Roman" w:eastAsiaTheme="minorEastAsia"/>
          <w:sz w:val="24"/>
          <w:szCs w:val="24"/>
          <w:vertAlign w:val="subscript"/>
        </w:rPr>
        <w:t>Ri</w:t>
      </w:r>
      <w:r>
        <w:rPr>
          <w:rFonts w:hint="default" w:ascii="Times New Roman" w:hAnsi="Times New Roman" w:cs="Times New Roman" w:eastAsiaTheme="minorEastAsia"/>
          <w:sz w:val="24"/>
          <w:szCs w:val="24"/>
        </w:rPr>
        <w:t xml:space="preserve"> 为道路扬尘源中PMi 平均排放系数，g/</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km•辆</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。取E</w:t>
      </w:r>
      <w:r>
        <w:rPr>
          <w:rFonts w:hint="default" w:ascii="Times New Roman" w:hAnsi="Times New Roman" w:cs="Times New Roman" w:eastAsiaTheme="minorEastAsia"/>
          <w:sz w:val="24"/>
          <w:szCs w:val="24"/>
          <w:vertAlign w:val="subscript"/>
        </w:rPr>
        <w:t>Pi</w:t>
      </w:r>
      <w:r>
        <w:rPr>
          <w:rFonts w:hint="default" w:ascii="Times New Roman" w:hAnsi="Times New Roman" w:cs="Times New Roman" w:eastAsiaTheme="minorEastAsia"/>
          <w:sz w:val="24"/>
          <w:szCs w:val="24"/>
        </w:rPr>
        <w:t>计算值。</w:t>
      </w:r>
    </w:p>
    <w:p w14:paraId="6F3D9FE4">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 L</w:t>
      </w:r>
      <w:r>
        <w:rPr>
          <w:rFonts w:hint="default" w:ascii="Times New Roman" w:hAnsi="Times New Roman" w:cs="Times New Roman" w:eastAsiaTheme="minorEastAsia"/>
          <w:sz w:val="24"/>
          <w:szCs w:val="24"/>
          <w:vertAlign w:val="subscript"/>
        </w:rPr>
        <w:t>R</w:t>
      </w:r>
      <w:r>
        <w:rPr>
          <w:rFonts w:hint="default" w:ascii="Times New Roman" w:hAnsi="Times New Roman" w:cs="Times New Roman" w:eastAsiaTheme="minorEastAsia"/>
          <w:sz w:val="24"/>
          <w:szCs w:val="24"/>
        </w:rPr>
        <w:t xml:space="preserve"> 为道路长度，km。本项目厂内运输距离约0.</w:t>
      </w:r>
      <w:r>
        <w:rPr>
          <w:rFonts w:hint="default" w:ascii="Times New Roman" w:hAnsi="Times New Roman" w:cs="Times New Roman" w:eastAsiaTheme="minorEastAsia"/>
          <w:sz w:val="24"/>
          <w:szCs w:val="24"/>
          <w:lang w:val="en-US" w:eastAsia="zh-CN"/>
        </w:rPr>
        <w:t>05</w:t>
      </w:r>
      <w:r>
        <w:rPr>
          <w:rFonts w:hint="default" w:ascii="Times New Roman" w:hAnsi="Times New Roman" w:cs="Times New Roman" w:eastAsiaTheme="minorEastAsia"/>
          <w:sz w:val="24"/>
          <w:szCs w:val="24"/>
        </w:rPr>
        <w:t>km。</w:t>
      </w:r>
    </w:p>
    <w:p w14:paraId="597C7170">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4） N</w:t>
      </w:r>
      <w:r>
        <w:rPr>
          <w:rFonts w:hint="default" w:ascii="Times New Roman" w:hAnsi="Times New Roman" w:cs="Times New Roman" w:eastAsiaTheme="minorEastAsia"/>
          <w:sz w:val="24"/>
          <w:szCs w:val="24"/>
          <w:vertAlign w:val="subscript"/>
        </w:rPr>
        <w:t>R</w:t>
      </w:r>
      <w:r>
        <w:rPr>
          <w:rFonts w:hint="default" w:ascii="Times New Roman" w:hAnsi="Times New Roman" w:cs="Times New Roman" w:eastAsiaTheme="minorEastAsia"/>
          <w:sz w:val="24"/>
          <w:szCs w:val="24"/>
        </w:rPr>
        <w:t xml:space="preserve"> 为一定时期内车辆在该段道路上的平均车流量，辆/a。取</w:t>
      </w:r>
      <w:r>
        <w:rPr>
          <w:rFonts w:hint="default" w:ascii="Times New Roman" w:hAnsi="Times New Roman" w:cs="Times New Roman" w:eastAsiaTheme="minorEastAsia"/>
          <w:sz w:val="24"/>
          <w:szCs w:val="24"/>
          <w:lang w:val="en-US" w:eastAsia="zh-CN"/>
        </w:rPr>
        <w:t>3500</w:t>
      </w:r>
      <w:r>
        <w:rPr>
          <w:rFonts w:hint="default" w:ascii="Times New Roman" w:hAnsi="Times New Roman" w:cs="Times New Roman" w:eastAsiaTheme="minorEastAsia"/>
          <w:sz w:val="24"/>
          <w:szCs w:val="24"/>
        </w:rPr>
        <w:t>辆/a。</w:t>
      </w:r>
    </w:p>
    <w:p w14:paraId="3B313869">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5） n</w:t>
      </w:r>
      <w:r>
        <w:rPr>
          <w:rFonts w:hint="default" w:ascii="Times New Roman" w:hAnsi="Times New Roman" w:cs="Times New Roman" w:eastAsiaTheme="minorEastAsia"/>
          <w:sz w:val="24"/>
          <w:szCs w:val="24"/>
          <w:vertAlign w:val="subscript"/>
        </w:rPr>
        <w:t>r</w:t>
      </w:r>
      <w:r>
        <w:rPr>
          <w:rFonts w:hint="default" w:ascii="Times New Roman" w:hAnsi="Times New Roman" w:cs="Times New Roman" w:eastAsiaTheme="minorEastAsia"/>
          <w:sz w:val="24"/>
          <w:szCs w:val="24"/>
        </w:rPr>
        <w:t xml:space="preserve"> 为不起尘天数。取125天。</w:t>
      </w:r>
    </w:p>
    <w:p w14:paraId="4E4E7F4A">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对于铺装道路，道路扬尘源排放系数计算公式：</w:t>
      </w:r>
    </w:p>
    <w:p w14:paraId="7C9C173B">
      <w:pPr>
        <w:spacing w:line="360" w:lineRule="auto"/>
        <w:ind w:firstLine="48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drawing>
          <wp:inline distT="0" distB="0" distL="0" distR="0">
            <wp:extent cx="3086100" cy="350520"/>
            <wp:effectExtent l="0" t="0" r="0" b="11430"/>
            <wp:docPr id="2000963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63722" name="图片 1"/>
                    <pic:cNvPicPr>
                      <a:picLocks noChangeAspect="1"/>
                    </pic:cNvPicPr>
                  </pic:nvPicPr>
                  <pic:blipFill>
                    <a:blip r:embed="rId25"/>
                    <a:stretch>
                      <a:fillRect/>
                    </a:stretch>
                  </pic:blipFill>
                  <pic:spPr>
                    <a:xfrm>
                      <a:off x="0" y="0"/>
                      <a:ext cx="3086367" cy="350550"/>
                    </a:xfrm>
                    <a:prstGeom prst="rect">
                      <a:avLst/>
                    </a:prstGeom>
                  </pic:spPr>
                </pic:pic>
              </a:graphicData>
            </a:graphic>
          </wp:inline>
        </w:drawing>
      </w:r>
    </w:p>
    <w:p w14:paraId="6F629B32">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式中：</w:t>
      </w:r>
    </w:p>
    <w:p w14:paraId="4725AC8E">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 E</w:t>
      </w:r>
      <w:r>
        <w:rPr>
          <w:rFonts w:hint="default" w:ascii="Times New Roman" w:hAnsi="Times New Roman" w:cs="Times New Roman" w:eastAsiaTheme="minorEastAsia"/>
          <w:sz w:val="24"/>
          <w:szCs w:val="24"/>
          <w:vertAlign w:val="subscript"/>
        </w:rPr>
        <w:t>Pi</w:t>
      </w:r>
      <w:r>
        <w:rPr>
          <w:rFonts w:hint="default" w:ascii="Times New Roman" w:hAnsi="Times New Roman" w:cs="Times New Roman" w:eastAsiaTheme="minorEastAsia"/>
          <w:sz w:val="24"/>
          <w:szCs w:val="24"/>
        </w:rPr>
        <w:t xml:space="preserve"> 为铺装道路的扬尘中PMi 排放系数，g/km。</w:t>
      </w:r>
    </w:p>
    <w:p w14:paraId="28613FBF">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 ki 为产生的扬尘中PMi 的粒度乘数。TSP粒度乘数为3.23g/km。</w:t>
      </w:r>
    </w:p>
    <w:p w14:paraId="61932AD6">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 sL 为道路积尘负荷，g/m</w:t>
      </w:r>
      <w:r>
        <w:rPr>
          <w:rFonts w:hint="default" w:ascii="Times New Roman" w:hAnsi="Times New Roman" w:cs="Times New Roman" w:eastAsiaTheme="minorEastAsia"/>
          <w:sz w:val="24"/>
          <w:szCs w:val="24"/>
          <w:vertAlign w:val="superscript"/>
        </w:rPr>
        <w:t>2</w:t>
      </w:r>
      <w:r>
        <w:rPr>
          <w:rFonts w:hint="default" w:ascii="Times New Roman" w:hAnsi="Times New Roman" w:cs="Times New Roman" w:eastAsiaTheme="minorEastAsia"/>
          <w:sz w:val="24"/>
          <w:szCs w:val="24"/>
        </w:rPr>
        <w:t>。本项目道路路况取10g/m</w:t>
      </w:r>
      <w:r>
        <w:rPr>
          <w:rFonts w:hint="default" w:ascii="Times New Roman" w:hAnsi="Times New Roman" w:cs="Times New Roman" w:eastAsiaTheme="minorEastAsia"/>
          <w:sz w:val="24"/>
          <w:szCs w:val="24"/>
          <w:vertAlign w:val="superscript"/>
        </w:rPr>
        <w:t>2</w:t>
      </w:r>
      <w:r>
        <w:rPr>
          <w:rFonts w:hint="default" w:ascii="Times New Roman" w:hAnsi="Times New Roman" w:cs="Times New Roman" w:eastAsiaTheme="minorEastAsia"/>
          <w:sz w:val="24"/>
          <w:szCs w:val="24"/>
        </w:rPr>
        <w:t>。</w:t>
      </w:r>
    </w:p>
    <w:p w14:paraId="53C278DB">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4） W 为平均车重，t。本项目拟采用自重8t，载重30t的货车运输，取38t。</w:t>
      </w:r>
    </w:p>
    <w:p w14:paraId="4B776B9B">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5） η为污染控制技术对扬尘的去除效率，%。洒水控制措施的TSP控制效率</w:t>
      </w:r>
      <w:r>
        <w:rPr>
          <w:rFonts w:hint="default" w:ascii="Times New Roman" w:hAnsi="Times New Roman" w:cs="Times New Roman" w:eastAsiaTheme="minorEastAsia"/>
          <w:sz w:val="24"/>
          <w:szCs w:val="24"/>
          <w:lang w:val="en-US" w:eastAsia="zh-CN"/>
        </w:rPr>
        <w:t>取</w:t>
      </w:r>
      <w:r>
        <w:rPr>
          <w:rFonts w:hint="default" w:ascii="Times New Roman" w:hAnsi="Times New Roman" w:cs="Times New Roman" w:eastAsiaTheme="minorEastAsia"/>
          <w:sz w:val="24"/>
          <w:szCs w:val="24"/>
        </w:rPr>
        <w:t>66%。</w:t>
      </w:r>
    </w:p>
    <w:p w14:paraId="7A012C89">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经计算，每辆运输车辆E</w:t>
      </w:r>
      <w:r>
        <w:rPr>
          <w:rFonts w:hint="default" w:ascii="Times New Roman" w:hAnsi="Times New Roman" w:cs="Times New Roman" w:eastAsiaTheme="minorEastAsia"/>
          <w:sz w:val="24"/>
          <w:szCs w:val="24"/>
          <w:vertAlign w:val="subscript"/>
        </w:rPr>
        <w:t>Pi</w:t>
      </w:r>
      <w:r>
        <w:rPr>
          <w:rFonts w:hint="default" w:ascii="Times New Roman" w:hAnsi="Times New Roman" w:cs="Times New Roman" w:eastAsiaTheme="minorEastAsia"/>
          <w:sz w:val="24"/>
          <w:szCs w:val="24"/>
        </w:rPr>
        <w:t>=364.8g/km，本项目</w:t>
      </w:r>
      <w:bookmarkStart w:id="325" w:name="_Hlk162444996"/>
      <w:r>
        <w:rPr>
          <w:rFonts w:hint="default" w:ascii="Times New Roman" w:hAnsi="Times New Roman" w:cs="Times New Roman" w:eastAsiaTheme="minorEastAsia"/>
          <w:sz w:val="24"/>
          <w:szCs w:val="24"/>
        </w:rPr>
        <w:t>车辆运输道路扬尘无组织排放量W</w:t>
      </w:r>
      <w:r>
        <w:rPr>
          <w:rFonts w:hint="default" w:ascii="Times New Roman" w:hAnsi="Times New Roman" w:cs="Times New Roman" w:eastAsiaTheme="minorEastAsia"/>
          <w:sz w:val="24"/>
          <w:szCs w:val="24"/>
          <w:vertAlign w:val="subscript"/>
        </w:rPr>
        <w:t>Ri</w:t>
      </w:r>
      <w:r>
        <w:rPr>
          <w:rFonts w:hint="default" w:ascii="Times New Roman" w:hAnsi="Times New Roman" w:cs="Times New Roman" w:eastAsiaTheme="minorEastAsia"/>
          <w:sz w:val="24"/>
          <w:szCs w:val="24"/>
        </w:rPr>
        <w:t>为0.</w:t>
      </w:r>
      <w:r>
        <w:rPr>
          <w:rFonts w:hint="default" w:ascii="Times New Roman" w:hAnsi="Times New Roman" w:cs="Times New Roman" w:eastAsiaTheme="minorEastAsia"/>
          <w:sz w:val="24"/>
          <w:szCs w:val="24"/>
          <w:lang w:val="en-US" w:eastAsia="zh-CN"/>
        </w:rPr>
        <w:t>042</w:t>
      </w:r>
      <w:r>
        <w:rPr>
          <w:rFonts w:hint="default" w:ascii="Times New Roman" w:hAnsi="Times New Roman" w:cs="Times New Roman" w:eastAsiaTheme="minorEastAsia"/>
          <w:sz w:val="24"/>
          <w:szCs w:val="24"/>
        </w:rPr>
        <w:t>t/a。</w:t>
      </w:r>
    </w:p>
    <w:p w14:paraId="101906FA">
      <w:pPr>
        <w:spacing w:line="360" w:lineRule="auto"/>
        <w:ind w:firstLine="560" w:firstLineChars="20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（6）运输车辆尾气</w:t>
      </w:r>
    </w:p>
    <w:p w14:paraId="54136933">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项目运输的汽车在启动、运输过程中会产生汽车尾气，汽车尾气呈间歇式排放，排放量小，浓度积累小。通过加强管理，合理规划汽车在</w:t>
      </w:r>
      <w:r>
        <w:rPr>
          <w:rFonts w:hint="default" w:ascii="Times New Roman" w:hAnsi="Times New Roman" w:cs="Times New Roman"/>
          <w:color w:val="auto"/>
          <w:sz w:val="28"/>
          <w:szCs w:val="28"/>
          <w:lang w:val="en-US" w:eastAsia="zh-CN"/>
        </w:rPr>
        <w:t>项目</w:t>
      </w:r>
      <w:r>
        <w:rPr>
          <w:rFonts w:hint="default" w:ascii="Times New Roman" w:hAnsi="Times New Roman" w:cs="Times New Roman"/>
          <w:color w:val="auto"/>
          <w:sz w:val="28"/>
          <w:szCs w:val="28"/>
        </w:rPr>
        <w:t>区的行驶路线、控制装载量、平稳启动等措施来控制汽车尾气排放。</w:t>
      </w:r>
    </w:p>
    <w:p w14:paraId="07F8430D">
      <w:pPr>
        <w:spacing w:line="360" w:lineRule="auto"/>
        <w:ind w:firstLine="480"/>
        <w:rPr>
          <w:rFonts w:hint="default" w:ascii="Times New Roman" w:hAnsi="Times New Roman" w:cs="Times New Roman" w:eastAsiaTheme="minorEastAsia"/>
          <w:color w:val="auto"/>
          <w:sz w:val="28"/>
          <w:szCs w:val="28"/>
        </w:rPr>
        <w:sectPr>
          <w:footerReference r:id="rId6" w:type="default"/>
          <w:pgSz w:w="11906" w:h="16838"/>
          <w:pgMar w:top="1418" w:right="1418" w:bottom="1418" w:left="1418" w:header="851" w:footer="851" w:gutter="0"/>
          <w:pgBorders>
            <w:top w:val="none" w:sz="0" w:space="0"/>
            <w:left w:val="none" w:sz="0" w:space="0"/>
            <w:bottom w:val="none" w:sz="0" w:space="0"/>
            <w:right w:val="none" w:sz="0" w:space="0"/>
          </w:pgBorders>
          <w:pgNumType w:fmt="decimal" w:start="1"/>
          <w:cols w:space="425" w:num="1"/>
          <w:docGrid w:type="linesAndChars" w:linePitch="326" w:charSpace="0"/>
        </w:sectPr>
      </w:pPr>
    </w:p>
    <w:p w14:paraId="01C3CEA1">
      <w:pPr>
        <w:pStyle w:val="75"/>
        <w:ind w:firstLine="422"/>
        <w:jc w:val="center"/>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3.5.2</w:t>
      </w:r>
      <w:r>
        <w:rPr>
          <w:rFonts w:hint="default" w:ascii="Times New Roman" w:hAnsi="Times New Roman" w:eastAsia="黑体" w:cs="Times New Roman"/>
          <w:b w:val="0"/>
          <w:bCs w:val="0"/>
          <w:color w:val="000000" w:themeColor="text1"/>
          <w:sz w:val="21"/>
          <w:szCs w:val="21"/>
          <w14:textFill>
            <w14:solidFill>
              <w14:schemeClr w14:val="tx1"/>
            </w14:solidFill>
          </w14:textFill>
        </w:rPr>
        <w:t>-4项目废气产排情况一览表</w:t>
      </w:r>
    </w:p>
    <w:tbl>
      <w:tblPr>
        <w:tblStyle w:val="29"/>
        <w:tblW w:w="143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941"/>
        <w:gridCol w:w="1075"/>
        <w:gridCol w:w="1000"/>
        <w:gridCol w:w="1213"/>
        <w:gridCol w:w="1321"/>
        <w:gridCol w:w="1433"/>
        <w:gridCol w:w="764"/>
        <w:gridCol w:w="883"/>
        <w:gridCol w:w="897"/>
        <w:gridCol w:w="952"/>
        <w:gridCol w:w="1075"/>
        <w:gridCol w:w="1108"/>
        <w:gridCol w:w="1134"/>
      </w:tblGrid>
      <w:tr w14:paraId="50FD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Merge w:val="restart"/>
            <w:vAlign w:val="center"/>
          </w:tcPr>
          <w:p w14:paraId="49E1ADFB">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941" w:type="dxa"/>
            <w:vMerge w:val="restart"/>
            <w:vAlign w:val="center"/>
          </w:tcPr>
          <w:p w14:paraId="22D8B158">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产排污环节</w:t>
            </w:r>
          </w:p>
        </w:tc>
        <w:tc>
          <w:tcPr>
            <w:tcW w:w="1075" w:type="dxa"/>
            <w:vMerge w:val="restart"/>
            <w:vAlign w:val="center"/>
          </w:tcPr>
          <w:p w14:paraId="79E14373">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213" w:type="dxa"/>
            <w:gridSpan w:val="2"/>
            <w:vAlign w:val="center"/>
          </w:tcPr>
          <w:p w14:paraId="6D3DD984">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污染物产生</w:t>
            </w:r>
          </w:p>
        </w:tc>
        <w:tc>
          <w:tcPr>
            <w:tcW w:w="1321" w:type="dxa"/>
            <w:vMerge w:val="restart"/>
            <w:vAlign w:val="center"/>
          </w:tcPr>
          <w:p w14:paraId="2CD05CED">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排放形式</w:t>
            </w:r>
          </w:p>
        </w:tc>
        <w:tc>
          <w:tcPr>
            <w:tcW w:w="3977" w:type="dxa"/>
            <w:gridSpan w:val="4"/>
            <w:vAlign w:val="center"/>
          </w:tcPr>
          <w:p w14:paraId="348ED058">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治理设施</w:t>
            </w:r>
          </w:p>
        </w:tc>
        <w:tc>
          <w:tcPr>
            <w:tcW w:w="3135" w:type="dxa"/>
            <w:gridSpan w:val="3"/>
            <w:vAlign w:val="center"/>
          </w:tcPr>
          <w:p w14:paraId="23CE337E">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污染物排放</w:t>
            </w:r>
          </w:p>
        </w:tc>
        <w:tc>
          <w:tcPr>
            <w:tcW w:w="1134" w:type="dxa"/>
            <w:vMerge w:val="restart"/>
            <w:vAlign w:val="center"/>
          </w:tcPr>
          <w:p w14:paraId="13F6C052">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排放标准</w:t>
            </w:r>
          </w:p>
        </w:tc>
      </w:tr>
      <w:tr w14:paraId="09BD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Merge w:val="continue"/>
            <w:vAlign w:val="center"/>
          </w:tcPr>
          <w:p w14:paraId="5D94378A">
            <w:pPr>
              <w:spacing w:line="240" w:lineRule="auto"/>
              <w:ind w:firstLine="0" w:firstLineChars="0"/>
              <w:jc w:val="center"/>
              <w:rPr>
                <w:rFonts w:hint="default" w:ascii="Times New Roman" w:hAnsi="Times New Roman" w:cs="Times New Roman"/>
                <w:color w:val="auto"/>
                <w:sz w:val="18"/>
                <w:szCs w:val="18"/>
              </w:rPr>
            </w:pPr>
          </w:p>
        </w:tc>
        <w:tc>
          <w:tcPr>
            <w:tcW w:w="941" w:type="dxa"/>
            <w:vMerge w:val="continue"/>
            <w:vAlign w:val="center"/>
          </w:tcPr>
          <w:p w14:paraId="45487D48">
            <w:pPr>
              <w:spacing w:line="240" w:lineRule="auto"/>
              <w:ind w:firstLine="0" w:firstLineChars="0"/>
              <w:jc w:val="center"/>
              <w:rPr>
                <w:rFonts w:hint="default" w:ascii="Times New Roman" w:hAnsi="Times New Roman" w:cs="Times New Roman"/>
                <w:color w:val="auto"/>
                <w:sz w:val="18"/>
                <w:szCs w:val="18"/>
              </w:rPr>
            </w:pPr>
          </w:p>
        </w:tc>
        <w:tc>
          <w:tcPr>
            <w:tcW w:w="1075" w:type="dxa"/>
            <w:vMerge w:val="continue"/>
            <w:vAlign w:val="center"/>
          </w:tcPr>
          <w:p w14:paraId="5B976B06">
            <w:pPr>
              <w:spacing w:line="240" w:lineRule="auto"/>
              <w:ind w:firstLine="0" w:firstLineChars="0"/>
              <w:jc w:val="center"/>
              <w:rPr>
                <w:rFonts w:hint="default" w:ascii="Times New Roman" w:hAnsi="Times New Roman" w:cs="Times New Roman"/>
                <w:color w:val="auto"/>
                <w:sz w:val="18"/>
                <w:szCs w:val="18"/>
              </w:rPr>
            </w:pPr>
          </w:p>
        </w:tc>
        <w:tc>
          <w:tcPr>
            <w:tcW w:w="1000" w:type="dxa"/>
            <w:vAlign w:val="center"/>
          </w:tcPr>
          <w:p w14:paraId="31490383">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产生量（t/a）</w:t>
            </w:r>
          </w:p>
        </w:tc>
        <w:tc>
          <w:tcPr>
            <w:tcW w:w="1213" w:type="dxa"/>
            <w:vAlign w:val="center"/>
          </w:tcPr>
          <w:p w14:paraId="282779A2">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产生浓度（mg/m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1321" w:type="dxa"/>
            <w:vMerge w:val="continue"/>
            <w:vAlign w:val="center"/>
          </w:tcPr>
          <w:p w14:paraId="05B42452">
            <w:pPr>
              <w:spacing w:line="240" w:lineRule="auto"/>
              <w:ind w:firstLine="0" w:firstLineChars="0"/>
              <w:jc w:val="center"/>
              <w:rPr>
                <w:rFonts w:hint="default" w:ascii="Times New Roman" w:hAnsi="Times New Roman" w:cs="Times New Roman"/>
                <w:color w:val="auto"/>
                <w:sz w:val="18"/>
                <w:szCs w:val="18"/>
              </w:rPr>
            </w:pPr>
          </w:p>
        </w:tc>
        <w:tc>
          <w:tcPr>
            <w:tcW w:w="1433" w:type="dxa"/>
            <w:vAlign w:val="center"/>
          </w:tcPr>
          <w:p w14:paraId="1524A695">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工艺</w:t>
            </w:r>
          </w:p>
        </w:tc>
        <w:tc>
          <w:tcPr>
            <w:tcW w:w="764" w:type="dxa"/>
            <w:vAlign w:val="center"/>
          </w:tcPr>
          <w:p w14:paraId="1BBB6618">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是否为可行技术</w:t>
            </w:r>
          </w:p>
        </w:tc>
        <w:tc>
          <w:tcPr>
            <w:tcW w:w="883" w:type="dxa"/>
            <w:vAlign w:val="center"/>
          </w:tcPr>
          <w:p w14:paraId="1039FB14">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收集效率%</w:t>
            </w:r>
          </w:p>
        </w:tc>
        <w:tc>
          <w:tcPr>
            <w:tcW w:w="897" w:type="dxa"/>
            <w:vAlign w:val="center"/>
          </w:tcPr>
          <w:p w14:paraId="36699C63">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去除效率%</w:t>
            </w:r>
          </w:p>
        </w:tc>
        <w:tc>
          <w:tcPr>
            <w:tcW w:w="952" w:type="dxa"/>
            <w:vAlign w:val="center"/>
          </w:tcPr>
          <w:p w14:paraId="4FFB8620">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排放量（t/a）</w:t>
            </w:r>
          </w:p>
        </w:tc>
        <w:tc>
          <w:tcPr>
            <w:tcW w:w="1075" w:type="dxa"/>
            <w:vAlign w:val="center"/>
          </w:tcPr>
          <w:p w14:paraId="4F83B952">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排放速率（kg/h）</w:t>
            </w:r>
          </w:p>
        </w:tc>
        <w:tc>
          <w:tcPr>
            <w:tcW w:w="1108" w:type="dxa"/>
            <w:vAlign w:val="center"/>
          </w:tcPr>
          <w:p w14:paraId="5A59D421">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排放浓度（mg/m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1134" w:type="dxa"/>
            <w:vMerge w:val="continue"/>
            <w:vAlign w:val="center"/>
          </w:tcPr>
          <w:p w14:paraId="6D13BDBD">
            <w:pPr>
              <w:spacing w:line="240" w:lineRule="auto"/>
              <w:ind w:firstLine="0" w:firstLineChars="0"/>
              <w:jc w:val="center"/>
              <w:rPr>
                <w:rFonts w:hint="default" w:ascii="Times New Roman" w:hAnsi="Times New Roman" w:cs="Times New Roman"/>
                <w:color w:val="auto"/>
                <w:sz w:val="18"/>
                <w:szCs w:val="18"/>
              </w:rPr>
            </w:pPr>
          </w:p>
        </w:tc>
      </w:tr>
      <w:tr w14:paraId="646D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Merge w:val="restart"/>
            <w:vAlign w:val="center"/>
          </w:tcPr>
          <w:p w14:paraId="08F47E18">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941" w:type="dxa"/>
            <w:vMerge w:val="restart"/>
            <w:vAlign w:val="center"/>
          </w:tcPr>
          <w:p w14:paraId="288F03A5">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DA001</w:t>
            </w:r>
          </w:p>
        </w:tc>
        <w:tc>
          <w:tcPr>
            <w:tcW w:w="1075" w:type="dxa"/>
            <w:vAlign w:val="center"/>
          </w:tcPr>
          <w:p w14:paraId="60C59963">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废气排放量</w:t>
            </w:r>
          </w:p>
        </w:tc>
        <w:tc>
          <w:tcPr>
            <w:tcW w:w="11780" w:type="dxa"/>
            <w:gridSpan w:val="11"/>
            <w:vAlign w:val="center"/>
          </w:tcPr>
          <w:p w14:paraId="7930A553">
            <w:pPr>
              <w:spacing w:line="240" w:lineRule="auto"/>
              <w:ind w:firstLine="0" w:firstLineChars="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40000m³/h</w:t>
            </w:r>
          </w:p>
        </w:tc>
      </w:tr>
      <w:tr w14:paraId="35DE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Merge w:val="continue"/>
            <w:vAlign w:val="center"/>
          </w:tcPr>
          <w:p w14:paraId="7DC19ADD">
            <w:pPr>
              <w:spacing w:line="240" w:lineRule="auto"/>
              <w:ind w:firstLine="0" w:firstLineChars="0"/>
              <w:jc w:val="center"/>
              <w:rPr>
                <w:rFonts w:hint="default" w:ascii="Times New Roman" w:hAnsi="Times New Roman" w:cs="Times New Roman"/>
                <w:color w:val="auto"/>
                <w:sz w:val="18"/>
                <w:szCs w:val="18"/>
              </w:rPr>
            </w:pPr>
          </w:p>
        </w:tc>
        <w:tc>
          <w:tcPr>
            <w:tcW w:w="941" w:type="dxa"/>
            <w:vMerge w:val="continue"/>
            <w:vAlign w:val="center"/>
          </w:tcPr>
          <w:p w14:paraId="23C0E159">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p>
        </w:tc>
        <w:tc>
          <w:tcPr>
            <w:tcW w:w="1075" w:type="dxa"/>
            <w:vAlign w:val="center"/>
          </w:tcPr>
          <w:p w14:paraId="13725C39">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1000" w:type="dxa"/>
            <w:vAlign w:val="center"/>
          </w:tcPr>
          <w:p w14:paraId="50E9E5C1">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highlight w:val="none"/>
                <w:lang w:val="en-US" w:eastAsia="zh-CN"/>
              </w:rPr>
              <w:t>97.79</w:t>
            </w:r>
          </w:p>
        </w:tc>
        <w:tc>
          <w:tcPr>
            <w:tcW w:w="1213" w:type="dxa"/>
            <w:vAlign w:val="center"/>
          </w:tcPr>
          <w:p w14:paraId="402939EA">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1018.7</w:t>
            </w:r>
          </w:p>
        </w:tc>
        <w:tc>
          <w:tcPr>
            <w:tcW w:w="1321" w:type="dxa"/>
            <w:vAlign w:val="center"/>
          </w:tcPr>
          <w:p w14:paraId="76DB460D">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有组织</w:t>
            </w:r>
          </w:p>
        </w:tc>
        <w:tc>
          <w:tcPr>
            <w:tcW w:w="1433" w:type="dxa"/>
            <w:vAlign w:val="center"/>
          </w:tcPr>
          <w:p w14:paraId="1D688E65">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集气罩+布袋除尘</w:t>
            </w:r>
          </w:p>
        </w:tc>
        <w:tc>
          <w:tcPr>
            <w:tcW w:w="764" w:type="dxa"/>
            <w:vAlign w:val="center"/>
          </w:tcPr>
          <w:p w14:paraId="11A19ED2">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是</w:t>
            </w:r>
          </w:p>
        </w:tc>
        <w:tc>
          <w:tcPr>
            <w:tcW w:w="883" w:type="dxa"/>
            <w:vAlign w:val="center"/>
          </w:tcPr>
          <w:p w14:paraId="41D99C1B">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85</w:t>
            </w:r>
          </w:p>
        </w:tc>
        <w:tc>
          <w:tcPr>
            <w:tcW w:w="897" w:type="dxa"/>
            <w:vAlign w:val="center"/>
          </w:tcPr>
          <w:p w14:paraId="3DE7E853">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99.</w:t>
            </w:r>
            <w:r>
              <w:rPr>
                <w:rFonts w:hint="default" w:ascii="Times New Roman" w:hAnsi="Times New Roman" w:eastAsia="宋体" w:cs="Times New Roman"/>
                <w:color w:val="auto"/>
                <w:sz w:val="18"/>
                <w:szCs w:val="18"/>
                <w:lang w:val="en-US" w:eastAsia="zh-CN"/>
              </w:rPr>
              <w:t>5</w:t>
            </w:r>
          </w:p>
        </w:tc>
        <w:tc>
          <w:tcPr>
            <w:tcW w:w="952" w:type="dxa"/>
            <w:vAlign w:val="center"/>
          </w:tcPr>
          <w:p w14:paraId="7D36BD0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0.489</w:t>
            </w:r>
          </w:p>
        </w:tc>
        <w:tc>
          <w:tcPr>
            <w:tcW w:w="1075" w:type="dxa"/>
            <w:vAlign w:val="center"/>
          </w:tcPr>
          <w:p w14:paraId="66A95325">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0.204</w:t>
            </w:r>
          </w:p>
        </w:tc>
        <w:tc>
          <w:tcPr>
            <w:tcW w:w="1108" w:type="dxa"/>
            <w:vAlign w:val="center"/>
          </w:tcPr>
          <w:p w14:paraId="4B16DF6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5.1</w:t>
            </w:r>
          </w:p>
        </w:tc>
        <w:tc>
          <w:tcPr>
            <w:tcW w:w="1134" w:type="dxa"/>
            <w:vAlign w:val="center"/>
          </w:tcPr>
          <w:p w14:paraId="40070D3D">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《铁矿采选工业污染物排放标准》（GB28661-2012）表5标准限值</w:t>
            </w:r>
          </w:p>
        </w:tc>
      </w:tr>
      <w:tr w14:paraId="14DA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96" w:type="dxa"/>
            <w:gridSpan w:val="14"/>
            <w:vAlign w:val="center"/>
          </w:tcPr>
          <w:p w14:paraId="2CE85F7B">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r>
      <w:tr w14:paraId="0C26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Align w:val="center"/>
          </w:tcPr>
          <w:p w14:paraId="214F2D0C">
            <w:pPr>
              <w:spacing w:line="240" w:lineRule="auto"/>
              <w:ind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1</w:t>
            </w:r>
          </w:p>
        </w:tc>
        <w:tc>
          <w:tcPr>
            <w:tcW w:w="941" w:type="dxa"/>
            <w:vAlign w:val="center"/>
          </w:tcPr>
          <w:p w14:paraId="5C4FCC6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color w:val="auto"/>
                <w:sz w:val="18"/>
                <w:szCs w:val="18"/>
                <w:lang w:val="en-US" w:eastAsia="zh-CN"/>
              </w:rPr>
              <w:t>生产工艺无组织</w:t>
            </w:r>
            <w:r>
              <w:rPr>
                <w:rFonts w:hint="default" w:ascii="Times New Roman" w:hAnsi="Times New Roman" w:cs="Times New Roman"/>
                <w:color w:val="auto"/>
                <w:sz w:val="18"/>
                <w:szCs w:val="18"/>
              </w:rPr>
              <w:t>粉尘</w:t>
            </w:r>
          </w:p>
        </w:tc>
        <w:tc>
          <w:tcPr>
            <w:tcW w:w="1075" w:type="dxa"/>
            <w:vAlign w:val="center"/>
          </w:tcPr>
          <w:p w14:paraId="3CE5372C">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1000" w:type="dxa"/>
            <w:vAlign w:val="center"/>
          </w:tcPr>
          <w:p w14:paraId="4268134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color w:val="auto"/>
                <w:sz w:val="18"/>
                <w:szCs w:val="18"/>
                <w:highlight w:val="none"/>
                <w:lang w:val="en-US" w:eastAsia="zh-CN"/>
              </w:rPr>
              <w:t>17.26</w:t>
            </w:r>
          </w:p>
        </w:tc>
        <w:tc>
          <w:tcPr>
            <w:tcW w:w="1213" w:type="dxa"/>
            <w:vAlign w:val="center"/>
          </w:tcPr>
          <w:p w14:paraId="7AA7DACB">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21" w:type="dxa"/>
            <w:vAlign w:val="center"/>
          </w:tcPr>
          <w:p w14:paraId="6495676A">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433" w:type="dxa"/>
            <w:vAlign w:val="center"/>
          </w:tcPr>
          <w:p w14:paraId="6423B16F">
            <w:pPr>
              <w:pStyle w:val="38"/>
              <w:kinsoku w:val="0"/>
              <w:overflowPunct w:val="0"/>
              <w:autoSpaceDE w:val="0"/>
              <w:snapToGrid w:val="0"/>
              <w:spacing w:line="240" w:lineRule="auto"/>
              <w:ind w:firstLine="0" w:firstLineChars="0"/>
              <w:rPr>
                <w:rFonts w:hint="default" w:ascii="Times New Roman" w:hAnsi="Times New Roman" w:eastAsia="宋体" w:cs="Times New Roman"/>
                <w:bCs/>
                <w:color w:val="auto"/>
                <w:sz w:val="18"/>
                <w:szCs w:val="18"/>
              </w:rPr>
            </w:pPr>
            <w:r>
              <w:rPr>
                <w:rFonts w:hint="default" w:ascii="Times New Roman" w:hAnsi="Times New Roman" w:cs="Times New Roman"/>
                <w:color w:val="auto"/>
                <w:sz w:val="18"/>
                <w:szCs w:val="18"/>
                <w:lang w:val="en-US" w:eastAsia="zh-CN"/>
              </w:rPr>
              <w:t>设备封闭</w:t>
            </w:r>
            <w:r>
              <w:rPr>
                <w:rFonts w:hint="default" w:ascii="Times New Roman" w:hAnsi="Times New Roman" w:cs="Times New Roman"/>
                <w:color w:val="auto"/>
                <w:sz w:val="18"/>
                <w:szCs w:val="18"/>
              </w:rPr>
              <w:t>和喷雾降尘</w:t>
            </w:r>
          </w:p>
        </w:tc>
        <w:tc>
          <w:tcPr>
            <w:tcW w:w="764" w:type="dxa"/>
            <w:vAlign w:val="center"/>
          </w:tcPr>
          <w:p w14:paraId="07B3A16C">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是</w:t>
            </w:r>
          </w:p>
        </w:tc>
        <w:tc>
          <w:tcPr>
            <w:tcW w:w="883" w:type="dxa"/>
            <w:vAlign w:val="center"/>
          </w:tcPr>
          <w:p w14:paraId="19A61132">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897" w:type="dxa"/>
            <w:vAlign w:val="center"/>
          </w:tcPr>
          <w:p w14:paraId="161ECEBE">
            <w:pPr>
              <w:pStyle w:val="38"/>
              <w:kinsoku w:val="0"/>
              <w:overflowPunct w:val="0"/>
              <w:autoSpaceDE w:val="0"/>
              <w:snapToGrid w:val="0"/>
              <w:spacing w:line="240" w:lineRule="auto"/>
              <w:ind w:firstLine="0" w:firstLineChars="0"/>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97.4</w:t>
            </w:r>
          </w:p>
        </w:tc>
        <w:tc>
          <w:tcPr>
            <w:tcW w:w="952" w:type="dxa"/>
            <w:vAlign w:val="center"/>
          </w:tcPr>
          <w:p w14:paraId="36318B7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Cs/>
                <w:color w:val="auto"/>
                <w:sz w:val="18"/>
                <w:szCs w:val="18"/>
                <w:lang w:val="en-US"/>
              </w:rPr>
            </w:pPr>
            <w:r>
              <w:rPr>
                <w:rFonts w:hint="default" w:ascii="Times New Roman" w:hAnsi="Times New Roman" w:cs="Times New Roman"/>
                <w:color w:val="auto"/>
                <w:sz w:val="18"/>
                <w:szCs w:val="18"/>
                <w:highlight w:val="none"/>
                <w:lang w:val="en-US" w:eastAsia="zh-CN"/>
              </w:rPr>
              <w:t>0.449</w:t>
            </w:r>
          </w:p>
        </w:tc>
        <w:tc>
          <w:tcPr>
            <w:tcW w:w="1075" w:type="dxa"/>
            <w:vAlign w:val="center"/>
          </w:tcPr>
          <w:p w14:paraId="53C1A64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Cs/>
                <w:color w:val="auto"/>
                <w:sz w:val="18"/>
                <w:szCs w:val="18"/>
                <w:lang w:val="en-US"/>
              </w:rPr>
            </w:pPr>
            <w:r>
              <w:rPr>
                <w:rFonts w:hint="default" w:ascii="Times New Roman" w:hAnsi="Times New Roman" w:cs="Times New Roman"/>
                <w:color w:val="auto"/>
                <w:sz w:val="18"/>
                <w:szCs w:val="18"/>
                <w:highlight w:val="none"/>
                <w:lang w:val="en-US" w:eastAsia="zh-CN"/>
              </w:rPr>
              <w:t>0.187</w:t>
            </w:r>
          </w:p>
        </w:tc>
        <w:tc>
          <w:tcPr>
            <w:tcW w:w="1108" w:type="dxa"/>
            <w:vAlign w:val="center"/>
          </w:tcPr>
          <w:p w14:paraId="78A10FD4">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34" w:type="dxa"/>
            <w:vMerge w:val="restart"/>
            <w:vAlign w:val="center"/>
          </w:tcPr>
          <w:p w14:paraId="177CF2AB">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《铁矿采选工业污染物排放标准》（GB28661-2012）中表7的现有和新建企业边界大气污染物浓度限值</w:t>
            </w:r>
          </w:p>
        </w:tc>
      </w:tr>
      <w:tr w14:paraId="211A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Align w:val="center"/>
          </w:tcPr>
          <w:p w14:paraId="71B102A4">
            <w:pPr>
              <w:spacing w:line="240" w:lineRule="auto"/>
              <w:ind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2</w:t>
            </w:r>
          </w:p>
        </w:tc>
        <w:tc>
          <w:tcPr>
            <w:tcW w:w="941" w:type="dxa"/>
            <w:vAlign w:val="center"/>
          </w:tcPr>
          <w:p w14:paraId="59555055">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原矿料</w:t>
            </w:r>
            <w:r>
              <w:rPr>
                <w:rFonts w:hint="default" w:ascii="Times New Roman" w:hAnsi="Times New Roman" w:cs="Times New Roman"/>
                <w:color w:val="auto"/>
                <w:sz w:val="18"/>
                <w:szCs w:val="18"/>
                <w:lang w:val="en-US" w:eastAsia="zh-CN"/>
              </w:rPr>
              <w:t>斗</w:t>
            </w:r>
            <w:r>
              <w:rPr>
                <w:rFonts w:hint="default" w:ascii="Times New Roman" w:hAnsi="Times New Roman" w:cs="Times New Roman"/>
                <w:color w:val="auto"/>
                <w:sz w:val="18"/>
                <w:szCs w:val="18"/>
              </w:rPr>
              <w:t>给料粉尘</w:t>
            </w:r>
          </w:p>
        </w:tc>
        <w:tc>
          <w:tcPr>
            <w:tcW w:w="1075" w:type="dxa"/>
            <w:vAlign w:val="center"/>
          </w:tcPr>
          <w:p w14:paraId="1019F488">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1000" w:type="dxa"/>
            <w:vAlign w:val="center"/>
          </w:tcPr>
          <w:p w14:paraId="05C4258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2.0</w:t>
            </w:r>
          </w:p>
        </w:tc>
        <w:tc>
          <w:tcPr>
            <w:tcW w:w="1213" w:type="dxa"/>
            <w:vAlign w:val="center"/>
          </w:tcPr>
          <w:p w14:paraId="731507F0">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21" w:type="dxa"/>
            <w:vAlign w:val="center"/>
          </w:tcPr>
          <w:p w14:paraId="119EF58A">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433" w:type="dxa"/>
            <w:vAlign w:val="center"/>
          </w:tcPr>
          <w:p w14:paraId="58033F85">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原矿料</w:t>
            </w:r>
            <w:r>
              <w:rPr>
                <w:rFonts w:hint="default" w:ascii="Times New Roman" w:hAnsi="Times New Roman" w:cs="Times New Roman"/>
                <w:color w:val="auto"/>
                <w:sz w:val="18"/>
                <w:szCs w:val="18"/>
                <w:lang w:val="en-US" w:eastAsia="zh-CN"/>
              </w:rPr>
              <w:t>斗</w:t>
            </w:r>
            <w:r>
              <w:rPr>
                <w:rFonts w:hint="default" w:ascii="Times New Roman" w:hAnsi="Times New Roman" w:eastAsia="宋体" w:cs="Times New Roman"/>
                <w:color w:val="auto"/>
                <w:sz w:val="18"/>
                <w:szCs w:val="18"/>
                <w:lang w:val="en-US" w:eastAsia="zh-CN"/>
              </w:rPr>
              <w:t>设置</w:t>
            </w:r>
            <w:r>
              <w:rPr>
                <w:rFonts w:hint="default" w:ascii="Times New Roman" w:hAnsi="Times New Roman" w:cs="Times New Roman"/>
                <w:color w:val="auto"/>
                <w:sz w:val="18"/>
                <w:szCs w:val="18"/>
                <w:lang w:val="en-US" w:eastAsia="zh-CN"/>
              </w:rPr>
              <w:t>三面围挡</w:t>
            </w:r>
            <w:r>
              <w:rPr>
                <w:rFonts w:hint="default" w:ascii="Times New Roman" w:hAnsi="Times New Roman" w:eastAsia="宋体" w:cs="Times New Roman"/>
                <w:color w:val="auto"/>
                <w:sz w:val="18"/>
                <w:szCs w:val="18"/>
                <w:lang w:val="en-US" w:eastAsia="zh-CN"/>
              </w:rPr>
              <w:t>，同时设置喷雾除尘</w:t>
            </w:r>
          </w:p>
        </w:tc>
        <w:tc>
          <w:tcPr>
            <w:tcW w:w="764" w:type="dxa"/>
            <w:vAlign w:val="center"/>
          </w:tcPr>
          <w:p w14:paraId="74716D41">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是</w:t>
            </w:r>
          </w:p>
        </w:tc>
        <w:tc>
          <w:tcPr>
            <w:tcW w:w="883" w:type="dxa"/>
            <w:vAlign w:val="center"/>
          </w:tcPr>
          <w:p w14:paraId="0458C126">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897" w:type="dxa"/>
            <w:vAlign w:val="center"/>
          </w:tcPr>
          <w:p w14:paraId="57737C24">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8</w:t>
            </w:r>
            <w:r>
              <w:rPr>
                <w:rFonts w:hint="default" w:ascii="Times New Roman" w:hAnsi="Times New Roman" w:cs="Times New Roman"/>
                <w:color w:val="auto"/>
                <w:sz w:val="18"/>
                <w:szCs w:val="18"/>
                <w:lang w:val="en-US" w:eastAsia="zh-CN"/>
              </w:rPr>
              <w:t>9.6</w:t>
            </w:r>
          </w:p>
        </w:tc>
        <w:tc>
          <w:tcPr>
            <w:tcW w:w="952" w:type="dxa"/>
            <w:vAlign w:val="center"/>
          </w:tcPr>
          <w:p w14:paraId="67CF682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Cs/>
                <w:color w:val="auto"/>
                <w:sz w:val="18"/>
                <w:szCs w:val="18"/>
              </w:rPr>
            </w:pPr>
            <w:r>
              <w:rPr>
                <w:rFonts w:hint="default" w:ascii="Times New Roman" w:hAnsi="Times New Roman" w:cs="Times New Roman"/>
                <w:color w:val="auto"/>
                <w:sz w:val="18"/>
                <w:szCs w:val="18"/>
                <w:highlight w:val="none"/>
                <w:lang w:val="en-US" w:eastAsia="zh-CN"/>
              </w:rPr>
              <w:t>0.208</w:t>
            </w:r>
          </w:p>
        </w:tc>
        <w:tc>
          <w:tcPr>
            <w:tcW w:w="1075" w:type="dxa"/>
            <w:vAlign w:val="center"/>
          </w:tcPr>
          <w:p w14:paraId="5A379B5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highlight w:val="none"/>
                <w:lang w:val="en-US" w:eastAsia="zh-CN"/>
              </w:rPr>
              <w:t>0.086</w:t>
            </w:r>
          </w:p>
        </w:tc>
        <w:tc>
          <w:tcPr>
            <w:tcW w:w="1108" w:type="dxa"/>
            <w:vAlign w:val="center"/>
          </w:tcPr>
          <w:p w14:paraId="09AF92FA">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34" w:type="dxa"/>
            <w:vMerge w:val="continue"/>
            <w:vAlign w:val="center"/>
          </w:tcPr>
          <w:p w14:paraId="6D095D17">
            <w:pPr>
              <w:spacing w:line="240" w:lineRule="auto"/>
              <w:ind w:firstLine="0" w:firstLineChars="0"/>
              <w:jc w:val="center"/>
              <w:rPr>
                <w:rFonts w:hint="default" w:ascii="Times New Roman" w:hAnsi="Times New Roman" w:cs="Times New Roman"/>
                <w:color w:val="auto"/>
                <w:sz w:val="18"/>
                <w:szCs w:val="18"/>
              </w:rPr>
            </w:pPr>
          </w:p>
        </w:tc>
      </w:tr>
      <w:tr w14:paraId="763A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Align w:val="center"/>
          </w:tcPr>
          <w:p w14:paraId="21CFD7A1">
            <w:pPr>
              <w:spacing w:line="240" w:lineRule="auto"/>
              <w:ind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3</w:t>
            </w:r>
          </w:p>
        </w:tc>
        <w:tc>
          <w:tcPr>
            <w:tcW w:w="941" w:type="dxa"/>
            <w:vAlign w:val="center"/>
          </w:tcPr>
          <w:p w14:paraId="49FBE025">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一次筛分大块料落料粉尘</w:t>
            </w:r>
          </w:p>
        </w:tc>
        <w:tc>
          <w:tcPr>
            <w:tcW w:w="1075" w:type="dxa"/>
            <w:vAlign w:val="center"/>
          </w:tcPr>
          <w:p w14:paraId="3904D442">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1000" w:type="dxa"/>
            <w:vAlign w:val="center"/>
          </w:tcPr>
          <w:p w14:paraId="42D316F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0.2</w:t>
            </w:r>
          </w:p>
        </w:tc>
        <w:tc>
          <w:tcPr>
            <w:tcW w:w="1213" w:type="dxa"/>
            <w:vAlign w:val="center"/>
          </w:tcPr>
          <w:p w14:paraId="301E763B">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21" w:type="dxa"/>
            <w:vAlign w:val="center"/>
          </w:tcPr>
          <w:p w14:paraId="013FFC70">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433" w:type="dxa"/>
            <w:vAlign w:val="center"/>
          </w:tcPr>
          <w:p w14:paraId="5176E9A7">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三面围挡+</w:t>
            </w:r>
            <w:r>
              <w:rPr>
                <w:rFonts w:hint="default" w:ascii="Times New Roman" w:hAnsi="Times New Roman" w:eastAsia="宋体" w:cs="Times New Roman"/>
                <w:color w:val="auto"/>
                <w:sz w:val="18"/>
                <w:szCs w:val="18"/>
                <w:lang w:val="en-US" w:eastAsia="zh-CN"/>
              </w:rPr>
              <w:t>喷雾除尘</w:t>
            </w:r>
          </w:p>
        </w:tc>
        <w:tc>
          <w:tcPr>
            <w:tcW w:w="764" w:type="dxa"/>
            <w:vAlign w:val="center"/>
          </w:tcPr>
          <w:p w14:paraId="22D5C551">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是</w:t>
            </w:r>
          </w:p>
        </w:tc>
        <w:tc>
          <w:tcPr>
            <w:tcW w:w="883" w:type="dxa"/>
            <w:vAlign w:val="center"/>
          </w:tcPr>
          <w:p w14:paraId="6CC6E612">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897" w:type="dxa"/>
            <w:vAlign w:val="center"/>
          </w:tcPr>
          <w:p w14:paraId="1A216B7D">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8</w:t>
            </w:r>
            <w:r>
              <w:rPr>
                <w:rFonts w:hint="default" w:ascii="Times New Roman" w:hAnsi="Times New Roman" w:cs="Times New Roman"/>
                <w:color w:val="auto"/>
                <w:sz w:val="18"/>
                <w:szCs w:val="18"/>
                <w:lang w:val="en-US" w:eastAsia="zh-CN"/>
              </w:rPr>
              <w:t>9.6</w:t>
            </w:r>
          </w:p>
        </w:tc>
        <w:tc>
          <w:tcPr>
            <w:tcW w:w="952" w:type="dxa"/>
            <w:vAlign w:val="center"/>
          </w:tcPr>
          <w:p w14:paraId="5762B84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0.021</w:t>
            </w:r>
          </w:p>
        </w:tc>
        <w:tc>
          <w:tcPr>
            <w:tcW w:w="1075" w:type="dxa"/>
            <w:vAlign w:val="center"/>
          </w:tcPr>
          <w:p w14:paraId="7DE8392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0.0086</w:t>
            </w:r>
          </w:p>
        </w:tc>
        <w:tc>
          <w:tcPr>
            <w:tcW w:w="1108" w:type="dxa"/>
            <w:vAlign w:val="center"/>
          </w:tcPr>
          <w:p w14:paraId="2448BACE">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34" w:type="dxa"/>
            <w:vMerge w:val="continue"/>
            <w:vAlign w:val="center"/>
          </w:tcPr>
          <w:p w14:paraId="0B024177">
            <w:pPr>
              <w:spacing w:line="240" w:lineRule="auto"/>
              <w:ind w:firstLine="0" w:firstLineChars="0"/>
              <w:jc w:val="center"/>
              <w:rPr>
                <w:rFonts w:hint="default" w:ascii="Times New Roman" w:hAnsi="Times New Roman" w:cs="Times New Roman"/>
                <w:color w:val="auto"/>
                <w:sz w:val="18"/>
                <w:szCs w:val="18"/>
              </w:rPr>
            </w:pPr>
          </w:p>
        </w:tc>
      </w:tr>
      <w:tr w14:paraId="0249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Align w:val="center"/>
          </w:tcPr>
          <w:p w14:paraId="43D468DD">
            <w:pPr>
              <w:spacing w:line="240" w:lineRule="auto"/>
              <w:ind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4</w:t>
            </w:r>
          </w:p>
        </w:tc>
        <w:tc>
          <w:tcPr>
            <w:tcW w:w="941" w:type="dxa"/>
            <w:vAlign w:val="center"/>
          </w:tcPr>
          <w:p w14:paraId="6ACEF45A">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铁矿石</w:t>
            </w:r>
            <w:r>
              <w:rPr>
                <w:rFonts w:hint="default" w:ascii="Times New Roman" w:hAnsi="Times New Roman" w:cs="Times New Roman"/>
                <w:color w:val="auto"/>
                <w:sz w:val="18"/>
                <w:szCs w:val="18"/>
              </w:rPr>
              <w:t>堆场扬尘</w:t>
            </w:r>
          </w:p>
        </w:tc>
        <w:tc>
          <w:tcPr>
            <w:tcW w:w="1075" w:type="dxa"/>
            <w:vAlign w:val="center"/>
          </w:tcPr>
          <w:p w14:paraId="54CB14C7">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1000" w:type="dxa"/>
            <w:vAlign w:val="center"/>
          </w:tcPr>
          <w:p w14:paraId="70F56B0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3.28</w:t>
            </w:r>
          </w:p>
        </w:tc>
        <w:tc>
          <w:tcPr>
            <w:tcW w:w="1213" w:type="dxa"/>
            <w:vAlign w:val="center"/>
          </w:tcPr>
          <w:p w14:paraId="14113F8F">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21" w:type="dxa"/>
            <w:vAlign w:val="center"/>
          </w:tcPr>
          <w:p w14:paraId="7740ACD8">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433" w:type="dxa"/>
            <w:vMerge w:val="restart"/>
            <w:vAlign w:val="center"/>
          </w:tcPr>
          <w:p w14:paraId="366CEA54">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“三面围挡+彩钢瓦顶棚”（粉尘控制效率60%），设置喷雾降尘措施（粉尘控制效率74%），同时采取编织物覆盖措施（粉尘控制效率86%）。</w:t>
            </w:r>
          </w:p>
        </w:tc>
        <w:tc>
          <w:tcPr>
            <w:tcW w:w="764" w:type="dxa"/>
            <w:vMerge w:val="restart"/>
            <w:vAlign w:val="center"/>
          </w:tcPr>
          <w:p w14:paraId="150C2DA4">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是</w:t>
            </w:r>
          </w:p>
        </w:tc>
        <w:tc>
          <w:tcPr>
            <w:tcW w:w="883" w:type="dxa"/>
            <w:vAlign w:val="center"/>
          </w:tcPr>
          <w:p w14:paraId="61DF1141">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897" w:type="dxa"/>
            <w:vMerge w:val="restart"/>
            <w:vAlign w:val="center"/>
          </w:tcPr>
          <w:p w14:paraId="0E9AB9D8">
            <w:pPr>
              <w:pStyle w:val="38"/>
              <w:kinsoku w:val="0"/>
              <w:overflowPunct w:val="0"/>
              <w:autoSpaceDE w:val="0"/>
              <w:snapToGrid w:val="0"/>
              <w:spacing w:line="240" w:lineRule="auto"/>
              <w:ind w:firstLine="0" w:firstLineChars="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98.54</w:t>
            </w:r>
          </w:p>
        </w:tc>
        <w:tc>
          <w:tcPr>
            <w:tcW w:w="952" w:type="dxa"/>
            <w:vAlign w:val="center"/>
          </w:tcPr>
          <w:p w14:paraId="362E3EA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0.049</w:t>
            </w:r>
          </w:p>
        </w:tc>
        <w:tc>
          <w:tcPr>
            <w:tcW w:w="1075" w:type="dxa"/>
            <w:vAlign w:val="center"/>
          </w:tcPr>
          <w:p w14:paraId="498974B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0.02</w:t>
            </w:r>
          </w:p>
        </w:tc>
        <w:tc>
          <w:tcPr>
            <w:tcW w:w="1108" w:type="dxa"/>
            <w:vAlign w:val="center"/>
          </w:tcPr>
          <w:p w14:paraId="06CF4511">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34" w:type="dxa"/>
            <w:vMerge w:val="continue"/>
            <w:vAlign w:val="center"/>
          </w:tcPr>
          <w:p w14:paraId="62416BF7">
            <w:pPr>
              <w:spacing w:line="240" w:lineRule="auto"/>
              <w:ind w:firstLine="0" w:firstLineChars="0"/>
              <w:jc w:val="center"/>
              <w:rPr>
                <w:rFonts w:hint="default" w:ascii="Times New Roman" w:hAnsi="Times New Roman" w:cs="Times New Roman"/>
                <w:color w:val="auto"/>
                <w:sz w:val="18"/>
                <w:szCs w:val="18"/>
              </w:rPr>
            </w:pPr>
          </w:p>
        </w:tc>
      </w:tr>
      <w:tr w14:paraId="11F2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Align w:val="center"/>
          </w:tcPr>
          <w:p w14:paraId="74BB2124">
            <w:pPr>
              <w:spacing w:line="240" w:lineRule="auto"/>
              <w:ind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5</w:t>
            </w:r>
          </w:p>
        </w:tc>
        <w:tc>
          <w:tcPr>
            <w:tcW w:w="941" w:type="dxa"/>
            <w:vAlign w:val="center"/>
          </w:tcPr>
          <w:p w14:paraId="2AF1F3F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砂石料堆场扬尘</w:t>
            </w:r>
          </w:p>
        </w:tc>
        <w:tc>
          <w:tcPr>
            <w:tcW w:w="1075" w:type="dxa"/>
            <w:vAlign w:val="center"/>
          </w:tcPr>
          <w:p w14:paraId="27085C99">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1000" w:type="dxa"/>
            <w:vAlign w:val="center"/>
          </w:tcPr>
          <w:p w14:paraId="4649AC6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7.66</w:t>
            </w:r>
          </w:p>
        </w:tc>
        <w:tc>
          <w:tcPr>
            <w:tcW w:w="1213" w:type="dxa"/>
            <w:vAlign w:val="center"/>
          </w:tcPr>
          <w:p w14:paraId="030A99A8">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21" w:type="dxa"/>
            <w:vAlign w:val="center"/>
          </w:tcPr>
          <w:p w14:paraId="666042C7">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433" w:type="dxa"/>
            <w:vMerge w:val="continue"/>
            <w:vAlign w:val="center"/>
          </w:tcPr>
          <w:p w14:paraId="525CFC8D">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p>
        </w:tc>
        <w:tc>
          <w:tcPr>
            <w:tcW w:w="764" w:type="dxa"/>
            <w:vMerge w:val="continue"/>
            <w:vAlign w:val="center"/>
          </w:tcPr>
          <w:p w14:paraId="36F6127F">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lang w:eastAsia="zh-CN"/>
              </w:rPr>
            </w:pPr>
          </w:p>
        </w:tc>
        <w:tc>
          <w:tcPr>
            <w:tcW w:w="883" w:type="dxa"/>
            <w:vAlign w:val="center"/>
          </w:tcPr>
          <w:p w14:paraId="0CEE0921">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897" w:type="dxa"/>
            <w:vMerge w:val="continue"/>
            <w:vAlign w:val="center"/>
          </w:tcPr>
          <w:p w14:paraId="47DAB9BD">
            <w:pPr>
              <w:pStyle w:val="38"/>
              <w:kinsoku w:val="0"/>
              <w:overflowPunct w:val="0"/>
              <w:autoSpaceDE w:val="0"/>
              <w:snapToGrid w:val="0"/>
              <w:spacing w:line="240" w:lineRule="auto"/>
              <w:ind w:firstLine="0" w:firstLineChars="0"/>
              <w:rPr>
                <w:rFonts w:hint="default" w:ascii="Times New Roman" w:hAnsi="Times New Roman" w:eastAsia="宋体" w:cs="Times New Roman"/>
                <w:bCs/>
                <w:color w:val="auto"/>
                <w:sz w:val="18"/>
                <w:szCs w:val="18"/>
              </w:rPr>
            </w:pPr>
          </w:p>
        </w:tc>
        <w:tc>
          <w:tcPr>
            <w:tcW w:w="952" w:type="dxa"/>
            <w:vAlign w:val="center"/>
          </w:tcPr>
          <w:p w14:paraId="2EF5906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0.11</w:t>
            </w:r>
          </w:p>
        </w:tc>
        <w:tc>
          <w:tcPr>
            <w:tcW w:w="1075" w:type="dxa"/>
            <w:vAlign w:val="center"/>
          </w:tcPr>
          <w:p w14:paraId="47C7CBD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0.046</w:t>
            </w:r>
          </w:p>
        </w:tc>
        <w:tc>
          <w:tcPr>
            <w:tcW w:w="1108" w:type="dxa"/>
            <w:vAlign w:val="center"/>
          </w:tcPr>
          <w:p w14:paraId="728945E8">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34" w:type="dxa"/>
            <w:vMerge w:val="continue"/>
            <w:vAlign w:val="center"/>
          </w:tcPr>
          <w:p w14:paraId="4DFCE0E7">
            <w:pPr>
              <w:spacing w:line="240" w:lineRule="auto"/>
              <w:ind w:firstLine="0" w:firstLineChars="0"/>
              <w:jc w:val="center"/>
              <w:rPr>
                <w:rFonts w:hint="default" w:ascii="Times New Roman" w:hAnsi="Times New Roman" w:cs="Times New Roman"/>
                <w:color w:val="auto"/>
                <w:sz w:val="18"/>
                <w:szCs w:val="18"/>
              </w:rPr>
            </w:pPr>
          </w:p>
        </w:tc>
      </w:tr>
      <w:tr w14:paraId="6B5F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Align w:val="center"/>
          </w:tcPr>
          <w:p w14:paraId="6DCDC675">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941" w:type="dxa"/>
            <w:vAlign w:val="center"/>
          </w:tcPr>
          <w:p w14:paraId="1C67B0A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原料堆场</w:t>
            </w:r>
          </w:p>
        </w:tc>
        <w:tc>
          <w:tcPr>
            <w:tcW w:w="1075" w:type="dxa"/>
            <w:vAlign w:val="center"/>
          </w:tcPr>
          <w:p w14:paraId="589B6FFE">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1000" w:type="dxa"/>
            <w:vAlign w:val="center"/>
          </w:tcPr>
          <w:p w14:paraId="61650A3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12.16</w:t>
            </w:r>
          </w:p>
        </w:tc>
        <w:tc>
          <w:tcPr>
            <w:tcW w:w="1213" w:type="dxa"/>
            <w:vAlign w:val="center"/>
          </w:tcPr>
          <w:p w14:paraId="2937CF79">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21" w:type="dxa"/>
            <w:vAlign w:val="center"/>
          </w:tcPr>
          <w:p w14:paraId="3EC5B40F">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433" w:type="dxa"/>
            <w:vMerge w:val="continue"/>
            <w:vAlign w:val="center"/>
          </w:tcPr>
          <w:p w14:paraId="4A3A7CAC">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p>
        </w:tc>
        <w:tc>
          <w:tcPr>
            <w:tcW w:w="764" w:type="dxa"/>
            <w:vAlign w:val="center"/>
          </w:tcPr>
          <w:p w14:paraId="65D4D3FD">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883" w:type="dxa"/>
            <w:vAlign w:val="center"/>
          </w:tcPr>
          <w:p w14:paraId="1B59A9A2">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897" w:type="dxa"/>
            <w:vAlign w:val="center"/>
          </w:tcPr>
          <w:p w14:paraId="2A42D579">
            <w:pPr>
              <w:pStyle w:val="38"/>
              <w:kinsoku w:val="0"/>
              <w:overflowPunct w:val="0"/>
              <w:autoSpaceDE w:val="0"/>
              <w:snapToGrid w:val="0"/>
              <w:spacing w:line="240" w:lineRule="auto"/>
              <w:ind w:firstLine="0" w:firstLineChars="0"/>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89.6</w:t>
            </w:r>
          </w:p>
        </w:tc>
        <w:tc>
          <w:tcPr>
            <w:tcW w:w="952" w:type="dxa"/>
            <w:vAlign w:val="center"/>
          </w:tcPr>
          <w:p w14:paraId="77F68785">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0.18</w:t>
            </w:r>
          </w:p>
        </w:tc>
        <w:tc>
          <w:tcPr>
            <w:tcW w:w="1075" w:type="dxa"/>
            <w:vAlign w:val="center"/>
          </w:tcPr>
          <w:p w14:paraId="4318A3A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0.075</w:t>
            </w:r>
          </w:p>
        </w:tc>
        <w:tc>
          <w:tcPr>
            <w:tcW w:w="1108" w:type="dxa"/>
            <w:vAlign w:val="center"/>
          </w:tcPr>
          <w:p w14:paraId="52E09276">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34" w:type="dxa"/>
            <w:vMerge w:val="continue"/>
            <w:vAlign w:val="center"/>
          </w:tcPr>
          <w:p w14:paraId="3F734EBA">
            <w:pPr>
              <w:spacing w:line="240" w:lineRule="auto"/>
              <w:ind w:firstLine="0" w:firstLineChars="0"/>
              <w:jc w:val="center"/>
              <w:rPr>
                <w:rFonts w:hint="default" w:ascii="Times New Roman" w:hAnsi="Times New Roman" w:cs="Times New Roman"/>
                <w:color w:val="auto"/>
                <w:sz w:val="18"/>
                <w:szCs w:val="18"/>
              </w:rPr>
            </w:pPr>
          </w:p>
        </w:tc>
      </w:tr>
      <w:tr w14:paraId="24A7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Align w:val="center"/>
          </w:tcPr>
          <w:p w14:paraId="1037F601">
            <w:pPr>
              <w:spacing w:line="240" w:lineRule="auto"/>
              <w:ind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7</w:t>
            </w:r>
          </w:p>
        </w:tc>
        <w:tc>
          <w:tcPr>
            <w:tcW w:w="941" w:type="dxa"/>
            <w:vAlign w:val="center"/>
          </w:tcPr>
          <w:p w14:paraId="18B1800E">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车辆运输道路扬尘</w:t>
            </w:r>
          </w:p>
        </w:tc>
        <w:tc>
          <w:tcPr>
            <w:tcW w:w="1075" w:type="dxa"/>
            <w:vAlign w:val="center"/>
          </w:tcPr>
          <w:p w14:paraId="19D3F57D">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1000" w:type="dxa"/>
            <w:vAlign w:val="center"/>
          </w:tcPr>
          <w:p w14:paraId="269F05A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0.12</w:t>
            </w:r>
          </w:p>
        </w:tc>
        <w:tc>
          <w:tcPr>
            <w:tcW w:w="1213" w:type="dxa"/>
            <w:vAlign w:val="center"/>
          </w:tcPr>
          <w:p w14:paraId="46FFD3A7">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21" w:type="dxa"/>
            <w:vAlign w:val="center"/>
          </w:tcPr>
          <w:p w14:paraId="265D4E8E">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433" w:type="dxa"/>
            <w:vAlign w:val="center"/>
          </w:tcPr>
          <w:p w14:paraId="5C3C08EC">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地面硬化、晴天时</w:t>
            </w:r>
            <w:r>
              <w:rPr>
                <w:rFonts w:hint="default" w:ascii="Times New Roman" w:hAnsi="Times New Roman" w:cs="Times New Roman"/>
                <w:color w:val="auto"/>
                <w:sz w:val="18"/>
                <w:szCs w:val="18"/>
              </w:rPr>
              <w:t>洒水</w:t>
            </w:r>
            <w:r>
              <w:rPr>
                <w:rFonts w:hint="default" w:ascii="Times New Roman" w:hAnsi="Times New Roman" w:cs="Times New Roman"/>
                <w:color w:val="auto"/>
                <w:sz w:val="18"/>
                <w:szCs w:val="18"/>
                <w:lang w:val="en-US" w:eastAsia="zh-CN"/>
              </w:rPr>
              <w:t>降尘（</w:t>
            </w:r>
            <w:r>
              <w:rPr>
                <w:rFonts w:hint="default" w:ascii="Times New Roman" w:hAnsi="Times New Roman" w:cs="Times New Roman"/>
                <w:color w:val="auto"/>
                <w:sz w:val="18"/>
                <w:szCs w:val="18"/>
              </w:rPr>
              <w:t>2次/天</w:t>
            </w:r>
            <w:r>
              <w:rPr>
                <w:rFonts w:hint="default" w:ascii="Times New Roman" w:hAnsi="Times New Roman" w:cs="Times New Roman"/>
                <w:color w:val="auto"/>
                <w:sz w:val="18"/>
                <w:szCs w:val="18"/>
                <w:lang w:val="en-US" w:eastAsia="zh-CN"/>
              </w:rPr>
              <w:t>），无组织扬尘</w:t>
            </w:r>
            <w:r>
              <w:rPr>
                <w:rFonts w:hint="default" w:ascii="Times New Roman" w:hAnsi="Times New Roman" w:cs="Times New Roman"/>
                <w:color w:val="auto"/>
                <w:sz w:val="18"/>
                <w:szCs w:val="18"/>
              </w:rPr>
              <w:t>控制效率66%</w:t>
            </w:r>
          </w:p>
        </w:tc>
        <w:tc>
          <w:tcPr>
            <w:tcW w:w="764" w:type="dxa"/>
            <w:vAlign w:val="center"/>
          </w:tcPr>
          <w:p w14:paraId="2FBC8E0E">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是</w:t>
            </w:r>
          </w:p>
        </w:tc>
        <w:tc>
          <w:tcPr>
            <w:tcW w:w="883" w:type="dxa"/>
            <w:vAlign w:val="center"/>
          </w:tcPr>
          <w:p w14:paraId="6E337565">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897" w:type="dxa"/>
            <w:vAlign w:val="center"/>
          </w:tcPr>
          <w:p w14:paraId="1408FCF0">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66</w:t>
            </w:r>
          </w:p>
        </w:tc>
        <w:tc>
          <w:tcPr>
            <w:tcW w:w="952" w:type="dxa"/>
            <w:vAlign w:val="center"/>
          </w:tcPr>
          <w:p w14:paraId="4C4FB5FB">
            <w:pPr>
              <w:pStyle w:val="28"/>
              <w:keepNext w:val="0"/>
              <w:keepLines w:val="0"/>
              <w:pageBreakBefore w:val="0"/>
              <w:kinsoku/>
              <w:wordWrap/>
              <w:overflowPunct/>
              <w:topLinePunct w:val="0"/>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0.042</w:t>
            </w:r>
          </w:p>
        </w:tc>
        <w:tc>
          <w:tcPr>
            <w:tcW w:w="1075" w:type="dxa"/>
            <w:vAlign w:val="center"/>
          </w:tcPr>
          <w:p w14:paraId="5BC6F54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0.0175</w:t>
            </w:r>
          </w:p>
        </w:tc>
        <w:tc>
          <w:tcPr>
            <w:tcW w:w="1108" w:type="dxa"/>
            <w:vAlign w:val="center"/>
          </w:tcPr>
          <w:p w14:paraId="4F85C818">
            <w:pPr>
              <w:pStyle w:val="38"/>
              <w:kinsoku w:val="0"/>
              <w:overflowPunct w:val="0"/>
              <w:autoSpaceDE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34" w:type="dxa"/>
            <w:vMerge w:val="continue"/>
            <w:vAlign w:val="center"/>
          </w:tcPr>
          <w:p w14:paraId="72ECB930">
            <w:pPr>
              <w:spacing w:line="240" w:lineRule="auto"/>
              <w:ind w:firstLine="0" w:firstLineChars="0"/>
              <w:jc w:val="center"/>
              <w:rPr>
                <w:rFonts w:hint="default" w:ascii="Times New Roman" w:hAnsi="Times New Roman" w:cs="Times New Roman"/>
                <w:color w:val="auto"/>
                <w:sz w:val="18"/>
                <w:szCs w:val="18"/>
              </w:rPr>
            </w:pPr>
          </w:p>
        </w:tc>
      </w:tr>
    </w:tbl>
    <w:p w14:paraId="518F29CC">
      <w:pPr>
        <w:rPr>
          <w:rFonts w:hint="default" w:ascii="Times New Roman" w:hAnsi="Times New Roman" w:cs="Times New Roman"/>
        </w:rPr>
        <w:sectPr>
          <w:pgSz w:w="16838" w:h="11906" w:orient="landscape"/>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AndChars" w:linePitch="326" w:charSpace="0"/>
        </w:sectPr>
      </w:pPr>
    </w:p>
    <w:p w14:paraId="6CD44603">
      <w:pPr>
        <w:rPr>
          <w:rFonts w:hint="default" w:ascii="Times New Roman" w:hAnsi="Times New Roman" w:cs="Times New Roman"/>
        </w:rPr>
      </w:pPr>
    </w:p>
    <w:bookmarkEnd w:id="325"/>
    <w:p w14:paraId="2819CE3E">
      <w:pPr>
        <w:rPr>
          <w:rFonts w:hint="default" w:ascii="Times New Roman" w:hAnsi="Times New Roman" w:cs="Times New Roman"/>
        </w:rPr>
      </w:pPr>
      <w:bookmarkStart w:id="326" w:name="_Toc165816754"/>
      <w:r>
        <w:rPr>
          <w:rFonts w:hint="default" w:ascii="Times New Roman" w:hAnsi="Times New Roman" w:cs="Times New Roman"/>
          <w:lang w:val="en-US" w:eastAsia="zh-CN"/>
        </w:rPr>
        <w:t>3</w:t>
      </w:r>
      <w:r>
        <w:rPr>
          <w:rFonts w:hint="default" w:ascii="Times New Roman" w:hAnsi="Times New Roman" w:cs="Times New Roman"/>
        </w:rPr>
        <w:t>.5.</w:t>
      </w:r>
      <w:r>
        <w:rPr>
          <w:rFonts w:hint="default" w:ascii="Times New Roman" w:hAnsi="Times New Roman" w:cs="Times New Roman"/>
          <w:lang w:val="en-US" w:eastAsia="zh-CN"/>
        </w:rPr>
        <w:t>2.3</w:t>
      </w:r>
      <w:r>
        <w:rPr>
          <w:rFonts w:hint="default" w:ascii="Times New Roman" w:hAnsi="Times New Roman" w:cs="Times New Roman"/>
        </w:rPr>
        <w:t>非正常工况污染源排放分析</w:t>
      </w:r>
      <w:bookmarkEnd w:id="326"/>
    </w:p>
    <w:p w14:paraId="51A85207">
      <w:pPr>
        <w:pStyle w:val="39"/>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非正常工况指生产过程中开停车（工、炉）、设备检修、工艺设备运转异常等非正常工况下的污染物排放，以及污染排放控制措施达不到应有效率等情况下污染物的排放。本项目非正常工况主要考虑项目废气处理系统出现故障，运转不正常时，造成的非正常工况排放。本次评价主要考虑最坏情况，假设非正常排放时废气处理系统布袋破损故障，处理效率下降至</w:t>
      </w:r>
      <w:r>
        <w:rPr>
          <w:rFonts w:hint="default"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rPr>
        <w:t>0%考虑，事故持续时间按0.5小时计。</w:t>
      </w:r>
    </w:p>
    <w:p w14:paraId="1D07CDAF">
      <w:pPr>
        <w:pStyle w:val="39"/>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本项目污染源非正常状况下废气排放情况见</w:t>
      </w:r>
      <w:r>
        <w:rPr>
          <w:rFonts w:hint="default" w:ascii="Times New Roman" w:hAnsi="Times New Roman" w:cs="Times New Roman" w:eastAsiaTheme="minorEastAsia"/>
          <w:sz w:val="24"/>
          <w:szCs w:val="24"/>
          <w:lang w:val="en-US" w:eastAsia="zh-CN"/>
        </w:rPr>
        <w:t>下表。</w:t>
      </w:r>
    </w:p>
    <w:p w14:paraId="3AE5097D">
      <w:pPr>
        <w:keepNext w:val="0"/>
        <w:keepLines w:val="0"/>
        <w:pageBreakBefore w:val="0"/>
        <w:widowControl/>
        <w:kinsoku/>
        <w:wordWrap/>
        <w:overflowPunct/>
        <w:topLinePunct w:val="0"/>
        <w:autoSpaceDE/>
        <w:autoSpaceDN/>
        <w:bidi w:val="0"/>
        <w:adjustRightInd w:val="0"/>
        <w:snapToGrid w:val="0"/>
        <w:spacing w:line="360" w:lineRule="auto"/>
        <w:jc w:val="center"/>
        <w:textAlignment w:val="baseline"/>
        <w:rPr>
          <w:rFonts w:hint="default" w:ascii="Times New Roman" w:hAnsi="Times New Roman" w:eastAsia="黑体" w:cs="Times New Roman"/>
          <w:b w:val="0"/>
          <w:bCs/>
          <w:snapToGrid w:val="0"/>
          <w:color w:val="auto"/>
          <w:kern w:val="0"/>
          <w:sz w:val="21"/>
          <w:szCs w:val="21"/>
          <w:highlight w:val="none"/>
        </w:rPr>
      </w:pPr>
      <w:r>
        <w:rPr>
          <w:rFonts w:hint="default" w:ascii="Times New Roman" w:hAnsi="Times New Roman" w:eastAsia="黑体" w:cs="Times New Roman"/>
          <w:b w:val="0"/>
          <w:bCs/>
          <w:snapToGrid w:val="0"/>
          <w:color w:val="auto"/>
          <w:kern w:val="0"/>
          <w:sz w:val="21"/>
          <w:szCs w:val="21"/>
          <w:highlight w:val="none"/>
        </w:rPr>
        <w:t>表</w:t>
      </w:r>
      <w:r>
        <w:rPr>
          <w:rFonts w:hint="default" w:ascii="Times New Roman" w:hAnsi="Times New Roman" w:eastAsia="黑体" w:cs="Times New Roman"/>
          <w:b w:val="0"/>
          <w:bCs/>
          <w:snapToGrid w:val="0"/>
          <w:color w:val="auto"/>
          <w:kern w:val="0"/>
          <w:sz w:val="21"/>
          <w:szCs w:val="21"/>
          <w:highlight w:val="none"/>
          <w:lang w:val="en-US" w:eastAsia="zh-CN"/>
        </w:rPr>
        <w:t>3.5.2-5</w:t>
      </w:r>
      <w:r>
        <w:rPr>
          <w:rFonts w:hint="default" w:ascii="Times New Roman" w:hAnsi="Times New Roman" w:eastAsia="黑体" w:cs="Times New Roman"/>
          <w:b w:val="0"/>
          <w:bCs/>
          <w:snapToGrid w:val="0"/>
          <w:color w:val="auto"/>
          <w:kern w:val="0"/>
          <w:sz w:val="21"/>
          <w:szCs w:val="21"/>
          <w:highlight w:val="none"/>
        </w:rPr>
        <w:t xml:space="preserve">  污染源非正常排放量核算表</w:t>
      </w:r>
    </w:p>
    <w:tbl>
      <w:tblPr>
        <w:tblStyle w:val="29"/>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746"/>
        <w:gridCol w:w="1164"/>
        <w:gridCol w:w="832"/>
        <w:gridCol w:w="1072"/>
        <w:gridCol w:w="1102"/>
        <w:gridCol w:w="776"/>
        <w:gridCol w:w="825"/>
        <w:gridCol w:w="2237"/>
      </w:tblGrid>
      <w:tr w14:paraId="5AE3BC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 w:type="pct"/>
            <w:tcBorders>
              <w:tl2br w:val="nil"/>
              <w:tr2bl w:val="nil"/>
            </w:tcBorders>
            <w:noWrap w:val="0"/>
            <w:vAlign w:val="center"/>
          </w:tcPr>
          <w:p w14:paraId="5BBBF527">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401" w:type="pct"/>
            <w:tcBorders>
              <w:tl2br w:val="nil"/>
              <w:tr2bl w:val="nil"/>
            </w:tcBorders>
            <w:noWrap w:val="0"/>
            <w:vAlign w:val="center"/>
          </w:tcPr>
          <w:p w14:paraId="02E50864">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污染源</w:t>
            </w:r>
          </w:p>
        </w:tc>
        <w:tc>
          <w:tcPr>
            <w:tcW w:w="627" w:type="pct"/>
            <w:tcBorders>
              <w:tl2br w:val="nil"/>
              <w:tr2bl w:val="nil"/>
            </w:tcBorders>
            <w:noWrap w:val="0"/>
            <w:vAlign w:val="center"/>
          </w:tcPr>
          <w:p w14:paraId="2E1916A4">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非正常排放原因</w:t>
            </w:r>
          </w:p>
        </w:tc>
        <w:tc>
          <w:tcPr>
            <w:tcW w:w="448" w:type="pct"/>
            <w:tcBorders>
              <w:tl2br w:val="nil"/>
              <w:tr2bl w:val="nil"/>
            </w:tcBorders>
            <w:noWrap w:val="0"/>
            <w:vAlign w:val="center"/>
          </w:tcPr>
          <w:p w14:paraId="7817731F">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w:t>
            </w:r>
          </w:p>
        </w:tc>
        <w:tc>
          <w:tcPr>
            <w:tcW w:w="577" w:type="pct"/>
            <w:tcBorders>
              <w:tl2br w:val="nil"/>
              <w:tr2bl w:val="nil"/>
            </w:tcBorders>
            <w:noWrap w:val="0"/>
            <w:vAlign w:val="center"/>
          </w:tcPr>
          <w:p w14:paraId="793BF377">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非正常排放浓度（mg/m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p>
        </w:tc>
        <w:tc>
          <w:tcPr>
            <w:tcW w:w="593" w:type="pct"/>
            <w:tcBorders>
              <w:tl2br w:val="nil"/>
              <w:tr2bl w:val="nil"/>
            </w:tcBorders>
            <w:noWrap w:val="0"/>
            <w:vAlign w:val="center"/>
          </w:tcPr>
          <w:p w14:paraId="6324EB8D">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非正常排放速率（kg/h）</w:t>
            </w:r>
          </w:p>
        </w:tc>
        <w:tc>
          <w:tcPr>
            <w:tcW w:w="418" w:type="pct"/>
            <w:tcBorders>
              <w:tl2br w:val="nil"/>
              <w:tr2bl w:val="nil"/>
            </w:tcBorders>
            <w:noWrap w:val="0"/>
            <w:vAlign w:val="center"/>
          </w:tcPr>
          <w:p w14:paraId="7284623D">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单次持续时间</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h</w:t>
            </w:r>
            <w:r>
              <w:rPr>
                <w:rFonts w:hint="default" w:ascii="Times New Roman" w:hAnsi="Times New Roman" w:cs="Times New Roman"/>
                <w:color w:val="auto"/>
                <w:sz w:val="18"/>
                <w:szCs w:val="18"/>
                <w:highlight w:val="none"/>
                <w:lang w:eastAsia="zh-CN"/>
              </w:rPr>
              <w:t>）</w:t>
            </w:r>
          </w:p>
        </w:tc>
        <w:tc>
          <w:tcPr>
            <w:tcW w:w="444" w:type="pct"/>
            <w:tcBorders>
              <w:tl2br w:val="nil"/>
              <w:tr2bl w:val="nil"/>
            </w:tcBorders>
            <w:noWrap w:val="0"/>
            <w:vAlign w:val="center"/>
          </w:tcPr>
          <w:p w14:paraId="2E428CEB">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年发生频率（次）</w:t>
            </w:r>
          </w:p>
        </w:tc>
        <w:tc>
          <w:tcPr>
            <w:tcW w:w="1204" w:type="pct"/>
            <w:tcBorders>
              <w:tl2br w:val="nil"/>
              <w:tr2bl w:val="nil"/>
            </w:tcBorders>
            <w:noWrap w:val="0"/>
            <w:vAlign w:val="center"/>
          </w:tcPr>
          <w:p w14:paraId="11B41D57">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应对措施</w:t>
            </w:r>
          </w:p>
        </w:tc>
      </w:tr>
      <w:tr w14:paraId="41F1B6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 w:type="pct"/>
            <w:tcBorders>
              <w:tl2br w:val="nil"/>
              <w:tr2bl w:val="nil"/>
            </w:tcBorders>
            <w:noWrap w:val="0"/>
            <w:vAlign w:val="center"/>
          </w:tcPr>
          <w:p w14:paraId="7E53E614">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401" w:type="pct"/>
            <w:tcBorders>
              <w:tl2br w:val="nil"/>
              <w:tr2bl w:val="nil"/>
            </w:tcBorders>
            <w:noWrap w:val="0"/>
            <w:vAlign w:val="center"/>
          </w:tcPr>
          <w:p w14:paraId="096B6A3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lang w:val="en-US"/>
              </w:rPr>
            </w:pPr>
            <w:r>
              <w:rPr>
                <w:rFonts w:hint="default" w:ascii="Times New Roman" w:hAnsi="Times New Roman" w:cs="Times New Roman"/>
                <w:color w:val="auto"/>
                <w:sz w:val="18"/>
                <w:szCs w:val="18"/>
                <w:highlight w:val="none"/>
                <w:lang w:val="en-US" w:eastAsia="zh-CN"/>
              </w:rPr>
              <w:t>DA001</w:t>
            </w:r>
          </w:p>
        </w:tc>
        <w:tc>
          <w:tcPr>
            <w:tcW w:w="627" w:type="pct"/>
            <w:tcBorders>
              <w:tl2br w:val="nil"/>
              <w:tr2bl w:val="nil"/>
            </w:tcBorders>
            <w:noWrap w:val="0"/>
            <w:vAlign w:val="center"/>
          </w:tcPr>
          <w:p w14:paraId="2CA4ABA5">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eastAsiaTheme="minorEastAsia"/>
                <w:color w:val="auto"/>
                <w:sz w:val="18"/>
                <w:szCs w:val="18"/>
              </w:rPr>
              <w:t>袋式除尘器</w:t>
            </w:r>
            <w:r>
              <w:rPr>
                <w:rFonts w:hint="default" w:ascii="Times New Roman" w:hAnsi="Times New Roman" w:cs="Times New Roman" w:eastAsiaTheme="minorEastAsia"/>
                <w:color w:val="auto"/>
                <w:sz w:val="18"/>
                <w:szCs w:val="18"/>
                <w:lang w:val="en-US" w:eastAsia="zh-CN"/>
              </w:rPr>
              <w:t>除尘系统</w:t>
            </w:r>
            <w:r>
              <w:rPr>
                <w:rFonts w:hint="default" w:ascii="Times New Roman" w:hAnsi="Times New Roman" w:eastAsia="宋体" w:cs="Times New Roman"/>
                <w:color w:val="auto"/>
                <w:sz w:val="18"/>
                <w:szCs w:val="18"/>
                <w:highlight w:val="none"/>
              </w:rPr>
              <w:t>故障</w:t>
            </w:r>
          </w:p>
        </w:tc>
        <w:tc>
          <w:tcPr>
            <w:tcW w:w="448" w:type="pct"/>
            <w:tcBorders>
              <w:tl2br w:val="nil"/>
              <w:tr2bl w:val="nil"/>
            </w:tcBorders>
            <w:noWrap w:val="0"/>
            <w:vAlign w:val="center"/>
          </w:tcPr>
          <w:p w14:paraId="391008EA">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577" w:type="pct"/>
            <w:tcBorders>
              <w:tl2br w:val="nil"/>
              <w:tr2bl w:val="nil"/>
            </w:tcBorders>
            <w:noWrap w:val="0"/>
            <w:vAlign w:val="center"/>
          </w:tcPr>
          <w:p w14:paraId="3F5ADF86">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509.37</w:t>
            </w:r>
          </w:p>
        </w:tc>
        <w:tc>
          <w:tcPr>
            <w:tcW w:w="593" w:type="pct"/>
            <w:tcBorders>
              <w:tl2br w:val="nil"/>
              <w:tr2bl w:val="nil"/>
            </w:tcBorders>
            <w:noWrap w:val="0"/>
            <w:vAlign w:val="center"/>
          </w:tcPr>
          <w:p w14:paraId="7790A49D">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20.37</w:t>
            </w:r>
          </w:p>
        </w:tc>
        <w:tc>
          <w:tcPr>
            <w:tcW w:w="418" w:type="pct"/>
            <w:tcBorders>
              <w:tl2br w:val="nil"/>
              <w:tr2bl w:val="nil"/>
            </w:tcBorders>
            <w:noWrap w:val="0"/>
            <w:vAlign w:val="center"/>
          </w:tcPr>
          <w:p w14:paraId="732B364D">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＜0.5h</w:t>
            </w:r>
          </w:p>
        </w:tc>
        <w:tc>
          <w:tcPr>
            <w:tcW w:w="444" w:type="pct"/>
            <w:tcBorders>
              <w:tl2br w:val="nil"/>
              <w:tr2bl w:val="nil"/>
            </w:tcBorders>
            <w:noWrap w:val="0"/>
            <w:vAlign w:val="center"/>
          </w:tcPr>
          <w:p w14:paraId="12CF1506">
            <w:pPr>
              <w:pStyle w:val="64"/>
              <w:keepNext w:val="0"/>
              <w:keepLines w:val="0"/>
              <w:pageBreakBefore w:val="0"/>
              <w:kinsoku/>
              <w:wordWrap/>
              <w:overflowPunct/>
              <w:topLinePunct w:val="0"/>
              <w:autoSpaceDE/>
              <w:autoSpaceDN/>
              <w:bidi w:val="0"/>
              <w:adjustRightInd w:val="0"/>
              <w:snapToGrid w:val="0"/>
              <w:spacing w:before="0" w:line="240" w:lineRule="auto"/>
              <w:ind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2</w:t>
            </w:r>
          </w:p>
        </w:tc>
        <w:tc>
          <w:tcPr>
            <w:tcW w:w="1204" w:type="pct"/>
            <w:tcBorders>
              <w:tl2br w:val="nil"/>
              <w:tr2bl w:val="nil"/>
            </w:tcBorders>
            <w:noWrap w:val="0"/>
            <w:vAlign w:val="center"/>
          </w:tcPr>
          <w:p w14:paraId="602906E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出现超标排放时立即停产检修，及时更换故障部件；加强对各废气净化装置的日常维护，提高操作管理水平，提高备品备件的保障水平。</w:t>
            </w:r>
          </w:p>
        </w:tc>
      </w:tr>
    </w:tbl>
    <w:p w14:paraId="1EFE6E58">
      <w:pPr>
        <w:pStyle w:val="6"/>
        <w:bidi w:val="0"/>
        <w:rPr>
          <w:rFonts w:hint="default" w:ascii="Times New Roman" w:hAnsi="Times New Roman" w:cs="Times New Roman"/>
        </w:rPr>
      </w:pPr>
      <w:bookmarkStart w:id="327" w:name="_Toc165816752"/>
      <w:bookmarkStart w:id="328" w:name="_Toc30884"/>
      <w:r>
        <w:rPr>
          <w:rFonts w:hint="default" w:ascii="Times New Roman" w:hAnsi="Times New Roman" w:cs="Times New Roman"/>
          <w:lang w:val="en-US" w:eastAsia="zh-CN"/>
        </w:rPr>
        <w:t>3</w:t>
      </w:r>
      <w:r>
        <w:rPr>
          <w:rFonts w:hint="default" w:ascii="Times New Roman" w:hAnsi="Times New Roman" w:cs="Times New Roman"/>
        </w:rPr>
        <w:t>.5.3运营期噪声</w:t>
      </w:r>
      <w:bookmarkEnd w:id="327"/>
      <w:bookmarkEnd w:id="328"/>
    </w:p>
    <w:p w14:paraId="1D03CFCE">
      <w:pPr>
        <w:pStyle w:val="55"/>
        <w:spacing w:line="360" w:lineRule="auto"/>
        <w:rPr>
          <w:rFonts w:hint="default" w:ascii="Times New Roman" w:hAnsi="Times New Roman" w:cs="Times New Roman" w:eastAsiaTheme="minorEastAsia"/>
          <w:sz w:val="24"/>
          <w:szCs w:val="24"/>
        </w:rPr>
      </w:pPr>
      <w:bookmarkStart w:id="329" w:name="_Hlk142839523"/>
      <w:bookmarkStart w:id="330" w:name="_Hlk142839543"/>
      <w:r>
        <w:rPr>
          <w:rFonts w:hint="default" w:ascii="Times New Roman" w:hAnsi="Times New Roman" w:cs="Times New Roman" w:eastAsiaTheme="minorEastAsia"/>
          <w:sz w:val="24"/>
          <w:szCs w:val="24"/>
        </w:rPr>
        <w:t>运营期噪声主要为生产系统噪声，主要噪声源有：破碎机、筛分机</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磁选机</w:t>
      </w:r>
      <w:r>
        <w:rPr>
          <w:rFonts w:hint="default" w:ascii="Times New Roman" w:hAnsi="Times New Roman" w:cs="Times New Roman" w:eastAsiaTheme="minorEastAsia"/>
          <w:sz w:val="24"/>
          <w:szCs w:val="24"/>
        </w:rPr>
        <w:t>以及风机等，</w:t>
      </w:r>
      <w:r>
        <w:rPr>
          <w:rFonts w:hint="default" w:ascii="Times New Roman" w:hAnsi="Times New Roman" w:cs="Times New Roman" w:eastAsiaTheme="minorEastAsia"/>
          <w:sz w:val="24"/>
          <w:szCs w:val="24"/>
          <w:lang w:val="ru-RU"/>
        </w:rPr>
        <w:t>设备</w:t>
      </w:r>
      <w:r>
        <w:rPr>
          <w:rFonts w:hint="default" w:ascii="Times New Roman" w:hAnsi="Times New Roman" w:cs="Times New Roman" w:eastAsiaTheme="minorEastAsia"/>
          <w:sz w:val="24"/>
          <w:szCs w:val="24"/>
        </w:rPr>
        <w:t>噪声声级</w:t>
      </w:r>
      <w:r>
        <w:rPr>
          <w:rFonts w:hint="default" w:ascii="Times New Roman" w:hAnsi="Times New Roman" w:cs="Times New Roman" w:eastAsiaTheme="minorEastAsia"/>
          <w:sz w:val="24"/>
          <w:szCs w:val="24"/>
          <w:lang w:val="ru-RU"/>
        </w:rPr>
        <w:t>在</w:t>
      </w:r>
      <w:r>
        <w:rPr>
          <w:rFonts w:hint="default" w:ascii="Times New Roman" w:hAnsi="Times New Roman" w:cs="Times New Roman" w:eastAsiaTheme="minorEastAsia"/>
          <w:sz w:val="24"/>
          <w:szCs w:val="24"/>
          <w:lang w:val="en-US" w:eastAsia="zh-CN"/>
        </w:rPr>
        <w:t>85</w:t>
      </w:r>
      <w:r>
        <w:rPr>
          <w:rFonts w:hint="default" w:ascii="Times New Roman" w:hAnsi="Times New Roman" w:cs="Times New Roman" w:eastAsiaTheme="minorEastAsia"/>
          <w:sz w:val="24"/>
          <w:szCs w:val="24"/>
          <w:lang w:val="ru-RU"/>
        </w:rPr>
        <w:t>～</w:t>
      </w:r>
      <w:r>
        <w:rPr>
          <w:rFonts w:hint="default" w:ascii="Times New Roman" w:hAnsi="Times New Roman" w:cs="Times New Roman" w:eastAsiaTheme="minorEastAsia"/>
          <w:sz w:val="24"/>
          <w:szCs w:val="24"/>
          <w:lang w:val="en-US" w:eastAsia="zh-CN"/>
        </w:rPr>
        <w:t>95</w:t>
      </w:r>
      <w:r>
        <w:rPr>
          <w:rFonts w:hint="default" w:ascii="Times New Roman" w:hAnsi="Times New Roman" w:cs="Times New Roman" w:eastAsiaTheme="minorEastAsia"/>
          <w:sz w:val="24"/>
          <w:szCs w:val="24"/>
          <w:lang w:val="ru-RU"/>
        </w:rPr>
        <w:t>dB（A）之间。</w:t>
      </w:r>
      <w:bookmarkEnd w:id="329"/>
      <w:r>
        <w:rPr>
          <w:rFonts w:hint="default" w:ascii="Times New Roman" w:hAnsi="Times New Roman" w:cs="Times New Roman" w:eastAsiaTheme="minorEastAsia"/>
          <w:sz w:val="24"/>
          <w:szCs w:val="24"/>
          <w:lang w:val="ru-RU"/>
        </w:rPr>
        <w:t>采取</w:t>
      </w:r>
      <w:r>
        <w:rPr>
          <w:rFonts w:hint="default" w:ascii="Times New Roman" w:hAnsi="Times New Roman" w:cs="Times New Roman" w:eastAsiaTheme="minorEastAsia"/>
          <w:sz w:val="24"/>
          <w:szCs w:val="24"/>
        </w:rPr>
        <w:t>购置先进低噪声生产设备、隔声罩、减震、消声器和厂房隔声</w:t>
      </w:r>
      <w:r>
        <w:rPr>
          <w:rFonts w:hint="default" w:ascii="Times New Roman" w:hAnsi="Times New Roman" w:cs="Times New Roman" w:eastAsiaTheme="minorEastAsia"/>
          <w:sz w:val="24"/>
          <w:szCs w:val="24"/>
          <w:lang w:val="ru-RU"/>
        </w:rPr>
        <w:t>等措施控制噪声。</w:t>
      </w:r>
      <w:r>
        <w:rPr>
          <w:rFonts w:hint="default" w:ascii="Times New Roman" w:hAnsi="Times New Roman" w:cs="Times New Roman" w:eastAsiaTheme="minorEastAsia"/>
          <w:sz w:val="24"/>
          <w:szCs w:val="24"/>
        </w:rPr>
        <w:t>设备运营过程中噪声源强情况见下表。</w:t>
      </w:r>
    </w:p>
    <w:bookmarkEnd w:id="330"/>
    <w:p w14:paraId="519EB373">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.5</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1</w:t>
      </w:r>
      <w:r>
        <w:rPr>
          <w:rFonts w:hint="default" w:ascii="Times New Roman" w:hAnsi="Times New Roman" w:eastAsia="黑体" w:cs="Times New Roman"/>
          <w:b w:val="0"/>
          <w:bCs/>
          <w:sz w:val="21"/>
          <w:szCs w:val="21"/>
        </w:rPr>
        <w:t xml:space="preserve">  项目主要噪声源强一览表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79"/>
        <w:gridCol w:w="1224"/>
        <w:gridCol w:w="942"/>
        <w:gridCol w:w="1235"/>
        <w:gridCol w:w="1040"/>
        <w:gridCol w:w="1752"/>
        <w:gridCol w:w="1129"/>
        <w:gridCol w:w="669"/>
      </w:tblGrid>
      <w:tr w14:paraId="451919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4" w:type="pct"/>
            <w:vMerge w:val="restart"/>
            <w:tcBorders>
              <w:tl2br w:val="nil"/>
              <w:tr2bl w:val="nil"/>
            </w:tcBorders>
            <w:shd w:val="clear" w:color="auto" w:fill="auto"/>
            <w:vAlign w:val="center"/>
          </w:tcPr>
          <w:p w14:paraId="64C93C4A">
            <w:pPr>
              <w:adjustRightInd w:val="0"/>
              <w:spacing w:line="240" w:lineRule="auto"/>
              <w:jc w:val="center"/>
              <w:rPr>
                <w:rFonts w:hint="default" w:ascii="Times New Roman" w:hAnsi="Times New Roman" w:cs="Times New Roman" w:eastAsiaTheme="minorEastAsia"/>
                <w:sz w:val="18"/>
                <w:szCs w:val="18"/>
              </w:rPr>
            </w:pPr>
            <w:bookmarkStart w:id="331" w:name="_Hlk143114804"/>
            <w:r>
              <w:rPr>
                <w:rFonts w:hint="default" w:ascii="Times New Roman" w:hAnsi="Times New Roman" w:cs="Times New Roman" w:eastAsiaTheme="minorEastAsia"/>
                <w:sz w:val="18"/>
                <w:szCs w:val="18"/>
              </w:rPr>
              <w:t>工序</w:t>
            </w:r>
          </w:p>
        </w:tc>
        <w:tc>
          <w:tcPr>
            <w:tcW w:w="674" w:type="pct"/>
            <w:vMerge w:val="restart"/>
            <w:tcBorders>
              <w:tl2br w:val="nil"/>
              <w:tr2bl w:val="nil"/>
            </w:tcBorders>
            <w:shd w:val="clear" w:color="auto" w:fill="auto"/>
            <w:vAlign w:val="center"/>
          </w:tcPr>
          <w:p w14:paraId="7A7AE994">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噪声源</w:t>
            </w:r>
          </w:p>
        </w:tc>
        <w:tc>
          <w:tcPr>
            <w:tcW w:w="519" w:type="pct"/>
            <w:vMerge w:val="restart"/>
            <w:tcBorders>
              <w:tl2br w:val="nil"/>
              <w:tr2bl w:val="nil"/>
            </w:tcBorders>
            <w:vAlign w:val="center"/>
          </w:tcPr>
          <w:p w14:paraId="5C539B8E">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数量</w:t>
            </w:r>
          </w:p>
        </w:tc>
        <w:tc>
          <w:tcPr>
            <w:tcW w:w="680" w:type="pct"/>
            <w:vMerge w:val="restart"/>
            <w:tcBorders>
              <w:tl2br w:val="nil"/>
              <w:tr2bl w:val="nil"/>
            </w:tcBorders>
            <w:shd w:val="clear" w:color="auto" w:fill="auto"/>
            <w:vAlign w:val="center"/>
          </w:tcPr>
          <w:p w14:paraId="68F243E2">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声源位置</w:t>
            </w:r>
          </w:p>
        </w:tc>
        <w:tc>
          <w:tcPr>
            <w:tcW w:w="573" w:type="pct"/>
            <w:vMerge w:val="restart"/>
            <w:tcBorders>
              <w:tl2br w:val="nil"/>
              <w:tr2bl w:val="nil"/>
            </w:tcBorders>
            <w:vAlign w:val="center"/>
          </w:tcPr>
          <w:p w14:paraId="03B2F2F4">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排放特征</w:t>
            </w:r>
          </w:p>
        </w:tc>
        <w:tc>
          <w:tcPr>
            <w:tcW w:w="965" w:type="pct"/>
            <w:tcBorders>
              <w:tl2br w:val="nil"/>
              <w:tr2bl w:val="nil"/>
            </w:tcBorders>
            <w:shd w:val="clear" w:color="auto" w:fill="auto"/>
            <w:vAlign w:val="center"/>
          </w:tcPr>
          <w:p w14:paraId="67E1A07F">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声源源强</w:t>
            </w:r>
          </w:p>
        </w:tc>
        <w:tc>
          <w:tcPr>
            <w:tcW w:w="622" w:type="pct"/>
            <w:vMerge w:val="restart"/>
            <w:tcBorders>
              <w:tl2br w:val="nil"/>
              <w:tr2bl w:val="nil"/>
            </w:tcBorders>
            <w:shd w:val="clear" w:color="auto" w:fill="auto"/>
            <w:vAlign w:val="center"/>
          </w:tcPr>
          <w:p w14:paraId="40A259CA">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源强数据来源</w:t>
            </w:r>
          </w:p>
        </w:tc>
        <w:tc>
          <w:tcPr>
            <w:tcW w:w="368" w:type="pct"/>
            <w:vMerge w:val="restart"/>
            <w:tcBorders>
              <w:tl2br w:val="nil"/>
              <w:tr2bl w:val="nil"/>
            </w:tcBorders>
            <w:shd w:val="clear" w:color="auto" w:fill="auto"/>
            <w:vAlign w:val="center"/>
          </w:tcPr>
          <w:p w14:paraId="3E893AF4">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运行时间/h</w:t>
            </w:r>
          </w:p>
        </w:tc>
      </w:tr>
      <w:tr w14:paraId="59E396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4" w:type="pct"/>
            <w:vMerge w:val="continue"/>
            <w:tcBorders>
              <w:tl2br w:val="nil"/>
              <w:tr2bl w:val="nil"/>
            </w:tcBorders>
            <w:shd w:val="clear" w:color="auto" w:fill="auto"/>
            <w:vAlign w:val="center"/>
          </w:tcPr>
          <w:p w14:paraId="2742B51F">
            <w:pPr>
              <w:adjustRightInd w:val="0"/>
              <w:spacing w:line="240" w:lineRule="auto"/>
              <w:jc w:val="center"/>
              <w:rPr>
                <w:rFonts w:hint="default" w:ascii="Times New Roman" w:hAnsi="Times New Roman" w:cs="Times New Roman" w:eastAsiaTheme="minorEastAsia"/>
                <w:sz w:val="18"/>
                <w:szCs w:val="18"/>
              </w:rPr>
            </w:pPr>
          </w:p>
        </w:tc>
        <w:tc>
          <w:tcPr>
            <w:tcW w:w="674" w:type="pct"/>
            <w:vMerge w:val="continue"/>
            <w:tcBorders>
              <w:tl2br w:val="nil"/>
              <w:tr2bl w:val="nil"/>
            </w:tcBorders>
            <w:shd w:val="clear" w:color="auto" w:fill="auto"/>
            <w:vAlign w:val="center"/>
          </w:tcPr>
          <w:p w14:paraId="5CDB5B80">
            <w:pPr>
              <w:adjustRightInd w:val="0"/>
              <w:spacing w:line="240" w:lineRule="auto"/>
              <w:jc w:val="center"/>
              <w:rPr>
                <w:rFonts w:hint="default" w:ascii="Times New Roman" w:hAnsi="Times New Roman" w:cs="Times New Roman" w:eastAsiaTheme="minorEastAsia"/>
                <w:sz w:val="18"/>
                <w:szCs w:val="18"/>
              </w:rPr>
            </w:pPr>
          </w:p>
        </w:tc>
        <w:tc>
          <w:tcPr>
            <w:tcW w:w="519" w:type="pct"/>
            <w:vMerge w:val="continue"/>
            <w:tcBorders>
              <w:tl2br w:val="nil"/>
              <w:tr2bl w:val="nil"/>
            </w:tcBorders>
            <w:vAlign w:val="center"/>
          </w:tcPr>
          <w:p w14:paraId="64ADCD0C">
            <w:pPr>
              <w:adjustRightInd w:val="0"/>
              <w:spacing w:line="240" w:lineRule="auto"/>
              <w:jc w:val="center"/>
              <w:rPr>
                <w:rFonts w:hint="default" w:ascii="Times New Roman" w:hAnsi="Times New Roman" w:cs="Times New Roman" w:eastAsiaTheme="minorEastAsia"/>
                <w:sz w:val="18"/>
                <w:szCs w:val="18"/>
              </w:rPr>
            </w:pPr>
          </w:p>
        </w:tc>
        <w:tc>
          <w:tcPr>
            <w:tcW w:w="680" w:type="pct"/>
            <w:vMerge w:val="continue"/>
            <w:tcBorders>
              <w:tl2br w:val="nil"/>
              <w:tr2bl w:val="nil"/>
            </w:tcBorders>
            <w:shd w:val="clear" w:color="auto" w:fill="auto"/>
            <w:vAlign w:val="center"/>
          </w:tcPr>
          <w:p w14:paraId="797E919D">
            <w:pPr>
              <w:adjustRightInd w:val="0"/>
              <w:spacing w:line="240" w:lineRule="auto"/>
              <w:jc w:val="center"/>
              <w:rPr>
                <w:rFonts w:hint="default" w:ascii="Times New Roman" w:hAnsi="Times New Roman" w:cs="Times New Roman" w:eastAsiaTheme="minorEastAsia"/>
                <w:sz w:val="18"/>
                <w:szCs w:val="18"/>
              </w:rPr>
            </w:pPr>
          </w:p>
        </w:tc>
        <w:tc>
          <w:tcPr>
            <w:tcW w:w="573" w:type="pct"/>
            <w:vMerge w:val="continue"/>
            <w:tcBorders>
              <w:tl2br w:val="nil"/>
              <w:tr2bl w:val="nil"/>
            </w:tcBorders>
            <w:vAlign w:val="center"/>
          </w:tcPr>
          <w:p w14:paraId="55A3E410">
            <w:pPr>
              <w:adjustRightInd w:val="0"/>
              <w:spacing w:line="240" w:lineRule="auto"/>
              <w:jc w:val="center"/>
              <w:rPr>
                <w:rFonts w:hint="default" w:ascii="Times New Roman" w:hAnsi="Times New Roman" w:cs="Times New Roman" w:eastAsiaTheme="minorEastAsia"/>
                <w:sz w:val="18"/>
                <w:szCs w:val="18"/>
              </w:rPr>
            </w:pPr>
          </w:p>
        </w:tc>
        <w:tc>
          <w:tcPr>
            <w:tcW w:w="965" w:type="pct"/>
            <w:tcBorders>
              <w:tl2br w:val="nil"/>
              <w:tr2bl w:val="nil"/>
            </w:tcBorders>
            <w:shd w:val="clear" w:color="auto" w:fill="auto"/>
            <w:vAlign w:val="center"/>
          </w:tcPr>
          <w:p w14:paraId="75329201">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lang w:eastAsia="zh-CN"/>
              </w:rPr>
              <w:t>（</w:t>
            </w:r>
            <w:r>
              <w:rPr>
                <w:rFonts w:hint="default" w:ascii="Times New Roman" w:hAnsi="Times New Roman" w:cs="Times New Roman" w:eastAsiaTheme="minorEastAsia"/>
                <w:sz w:val="18"/>
                <w:szCs w:val="18"/>
              </w:rPr>
              <w:t>声压级/距声源距离</w:t>
            </w:r>
            <w:r>
              <w:rPr>
                <w:rFonts w:hint="default" w:ascii="Times New Roman" w:hAnsi="Times New Roman" w:cs="Times New Roman" w:eastAsiaTheme="minorEastAsia"/>
                <w:sz w:val="18"/>
                <w:szCs w:val="18"/>
                <w:lang w:eastAsia="zh-CN"/>
              </w:rPr>
              <w:t>）</w:t>
            </w:r>
            <w:r>
              <w:rPr>
                <w:rFonts w:hint="default" w:ascii="Times New Roman" w:hAnsi="Times New Roman" w:cs="Times New Roman" w:eastAsiaTheme="minorEastAsia"/>
                <w:sz w:val="18"/>
                <w:szCs w:val="18"/>
              </w:rPr>
              <w:t>/(dB(A)/1m)</w:t>
            </w:r>
          </w:p>
        </w:tc>
        <w:tc>
          <w:tcPr>
            <w:tcW w:w="622" w:type="pct"/>
            <w:vMerge w:val="continue"/>
            <w:tcBorders>
              <w:tl2br w:val="nil"/>
              <w:tr2bl w:val="nil"/>
            </w:tcBorders>
            <w:shd w:val="clear" w:color="auto" w:fill="auto"/>
            <w:vAlign w:val="center"/>
          </w:tcPr>
          <w:p w14:paraId="2193007C">
            <w:pPr>
              <w:adjustRightInd w:val="0"/>
              <w:spacing w:line="240" w:lineRule="auto"/>
              <w:jc w:val="center"/>
              <w:rPr>
                <w:rFonts w:hint="default" w:ascii="Times New Roman" w:hAnsi="Times New Roman" w:cs="Times New Roman" w:eastAsiaTheme="minorEastAsia"/>
                <w:color w:val="FF00FF"/>
                <w:sz w:val="18"/>
                <w:szCs w:val="18"/>
              </w:rPr>
            </w:pPr>
          </w:p>
        </w:tc>
        <w:tc>
          <w:tcPr>
            <w:tcW w:w="368" w:type="pct"/>
            <w:vMerge w:val="continue"/>
            <w:tcBorders>
              <w:tl2br w:val="nil"/>
              <w:tr2bl w:val="nil"/>
            </w:tcBorders>
            <w:shd w:val="clear" w:color="auto" w:fill="auto"/>
            <w:vAlign w:val="center"/>
          </w:tcPr>
          <w:p w14:paraId="76A84D1E">
            <w:pPr>
              <w:adjustRightInd w:val="0"/>
              <w:spacing w:line="240" w:lineRule="auto"/>
              <w:jc w:val="center"/>
              <w:rPr>
                <w:rFonts w:hint="default" w:ascii="Times New Roman" w:hAnsi="Times New Roman" w:cs="Times New Roman" w:eastAsiaTheme="minorEastAsia"/>
                <w:color w:val="FF00FF"/>
                <w:sz w:val="18"/>
                <w:szCs w:val="18"/>
              </w:rPr>
            </w:pPr>
          </w:p>
        </w:tc>
      </w:tr>
      <w:tr w14:paraId="43FF1D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4" w:type="pct"/>
            <w:vMerge w:val="restart"/>
            <w:tcBorders>
              <w:tl2br w:val="nil"/>
              <w:tr2bl w:val="nil"/>
            </w:tcBorders>
            <w:shd w:val="clear" w:color="auto" w:fill="auto"/>
            <w:vAlign w:val="center"/>
          </w:tcPr>
          <w:p w14:paraId="655F3F0C">
            <w:pPr>
              <w:adjustRightInd w:val="0"/>
              <w:spacing w:line="240" w:lineRule="auto"/>
              <w:jc w:val="center"/>
              <w:rPr>
                <w:rFonts w:hint="default" w:ascii="Times New Roman" w:hAnsi="Times New Roman" w:cs="Times New Roman" w:eastAsiaTheme="minorEastAsia"/>
                <w:color w:val="FF00FF"/>
                <w:sz w:val="18"/>
                <w:szCs w:val="18"/>
              </w:rPr>
            </w:pPr>
            <w:r>
              <w:rPr>
                <w:rFonts w:hint="default" w:ascii="Times New Roman" w:hAnsi="Times New Roman" w:cs="Times New Roman" w:eastAsiaTheme="minorEastAsia"/>
                <w:sz w:val="18"/>
                <w:szCs w:val="18"/>
              </w:rPr>
              <w:t>破碎筛分</w:t>
            </w:r>
          </w:p>
        </w:tc>
        <w:tc>
          <w:tcPr>
            <w:tcW w:w="674" w:type="pct"/>
            <w:tcBorders>
              <w:tl2br w:val="nil"/>
              <w:tr2bl w:val="nil"/>
            </w:tcBorders>
            <w:shd w:val="clear" w:color="auto" w:fill="auto"/>
            <w:vAlign w:val="center"/>
          </w:tcPr>
          <w:p w14:paraId="0DF879AF">
            <w:pPr>
              <w:adjustRightInd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棒条筛</w:t>
            </w:r>
          </w:p>
        </w:tc>
        <w:tc>
          <w:tcPr>
            <w:tcW w:w="519" w:type="pct"/>
            <w:tcBorders>
              <w:tl2br w:val="nil"/>
              <w:tr2bl w:val="nil"/>
            </w:tcBorders>
            <w:vAlign w:val="center"/>
          </w:tcPr>
          <w:p w14:paraId="4EC4D570">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lang w:val="en-US" w:eastAsia="zh-CN"/>
              </w:rPr>
              <w:t>1</w:t>
            </w:r>
            <w:r>
              <w:rPr>
                <w:rFonts w:hint="default" w:ascii="Times New Roman" w:hAnsi="Times New Roman" w:cs="Times New Roman" w:eastAsiaTheme="minorEastAsia"/>
                <w:sz w:val="18"/>
                <w:szCs w:val="18"/>
              </w:rPr>
              <w:t>台</w:t>
            </w:r>
          </w:p>
        </w:tc>
        <w:tc>
          <w:tcPr>
            <w:tcW w:w="680" w:type="pct"/>
            <w:tcBorders>
              <w:tl2br w:val="nil"/>
              <w:tr2bl w:val="nil"/>
            </w:tcBorders>
            <w:shd w:val="clear" w:color="auto" w:fill="auto"/>
            <w:vAlign w:val="center"/>
          </w:tcPr>
          <w:p w14:paraId="7F55F229">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室内</w:t>
            </w:r>
          </w:p>
        </w:tc>
        <w:tc>
          <w:tcPr>
            <w:tcW w:w="573" w:type="pct"/>
            <w:tcBorders>
              <w:tl2br w:val="nil"/>
              <w:tr2bl w:val="nil"/>
            </w:tcBorders>
            <w:vAlign w:val="center"/>
          </w:tcPr>
          <w:p w14:paraId="7D4CFE5B">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频发</w:t>
            </w:r>
          </w:p>
        </w:tc>
        <w:tc>
          <w:tcPr>
            <w:tcW w:w="965" w:type="pct"/>
            <w:tcBorders>
              <w:tl2br w:val="nil"/>
              <w:tr2bl w:val="nil"/>
            </w:tcBorders>
            <w:shd w:val="clear" w:color="auto" w:fill="auto"/>
            <w:vAlign w:val="center"/>
          </w:tcPr>
          <w:p w14:paraId="32480037">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90</w:t>
            </w:r>
          </w:p>
        </w:tc>
        <w:tc>
          <w:tcPr>
            <w:tcW w:w="622" w:type="pct"/>
            <w:vMerge w:val="restart"/>
            <w:tcBorders>
              <w:tl2br w:val="nil"/>
              <w:tr2bl w:val="nil"/>
            </w:tcBorders>
            <w:shd w:val="clear" w:color="auto" w:fill="auto"/>
            <w:vAlign w:val="center"/>
          </w:tcPr>
          <w:p w14:paraId="0105CD30">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参考《污染源源强核算技术指南》各行业技术指南附录中相关设备声源源强资料</w:t>
            </w:r>
          </w:p>
        </w:tc>
        <w:tc>
          <w:tcPr>
            <w:tcW w:w="368" w:type="pct"/>
            <w:tcBorders>
              <w:tl2br w:val="nil"/>
              <w:tr2bl w:val="nil"/>
            </w:tcBorders>
            <w:shd w:val="clear" w:color="auto" w:fill="auto"/>
          </w:tcPr>
          <w:p w14:paraId="23079855">
            <w:pPr>
              <w:adjustRightInd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2400</w:t>
            </w:r>
          </w:p>
        </w:tc>
      </w:tr>
      <w:tr w14:paraId="39D666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4" w:type="pct"/>
            <w:vMerge w:val="continue"/>
            <w:tcBorders>
              <w:tl2br w:val="nil"/>
              <w:tr2bl w:val="nil"/>
            </w:tcBorders>
            <w:shd w:val="clear" w:color="auto" w:fill="auto"/>
            <w:vAlign w:val="center"/>
          </w:tcPr>
          <w:p w14:paraId="6F9259B8">
            <w:pPr>
              <w:adjustRightInd w:val="0"/>
              <w:spacing w:line="240" w:lineRule="auto"/>
              <w:jc w:val="center"/>
              <w:rPr>
                <w:rFonts w:hint="default" w:ascii="Times New Roman" w:hAnsi="Times New Roman" w:cs="Times New Roman" w:eastAsiaTheme="minorEastAsia"/>
                <w:color w:val="FF00FF"/>
                <w:sz w:val="18"/>
                <w:szCs w:val="18"/>
              </w:rPr>
            </w:pPr>
          </w:p>
        </w:tc>
        <w:tc>
          <w:tcPr>
            <w:tcW w:w="674" w:type="pct"/>
            <w:tcBorders>
              <w:tl2br w:val="nil"/>
              <w:tr2bl w:val="nil"/>
            </w:tcBorders>
            <w:shd w:val="clear" w:color="auto" w:fill="auto"/>
            <w:vAlign w:val="center"/>
          </w:tcPr>
          <w:p w14:paraId="01B417F1">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lang w:val="en-US" w:eastAsia="zh-CN"/>
              </w:rPr>
              <w:t>颚式</w:t>
            </w:r>
            <w:r>
              <w:rPr>
                <w:rFonts w:hint="default" w:ascii="Times New Roman" w:hAnsi="Times New Roman" w:cs="Times New Roman" w:eastAsiaTheme="minorEastAsia"/>
                <w:sz w:val="18"/>
                <w:szCs w:val="18"/>
              </w:rPr>
              <w:t>破碎机</w:t>
            </w:r>
          </w:p>
        </w:tc>
        <w:tc>
          <w:tcPr>
            <w:tcW w:w="519" w:type="pct"/>
            <w:tcBorders>
              <w:tl2br w:val="nil"/>
              <w:tr2bl w:val="nil"/>
            </w:tcBorders>
            <w:vAlign w:val="center"/>
          </w:tcPr>
          <w:p w14:paraId="258DEEC4">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lang w:val="en-US" w:eastAsia="zh-CN"/>
              </w:rPr>
              <w:t>1</w:t>
            </w:r>
            <w:r>
              <w:rPr>
                <w:rFonts w:hint="default" w:ascii="Times New Roman" w:hAnsi="Times New Roman" w:cs="Times New Roman" w:eastAsiaTheme="minorEastAsia"/>
                <w:sz w:val="18"/>
                <w:szCs w:val="18"/>
              </w:rPr>
              <w:t>台</w:t>
            </w:r>
          </w:p>
        </w:tc>
        <w:tc>
          <w:tcPr>
            <w:tcW w:w="680" w:type="pct"/>
            <w:tcBorders>
              <w:tl2br w:val="nil"/>
              <w:tr2bl w:val="nil"/>
            </w:tcBorders>
            <w:shd w:val="clear" w:color="auto" w:fill="auto"/>
            <w:vAlign w:val="center"/>
          </w:tcPr>
          <w:p w14:paraId="17E1E567">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室内</w:t>
            </w:r>
          </w:p>
        </w:tc>
        <w:tc>
          <w:tcPr>
            <w:tcW w:w="573" w:type="pct"/>
            <w:tcBorders>
              <w:tl2br w:val="nil"/>
              <w:tr2bl w:val="nil"/>
            </w:tcBorders>
            <w:vAlign w:val="center"/>
          </w:tcPr>
          <w:p w14:paraId="03E2EC40">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频发</w:t>
            </w:r>
          </w:p>
        </w:tc>
        <w:tc>
          <w:tcPr>
            <w:tcW w:w="965" w:type="pct"/>
            <w:tcBorders>
              <w:tl2br w:val="nil"/>
              <w:tr2bl w:val="nil"/>
            </w:tcBorders>
            <w:shd w:val="clear" w:color="auto" w:fill="auto"/>
            <w:vAlign w:val="center"/>
          </w:tcPr>
          <w:p w14:paraId="0A5785A5">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95</w:t>
            </w:r>
          </w:p>
        </w:tc>
        <w:tc>
          <w:tcPr>
            <w:tcW w:w="622" w:type="pct"/>
            <w:vMerge w:val="continue"/>
            <w:tcBorders>
              <w:tl2br w:val="nil"/>
              <w:tr2bl w:val="nil"/>
            </w:tcBorders>
            <w:shd w:val="clear" w:color="auto" w:fill="auto"/>
            <w:vAlign w:val="center"/>
          </w:tcPr>
          <w:p w14:paraId="1429160E">
            <w:pPr>
              <w:adjustRightInd w:val="0"/>
              <w:spacing w:line="240" w:lineRule="auto"/>
              <w:jc w:val="center"/>
              <w:rPr>
                <w:rFonts w:hint="default" w:ascii="Times New Roman" w:hAnsi="Times New Roman" w:cs="Times New Roman" w:eastAsiaTheme="minorEastAsia"/>
                <w:sz w:val="18"/>
                <w:szCs w:val="18"/>
              </w:rPr>
            </w:pPr>
          </w:p>
        </w:tc>
        <w:tc>
          <w:tcPr>
            <w:tcW w:w="368" w:type="pct"/>
            <w:tcBorders>
              <w:tl2br w:val="nil"/>
              <w:tr2bl w:val="nil"/>
            </w:tcBorders>
            <w:shd w:val="clear" w:color="auto" w:fill="auto"/>
          </w:tcPr>
          <w:p w14:paraId="56027589">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lang w:val="en-US" w:eastAsia="zh-CN"/>
              </w:rPr>
              <w:t>2400</w:t>
            </w:r>
          </w:p>
        </w:tc>
      </w:tr>
      <w:tr w14:paraId="14FF73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4" w:type="pct"/>
            <w:vMerge w:val="continue"/>
            <w:tcBorders>
              <w:tl2br w:val="nil"/>
              <w:tr2bl w:val="nil"/>
            </w:tcBorders>
            <w:shd w:val="clear" w:color="auto" w:fill="auto"/>
            <w:vAlign w:val="center"/>
          </w:tcPr>
          <w:p w14:paraId="196AF9CD">
            <w:pPr>
              <w:adjustRightInd w:val="0"/>
              <w:spacing w:line="240" w:lineRule="auto"/>
              <w:jc w:val="center"/>
              <w:rPr>
                <w:rFonts w:hint="default" w:ascii="Times New Roman" w:hAnsi="Times New Roman" w:cs="Times New Roman" w:eastAsiaTheme="minorEastAsia"/>
                <w:color w:val="FF00FF"/>
                <w:sz w:val="18"/>
                <w:szCs w:val="18"/>
              </w:rPr>
            </w:pPr>
          </w:p>
        </w:tc>
        <w:tc>
          <w:tcPr>
            <w:tcW w:w="674" w:type="pct"/>
            <w:tcBorders>
              <w:tl2br w:val="nil"/>
              <w:tr2bl w:val="nil"/>
            </w:tcBorders>
            <w:shd w:val="clear" w:color="auto" w:fill="auto"/>
            <w:vAlign w:val="center"/>
          </w:tcPr>
          <w:p w14:paraId="5BD3DFC0">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kern w:val="0"/>
                <w:sz w:val="18"/>
                <w:szCs w:val="18"/>
              </w:rPr>
              <w:t>圆振筛</w:t>
            </w:r>
          </w:p>
        </w:tc>
        <w:tc>
          <w:tcPr>
            <w:tcW w:w="519" w:type="pct"/>
            <w:tcBorders>
              <w:tl2br w:val="nil"/>
              <w:tr2bl w:val="nil"/>
            </w:tcBorders>
            <w:vAlign w:val="center"/>
          </w:tcPr>
          <w:p w14:paraId="3EEF6938">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2台</w:t>
            </w:r>
          </w:p>
        </w:tc>
        <w:tc>
          <w:tcPr>
            <w:tcW w:w="680" w:type="pct"/>
            <w:tcBorders>
              <w:tl2br w:val="nil"/>
              <w:tr2bl w:val="nil"/>
            </w:tcBorders>
            <w:shd w:val="clear" w:color="auto" w:fill="auto"/>
            <w:vAlign w:val="center"/>
          </w:tcPr>
          <w:p w14:paraId="36C6336E">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室内</w:t>
            </w:r>
          </w:p>
        </w:tc>
        <w:tc>
          <w:tcPr>
            <w:tcW w:w="573" w:type="pct"/>
            <w:tcBorders>
              <w:tl2br w:val="nil"/>
              <w:tr2bl w:val="nil"/>
            </w:tcBorders>
            <w:vAlign w:val="center"/>
          </w:tcPr>
          <w:p w14:paraId="07C4D445">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频发</w:t>
            </w:r>
          </w:p>
        </w:tc>
        <w:tc>
          <w:tcPr>
            <w:tcW w:w="965" w:type="pct"/>
            <w:tcBorders>
              <w:tl2br w:val="nil"/>
              <w:tr2bl w:val="nil"/>
            </w:tcBorders>
            <w:shd w:val="clear" w:color="auto" w:fill="auto"/>
            <w:vAlign w:val="center"/>
          </w:tcPr>
          <w:p w14:paraId="62E7985C">
            <w:pPr>
              <w:adjustRightInd w:val="0"/>
              <w:spacing w:line="240" w:lineRule="auto"/>
              <w:jc w:val="center"/>
              <w:rPr>
                <w:rFonts w:hint="default" w:ascii="Times New Roman" w:hAnsi="Times New Roman" w:cs="Times New Roman" w:eastAsiaTheme="minorEastAsia"/>
                <w:sz w:val="18"/>
                <w:szCs w:val="18"/>
                <w:lang w:eastAsia="zh-CN"/>
              </w:rPr>
            </w:pPr>
            <w:r>
              <w:rPr>
                <w:rFonts w:hint="default" w:ascii="Times New Roman" w:hAnsi="Times New Roman" w:cs="Times New Roman" w:eastAsiaTheme="minorEastAsia"/>
                <w:sz w:val="18"/>
                <w:szCs w:val="18"/>
              </w:rPr>
              <w:t>9</w:t>
            </w:r>
            <w:r>
              <w:rPr>
                <w:rFonts w:hint="default" w:ascii="Times New Roman" w:hAnsi="Times New Roman" w:cs="Times New Roman" w:eastAsiaTheme="minorEastAsia"/>
                <w:sz w:val="18"/>
                <w:szCs w:val="18"/>
                <w:lang w:val="en-US" w:eastAsia="zh-CN"/>
              </w:rPr>
              <w:t>0</w:t>
            </w:r>
          </w:p>
        </w:tc>
        <w:tc>
          <w:tcPr>
            <w:tcW w:w="622" w:type="pct"/>
            <w:vMerge w:val="continue"/>
            <w:tcBorders>
              <w:tl2br w:val="nil"/>
              <w:tr2bl w:val="nil"/>
            </w:tcBorders>
            <w:shd w:val="clear" w:color="auto" w:fill="auto"/>
            <w:vAlign w:val="center"/>
          </w:tcPr>
          <w:p w14:paraId="420BAAAD">
            <w:pPr>
              <w:adjustRightInd w:val="0"/>
              <w:spacing w:line="240" w:lineRule="auto"/>
              <w:jc w:val="center"/>
              <w:rPr>
                <w:rFonts w:hint="default" w:ascii="Times New Roman" w:hAnsi="Times New Roman" w:cs="Times New Roman" w:eastAsiaTheme="minorEastAsia"/>
                <w:sz w:val="18"/>
                <w:szCs w:val="18"/>
              </w:rPr>
            </w:pPr>
          </w:p>
        </w:tc>
        <w:tc>
          <w:tcPr>
            <w:tcW w:w="368" w:type="pct"/>
            <w:tcBorders>
              <w:tl2br w:val="nil"/>
              <w:tr2bl w:val="nil"/>
            </w:tcBorders>
            <w:shd w:val="clear" w:color="auto" w:fill="auto"/>
          </w:tcPr>
          <w:p w14:paraId="6005AA36">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lang w:val="en-US" w:eastAsia="zh-CN"/>
              </w:rPr>
              <w:t>2400</w:t>
            </w:r>
          </w:p>
        </w:tc>
      </w:tr>
      <w:tr w14:paraId="287E7C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4" w:type="pct"/>
            <w:vMerge w:val="continue"/>
            <w:tcBorders>
              <w:tl2br w:val="nil"/>
              <w:tr2bl w:val="nil"/>
            </w:tcBorders>
            <w:shd w:val="clear" w:color="auto" w:fill="auto"/>
            <w:vAlign w:val="center"/>
          </w:tcPr>
          <w:p w14:paraId="37B42E55">
            <w:pPr>
              <w:adjustRightInd w:val="0"/>
              <w:spacing w:line="240" w:lineRule="auto"/>
              <w:jc w:val="center"/>
              <w:rPr>
                <w:rFonts w:hint="default" w:ascii="Times New Roman" w:hAnsi="Times New Roman" w:cs="Times New Roman" w:eastAsiaTheme="minorEastAsia"/>
                <w:color w:val="FF00FF"/>
                <w:sz w:val="18"/>
                <w:szCs w:val="18"/>
              </w:rPr>
            </w:pPr>
          </w:p>
        </w:tc>
        <w:tc>
          <w:tcPr>
            <w:tcW w:w="674" w:type="pct"/>
            <w:tcBorders>
              <w:tl2br w:val="nil"/>
              <w:tr2bl w:val="nil"/>
            </w:tcBorders>
            <w:shd w:val="clear" w:color="auto" w:fill="auto"/>
            <w:vAlign w:val="center"/>
          </w:tcPr>
          <w:p w14:paraId="0090364A">
            <w:pPr>
              <w:adjustRightInd w:val="0"/>
              <w:spacing w:line="240" w:lineRule="auto"/>
              <w:jc w:val="center"/>
              <w:rPr>
                <w:rFonts w:hint="default" w:ascii="Times New Roman" w:hAnsi="Times New Roman" w:cs="Times New Roman" w:eastAsiaTheme="minorEastAsia"/>
                <w:kern w:val="0"/>
                <w:sz w:val="18"/>
                <w:szCs w:val="18"/>
                <w:lang w:val="en-US" w:eastAsia="zh-CN" w:bidi="ar"/>
              </w:rPr>
            </w:pPr>
            <w:r>
              <w:rPr>
                <w:rFonts w:hint="default" w:ascii="Times New Roman" w:hAnsi="Times New Roman" w:cs="Times New Roman" w:eastAsiaTheme="minorEastAsia"/>
                <w:kern w:val="0"/>
                <w:sz w:val="18"/>
                <w:szCs w:val="18"/>
                <w:lang w:val="en-US" w:eastAsia="zh-CN" w:bidi="ar"/>
              </w:rPr>
              <w:t>对辊破碎机</w:t>
            </w:r>
          </w:p>
        </w:tc>
        <w:tc>
          <w:tcPr>
            <w:tcW w:w="519" w:type="pct"/>
            <w:tcBorders>
              <w:tl2br w:val="nil"/>
              <w:tr2bl w:val="nil"/>
            </w:tcBorders>
            <w:vAlign w:val="center"/>
          </w:tcPr>
          <w:p w14:paraId="28349812">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lang w:val="en-US" w:eastAsia="zh-CN"/>
              </w:rPr>
              <w:t>1</w:t>
            </w:r>
            <w:r>
              <w:rPr>
                <w:rFonts w:hint="default" w:ascii="Times New Roman" w:hAnsi="Times New Roman" w:cs="Times New Roman" w:eastAsiaTheme="minorEastAsia"/>
                <w:sz w:val="18"/>
                <w:szCs w:val="18"/>
              </w:rPr>
              <w:t>台</w:t>
            </w:r>
          </w:p>
        </w:tc>
        <w:tc>
          <w:tcPr>
            <w:tcW w:w="680" w:type="pct"/>
            <w:tcBorders>
              <w:tl2br w:val="nil"/>
              <w:tr2bl w:val="nil"/>
            </w:tcBorders>
            <w:shd w:val="clear" w:color="auto" w:fill="auto"/>
            <w:vAlign w:val="center"/>
          </w:tcPr>
          <w:p w14:paraId="30CE266A">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室内</w:t>
            </w:r>
          </w:p>
        </w:tc>
        <w:tc>
          <w:tcPr>
            <w:tcW w:w="573" w:type="pct"/>
            <w:tcBorders>
              <w:tl2br w:val="nil"/>
              <w:tr2bl w:val="nil"/>
            </w:tcBorders>
            <w:vAlign w:val="center"/>
          </w:tcPr>
          <w:p w14:paraId="6158A271">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频发</w:t>
            </w:r>
          </w:p>
        </w:tc>
        <w:tc>
          <w:tcPr>
            <w:tcW w:w="965" w:type="pct"/>
            <w:tcBorders>
              <w:tl2br w:val="nil"/>
              <w:tr2bl w:val="nil"/>
            </w:tcBorders>
            <w:shd w:val="clear" w:color="auto" w:fill="auto"/>
            <w:vAlign w:val="center"/>
          </w:tcPr>
          <w:p w14:paraId="004480F6">
            <w:pPr>
              <w:adjustRightInd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95</w:t>
            </w:r>
          </w:p>
        </w:tc>
        <w:tc>
          <w:tcPr>
            <w:tcW w:w="622" w:type="pct"/>
            <w:vMerge w:val="continue"/>
            <w:tcBorders>
              <w:tl2br w:val="nil"/>
              <w:tr2bl w:val="nil"/>
            </w:tcBorders>
            <w:shd w:val="clear" w:color="auto" w:fill="auto"/>
            <w:vAlign w:val="center"/>
          </w:tcPr>
          <w:p w14:paraId="5176C909">
            <w:pPr>
              <w:adjustRightInd w:val="0"/>
              <w:spacing w:line="240" w:lineRule="auto"/>
              <w:jc w:val="center"/>
              <w:rPr>
                <w:rFonts w:hint="default" w:ascii="Times New Roman" w:hAnsi="Times New Roman" w:cs="Times New Roman" w:eastAsiaTheme="minorEastAsia"/>
                <w:sz w:val="18"/>
                <w:szCs w:val="18"/>
              </w:rPr>
            </w:pPr>
          </w:p>
        </w:tc>
        <w:tc>
          <w:tcPr>
            <w:tcW w:w="368" w:type="pct"/>
            <w:tcBorders>
              <w:tl2br w:val="nil"/>
              <w:tr2bl w:val="nil"/>
            </w:tcBorders>
            <w:shd w:val="clear" w:color="auto" w:fill="auto"/>
          </w:tcPr>
          <w:p w14:paraId="227F209B">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lang w:val="en-US" w:eastAsia="zh-CN"/>
              </w:rPr>
              <w:t>2400</w:t>
            </w:r>
          </w:p>
        </w:tc>
      </w:tr>
      <w:tr w14:paraId="4C2AAE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4" w:type="pct"/>
            <w:vMerge w:val="continue"/>
            <w:tcBorders>
              <w:tl2br w:val="nil"/>
              <w:tr2bl w:val="nil"/>
            </w:tcBorders>
            <w:shd w:val="clear" w:color="auto" w:fill="auto"/>
            <w:vAlign w:val="center"/>
          </w:tcPr>
          <w:p w14:paraId="67B8E2FA">
            <w:pPr>
              <w:adjustRightInd w:val="0"/>
              <w:spacing w:line="240" w:lineRule="auto"/>
              <w:jc w:val="center"/>
              <w:rPr>
                <w:rFonts w:hint="default" w:ascii="Times New Roman" w:hAnsi="Times New Roman" w:cs="Times New Roman" w:eastAsiaTheme="minorEastAsia"/>
                <w:color w:val="FF00FF"/>
                <w:sz w:val="18"/>
                <w:szCs w:val="18"/>
              </w:rPr>
            </w:pPr>
          </w:p>
        </w:tc>
        <w:tc>
          <w:tcPr>
            <w:tcW w:w="674" w:type="pct"/>
            <w:tcBorders>
              <w:tl2br w:val="nil"/>
              <w:tr2bl w:val="nil"/>
            </w:tcBorders>
            <w:shd w:val="clear" w:color="auto" w:fill="auto"/>
            <w:vAlign w:val="center"/>
          </w:tcPr>
          <w:p w14:paraId="753A9645">
            <w:pPr>
              <w:adjustRightInd w:val="0"/>
              <w:spacing w:line="240" w:lineRule="auto"/>
              <w:jc w:val="center"/>
              <w:rPr>
                <w:rFonts w:hint="default" w:ascii="Times New Roman" w:hAnsi="Times New Roman" w:cs="Times New Roman" w:eastAsiaTheme="minorEastAsia"/>
                <w:kern w:val="0"/>
                <w:sz w:val="18"/>
                <w:szCs w:val="18"/>
                <w:lang w:val="en-US" w:eastAsia="zh-CN" w:bidi="ar"/>
              </w:rPr>
            </w:pPr>
            <w:r>
              <w:rPr>
                <w:rFonts w:hint="default" w:ascii="Times New Roman" w:hAnsi="Times New Roman" w:cs="Times New Roman" w:eastAsiaTheme="minorEastAsia"/>
                <w:kern w:val="0"/>
                <w:sz w:val="18"/>
                <w:szCs w:val="18"/>
                <w:lang w:val="en-US" w:eastAsia="zh-CN" w:bidi="ar"/>
              </w:rPr>
              <w:t>磁选机</w:t>
            </w:r>
          </w:p>
        </w:tc>
        <w:tc>
          <w:tcPr>
            <w:tcW w:w="519" w:type="pct"/>
            <w:tcBorders>
              <w:tl2br w:val="nil"/>
              <w:tr2bl w:val="nil"/>
            </w:tcBorders>
            <w:vAlign w:val="center"/>
          </w:tcPr>
          <w:p w14:paraId="478B8214">
            <w:pPr>
              <w:adjustRightInd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1</w:t>
            </w:r>
            <w:r>
              <w:rPr>
                <w:rFonts w:hint="default" w:ascii="Times New Roman" w:hAnsi="Times New Roman" w:cs="Times New Roman" w:eastAsiaTheme="minorEastAsia"/>
                <w:sz w:val="18"/>
                <w:szCs w:val="18"/>
              </w:rPr>
              <w:t>台</w:t>
            </w:r>
          </w:p>
        </w:tc>
        <w:tc>
          <w:tcPr>
            <w:tcW w:w="680" w:type="pct"/>
            <w:tcBorders>
              <w:tl2br w:val="nil"/>
              <w:tr2bl w:val="nil"/>
            </w:tcBorders>
            <w:shd w:val="clear" w:color="auto" w:fill="auto"/>
            <w:vAlign w:val="center"/>
          </w:tcPr>
          <w:p w14:paraId="5260ADCF">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室内</w:t>
            </w:r>
          </w:p>
        </w:tc>
        <w:tc>
          <w:tcPr>
            <w:tcW w:w="573" w:type="pct"/>
            <w:tcBorders>
              <w:tl2br w:val="nil"/>
              <w:tr2bl w:val="nil"/>
            </w:tcBorders>
            <w:vAlign w:val="center"/>
          </w:tcPr>
          <w:p w14:paraId="20930AB8">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频发</w:t>
            </w:r>
          </w:p>
        </w:tc>
        <w:tc>
          <w:tcPr>
            <w:tcW w:w="965" w:type="pct"/>
            <w:tcBorders>
              <w:tl2br w:val="nil"/>
              <w:tr2bl w:val="nil"/>
            </w:tcBorders>
            <w:shd w:val="clear" w:color="auto" w:fill="auto"/>
            <w:vAlign w:val="center"/>
          </w:tcPr>
          <w:p w14:paraId="39467BE3">
            <w:pPr>
              <w:adjustRightInd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85</w:t>
            </w:r>
          </w:p>
        </w:tc>
        <w:tc>
          <w:tcPr>
            <w:tcW w:w="622" w:type="pct"/>
            <w:vMerge w:val="continue"/>
            <w:tcBorders>
              <w:tl2br w:val="nil"/>
              <w:tr2bl w:val="nil"/>
            </w:tcBorders>
            <w:shd w:val="clear" w:color="auto" w:fill="auto"/>
            <w:vAlign w:val="center"/>
          </w:tcPr>
          <w:p w14:paraId="4B24AC92">
            <w:pPr>
              <w:adjustRightInd w:val="0"/>
              <w:spacing w:line="240" w:lineRule="auto"/>
              <w:jc w:val="center"/>
              <w:rPr>
                <w:rFonts w:hint="default" w:ascii="Times New Roman" w:hAnsi="Times New Roman" w:cs="Times New Roman" w:eastAsiaTheme="minorEastAsia"/>
                <w:sz w:val="18"/>
                <w:szCs w:val="18"/>
              </w:rPr>
            </w:pPr>
          </w:p>
        </w:tc>
        <w:tc>
          <w:tcPr>
            <w:tcW w:w="368" w:type="pct"/>
            <w:tcBorders>
              <w:tl2br w:val="nil"/>
              <w:tr2bl w:val="nil"/>
            </w:tcBorders>
            <w:shd w:val="clear" w:color="auto" w:fill="auto"/>
          </w:tcPr>
          <w:p w14:paraId="22710856">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lang w:val="en-US" w:eastAsia="zh-CN"/>
              </w:rPr>
              <w:t>2400</w:t>
            </w:r>
          </w:p>
        </w:tc>
      </w:tr>
      <w:tr w14:paraId="791479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4" w:type="pct"/>
            <w:vMerge w:val="continue"/>
            <w:tcBorders>
              <w:tl2br w:val="nil"/>
              <w:tr2bl w:val="nil"/>
            </w:tcBorders>
            <w:shd w:val="clear" w:color="auto" w:fill="auto"/>
            <w:vAlign w:val="center"/>
          </w:tcPr>
          <w:p w14:paraId="179F119B">
            <w:pPr>
              <w:adjustRightInd w:val="0"/>
              <w:spacing w:line="240" w:lineRule="auto"/>
              <w:jc w:val="center"/>
              <w:rPr>
                <w:rFonts w:hint="default" w:ascii="Times New Roman" w:hAnsi="Times New Roman" w:cs="Times New Roman" w:eastAsiaTheme="minorEastAsia"/>
                <w:color w:val="FF00FF"/>
                <w:sz w:val="18"/>
                <w:szCs w:val="18"/>
              </w:rPr>
            </w:pPr>
          </w:p>
        </w:tc>
        <w:tc>
          <w:tcPr>
            <w:tcW w:w="674" w:type="pct"/>
            <w:tcBorders>
              <w:tl2br w:val="nil"/>
              <w:tr2bl w:val="nil"/>
            </w:tcBorders>
            <w:shd w:val="clear" w:color="auto" w:fill="auto"/>
            <w:vAlign w:val="center"/>
          </w:tcPr>
          <w:p w14:paraId="2552065D">
            <w:pPr>
              <w:adjustRightInd w:val="0"/>
              <w:spacing w:line="240" w:lineRule="auto"/>
              <w:jc w:val="center"/>
              <w:rPr>
                <w:rFonts w:hint="default" w:ascii="Times New Roman" w:hAnsi="Times New Roman" w:cs="Times New Roman" w:eastAsiaTheme="minorEastAsia"/>
                <w:kern w:val="0"/>
                <w:sz w:val="18"/>
                <w:szCs w:val="18"/>
                <w:lang w:val="en-US" w:eastAsia="zh-CN" w:bidi="ar"/>
              </w:rPr>
            </w:pPr>
            <w:r>
              <w:rPr>
                <w:rFonts w:hint="default" w:ascii="Times New Roman" w:hAnsi="Times New Roman" w:cs="Times New Roman" w:eastAsiaTheme="minorEastAsia"/>
                <w:kern w:val="0"/>
                <w:sz w:val="18"/>
                <w:szCs w:val="18"/>
                <w:lang w:val="en-US" w:eastAsia="zh-CN" w:bidi="ar"/>
              </w:rPr>
              <w:t>振动给料机</w:t>
            </w:r>
          </w:p>
        </w:tc>
        <w:tc>
          <w:tcPr>
            <w:tcW w:w="519" w:type="pct"/>
            <w:tcBorders>
              <w:tl2br w:val="nil"/>
              <w:tr2bl w:val="nil"/>
            </w:tcBorders>
            <w:vAlign w:val="center"/>
          </w:tcPr>
          <w:p w14:paraId="11D6B0DA">
            <w:pPr>
              <w:adjustRightInd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3台</w:t>
            </w:r>
          </w:p>
        </w:tc>
        <w:tc>
          <w:tcPr>
            <w:tcW w:w="680" w:type="pct"/>
            <w:tcBorders>
              <w:tl2br w:val="nil"/>
              <w:tr2bl w:val="nil"/>
            </w:tcBorders>
            <w:shd w:val="clear" w:color="auto" w:fill="auto"/>
            <w:vAlign w:val="center"/>
          </w:tcPr>
          <w:p w14:paraId="11C37098">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室内</w:t>
            </w:r>
          </w:p>
        </w:tc>
        <w:tc>
          <w:tcPr>
            <w:tcW w:w="573" w:type="pct"/>
            <w:tcBorders>
              <w:tl2br w:val="nil"/>
              <w:tr2bl w:val="nil"/>
            </w:tcBorders>
            <w:vAlign w:val="center"/>
          </w:tcPr>
          <w:p w14:paraId="5AC70633">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频发</w:t>
            </w:r>
          </w:p>
        </w:tc>
        <w:tc>
          <w:tcPr>
            <w:tcW w:w="965" w:type="pct"/>
            <w:tcBorders>
              <w:tl2br w:val="nil"/>
              <w:tr2bl w:val="nil"/>
            </w:tcBorders>
            <w:shd w:val="clear" w:color="auto" w:fill="auto"/>
            <w:vAlign w:val="center"/>
          </w:tcPr>
          <w:p w14:paraId="6E02A12C">
            <w:pPr>
              <w:adjustRightInd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85</w:t>
            </w:r>
          </w:p>
        </w:tc>
        <w:tc>
          <w:tcPr>
            <w:tcW w:w="622" w:type="pct"/>
            <w:vMerge w:val="continue"/>
            <w:tcBorders>
              <w:tl2br w:val="nil"/>
              <w:tr2bl w:val="nil"/>
            </w:tcBorders>
            <w:shd w:val="clear" w:color="auto" w:fill="auto"/>
            <w:vAlign w:val="center"/>
          </w:tcPr>
          <w:p w14:paraId="27CD5641">
            <w:pPr>
              <w:adjustRightInd w:val="0"/>
              <w:spacing w:line="240" w:lineRule="auto"/>
              <w:jc w:val="center"/>
              <w:rPr>
                <w:rFonts w:hint="default" w:ascii="Times New Roman" w:hAnsi="Times New Roman" w:cs="Times New Roman" w:eastAsiaTheme="minorEastAsia"/>
                <w:sz w:val="18"/>
                <w:szCs w:val="18"/>
              </w:rPr>
            </w:pPr>
          </w:p>
        </w:tc>
        <w:tc>
          <w:tcPr>
            <w:tcW w:w="368" w:type="pct"/>
            <w:tcBorders>
              <w:tl2br w:val="nil"/>
              <w:tr2bl w:val="nil"/>
            </w:tcBorders>
            <w:shd w:val="clear" w:color="auto" w:fill="auto"/>
          </w:tcPr>
          <w:p w14:paraId="3265DAE0">
            <w:pPr>
              <w:adjustRightInd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2400</w:t>
            </w:r>
          </w:p>
        </w:tc>
      </w:tr>
      <w:tr w14:paraId="14CE0B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4" w:type="pct"/>
            <w:vMerge w:val="continue"/>
            <w:tcBorders>
              <w:tl2br w:val="nil"/>
              <w:tr2bl w:val="nil"/>
            </w:tcBorders>
            <w:shd w:val="clear" w:color="auto" w:fill="auto"/>
            <w:vAlign w:val="center"/>
          </w:tcPr>
          <w:p w14:paraId="7F6598F1">
            <w:pPr>
              <w:adjustRightInd w:val="0"/>
              <w:spacing w:line="240" w:lineRule="auto"/>
              <w:jc w:val="center"/>
              <w:rPr>
                <w:rFonts w:hint="default" w:ascii="Times New Roman" w:hAnsi="Times New Roman" w:cs="Times New Roman" w:eastAsiaTheme="minorEastAsia"/>
                <w:color w:val="FF00FF"/>
                <w:sz w:val="18"/>
                <w:szCs w:val="18"/>
              </w:rPr>
            </w:pPr>
          </w:p>
        </w:tc>
        <w:tc>
          <w:tcPr>
            <w:tcW w:w="674" w:type="pct"/>
            <w:tcBorders>
              <w:tl2br w:val="nil"/>
              <w:tr2bl w:val="nil"/>
            </w:tcBorders>
            <w:shd w:val="clear" w:color="auto" w:fill="auto"/>
            <w:vAlign w:val="center"/>
          </w:tcPr>
          <w:p w14:paraId="3CDEAF82">
            <w:pPr>
              <w:adjustRightInd w:val="0"/>
              <w:spacing w:line="240" w:lineRule="auto"/>
              <w:jc w:val="center"/>
              <w:rPr>
                <w:rFonts w:hint="default" w:ascii="Times New Roman" w:hAnsi="Times New Roman" w:cs="Times New Roman" w:eastAsiaTheme="minorEastAsia"/>
                <w:color w:val="FF00FF"/>
                <w:kern w:val="0"/>
                <w:sz w:val="18"/>
                <w:szCs w:val="18"/>
                <w:lang w:bidi="ar"/>
              </w:rPr>
            </w:pPr>
            <w:r>
              <w:rPr>
                <w:rFonts w:hint="default" w:ascii="Times New Roman" w:hAnsi="Times New Roman" w:cs="Times New Roman" w:eastAsiaTheme="minorEastAsia"/>
                <w:kern w:val="0"/>
                <w:sz w:val="18"/>
                <w:szCs w:val="18"/>
                <w:lang w:bidi="ar"/>
              </w:rPr>
              <w:t>除尘器风机</w:t>
            </w:r>
          </w:p>
        </w:tc>
        <w:tc>
          <w:tcPr>
            <w:tcW w:w="519" w:type="pct"/>
            <w:tcBorders>
              <w:tl2br w:val="nil"/>
              <w:tr2bl w:val="nil"/>
            </w:tcBorders>
            <w:vAlign w:val="center"/>
          </w:tcPr>
          <w:p w14:paraId="77DE82D1">
            <w:pPr>
              <w:adjustRightInd w:val="0"/>
              <w:spacing w:line="240" w:lineRule="auto"/>
              <w:jc w:val="center"/>
              <w:rPr>
                <w:rFonts w:hint="default" w:ascii="Times New Roman" w:hAnsi="Times New Roman" w:cs="Times New Roman" w:eastAsiaTheme="minorEastAsia"/>
                <w:color w:val="FF00FF"/>
                <w:kern w:val="0"/>
                <w:sz w:val="18"/>
                <w:szCs w:val="18"/>
                <w:lang w:bidi="ar"/>
              </w:rPr>
            </w:pPr>
            <w:r>
              <w:rPr>
                <w:rFonts w:hint="default" w:ascii="Times New Roman" w:hAnsi="Times New Roman" w:cs="Times New Roman" w:eastAsiaTheme="minorEastAsia"/>
                <w:sz w:val="18"/>
                <w:szCs w:val="18"/>
              </w:rPr>
              <w:t>1台</w:t>
            </w:r>
          </w:p>
        </w:tc>
        <w:tc>
          <w:tcPr>
            <w:tcW w:w="680" w:type="pct"/>
            <w:tcBorders>
              <w:tl2br w:val="nil"/>
              <w:tr2bl w:val="nil"/>
            </w:tcBorders>
            <w:shd w:val="clear" w:color="auto" w:fill="auto"/>
            <w:vAlign w:val="center"/>
          </w:tcPr>
          <w:p w14:paraId="1942B0AA">
            <w:pPr>
              <w:adjustRightInd w:val="0"/>
              <w:spacing w:line="240" w:lineRule="auto"/>
              <w:jc w:val="center"/>
              <w:rPr>
                <w:rFonts w:hint="default" w:ascii="Times New Roman" w:hAnsi="Times New Roman" w:cs="Times New Roman" w:eastAsiaTheme="minorEastAsia"/>
                <w:color w:val="FF00FF"/>
                <w:sz w:val="18"/>
                <w:szCs w:val="18"/>
              </w:rPr>
            </w:pPr>
            <w:r>
              <w:rPr>
                <w:rFonts w:hint="default" w:ascii="Times New Roman" w:hAnsi="Times New Roman" w:cs="Times New Roman" w:eastAsiaTheme="minorEastAsia"/>
                <w:sz w:val="18"/>
                <w:szCs w:val="18"/>
              </w:rPr>
              <w:t>室内</w:t>
            </w:r>
          </w:p>
        </w:tc>
        <w:tc>
          <w:tcPr>
            <w:tcW w:w="573" w:type="pct"/>
            <w:tcBorders>
              <w:tl2br w:val="nil"/>
              <w:tr2bl w:val="nil"/>
            </w:tcBorders>
            <w:vAlign w:val="center"/>
          </w:tcPr>
          <w:p w14:paraId="758C7F4C">
            <w:pPr>
              <w:adjustRightInd w:val="0"/>
              <w:spacing w:line="240" w:lineRule="auto"/>
              <w:jc w:val="center"/>
              <w:rPr>
                <w:rFonts w:hint="default" w:ascii="Times New Roman" w:hAnsi="Times New Roman" w:cs="Times New Roman" w:eastAsiaTheme="minorEastAsia"/>
                <w:color w:val="FF00FF"/>
                <w:sz w:val="18"/>
                <w:szCs w:val="18"/>
              </w:rPr>
            </w:pPr>
            <w:r>
              <w:rPr>
                <w:rFonts w:hint="default" w:ascii="Times New Roman" w:hAnsi="Times New Roman" w:cs="Times New Roman" w:eastAsiaTheme="minorEastAsia"/>
                <w:sz w:val="18"/>
                <w:szCs w:val="18"/>
              </w:rPr>
              <w:t>频发</w:t>
            </w:r>
          </w:p>
        </w:tc>
        <w:tc>
          <w:tcPr>
            <w:tcW w:w="965" w:type="pct"/>
            <w:tcBorders>
              <w:tl2br w:val="nil"/>
              <w:tr2bl w:val="nil"/>
            </w:tcBorders>
            <w:shd w:val="clear" w:color="auto" w:fill="auto"/>
            <w:vAlign w:val="center"/>
          </w:tcPr>
          <w:p w14:paraId="1B66AE61">
            <w:pPr>
              <w:adjustRightInd w:val="0"/>
              <w:spacing w:line="240" w:lineRule="auto"/>
              <w:jc w:val="center"/>
              <w:rPr>
                <w:rFonts w:hint="default" w:ascii="Times New Roman" w:hAnsi="Times New Roman" w:cs="Times New Roman" w:eastAsiaTheme="minorEastAsia"/>
                <w:color w:val="FF00FF"/>
                <w:sz w:val="18"/>
                <w:szCs w:val="18"/>
              </w:rPr>
            </w:pPr>
            <w:r>
              <w:rPr>
                <w:rFonts w:hint="default" w:ascii="Times New Roman" w:hAnsi="Times New Roman" w:cs="Times New Roman" w:eastAsiaTheme="minorEastAsia"/>
                <w:sz w:val="18"/>
                <w:szCs w:val="18"/>
              </w:rPr>
              <w:t>85</w:t>
            </w:r>
          </w:p>
        </w:tc>
        <w:tc>
          <w:tcPr>
            <w:tcW w:w="622" w:type="pct"/>
            <w:vMerge w:val="continue"/>
            <w:tcBorders>
              <w:tl2br w:val="nil"/>
              <w:tr2bl w:val="nil"/>
            </w:tcBorders>
            <w:shd w:val="clear" w:color="auto" w:fill="auto"/>
            <w:vAlign w:val="center"/>
          </w:tcPr>
          <w:p w14:paraId="0A52D420">
            <w:pPr>
              <w:adjustRightInd w:val="0"/>
              <w:spacing w:line="240" w:lineRule="auto"/>
              <w:jc w:val="center"/>
              <w:rPr>
                <w:rFonts w:hint="default" w:ascii="Times New Roman" w:hAnsi="Times New Roman" w:cs="Times New Roman" w:eastAsiaTheme="minorEastAsia"/>
                <w:sz w:val="18"/>
                <w:szCs w:val="18"/>
              </w:rPr>
            </w:pPr>
          </w:p>
        </w:tc>
        <w:tc>
          <w:tcPr>
            <w:tcW w:w="368" w:type="pct"/>
            <w:tcBorders>
              <w:tl2br w:val="nil"/>
              <w:tr2bl w:val="nil"/>
            </w:tcBorders>
            <w:shd w:val="clear" w:color="auto" w:fill="auto"/>
          </w:tcPr>
          <w:p w14:paraId="6430DD48">
            <w:pPr>
              <w:adjustRightInd w:val="0"/>
              <w:spacing w:line="240" w:lineRule="auto"/>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lang w:val="en-US" w:eastAsia="zh-CN"/>
              </w:rPr>
              <w:t>2400</w:t>
            </w:r>
          </w:p>
        </w:tc>
      </w:tr>
      <w:bookmarkEnd w:id="331"/>
    </w:tbl>
    <w:p w14:paraId="7FAA8EB7">
      <w:pPr>
        <w:pStyle w:val="6"/>
        <w:bidi w:val="0"/>
        <w:rPr>
          <w:rFonts w:hint="default" w:ascii="Times New Roman" w:hAnsi="Times New Roman" w:cs="Times New Roman"/>
        </w:rPr>
      </w:pPr>
      <w:bookmarkStart w:id="332" w:name="_Toc25274"/>
      <w:bookmarkStart w:id="333" w:name="_Toc165816753"/>
      <w:r>
        <w:rPr>
          <w:rFonts w:hint="default" w:ascii="Times New Roman" w:hAnsi="Times New Roman" w:cs="Times New Roman"/>
          <w:lang w:val="en-US" w:eastAsia="zh-CN"/>
        </w:rPr>
        <w:t>3</w:t>
      </w:r>
      <w:r>
        <w:rPr>
          <w:rFonts w:hint="default" w:ascii="Times New Roman" w:hAnsi="Times New Roman" w:cs="Times New Roman"/>
        </w:rPr>
        <w:t>.5.4运营期固体废物</w:t>
      </w:r>
      <w:bookmarkEnd w:id="332"/>
      <w:bookmarkEnd w:id="333"/>
    </w:p>
    <w:p w14:paraId="39B5240B">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项目运营期固体废物主要包括一般工业固</w:t>
      </w:r>
      <w:r>
        <w:rPr>
          <w:rFonts w:hint="default" w:ascii="Times New Roman" w:hAnsi="Times New Roman" w:cs="Times New Roman" w:eastAsiaTheme="minorEastAsia"/>
          <w:sz w:val="24"/>
          <w:szCs w:val="24"/>
          <w:lang w:val="en-US" w:eastAsia="zh-CN"/>
        </w:rPr>
        <w:t>体</w:t>
      </w:r>
      <w:r>
        <w:rPr>
          <w:rFonts w:hint="default" w:ascii="Times New Roman" w:hAnsi="Times New Roman" w:cs="Times New Roman" w:eastAsiaTheme="minorEastAsia"/>
          <w:sz w:val="24"/>
          <w:szCs w:val="24"/>
        </w:rPr>
        <w:t>废物、危险废物、生活垃圾。</w:t>
      </w:r>
    </w:p>
    <w:p w14:paraId="45EF88D1">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一般工业固</w:t>
      </w:r>
      <w:r>
        <w:rPr>
          <w:rFonts w:hint="default" w:ascii="Times New Roman" w:hAnsi="Times New Roman" w:cs="Times New Roman" w:eastAsiaTheme="minorEastAsia"/>
          <w:sz w:val="24"/>
          <w:szCs w:val="24"/>
          <w:lang w:val="en-US" w:eastAsia="zh-CN"/>
        </w:rPr>
        <w:t>体</w:t>
      </w:r>
      <w:r>
        <w:rPr>
          <w:rFonts w:hint="default" w:ascii="Times New Roman" w:hAnsi="Times New Roman" w:cs="Times New Roman" w:eastAsiaTheme="minorEastAsia"/>
          <w:sz w:val="24"/>
          <w:szCs w:val="24"/>
        </w:rPr>
        <w:t>废物主要有除尘灰；危险废物主要有废矿物油及含矿物油废物、</w:t>
      </w:r>
      <w:r>
        <w:rPr>
          <w:rFonts w:hint="default" w:ascii="Times New Roman" w:hAnsi="Times New Roman" w:cs="Times New Roman" w:eastAsiaTheme="minorEastAsia"/>
          <w:kern w:val="24"/>
          <w:sz w:val="24"/>
          <w:szCs w:val="24"/>
        </w:rPr>
        <w:t>含油抹布及手套</w:t>
      </w:r>
      <w:r>
        <w:rPr>
          <w:rFonts w:hint="default" w:ascii="Times New Roman" w:hAnsi="Times New Roman" w:cs="Times New Roman" w:eastAsiaTheme="minorEastAsia"/>
          <w:sz w:val="24"/>
          <w:szCs w:val="24"/>
        </w:rPr>
        <w:t>。</w:t>
      </w:r>
    </w:p>
    <w:p w14:paraId="61E13526">
      <w:pPr>
        <w:pStyle w:val="55"/>
        <w:spacing w:line="360" w:lineRule="auto"/>
        <w:rPr>
          <w:rFonts w:hint="default" w:ascii="Times New Roman" w:hAnsi="Times New Roman" w:cs="Times New Roman" w:eastAsiaTheme="minorEastAsia"/>
          <w:sz w:val="24"/>
          <w:szCs w:val="24"/>
        </w:rPr>
      </w:pPr>
      <w:bookmarkStart w:id="334" w:name="_Hlk143161961"/>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）除尘灰</w:t>
      </w:r>
    </w:p>
    <w:p w14:paraId="2F4DBD24">
      <w:pPr>
        <w:pStyle w:val="55"/>
        <w:spacing w:line="360" w:lineRule="auto"/>
        <w:rPr>
          <w:rFonts w:hint="default" w:ascii="Times New Roman" w:hAnsi="Times New Roman" w:cs="Times New Roman" w:eastAsiaTheme="minorEastAsia"/>
          <w:color w:val="auto"/>
          <w:sz w:val="24"/>
          <w:szCs w:val="24"/>
          <w:lang w:bidi="ar"/>
        </w:rPr>
      </w:pPr>
      <w:r>
        <w:rPr>
          <w:rFonts w:hint="default" w:ascii="Times New Roman" w:hAnsi="Times New Roman" w:cs="Times New Roman" w:eastAsiaTheme="minorEastAsia"/>
          <w:color w:val="auto"/>
          <w:sz w:val="24"/>
          <w:szCs w:val="24"/>
          <w:lang w:bidi="ar"/>
        </w:rPr>
        <w:t>项目运营期除尘器收集的除尘灰约为</w:t>
      </w:r>
      <w:r>
        <w:rPr>
          <w:rFonts w:hint="default" w:ascii="Times New Roman" w:hAnsi="Times New Roman" w:cs="Times New Roman" w:eastAsiaTheme="minorEastAsia"/>
          <w:color w:val="auto"/>
          <w:sz w:val="24"/>
          <w:szCs w:val="24"/>
          <w:lang w:val="en-US" w:eastAsia="zh-CN" w:bidi="ar"/>
        </w:rPr>
        <w:t>97.30</w:t>
      </w:r>
      <w:r>
        <w:rPr>
          <w:rFonts w:hint="default" w:ascii="Times New Roman" w:hAnsi="Times New Roman" w:cs="Times New Roman" w:eastAsiaTheme="minorEastAsia"/>
          <w:color w:val="auto"/>
          <w:sz w:val="24"/>
          <w:szCs w:val="24"/>
          <w:lang w:bidi="ar"/>
        </w:rPr>
        <w:t>t/a，</w:t>
      </w:r>
      <w:r>
        <w:rPr>
          <w:rFonts w:hint="default" w:ascii="Times New Roman" w:hAnsi="Times New Roman" w:cs="Times New Roman" w:eastAsiaTheme="minorEastAsia"/>
          <w:color w:val="auto"/>
          <w:sz w:val="24"/>
          <w:szCs w:val="24"/>
          <w:lang w:val="en-US" w:eastAsia="zh-CN" w:bidi="ar"/>
        </w:rPr>
        <w:t>外售新平甬福环保有限公司用于矿渣微粉生产线使用</w:t>
      </w:r>
      <w:r>
        <w:rPr>
          <w:rFonts w:hint="default" w:ascii="Times New Roman" w:hAnsi="Times New Roman" w:cs="Times New Roman" w:eastAsiaTheme="minorEastAsia"/>
          <w:color w:val="auto"/>
          <w:sz w:val="24"/>
          <w:szCs w:val="24"/>
          <w:lang w:bidi="ar"/>
        </w:rPr>
        <w:t>。</w:t>
      </w:r>
    </w:p>
    <w:p w14:paraId="487AEC95">
      <w:pPr>
        <w:pStyle w:val="55"/>
        <w:spacing w:line="360" w:lineRule="auto"/>
        <w:rPr>
          <w:rFonts w:hint="default" w:ascii="Times New Roman" w:hAnsi="Times New Roman" w:cs="Times New Roman" w:eastAsiaTheme="minorEastAsia"/>
          <w:sz w:val="24"/>
          <w:szCs w:val="24"/>
          <w:lang w:bidi="ar"/>
        </w:rPr>
      </w:pPr>
      <w:r>
        <w:rPr>
          <w:rFonts w:hint="default" w:ascii="Times New Roman" w:hAnsi="Times New Roman" w:cs="Times New Roman" w:eastAsiaTheme="minorEastAsia"/>
          <w:sz w:val="24"/>
          <w:szCs w:val="24"/>
          <w:lang w:bidi="ar"/>
        </w:rPr>
        <w:t>（</w:t>
      </w:r>
      <w:r>
        <w:rPr>
          <w:rFonts w:hint="default" w:ascii="Times New Roman" w:hAnsi="Times New Roman" w:cs="Times New Roman" w:eastAsiaTheme="minorEastAsia"/>
          <w:sz w:val="24"/>
          <w:szCs w:val="24"/>
          <w:lang w:val="en-US" w:eastAsia="zh-CN" w:bidi="ar"/>
        </w:rPr>
        <w:t>2</w:t>
      </w:r>
      <w:r>
        <w:rPr>
          <w:rFonts w:hint="default" w:ascii="Times New Roman" w:hAnsi="Times New Roman" w:cs="Times New Roman" w:eastAsiaTheme="minorEastAsia"/>
          <w:sz w:val="24"/>
          <w:szCs w:val="24"/>
          <w:lang w:bidi="ar"/>
        </w:rPr>
        <w:t>）生活垃圾</w:t>
      </w:r>
    </w:p>
    <w:p w14:paraId="062CFB95">
      <w:pPr>
        <w:pStyle w:val="55"/>
        <w:spacing w:line="360" w:lineRule="auto"/>
        <w:rPr>
          <w:rFonts w:hint="default" w:ascii="Times New Roman" w:hAnsi="Times New Roman" w:cs="Times New Roman" w:eastAsiaTheme="minorEastAsia"/>
          <w:sz w:val="24"/>
          <w:szCs w:val="24"/>
          <w:lang w:val="en-US" w:bidi="ar"/>
        </w:rPr>
      </w:pPr>
      <w:r>
        <w:rPr>
          <w:rFonts w:hint="default" w:ascii="Times New Roman" w:hAnsi="Times New Roman" w:cs="Times New Roman" w:eastAsiaTheme="minorEastAsia"/>
          <w:sz w:val="24"/>
          <w:szCs w:val="24"/>
          <w:lang w:bidi="ar"/>
        </w:rPr>
        <w:t>运营期职工人数</w:t>
      </w:r>
      <w:r>
        <w:rPr>
          <w:rFonts w:hint="default" w:ascii="Times New Roman" w:hAnsi="Times New Roman" w:cs="Times New Roman" w:eastAsiaTheme="minorEastAsia"/>
          <w:sz w:val="24"/>
          <w:szCs w:val="24"/>
          <w:lang w:val="en-US" w:eastAsia="zh-CN" w:bidi="ar"/>
        </w:rPr>
        <w:t>5</w:t>
      </w:r>
      <w:r>
        <w:rPr>
          <w:rFonts w:hint="default" w:ascii="Times New Roman" w:hAnsi="Times New Roman" w:cs="Times New Roman" w:eastAsiaTheme="minorEastAsia"/>
          <w:sz w:val="24"/>
          <w:szCs w:val="24"/>
          <w:lang w:bidi="ar"/>
        </w:rPr>
        <w:t>人，生活垃圾产生量以每人每天1kg计算，则生活垃圾产生量为</w:t>
      </w:r>
      <w:r>
        <w:rPr>
          <w:rFonts w:hint="default" w:ascii="Times New Roman" w:hAnsi="Times New Roman" w:cs="Times New Roman" w:eastAsiaTheme="minorEastAsia"/>
          <w:sz w:val="24"/>
          <w:szCs w:val="24"/>
          <w:lang w:val="en-US" w:eastAsia="zh-CN" w:bidi="ar"/>
        </w:rPr>
        <w:t>5</w:t>
      </w:r>
      <w:r>
        <w:rPr>
          <w:rFonts w:hint="default" w:ascii="Times New Roman" w:hAnsi="Times New Roman" w:cs="Times New Roman" w:eastAsiaTheme="minorEastAsia"/>
          <w:sz w:val="24"/>
          <w:szCs w:val="24"/>
          <w:lang w:bidi="ar"/>
        </w:rPr>
        <w:t>kg/d、</w:t>
      </w:r>
      <w:r>
        <w:rPr>
          <w:rFonts w:hint="default" w:ascii="Times New Roman" w:hAnsi="Times New Roman" w:cs="Times New Roman" w:eastAsiaTheme="minorEastAsia"/>
          <w:sz w:val="24"/>
          <w:szCs w:val="24"/>
          <w:lang w:val="en-US" w:eastAsia="zh-CN" w:bidi="ar"/>
        </w:rPr>
        <w:t>1.5</w:t>
      </w:r>
      <w:r>
        <w:rPr>
          <w:rFonts w:hint="default" w:ascii="Times New Roman" w:hAnsi="Times New Roman" w:cs="Times New Roman" w:eastAsiaTheme="minorEastAsia"/>
          <w:sz w:val="24"/>
          <w:szCs w:val="24"/>
          <w:lang w:bidi="ar"/>
        </w:rPr>
        <w:t>t/a。项目</w:t>
      </w:r>
      <w:r>
        <w:rPr>
          <w:rFonts w:hint="default" w:ascii="Times New Roman" w:hAnsi="Times New Roman" w:eastAsia="宋体" w:cs="Times New Roman"/>
          <w:kern w:val="24"/>
          <w:sz w:val="24"/>
        </w:rPr>
        <w:t>生活垃圾依托</w:t>
      </w:r>
      <w:r>
        <w:rPr>
          <w:rFonts w:hint="default" w:ascii="Times New Roman" w:hAnsi="Times New Roman" w:cs="Times New Roman"/>
          <w:kern w:val="24"/>
          <w:sz w:val="24"/>
          <w:lang w:val="en-US" w:eastAsia="zh-CN"/>
        </w:rPr>
        <w:t>矿山</w:t>
      </w:r>
      <w:r>
        <w:rPr>
          <w:rFonts w:hint="default" w:ascii="Times New Roman" w:hAnsi="Times New Roman" w:eastAsia="宋体" w:cs="Times New Roman"/>
          <w:kern w:val="24"/>
          <w:sz w:val="24"/>
        </w:rPr>
        <w:t>垃圾</w:t>
      </w:r>
      <w:r>
        <w:rPr>
          <w:rFonts w:hint="default" w:ascii="Times New Roman" w:hAnsi="Times New Roman" w:cs="Times New Roman"/>
          <w:kern w:val="24"/>
          <w:sz w:val="24"/>
          <w:lang w:val="en-US" w:eastAsia="zh-CN"/>
        </w:rPr>
        <w:t>池暂存</w:t>
      </w:r>
      <w:r>
        <w:rPr>
          <w:rFonts w:hint="default" w:ascii="Times New Roman" w:hAnsi="Times New Roman" w:eastAsia="宋体" w:cs="Times New Roman"/>
          <w:kern w:val="24"/>
          <w:sz w:val="24"/>
        </w:rPr>
        <w:t>，</w:t>
      </w:r>
      <w:r>
        <w:rPr>
          <w:rFonts w:hint="default" w:ascii="Times New Roman" w:hAnsi="Times New Roman" w:cs="Times New Roman"/>
          <w:kern w:val="24"/>
          <w:sz w:val="24"/>
          <w:lang w:val="en-US" w:eastAsia="zh-CN"/>
        </w:rPr>
        <w:t>定期清运至</w:t>
      </w:r>
      <w:r>
        <w:rPr>
          <w:rFonts w:hint="default" w:ascii="Times New Roman" w:hAnsi="Times New Roman" w:cs="Times New Roman" w:eastAsiaTheme="minorEastAsia"/>
          <w:color w:val="000000"/>
          <w:sz w:val="24"/>
          <w:szCs w:val="24"/>
        </w:rPr>
        <w:t>扬武镇生活垃圾集中收集点，统一处置。</w:t>
      </w:r>
    </w:p>
    <w:p w14:paraId="0D548184">
      <w:pPr>
        <w:adjustRightInd w:val="0"/>
        <w:snapToGrid w:val="0"/>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bidi="ar"/>
        </w:rPr>
        <w:t>（</w:t>
      </w:r>
      <w:r>
        <w:rPr>
          <w:rFonts w:hint="default" w:ascii="Times New Roman" w:hAnsi="Times New Roman" w:cs="Times New Roman" w:eastAsiaTheme="minorEastAsia"/>
          <w:sz w:val="24"/>
          <w:szCs w:val="24"/>
          <w:lang w:val="en-US" w:eastAsia="zh-CN" w:bidi="ar"/>
        </w:rPr>
        <w:t>3</w:t>
      </w:r>
      <w:r>
        <w:rPr>
          <w:rFonts w:hint="default" w:ascii="Times New Roman" w:hAnsi="Times New Roman" w:cs="Times New Roman" w:eastAsiaTheme="minorEastAsia"/>
          <w:sz w:val="24"/>
          <w:szCs w:val="24"/>
          <w:lang w:bidi="ar"/>
        </w:rPr>
        <w:t xml:space="preserve">）机修废物 </w:t>
      </w:r>
    </w:p>
    <w:p w14:paraId="4276BB97">
      <w:pPr>
        <w:adjustRightInd w:val="0"/>
        <w:snapToGrid w:val="0"/>
        <w:spacing w:line="360" w:lineRule="auto"/>
        <w:ind w:firstLine="480"/>
        <w:rPr>
          <w:rFonts w:hint="default" w:ascii="Times New Roman" w:hAnsi="Times New Roman" w:cs="Times New Roman" w:eastAsiaTheme="minorEastAsia"/>
          <w:kern w:val="24"/>
          <w:sz w:val="24"/>
          <w:szCs w:val="24"/>
        </w:rPr>
      </w:pPr>
      <w:r>
        <w:rPr>
          <w:rFonts w:hint="default" w:ascii="Times New Roman" w:hAnsi="Times New Roman" w:cs="Times New Roman" w:eastAsiaTheme="minorEastAsia"/>
          <w:kern w:val="24"/>
          <w:sz w:val="24"/>
          <w:szCs w:val="24"/>
        </w:rPr>
        <w:t>项目机械设备需要定期更换矿物油，</w:t>
      </w:r>
      <w:r>
        <w:rPr>
          <w:rFonts w:hint="default" w:ascii="Times New Roman" w:hAnsi="Times New Roman" w:cs="Times New Roman" w:eastAsiaTheme="minorEastAsia"/>
          <w:sz w:val="24"/>
          <w:szCs w:val="24"/>
        </w:rPr>
        <w:t>更换产生的废矿物油、废矿物油桶产生量约为0.</w:t>
      </w:r>
      <w:r>
        <w:rPr>
          <w:rFonts w:hint="default" w:ascii="Times New Roman" w:hAnsi="Times New Roman" w:cs="Times New Roman" w:eastAsiaTheme="minorEastAsia"/>
          <w:sz w:val="24"/>
          <w:szCs w:val="24"/>
          <w:lang w:val="en-US" w:eastAsia="zh-CN"/>
        </w:rPr>
        <w:t>01</w:t>
      </w:r>
      <w:r>
        <w:rPr>
          <w:rFonts w:hint="default" w:ascii="Times New Roman" w:hAnsi="Times New Roman" w:cs="Times New Roman" w:eastAsiaTheme="minorEastAsia"/>
          <w:sz w:val="24"/>
          <w:szCs w:val="24"/>
        </w:rPr>
        <w:t>t/a，</w:t>
      </w:r>
      <w:r>
        <w:rPr>
          <w:rFonts w:hint="default" w:ascii="Times New Roman" w:hAnsi="Times New Roman" w:cs="Times New Roman" w:eastAsiaTheme="minorEastAsia"/>
          <w:kern w:val="24"/>
          <w:sz w:val="24"/>
          <w:szCs w:val="24"/>
        </w:rPr>
        <w:t>根据《国家危险废物名录（202</w:t>
      </w:r>
      <w:r>
        <w:rPr>
          <w:rFonts w:hint="eastAsia" w:cs="Times New Roman" w:eastAsiaTheme="minorEastAsia"/>
          <w:kern w:val="24"/>
          <w:sz w:val="24"/>
          <w:szCs w:val="24"/>
          <w:lang w:val="en-US" w:eastAsia="zh-CN"/>
        </w:rPr>
        <w:t>5</w:t>
      </w:r>
      <w:r>
        <w:rPr>
          <w:rFonts w:hint="default" w:ascii="Times New Roman" w:hAnsi="Times New Roman" w:cs="Times New Roman" w:eastAsiaTheme="minorEastAsia"/>
          <w:kern w:val="24"/>
          <w:sz w:val="24"/>
          <w:szCs w:val="24"/>
        </w:rPr>
        <w:t>年版）》，属于HW08废矿物油与含矿物油废物中的“900-217-08使用工业齿轮油进行机械设备润滑过程中产生的废润滑油”，“900-249-08其他生产、销售、使用过程中产生的废矿物油及沾染矿物油的废弃包装物”。</w:t>
      </w:r>
    </w:p>
    <w:p w14:paraId="49012166">
      <w:pPr>
        <w:adjustRightInd w:val="0"/>
        <w:snapToGrid w:val="0"/>
        <w:spacing w:line="360" w:lineRule="auto"/>
        <w:ind w:firstLine="480"/>
        <w:rPr>
          <w:rFonts w:hint="default" w:ascii="Times New Roman" w:hAnsi="Times New Roman" w:cs="Times New Roman" w:eastAsiaTheme="minorEastAsia"/>
          <w:color w:val="auto"/>
          <w:kern w:val="24"/>
          <w:sz w:val="24"/>
          <w:szCs w:val="24"/>
        </w:rPr>
      </w:pPr>
      <w:r>
        <w:rPr>
          <w:rFonts w:hint="default" w:ascii="Times New Roman" w:hAnsi="Times New Roman" w:cs="Times New Roman" w:eastAsiaTheme="minorEastAsia"/>
          <w:kern w:val="24"/>
          <w:sz w:val="24"/>
          <w:szCs w:val="24"/>
        </w:rPr>
        <w:t>项目机械设备维护及检修过程会产生含油抹布及手套，产生量约0.</w:t>
      </w:r>
      <w:r>
        <w:rPr>
          <w:rFonts w:hint="default" w:ascii="Times New Roman" w:hAnsi="Times New Roman" w:cs="Times New Roman" w:eastAsiaTheme="minorEastAsia"/>
          <w:kern w:val="24"/>
          <w:sz w:val="24"/>
          <w:szCs w:val="24"/>
          <w:lang w:val="en-US" w:eastAsia="zh-CN"/>
        </w:rPr>
        <w:t>01</w:t>
      </w:r>
      <w:r>
        <w:rPr>
          <w:rFonts w:hint="default" w:ascii="Times New Roman" w:hAnsi="Times New Roman" w:cs="Times New Roman" w:eastAsiaTheme="minorEastAsia"/>
          <w:kern w:val="24"/>
          <w:sz w:val="24"/>
          <w:szCs w:val="24"/>
        </w:rPr>
        <w:t>t/a。根据《国家危险废物名录（202</w:t>
      </w:r>
      <w:r>
        <w:rPr>
          <w:rFonts w:hint="eastAsia" w:cs="Times New Roman" w:eastAsiaTheme="minorEastAsia"/>
          <w:kern w:val="24"/>
          <w:sz w:val="24"/>
          <w:szCs w:val="24"/>
          <w:lang w:val="en-US" w:eastAsia="zh-CN"/>
        </w:rPr>
        <w:t>5</w:t>
      </w:r>
      <w:r>
        <w:rPr>
          <w:rFonts w:hint="default" w:ascii="Times New Roman" w:hAnsi="Times New Roman" w:cs="Times New Roman" w:eastAsiaTheme="minorEastAsia"/>
          <w:kern w:val="24"/>
          <w:sz w:val="24"/>
          <w:szCs w:val="24"/>
        </w:rPr>
        <w:t>年版）》，属于HW49其他废物中的“900-041-49含有或沾染毒性、</w:t>
      </w:r>
      <w:r>
        <w:rPr>
          <w:rFonts w:hint="default" w:ascii="Times New Roman" w:hAnsi="Times New Roman" w:cs="Times New Roman" w:eastAsiaTheme="minorEastAsia"/>
          <w:color w:val="auto"/>
          <w:kern w:val="24"/>
          <w:sz w:val="24"/>
          <w:szCs w:val="24"/>
        </w:rPr>
        <w:t>感染性危险废物的废弃包装物、容器、过滤吸附介质”。</w:t>
      </w:r>
    </w:p>
    <w:bookmarkEnd w:id="334"/>
    <w:p w14:paraId="3C56709D">
      <w:pPr>
        <w:pStyle w:val="2"/>
        <w:adjustRightInd w:val="0"/>
        <w:snapToGrid w:val="0"/>
        <w:spacing w:after="0" w:line="360" w:lineRule="auto"/>
        <w:ind w:firstLine="480"/>
        <w:rPr>
          <w:rFonts w:hint="default" w:ascii="Times New Roman" w:hAnsi="Times New Roman" w:cs="Times New Roman" w:eastAsiaTheme="minorEastAsia"/>
          <w:color w:val="auto"/>
          <w:kern w:val="0"/>
          <w:sz w:val="24"/>
          <w:szCs w:val="24"/>
          <w:lang w:bidi="ar"/>
        </w:rPr>
      </w:pPr>
      <w:r>
        <w:rPr>
          <w:rFonts w:hint="default" w:ascii="Times New Roman" w:hAnsi="Times New Roman" w:cs="Times New Roman" w:eastAsiaTheme="minorEastAsia"/>
          <w:color w:val="auto"/>
          <w:kern w:val="0"/>
          <w:sz w:val="24"/>
          <w:szCs w:val="24"/>
          <w:lang w:eastAsia="zh-CN" w:bidi="ar"/>
        </w:rPr>
        <w:t>废矿物油及含矿物油废物、</w:t>
      </w:r>
      <w:r>
        <w:rPr>
          <w:rFonts w:hint="default" w:ascii="Times New Roman" w:hAnsi="Times New Roman" w:cs="Times New Roman" w:eastAsiaTheme="minorEastAsia"/>
          <w:color w:val="auto"/>
          <w:kern w:val="0"/>
          <w:sz w:val="24"/>
          <w:szCs w:val="24"/>
          <w:lang w:val="en-US" w:eastAsia="zh-CN" w:bidi="ar"/>
        </w:rPr>
        <w:t>含油手套、抹布分类</w:t>
      </w:r>
      <w:r>
        <w:rPr>
          <w:rFonts w:hint="default" w:ascii="Times New Roman" w:hAnsi="Times New Roman" w:cs="Times New Roman" w:eastAsiaTheme="minorEastAsia"/>
          <w:color w:val="auto"/>
          <w:kern w:val="0"/>
          <w:sz w:val="24"/>
          <w:szCs w:val="24"/>
          <w:lang w:bidi="ar"/>
        </w:rPr>
        <w:t>收集后暂存于</w:t>
      </w:r>
      <w:r>
        <w:rPr>
          <w:rFonts w:hint="default" w:ascii="Times New Roman" w:hAnsi="Times New Roman" w:cs="Times New Roman" w:eastAsiaTheme="minorEastAsia"/>
          <w:color w:val="auto"/>
          <w:kern w:val="0"/>
          <w:sz w:val="24"/>
          <w:szCs w:val="24"/>
          <w:lang w:val="en-US" w:eastAsia="zh-CN" w:bidi="ar"/>
        </w:rPr>
        <w:t>矿山</w:t>
      </w:r>
      <w:r>
        <w:rPr>
          <w:rFonts w:hint="default" w:ascii="Times New Roman" w:hAnsi="Times New Roman" w:cs="Times New Roman" w:eastAsiaTheme="minorEastAsia"/>
          <w:color w:val="auto"/>
          <w:kern w:val="0"/>
          <w:sz w:val="24"/>
          <w:szCs w:val="24"/>
          <w:lang w:bidi="ar"/>
        </w:rPr>
        <w:t>危废暂存间，并入集团公司</w:t>
      </w:r>
      <w:r>
        <w:rPr>
          <w:rFonts w:hint="default" w:ascii="Times New Roman" w:hAnsi="Times New Roman" w:cs="Times New Roman" w:eastAsiaTheme="minorEastAsia"/>
          <w:color w:val="auto"/>
          <w:kern w:val="0"/>
          <w:sz w:val="24"/>
          <w:szCs w:val="24"/>
          <w:lang w:eastAsia="zh-CN" w:bidi="ar"/>
        </w:rPr>
        <w:t>，</w:t>
      </w:r>
      <w:r>
        <w:rPr>
          <w:rFonts w:hint="default" w:ascii="Times New Roman" w:hAnsi="Times New Roman" w:cs="Times New Roman" w:eastAsiaTheme="minorEastAsia"/>
          <w:color w:val="auto"/>
          <w:kern w:val="0"/>
          <w:sz w:val="24"/>
          <w:szCs w:val="24"/>
          <w:lang w:bidi="ar"/>
        </w:rPr>
        <w:t>统一交给具备处理资质的单位处置</w:t>
      </w:r>
      <w:r>
        <w:rPr>
          <w:rFonts w:hint="default" w:ascii="Times New Roman" w:hAnsi="Times New Roman" w:cs="Times New Roman" w:eastAsiaTheme="minorEastAsia"/>
          <w:color w:val="auto"/>
          <w:kern w:val="0"/>
          <w:sz w:val="24"/>
          <w:szCs w:val="24"/>
          <w:lang w:eastAsia="zh-CN" w:bidi="ar"/>
        </w:rPr>
        <w:t>。</w:t>
      </w:r>
      <w:r>
        <w:rPr>
          <w:rFonts w:hint="default" w:ascii="Times New Roman" w:hAnsi="Times New Roman" w:cs="Times New Roman" w:eastAsiaTheme="minorEastAsia"/>
          <w:color w:val="auto"/>
          <w:kern w:val="0"/>
          <w:sz w:val="24"/>
          <w:szCs w:val="24"/>
          <w:lang w:bidi="ar"/>
        </w:rPr>
        <w:t>本项目固体废物产生情况见下表。</w:t>
      </w:r>
    </w:p>
    <w:p w14:paraId="1E910673">
      <w:pPr>
        <w:spacing w:line="360" w:lineRule="auto"/>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表</w:t>
      </w:r>
      <w:r>
        <w:rPr>
          <w:rFonts w:hint="default" w:ascii="Times New Roman" w:hAnsi="Times New Roman" w:eastAsia="黑体" w:cs="Times New Roman"/>
          <w:b w:val="0"/>
          <w:bCs/>
          <w:color w:val="auto"/>
          <w:sz w:val="21"/>
          <w:szCs w:val="21"/>
          <w:lang w:val="en-US" w:eastAsia="zh-CN"/>
        </w:rPr>
        <w:t>3</w:t>
      </w:r>
      <w:r>
        <w:rPr>
          <w:rFonts w:hint="default" w:ascii="Times New Roman" w:hAnsi="Times New Roman" w:eastAsia="黑体" w:cs="Times New Roman"/>
          <w:b w:val="0"/>
          <w:bCs/>
          <w:color w:val="auto"/>
          <w:sz w:val="21"/>
          <w:szCs w:val="21"/>
        </w:rPr>
        <w:t>.5-</w:t>
      </w:r>
      <w:r>
        <w:rPr>
          <w:rFonts w:hint="default" w:ascii="Times New Roman" w:hAnsi="Times New Roman" w:eastAsia="黑体" w:cs="Times New Roman"/>
          <w:b w:val="0"/>
          <w:bCs/>
          <w:color w:val="auto"/>
          <w:sz w:val="21"/>
          <w:szCs w:val="21"/>
          <w:lang w:val="en-US" w:eastAsia="zh-CN"/>
        </w:rPr>
        <w:t>8</w:t>
      </w:r>
      <w:r>
        <w:rPr>
          <w:rFonts w:hint="default" w:ascii="Times New Roman" w:hAnsi="Times New Roman" w:eastAsia="黑体" w:cs="Times New Roman"/>
          <w:b w:val="0"/>
          <w:bCs/>
          <w:color w:val="auto"/>
          <w:sz w:val="21"/>
          <w:szCs w:val="21"/>
        </w:rPr>
        <w:t xml:space="preserve">   项目运营期主要固体废物源强核算结果一览表</w:t>
      </w:r>
    </w:p>
    <w:tbl>
      <w:tblPr>
        <w:tblStyle w:val="30"/>
        <w:tblW w:w="523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874"/>
        <w:gridCol w:w="709"/>
        <w:gridCol w:w="875"/>
        <w:gridCol w:w="1156"/>
        <w:gridCol w:w="1006"/>
        <w:gridCol w:w="709"/>
        <w:gridCol w:w="1270"/>
        <w:gridCol w:w="1005"/>
        <w:gridCol w:w="1122"/>
      </w:tblGrid>
      <w:tr w14:paraId="5532BC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restart"/>
            <w:tcBorders>
              <w:tl2br w:val="nil"/>
              <w:tr2bl w:val="nil"/>
            </w:tcBorders>
            <w:vAlign w:val="center"/>
          </w:tcPr>
          <w:p w14:paraId="5E44782A">
            <w:pPr>
              <w:adjustRightInd w:val="0"/>
              <w:spacing w:line="240" w:lineRule="auto"/>
              <w:jc w:val="center"/>
              <w:rPr>
                <w:rFonts w:hint="default" w:ascii="Times New Roman" w:hAnsi="Times New Roman" w:cs="Times New Roman" w:eastAsiaTheme="minorEastAsia"/>
                <w:color w:val="auto"/>
                <w:sz w:val="18"/>
                <w:szCs w:val="18"/>
              </w:rPr>
            </w:pPr>
            <w:bookmarkStart w:id="335" w:name="_Hlk162510960"/>
            <w:r>
              <w:rPr>
                <w:rFonts w:hint="default" w:ascii="Times New Roman" w:hAnsi="Times New Roman" w:cs="Times New Roman" w:eastAsiaTheme="minorEastAsia"/>
                <w:color w:val="auto"/>
                <w:sz w:val="18"/>
                <w:szCs w:val="18"/>
              </w:rPr>
              <w:t>工序</w:t>
            </w:r>
          </w:p>
        </w:tc>
        <w:tc>
          <w:tcPr>
            <w:tcW w:w="874" w:type="dxa"/>
            <w:vMerge w:val="restart"/>
            <w:tcBorders>
              <w:tl2br w:val="nil"/>
              <w:tr2bl w:val="nil"/>
            </w:tcBorders>
            <w:vAlign w:val="center"/>
          </w:tcPr>
          <w:p w14:paraId="1FD6036D">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固废名称</w:t>
            </w:r>
          </w:p>
        </w:tc>
        <w:tc>
          <w:tcPr>
            <w:tcW w:w="709" w:type="dxa"/>
            <w:vMerge w:val="restart"/>
            <w:tcBorders>
              <w:tl2br w:val="nil"/>
              <w:tr2bl w:val="nil"/>
            </w:tcBorders>
            <w:vAlign w:val="center"/>
          </w:tcPr>
          <w:p w14:paraId="6CC2EABB">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固废属性</w:t>
            </w:r>
          </w:p>
        </w:tc>
        <w:tc>
          <w:tcPr>
            <w:tcW w:w="875" w:type="dxa"/>
            <w:vMerge w:val="restart"/>
            <w:tcBorders>
              <w:tl2br w:val="nil"/>
              <w:tr2bl w:val="nil"/>
            </w:tcBorders>
            <w:vAlign w:val="center"/>
          </w:tcPr>
          <w:p w14:paraId="2ABCB965">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危险</w:t>
            </w:r>
          </w:p>
          <w:p w14:paraId="17215BA9">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特性</w:t>
            </w:r>
          </w:p>
        </w:tc>
        <w:tc>
          <w:tcPr>
            <w:tcW w:w="1156" w:type="dxa"/>
            <w:vMerge w:val="restart"/>
            <w:tcBorders>
              <w:tl2br w:val="nil"/>
              <w:tr2bl w:val="nil"/>
            </w:tcBorders>
            <w:vAlign w:val="center"/>
          </w:tcPr>
          <w:p w14:paraId="65D50DCC">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废物</w:t>
            </w:r>
          </w:p>
          <w:p w14:paraId="030A510E">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类别及</w:t>
            </w:r>
          </w:p>
          <w:p w14:paraId="7A1F479A">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代码</w:t>
            </w:r>
          </w:p>
        </w:tc>
        <w:tc>
          <w:tcPr>
            <w:tcW w:w="1715" w:type="dxa"/>
            <w:gridSpan w:val="2"/>
            <w:tcBorders>
              <w:tl2br w:val="nil"/>
              <w:tr2bl w:val="nil"/>
            </w:tcBorders>
            <w:vAlign w:val="center"/>
          </w:tcPr>
          <w:p w14:paraId="4A8C2126">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产生情况</w:t>
            </w:r>
          </w:p>
        </w:tc>
        <w:tc>
          <w:tcPr>
            <w:tcW w:w="2275" w:type="dxa"/>
            <w:gridSpan w:val="2"/>
            <w:tcBorders>
              <w:tl2br w:val="nil"/>
              <w:tr2bl w:val="nil"/>
            </w:tcBorders>
            <w:vAlign w:val="center"/>
          </w:tcPr>
          <w:p w14:paraId="1E969963">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处置措施</w:t>
            </w:r>
          </w:p>
        </w:tc>
        <w:tc>
          <w:tcPr>
            <w:tcW w:w="1122" w:type="dxa"/>
            <w:vMerge w:val="restart"/>
            <w:tcBorders>
              <w:tl2br w:val="nil"/>
              <w:tr2bl w:val="nil"/>
            </w:tcBorders>
            <w:vAlign w:val="center"/>
          </w:tcPr>
          <w:p w14:paraId="7E6C4DBC">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最终去向</w:t>
            </w:r>
          </w:p>
        </w:tc>
      </w:tr>
      <w:tr w14:paraId="01E79B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tcBorders>
              <w:tl2br w:val="nil"/>
              <w:tr2bl w:val="nil"/>
            </w:tcBorders>
            <w:vAlign w:val="center"/>
          </w:tcPr>
          <w:p w14:paraId="6474D386">
            <w:pPr>
              <w:adjustRightInd w:val="0"/>
              <w:spacing w:line="240" w:lineRule="auto"/>
              <w:jc w:val="center"/>
              <w:rPr>
                <w:rFonts w:hint="default" w:ascii="Times New Roman" w:hAnsi="Times New Roman" w:cs="Times New Roman" w:eastAsiaTheme="minorEastAsia"/>
                <w:color w:val="auto"/>
                <w:sz w:val="18"/>
                <w:szCs w:val="18"/>
              </w:rPr>
            </w:pPr>
          </w:p>
        </w:tc>
        <w:tc>
          <w:tcPr>
            <w:tcW w:w="874" w:type="dxa"/>
            <w:vMerge w:val="continue"/>
            <w:tcBorders>
              <w:tl2br w:val="nil"/>
              <w:tr2bl w:val="nil"/>
            </w:tcBorders>
            <w:vAlign w:val="center"/>
          </w:tcPr>
          <w:p w14:paraId="783D87A8">
            <w:pPr>
              <w:adjustRightInd w:val="0"/>
              <w:spacing w:line="240" w:lineRule="auto"/>
              <w:jc w:val="center"/>
              <w:rPr>
                <w:rFonts w:hint="default" w:ascii="Times New Roman" w:hAnsi="Times New Roman" w:cs="Times New Roman" w:eastAsiaTheme="minorEastAsia"/>
                <w:color w:val="auto"/>
                <w:sz w:val="18"/>
                <w:szCs w:val="18"/>
              </w:rPr>
            </w:pPr>
          </w:p>
        </w:tc>
        <w:tc>
          <w:tcPr>
            <w:tcW w:w="709" w:type="dxa"/>
            <w:vMerge w:val="continue"/>
            <w:tcBorders>
              <w:tl2br w:val="nil"/>
              <w:tr2bl w:val="nil"/>
            </w:tcBorders>
            <w:vAlign w:val="center"/>
          </w:tcPr>
          <w:p w14:paraId="65E0DF40">
            <w:pPr>
              <w:adjustRightInd w:val="0"/>
              <w:spacing w:line="240" w:lineRule="auto"/>
              <w:jc w:val="center"/>
              <w:rPr>
                <w:rFonts w:hint="default" w:ascii="Times New Roman" w:hAnsi="Times New Roman" w:cs="Times New Roman" w:eastAsiaTheme="minorEastAsia"/>
                <w:color w:val="auto"/>
                <w:sz w:val="18"/>
                <w:szCs w:val="18"/>
              </w:rPr>
            </w:pPr>
          </w:p>
        </w:tc>
        <w:tc>
          <w:tcPr>
            <w:tcW w:w="875" w:type="dxa"/>
            <w:vMerge w:val="continue"/>
            <w:tcBorders>
              <w:tl2br w:val="nil"/>
              <w:tr2bl w:val="nil"/>
            </w:tcBorders>
            <w:vAlign w:val="center"/>
          </w:tcPr>
          <w:p w14:paraId="4FB56A5D">
            <w:pPr>
              <w:adjustRightInd w:val="0"/>
              <w:spacing w:line="240" w:lineRule="auto"/>
              <w:jc w:val="center"/>
              <w:rPr>
                <w:rFonts w:hint="default" w:ascii="Times New Roman" w:hAnsi="Times New Roman" w:cs="Times New Roman" w:eastAsiaTheme="minorEastAsia"/>
                <w:color w:val="auto"/>
                <w:sz w:val="18"/>
                <w:szCs w:val="18"/>
              </w:rPr>
            </w:pPr>
          </w:p>
        </w:tc>
        <w:tc>
          <w:tcPr>
            <w:tcW w:w="1156" w:type="dxa"/>
            <w:vMerge w:val="continue"/>
            <w:tcBorders>
              <w:tl2br w:val="nil"/>
              <w:tr2bl w:val="nil"/>
            </w:tcBorders>
            <w:vAlign w:val="center"/>
          </w:tcPr>
          <w:p w14:paraId="4D7BB8DA">
            <w:pPr>
              <w:adjustRightInd w:val="0"/>
              <w:spacing w:line="240" w:lineRule="auto"/>
              <w:jc w:val="center"/>
              <w:rPr>
                <w:rFonts w:hint="default" w:ascii="Times New Roman" w:hAnsi="Times New Roman" w:cs="Times New Roman" w:eastAsiaTheme="minorEastAsia"/>
                <w:color w:val="auto"/>
                <w:sz w:val="18"/>
                <w:szCs w:val="18"/>
              </w:rPr>
            </w:pPr>
          </w:p>
        </w:tc>
        <w:tc>
          <w:tcPr>
            <w:tcW w:w="1006" w:type="dxa"/>
            <w:tcBorders>
              <w:tl2br w:val="nil"/>
              <w:tr2bl w:val="nil"/>
            </w:tcBorders>
            <w:vAlign w:val="center"/>
          </w:tcPr>
          <w:p w14:paraId="00A96EA7">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产生量/(t/a)</w:t>
            </w:r>
          </w:p>
        </w:tc>
        <w:tc>
          <w:tcPr>
            <w:tcW w:w="709" w:type="dxa"/>
            <w:tcBorders>
              <w:tl2br w:val="nil"/>
              <w:tr2bl w:val="nil"/>
            </w:tcBorders>
            <w:vAlign w:val="center"/>
          </w:tcPr>
          <w:p w14:paraId="3B7B87EF">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物理性状</w:t>
            </w:r>
          </w:p>
        </w:tc>
        <w:tc>
          <w:tcPr>
            <w:tcW w:w="1270" w:type="dxa"/>
            <w:tcBorders>
              <w:tl2br w:val="nil"/>
              <w:tr2bl w:val="nil"/>
            </w:tcBorders>
            <w:vAlign w:val="center"/>
          </w:tcPr>
          <w:p w14:paraId="3C441016">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工艺</w:t>
            </w:r>
          </w:p>
        </w:tc>
        <w:tc>
          <w:tcPr>
            <w:tcW w:w="1005" w:type="dxa"/>
            <w:tcBorders>
              <w:tl2br w:val="nil"/>
              <w:tr2bl w:val="nil"/>
            </w:tcBorders>
            <w:vAlign w:val="center"/>
          </w:tcPr>
          <w:p w14:paraId="46AF9393">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处置量/(t/a)</w:t>
            </w:r>
          </w:p>
        </w:tc>
        <w:tc>
          <w:tcPr>
            <w:tcW w:w="1122" w:type="dxa"/>
            <w:vMerge w:val="continue"/>
            <w:tcBorders>
              <w:tl2br w:val="nil"/>
              <w:tr2bl w:val="nil"/>
            </w:tcBorders>
            <w:vAlign w:val="center"/>
          </w:tcPr>
          <w:p w14:paraId="4C381052">
            <w:pPr>
              <w:adjustRightInd w:val="0"/>
              <w:spacing w:line="240" w:lineRule="auto"/>
              <w:jc w:val="center"/>
              <w:rPr>
                <w:rFonts w:hint="default" w:ascii="Times New Roman" w:hAnsi="Times New Roman" w:cs="Times New Roman" w:eastAsiaTheme="minorEastAsia"/>
                <w:color w:val="auto"/>
                <w:sz w:val="18"/>
                <w:szCs w:val="18"/>
              </w:rPr>
            </w:pPr>
          </w:p>
        </w:tc>
      </w:tr>
      <w:tr w14:paraId="5A3560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tcBorders>
              <w:tl2br w:val="nil"/>
              <w:tr2bl w:val="nil"/>
            </w:tcBorders>
            <w:vAlign w:val="center"/>
          </w:tcPr>
          <w:p w14:paraId="5AF74D96">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破碎</w:t>
            </w:r>
            <w:r>
              <w:rPr>
                <w:rFonts w:hint="default" w:ascii="Times New Roman" w:hAnsi="Times New Roman" w:cs="Times New Roman" w:eastAsiaTheme="minorEastAsia"/>
                <w:color w:val="auto"/>
                <w:sz w:val="18"/>
                <w:szCs w:val="18"/>
              </w:rPr>
              <w:t>、筛分、磁选</w:t>
            </w:r>
          </w:p>
        </w:tc>
        <w:tc>
          <w:tcPr>
            <w:tcW w:w="874" w:type="dxa"/>
            <w:tcBorders>
              <w:tl2br w:val="nil"/>
              <w:tr2bl w:val="nil"/>
            </w:tcBorders>
            <w:vAlign w:val="center"/>
          </w:tcPr>
          <w:p w14:paraId="494171A7">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除尘灰</w:t>
            </w:r>
          </w:p>
        </w:tc>
        <w:tc>
          <w:tcPr>
            <w:tcW w:w="709" w:type="dxa"/>
            <w:tcBorders>
              <w:tl2br w:val="nil"/>
              <w:tr2bl w:val="nil"/>
            </w:tcBorders>
            <w:vAlign w:val="center"/>
          </w:tcPr>
          <w:p w14:paraId="3233220E">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一般工业固废</w:t>
            </w:r>
          </w:p>
        </w:tc>
        <w:tc>
          <w:tcPr>
            <w:tcW w:w="875" w:type="dxa"/>
            <w:tcBorders>
              <w:tl2br w:val="nil"/>
              <w:tr2bl w:val="nil"/>
            </w:tcBorders>
            <w:vAlign w:val="center"/>
          </w:tcPr>
          <w:p w14:paraId="5CCA2F45">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p>
        </w:tc>
        <w:tc>
          <w:tcPr>
            <w:tcW w:w="1156" w:type="dxa"/>
            <w:tcBorders>
              <w:tl2br w:val="nil"/>
              <w:tr2bl w:val="nil"/>
            </w:tcBorders>
            <w:vAlign w:val="center"/>
          </w:tcPr>
          <w:p w14:paraId="54058431">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lang w:val="en-US" w:eastAsia="zh-CN"/>
              </w:rPr>
              <w:t>900-009-S59</w:t>
            </w:r>
          </w:p>
        </w:tc>
        <w:tc>
          <w:tcPr>
            <w:tcW w:w="1006" w:type="dxa"/>
            <w:tcBorders>
              <w:tl2br w:val="nil"/>
              <w:tr2bl w:val="nil"/>
            </w:tcBorders>
            <w:vAlign w:val="center"/>
          </w:tcPr>
          <w:p w14:paraId="53913706">
            <w:pPr>
              <w:adjustRightInd w:val="0"/>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97.30</w:t>
            </w:r>
          </w:p>
        </w:tc>
        <w:tc>
          <w:tcPr>
            <w:tcW w:w="709" w:type="dxa"/>
            <w:tcBorders>
              <w:tl2br w:val="nil"/>
              <w:tr2bl w:val="nil"/>
            </w:tcBorders>
            <w:vAlign w:val="center"/>
          </w:tcPr>
          <w:p w14:paraId="5DA13F3F">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固态</w:t>
            </w:r>
          </w:p>
        </w:tc>
        <w:tc>
          <w:tcPr>
            <w:tcW w:w="1270" w:type="dxa"/>
            <w:tcBorders>
              <w:tl2br w:val="nil"/>
              <w:tr2bl w:val="nil"/>
            </w:tcBorders>
            <w:vAlign w:val="center"/>
          </w:tcPr>
          <w:p w14:paraId="0DCB3005">
            <w:pPr>
              <w:adjustRightInd w:val="0"/>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外售新平甬福环保有限公司用于矿渣微粉生产线使用。</w:t>
            </w:r>
          </w:p>
        </w:tc>
        <w:tc>
          <w:tcPr>
            <w:tcW w:w="1005" w:type="dxa"/>
            <w:tcBorders>
              <w:tl2br w:val="nil"/>
              <w:tr2bl w:val="nil"/>
            </w:tcBorders>
            <w:vAlign w:val="center"/>
          </w:tcPr>
          <w:p w14:paraId="74F7B084">
            <w:pPr>
              <w:adjustRightInd w:val="0"/>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97.30</w:t>
            </w:r>
          </w:p>
        </w:tc>
        <w:tc>
          <w:tcPr>
            <w:tcW w:w="1122" w:type="dxa"/>
            <w:tcBorders>
              <w:tl2br w:val="nil"/>
              <w:tr2bl w:val="nil"/>
            </w:tcBorders>
            <w:vAlign w:val="center"/>
          </w:tcPr>
          <w:p w14:paraId="098194A7">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资源化利用</w:t>
            </w:r>
          </w:p>
        </w:tc>
      </w:tr>
      <w:tr w14:paraId="36DFE4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tcBorders>
              <w:tl2br w:val="nil"/>
              <w:tr2bl w:val="nil"/>
            </w:tcBorders>
            <w:vAlign w:val="center"/>
          </w:tcPr>
          <w:p w14:paraId="7ECB30BB">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办公生活</w:t>
            </w:r>
          </w:p>
        </w:tc>
        <w:tc>
          <w:tcPr>
            <w:tcW w:w="874" w:type="dxa"/>
            <w:tcBorders>
              <w:tl2br w:val="nil"/>
              <w:tr2bl w:val="nil"/>
            </w:tcBorders>
            <w:vAlign w:val="center"/>
          </w:tcPr>
          <w:p w14:paraId="7DB3DAB4">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生活垃圾</w:t>
            </w:r>
          </w:p>
        </w:tc>
        <w:tc>
          <w:tcPr>
            <w:tcW w:w="709" w:type="dxa"/>
            <w:tcBorders>
              <w:tl2br w:val="nil"/>
              <w:tr2bl w:val="nil"/>
            </w:tcBorders>
            <w:vAlign w:val="center"/>
          </w:tcPr>
          <w:p w14:paraId="2CECF364">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生活垃圾</w:t>
            </w:r>
          </w:p>
        </w:tc>
        <w:tc>
          <w:tcPr>
            <w:tcW w:w="875" w:type="dxa"/>
            <w:tcBorders>
              <w:tl2br w:val="nil"/>
              <w:tr2bl w:val="nil"/>
            </w:tcBorders>
            <w:vAlign w:val="center"/>
          </w:tcPr>
          <w:p w14:paraId="58DD8664">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p>
        </w:tc>
        <w:tc>
          <w:tcPr>
            <w:tcW w:w="1156" w:type="dxa"/>
            <w:tcBorders>
              <w:tl2br w:val="nil"/>
              <w:tr2bl w:val="nil"/>
            </w:tcBorders>
            <w:vAlign w:val="center"/>
          </w:tcPr>
          <w:p w14:paraId="130E3D45">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lang w:val="en-US" w:eastAsia="zh-CN"/>
              </w:rPr>
              <w:t>900-099-S64</w:t>
            </w:r>
          </w:p>
        </w:tc>
        <w:tc>
          <w:tcPr>
            <w:tcW w:w="1006" w:type="dxa"/>
            <w:tcBorders>
              <w:tl2br w:val="nil"/>
              <w:tr2bl w:val="nil"/>
            </w:tcBorders>
            <w:vAlign w:val="center"/>
          </w:tcPr>
          <w:p w14:paraId="0E6CAA2C">
            <w:pPr>
              <w:adjustRightInd w:val="0"/>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1.5</w:t>
            </w:r>
          </w:p>
        </w:tc>
        <w:tc>
          <w:tcPr>
            <w:tcW w:w="709" w:type="dxa"/>
            <w:tcBorders>
              <w:tl2br w:val="nil"/>
              <w:tr2bl w:val="nil"/>
            </w:tcBorders>
            <w:vAlign w:val="center"/>
          </w:tcPr>
          <w:p w14:paraId="747A1F73">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固态</w:t>
            </w:r>
          </w:p>
        </w:tc>
        <w:tc>
          <w:tcPr>
            <w:tcW w:w="1270" w:type="dxa"/>
            <w:tcBorders>
              <w:tl2br w:val="nil"/>
              <w:tr2bl w:val="nil"/>
            </w:tcBorders>
            <w:vAlign w:val="center"/>
          </w:tcPr>
          <w:p w14:paraId="55D15CBC">
            <w:pPr>
              <w:adjustRightInd w:val="0"/>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依托矿山垃圾池</w:t>
            </w:r>
            <w:r>
              <w:rPr>
                <w:rFonts w:hint="default" w:ascii="Times New Roman" w:hAnsi="Times New Roman" w:cs="Times New Roman" w:eastAsiaTheme="minorEastAsia"/>
                <w:color w:val="auto"/>
                <w:sz w:val="18"/>
                <w:szCs w:val="18"/>
              </w:rPr>
              <w:t>收集后</w:t>
            </w:r>
            <w:r>
              <w:rPr>
                <w:rFonts w:hint="default" w:ascii="Times New Roman" w:hAnsi="Times New Roman" w:cs="Times New Roman" w:eastAsiaTheme="minorEastAsia"/>
                <w:color w:val="auto"/>
                <w:sz w:val="18"/>
                <w:szCs w:val="18"/>
                <w:lang w:val="en-US" w:eastAsia="zh-CN"/>
              </w:rPr>
              <w:t>定期清运至扬武镇生活垃圾集中收集点，统一处置。</w:t>
            </w:r>
          </w:p>
        </w:tc>
        <w:tc>
          <w:tcPr>
            <w:tcW w:w="1005" w:type="dxa"/>
            <w:tcBorders>
              <w:tl2br w:val="nil"/>
              <w:tr2bl w:val="nil"/>
            </w:tcBorders>
            <w:vAlign w:val="center"/>
          </w:tcPr>
          <w:p w14:paraId="16892501">
            <w:pPr>
              <w:adjustRightInd w:val="0"/>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1.5</w:t>
            </w:r>
          </w:p>
        </w:tc>
        <w:tc>
          <w:tcPr>
            <w:tcW w:w="1122" w:type="dxa"/>
            <w:tcBorders>
              <w:tl2br w:val="nil"/>
              <w:tr2bl w:val="nil"/>
            </w:tcBorders>
            <w:vAlign w:val="center"/>
          </w:tcPr>
          <w:p w14:paraId="7DAA14B1">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生活垃圾填埋场或生活垃圾焚烧</w:t>
            </w:r>
          </w:p>
        </w:tc>
      </w:tr>
      <w:tr w14:paraId="4A5983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restart"/>
            <w:tcBorders>
              <w:tl2br w:val="nil"/>
              <w:tr2bl w:val="nil"/>
            </w:tcBorders>
            <w:vAlign w:val="center"/>
          </w:tcPr>
          <w:p w14:paraId="186DF2EC">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机械维修保养</w:t>
            </w:r>
          </w:p>
        </w:tc>
        <w:tc>
          <w:tcPr>
            <w:tcW w:w="874" w:type="dxa"/>
            <w:tcBorders>
              <w:tl2br w:val="nil"/>
              <w:tr2bl w:val="nil"/>
            </w:tcBorders>
            <w:vAlign w:val="center"/>
          </w:tcPr>
          <w:p w14:paraId="375A1D69">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废矿物油及含矿物油废物</w:t>
            </w:r>
          </w:p>
        </w:tc>
        <w:tc>
          <w:tcPr>
            <w:tcW w:w="709" w:type="dxa"/>
            <w:tcBorders>
              <w:tl2br w:val="nil"/>
              <w:tr2bl w:val="nil"/>
            </w:tcBorders>
            <w:vAlign w:val="center"/>
          </w:tcPr>
          <w:p w14:paraId="38A87FBD">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危险废物</w:t>
            </w:r>
          </w:p>
        </w:tc>
        <w:tc>
          <w:tcPr>
            <w:tcW w:w="875" w:type="dxa"/>
            <w:tcBorders>
              <w:tl2br w:val="nil"/>
              <w:tr2bl w:val="nil"/>
            </w:tcBorders>
            <w:vAlign w:val="center"/>
          </w:tcPr>
          <w:p w14:paraId="50683ECA">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Cs/>
                <w:color w:val="auto"/>
                <w:sz w:val="18"/>
                <w:szCs w:val="18"/>
              </w:rPr>
              <w:t>T</w:t>
            </w:r>
            <w:r>
              <w:rPr>
                <w:rFonts w:hint="default" w:ascii="Times New Roman" w:hAnsi="Times New Roman" w:cs="Times New Roman" w:eastAsiaTheme="minorEastAsia"/>
                <w:bCs/>
                <w:color w:val="auto"/>
                <w:sz w:val="18"/>
                <w:szCs w:val="18"/>
                <w:lang w:eastAsia="zh-CN"/>
              </w:rPr>
              <w:t>.</w:t>
            </w:r>
            <w:r>
              <w:rPr>
                <w:rFonts w:hint="default" w:ascii="Times New Roman" w:hAnsi="Times New Roman" w:cs="Times New Roman" w:eastAsiaTheme="minorEastAsia"/>
                <w:bCs/>
                <w:color w:val="auto"/>
                <w:sz w:val="18"/>
                <w:szCs w:val="18"/>
              </w:rPr>
              <w:t>I</w:t>
            </w:r>
          </w:p>
        </w:tc>
        <w:tc>
          <w:tcPr>
            <w:tcW w:w="1156" w:type="dxa"/>
            <w:tcBorders>
              <w:tl2br w:val="nil"/>
              <w:tr2bl w:val="nil"/>
            </w:tcBorders>
            <w:vAlign w:val="center"/>
          </w:tcPr>
          <w:p w14:paraId="1A71DCD6">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900-217-08 900-249-08</w:t>
            </w:r>
          </w:p>
        </w:tc>
        <w:tc>
          <w:tcPr>
            <w:tcW w:w="1006" w:type="dxa"/>
            <w:tcBorders>
              <w:tl2br w:val="nil"/>
              <w:tr2bl w:val="nil"/>
            </w:tcBorders>
            <w:vAlign w:val="center"/>
          </w:tcPr>
          <w:p w14:paraId="55C9F22F">
            <w:pPr>
              <w:adjustRightInd w:val="0"/>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0.01</w:t>
            </w:r>
          </w:p>
        </w:tc>
        <w:tc>
          <w:tcPr>
            <w:tcW w:w="709" w:type="dxa"/>
            <w:tcBorders>
              <w:tl2br w:val="nil"/>
              <w:tr2bl w:val="nil"/>
            </w:tcBorders>
            <w:vAlign w:val="center"/>
          </w:tcPr>
          <w:p w14:paraId="5C8EE108">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液态固态</w:t>
            </w:r>
          </w:p>
        </w:tc>
        <w:tc>
          <w:tcPr>
            <w:tcW w:w="1270" w:type="dxa"/>
            <w:vMerge w:val="restart"/>
            <w:tcBorders>
              <w:tl2br w:val="nil"/>
              <w:tr2bl w:val="nil"/>
            </w:tcBorders>
            <w:vAlign w:val="center"/>
          </w:tcPr>
          <w:p w14:paraId="6DA2ADBE">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bidi="ar"/>
              </w:rPr>
              <w:t>分类收集后暂存于</w:t>
            </w:r>
            <w:r>
              <w:rPr>
                <w:rFonts w:hint="default" w:ascii="Times New Roman" w:hAnsi="Times New Roman" w:cs="Times New Roman"/>
                <w:color w:val="auto"/>
                <w:kern w:val="0"/>
                <w:sz w:val="18"/>
                <w:szCs w:val="18"/>
                <w:lang w:val="en-US" w:eastAsia="zh-CN" w:bidi="ar"/>
              </w:rPr>
              <w:t>矿山</w:t>
            </w:r>
            <w:r>
              <w:rPr>
                <w:rFonts w:hint="default" w:ascii="Times New Roman" w:hAnsi="Times New Roman" w:eastAsia="宋体" w:cs="Times New Roman"/>
                <w:color w:val="auto"/>
                <w:kern w:val="0"/>
                <w:sz w:val="18"/>
                <w:szCs w:val="18"/>
                <w:lang w:bidi="ar"/>
              </w:rPr>
              <w:t>危废暂存间，并入集团公司</w:t>
            </w:r>
            <w:r>
              <w:rPr>
                <w:rFonts w:hint="default" w:ascii="Times New Roman" w:hAnsi="Times New Roman"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统一交给具备处理资质的单位处置。</w:t>
            </w:r>
          </w:p>
        </w:tc>
        <w:tc>
          <w:tcPr>
            <w:tcW w:w="1005" w:type="dxa"/>
            <w:tcBorders>
              <w:tl2br w:val="nil"/>
              <w:tr2bl w:val="nil"/>
            </w:tcBorders>
            <w:vAlign w:val="center"/>
          </w:tcPr>
          <w:p w14:paraId="7496285D">
            <w:pPr>
              <w:adjustRightInd w:val="0"/>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0.01</w:t>
            </w:r>
          </w:p>
        </w:tc>
        <w:tc>
          <w:tcPr>
            <w:tcW w:w="1122" w:type="dxa"/>
            <w:vMerge w:val="restart"/>
            <w:tcBorders>
              <w:tl2br w:val="nil"/>
              <w:tr2bl w:val="nil"/>
            </w:tcBorders>
            <w:vAlign w:val="center"/>
          </w:tcPr>
          <w:p w14:paraId="59945537">
            <w:pPr>
              <w:adjustRightInd w:val="0"/>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云南绿力环保科技有限公司</w:t>
            </w:r>
          </w:p>
        </w:tc>
      </w:tr>
      <w:tr w14:paraId="6B15FD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995" w:type="dxa"/>
            <w:vMerge w:val="continue"/>
            <w:tcBorders>
              <w:tl2br w:val="nil"/>
              <w:tr2bl w:val="nil"/>
            </w:tcBorders>
            <w:vAlign w:val="center"/>
          </w:tcPr>
          <w:p w14:paraId="381747DD">
            <w:pPr>
              <w:adjustRightInd w:val="0"/>
              <w:spacing w:line="240" w:lineRule="auto"/>
              <w:jc w:val="center"/>
              <w:rPr>
                <w:rFonts w:hint="default" w:ascii="Times New Roman" w:hAnsi="Times New Roman" w:cs="Times New Roman" w:eastAsiaTheme="minorEastAsia"/>
                <w:color w:val="auto"/>
                <w:sz w:val="18"/>
                <w:szCs w:val="18"/>
              </w:rPr>
            </w:pPr>
          </w:p>
        </w:tc>
        <w:tc>
          <w:tcPr>
            <w:tcW w:w="874" w:type="dxa"/>
            <w:tcBorders>
              <w:tl2br w:val="nil"/>
              <w:tr2bl w:val="nil"/>
            </w:tcBorders>
            <w:vAlign w:val="center"/>
          </w:tcPr>
          <w:p w14:paraId="7AD74910">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4"/>
                <w:sz w:val="18"/>
                <w:szCs w:val="18"/>
              </w:rPr>
              <w:t>含油抹布及手套</w:t>
            </w:r>
          </w:p>
        </w:tc>
        <w:tc>
          <w:tcPr>
            <w:tcW w:w="709" w:type="dxa"/>
            <w:tcBorders>
              <w:tl2br w:val="nil"/>
              <w:tr2bl w:val="nil"/>
            </w:tcBorders>
            <w:vAlign w:val="center"/>
          </w:tcPr>
          <w:p w14:paraId="3E363E11">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危险废物</w:t>
            </w:r>
          </w:p>
        </w:tc>
        <w:tc>
          <w:tcPr>
            <w:tcW w:w="875" w:type="dxa"/>
            <w:tcBorders>
              <w:tl2br w:val="nil"/>
              <w:tr2bl w:val="nil"/>
            </w:tcBorders>
            <w:vAlign w:val="center"/>
          </w:tcPr>
          <w:p w14:paraId="287197C8">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T/In</w:t>
            </w:r>
          </w:p>
        </w:tc>
        <w:tc>
          <w:tcPr>
            <w:tcW w:w="1156" w:type="dxa"/>
            <w:tcBorders>
              <w:tl2br w:val="nil"/>
              <w:tr2bl w:val="nil"/>
            </w:tcBorders>
            <w:vAlign w:val="center"/>
          </w:tcPr>
          <w:p w14:paraId="4B1980D7">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900-041-49</w:t>
            </w:r>
          </w:p>
        </w:tc>
        <w:tc>
          <w:tcPr>
            <w:tcW w:w="1006" w:type="dxa"/>
            <w:tcBorders>
              <w:tl2br w:val="nil"/>
              <w:tr2bl w:val="nil"/>
            </w:tcBorders>
            <w:vAlign w:val="center"/>
          </w:tcPr>
          <w:p w14:paraId="74DE1F7B">
            <w:pPr>
              <w:adjustRightInd w:val="0"/>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0.01</w:t>
            </w:r>
          </w:p>
        </w:tc>
        <w:tc>
          <w:tcPr>
            <w:tcW w:w="709" w:type="dxa"/>
            <w:tcBorders>
              <w:tl2br w:val="nil"/>
              <w:tr2bl w:val="nil"/>
            </w:tcBorders>
            <w:vAlign w:val="center"/>
          </w:tcPr>
          <w:p w14:paraId="0B3C4233">
            <w:pPr>
              <w:adjustRightInd w:val="0"/>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固态</w:t>
            </w:r>
          </w:p>
        </w:tc>
        <w:tc>
          <w:tcPr>
            <w:tcW w:w="1270" w:type="dxa"/>
            <w:vMerge w:val="continue"/>
            <w:tcBorders>
              <w:tl2br w:val="nil"/>
              <w:tr2bl w:val="nil"/>
            </w:tcBorders>
            <w:vAlign w:val="center"/>
          </w:tcPr>
          <w:p w14:paraId="5D6C18C4">
            <w:pPr>
              <w:adjustRightInd w:val="0"/>
              <w:spacing w:line="240" w:lineRule="auto"/>
              <w:jc w:val="center"/>
              <w:rPr>
                <w:rFonts w:hint="default" w:ascii="Times New Roman" w:hAnsi="Times New Roman" w:cs="Times New Roman" w:eastAsiaTheme="minorEastAsia"/>
                <w:color w:val="auto"/>
                <w:sz w:val="18"/>
                <w:szCs w:val="18"/>
              </w:rPr>
            </w:pPr>
          </w:p>
        </w:tc>
        <w:tc>
          <w:tcPr>
            <w:tcW w:w="1005" w:type="dxa"/>
            <w:tcBorders>
              <w:tl2br w:val="nil"/>
              <w:tr2bl w:val="nil"/>
            </w:tcBorders>
            <w:vAlign w:val="center"/>
          </w:tcPr>
          <w:p w14:paraId="701C28A8">
            <w:pPr>
              <w:adjustRightInd w:val="0"/>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0.01</w:t>
            </w:r>
          </w:p>
        </w:tc>
        <w:tc>
          <w:tcPr>
            <w:tcW w:w="1122" w:type="dxa"/>
            <w:vMerge w:val="continue"/>
            <w:tcBorders>
              <w:tl2br w:val="nil"/>
              <w:tr2bl w:val="nil"/>
            </w:tcBorders>
            <w:vAlign w:val="center"/>
          </w:tcPr>
          <w:p w14:paraId="58C97350">
            <w:pPr>
              <w:adjustRightInd w:val="0"/>
              <w:spacing w:line="240" w:lineRule="auto"/>
              <w:jc w:val="center"/>
              <w:rPr>
                <w:rFonts w:hint="default" w:ascii="Times New Roman" w:hAnsi="Times New Roman" w:cs="Times New Roman" w:eastAsiaTheme="minorEastAsia"/>
                <w:color w:val="auto"/>
                <w:sz w:val="18"/>
                <w:szCs w:val="18"/>
              </w:rPr>
            </w:pPr>
          </w:p>
        </w:tc>
      </w:tr>
      <w:bookmarkEnd w:id="335"/>
    </w:tbl>
    <w:p w14:paraId="621F59DD">
      <w:pPr>
        <w:pStyle w:val="5"/>
        <w:bidi w:val="0"/>
        <w:rPr>
          <w:rFonts w:hint="default" w:ascii="Times New Roman" w:hAnsi="Times New Roman" w:cs="Times New Roman"/>
          <w:lang w:val="en-US"/>
        </w:rPr>
      </w:pPr>
      <w:bookmarkStart w:id="336" w:name="_Toc17335"/>
      <w:bookmarkStart w:id="337" w:name="_Toc16383"/>
      <w:bookmarkStart w:id="338" w:name="_Toc7730"/>
      <w:bookmarkStart w:id="339" w:name="_Toc29607"/>
      <w:bookmarkStart w:id="340" w:name="_Toc14903"/>
      <w:bookmarkStart w:id="341" w:name="_Toc17013"/>
      <w:bookmarkStart w:id="342" w:name="_Toc14834"/>
      <w:r>
        <w:rPr>
          <w:rFonts w:hint="default" w:ascii="Times New Roman" w:hAnsi="Times New Roman" w:cs="Times New Roman"/>
        </w:rPr>
        <w:t>3.</w:t>
      </w:r>
      <w:r>
        <w:rPr>
          <w:rFonts w:hint="default" w:ascii="Times New Roman" w:hAnsi="Times New Roman" w:cs="Times New Roman"/>
          <w:lang w:val="en-US" w:eastAsia="zh-CN"/>
        </w:rPr>
        <w:t>6项目污染源总汇</w:t>
      </w:r>
      <w:bookmarkEnd w:id="336"/>
      <w:bookmarkEnd w:id="337"/>
      <w:bookmarkEnd w:id="338"/>
      <w:bookmarkEnd w:id="339"/>
      <w:bookmarkEnd w:id="340"/>
      <w:bookmarkEnd w:id="341"/>
      <w:bookmarkEnd w:id="342"/>
    </w:p>
    <w:p w14:paraId="7882F836">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szCs w:val="24"/>
          <w:lang w:val="en-US" w:eastAsia="zh-CN"/>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AndChars" w:linePitch="326" w:charSpace="0"/>
        </w:sectPr>
      </w:pPr>
      <w:r>
        <w:rPr>
          <w:rFonts w:hint="default" w:ascii="Times New Roman" w:hAnsi="Times New Roman" w:cs="Times New Roman"/>
          <w:color w:val="auto"/>
          <w:sz w:val="24"/>
          <w:szCs w:val="24"/>
          <w:lang w:val="en-US" w:eastAsia="zh-CN"/>
        </w:rPr>
        <w:t>根据以上工程分析，项目建成后，污染物排放总汇详见下表。</w:t>
      </w:r>
    </w:p>
    <w:p w14:paraId="284C1DCB">
      <w:pPr>
        <w:pStyle w:val="2"/>
        <w:jc w:val="center"/>
        <w:rPr>
          <w:rFonts w:hint="default" w:ascii="Times New Roman" w:hAnsi="Times New Roman" w:eastAsia="黑体" w:cs="Times New Roman"/>
          <w:b w:val="0"/>
          <w:bCs/>
          <w:snapToGrid w:val="0"/>
          <w:color w:val="auto"/>
          <w:kern w:val="0"/>
          <w:sz w:val="21"/>
          <w:szCs w:val="21"/>
          <w:highlight w:val="none"/>
          <w:lang w:val="en-US" w:eastAsia="zh-CN" w:bidi="ar-SA"/>
        </w:rPr>
      </w:pPr>
      <w:r>
        <w:rPr>
          <w:rFonts w:hint="default" w:ascii="Times New Roman" w:hAnsi="Times New Roman" w:eastAsia="黑体" w:cs="Times New Roman"/>
          <w:b w:val="0"/>
          <w:bCs/>
          <w:snapToGrid w:val="0"/>
          <w:color w:val="auto"/>
          <w:kern w:val="0"/>
          <w:sz w:val="21"/>
          <w:szCs w:val="21"/>
          <w:highlight w:val="none"/>
          <w:lang w:val="en-US" w:eastAsia="zh-CN" w:bidi="ar-SA"/>
        </w:rPr>
        <w:t>表3.6-1  本项目主要污染物源强汇总表</w:t>
      </w:r>
    </w:p>
    <w:tbl>
      <w:tblPr>
        <w:tblStyle w:val="29"/>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844"/>
        <w:gridCol w:w="1115"/>
        <w:gridCol w:w="847"/>
        <w:gridCol w:w="1061"/>
        <w:gridCol w:w="1087"/>
        <w:gridCol w:w="1086"/>
        <w:gridCol w:w="1291"/>
        <w:gridCol w:w="3073"/>
        <w:gridCol w:w="1416"/>
        <w:gridCol w:w="881"/>
        <w:gridCol w:w="858"/>
      </w:tblGrid>
      <w:tr w14:paraId="3458E8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gridSpan w:val="2"/>
            <w:vMerge w:val="restart"/>
            <w:tcBorders>
              <w:tl2br w:val="nil"/>
              <w:tr2bl w:val="nil"/>
            </w:tcBorders>
            <w:noWrap w:val="0"/>
            <w:vAlign w:val="center"/>
          </w:tcPr>
          <w:p w14:paraId="1F88393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污染类型</w:t>
            </w:r>
          </w:p>
        </w:tc>
        <w:tc>
          <w:tcPr>
            <w:tcW w:w="392" w:type="pct"/>
            <w:vMerge w:val="restart"/>
            <w:tcBorders>
              <w:tl2br w:val="nil"/>
              <w:tr2bl w:val="nil"/>
            </w:tcBorders>
            <w:noWrap w:val="0"/>
            <w:vAlign w:val="center"/>
          </w:tcPr>
          <w:p w14:paraId="0CEF3F5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污染源</w:t>
            </w:r>
          </w:p>
        </w:tc>
        <w:tc>
          <w:tcPr>
            <w:tcW w:w="298" w:type="pct"/>
            <w:vMerge w:val="restart"/>
            <w:tcBorders>
              <w:tl2br w:val="nil"/>
              <w:tr2bl w:val="nil"/>
            </w:tcBorders>
            <w:noWrap w:val="0"/>
            <w:vAlign w:val="center"/>
          </w:tcPr>
          <w:p w14:paraId="618D6D15">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排放形式</w:t>
            </w:r>
          </w:p>
        </w:tc>
        <w:tc>
          <w:tcPr>
            <w:tcW w:w="373" w:type="pct"/>
            <w:vMerge w:val="restart"/>
            <w:tcBorders>
              <w:tl2br w:val="nil"/>
              <w:tr2bl w:val="nil"/>
            </w:tcBorders>
            <w:noWrap w:val="0"/>
            <w:vAlign w:val="center"/>
          </w:tcPr>
          <w:p w14:paraId="188E463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主要污染物</w:t>
            </w:r>
          </w:p>
        </w:tc>
        <w:tc>
          <w:tcPr>
            <w:tcW w:w="1218" w:type="pct"/>
            <w:gridSpan w:val="3"/>
            <w:tcBorders>
              <w:tl2br w:val="nil"/>
              <w:tr2bl w:val="nil"/>
            </w:tcBorders>
            <w:noWrap w:val="0"/>
            <w:vAlign w:val="center"/>
          </w:tcPr>
          <w:p w14:paraId="5B2B547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产生</w:t>
            </w:r>
            <w:r>
              <w:rPr>
                <w:rFonts w:hint="default" w:ascii="Times New Roman" w:hAnsi="Times New Roman" w:cs="Times New Roman"/>
                <w:color w:val="auto"/>
                <w:sz w:val="18"/>
                <w:szCs w:val="18"/>
                <w:highlight w:val="none"/>
                <w:lang w:val="en-US" w:eastAsia="zh-CN"/>
              </w:rPr>
              <w:t>情况</w:t>
            </w:r>
          </w:p>
        </w:tc>
        <w:tc>
          <w:tcPr>
            <w:tcW w:w="1081" w:type="pct"/>
            <w:vMerge w:val="restart"/>
            <w:tcBorders>
              <w:tl2br w:val="nil"/>
              <w:tr2bl w:val="nil"/>
            </w:tcBorders>
            <w:noWrap w:val="0"/>
            <w:vAlign w:val="center"/>
          </w:tcPr>
          <w:p w14:paraId="001370F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处理措施</w:t>
            </w:r>
          </w:p>
        </w:tc>
        <w:tc>
          <w:tcPr>
            <w:tcW w:w="1110" w:type="pct"/>
            <w:gridSpan w:val="3"/>
            <w:tcBorders>
              <w:tl2br w:val="nil"/>
              <w:tr2bl w:val="nil"/>
            </w:tcBorders>
            <w:noWrap w:val="0"/>
            <w:vAlign w:val="center"/>
          </w:tcPr>
          <w:p w14:paraId="7A425E7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w:t>
            </w:r>
            <w:r>
              <w:rPr>
                <w:rFonts w:hint="default" w:ascii="Times New Roman" w:hAnsi="Times New Roman" w:cs="Times New Roman"/>
                <w:color w:val="auto"/>
                <w:sz w:val="18"/>
                <w:szCs w:val="18"/>
                <w:highlight w:val="none"/>
                <w:lang w:val="en-US" w:eastAsia="zh-CN"/>
              </w:rPr>
              <w:t>情况</w:t>
            </w:r>
          </w:p>
        </w:tc>
      </w:tr>
      <w:tr w14:paraId="1CB911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gridSpan w:val="2"/>
            <w:vMerge w:val="continue"/>
            <w:tcBorders>
              <w:tl2br w:val="nil"/>
              <w:tr2bl w:val="nil"/>
            </w:tcBorders>
            <w:noWrap w:val="0"/>
            <w:vAlign w:val="center"/>
          </w:tcPr>
          <w:p w14:paraId="0B65CA2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392" w:type="pct"/>
            <w:vMerge w:val="continue"/>
            <w:tcBorders>
              <w:tl2br w:val="nil"/>
              <w:tr2bl w:val="nil"/>
            </w:tcBorders>
            <w:noWrap w:val="0"/>
            <w:vAlign w:val="center"/>
          </w:tcPr>
          <w:p w14:paraId="7E75407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p>
        </w:tc>
        <w:tc>
          <w:tcPr>
            <w:tcW w:w="298" w:type="pct"/>
            <w:vMerge w:val="continue"/>
            <w:tcBorders>
              <w:tl2br w:val="nil"/>
              <w:tr2bl w:val="nil"/>
            </w:tcBorders>
            <w:noWrap w:val="0"/>
            <w:vAlign w:val="center"/>
          </w:tcPr>
          <w:p w14:paraId="7F8AD8E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p>
        </w:tc>
        <w:tc>
          <w:tcPr>
            <w:tcW w:w="373" w:type="pct"/>
            <w:vMerge w:val="continue"/>
            <w:tcBorders>
              <w:tl2br w:val="nil"/>
              <w:tr2bl w:val="nil"/>
            </w:tcBorders>
            <w:noWrap w:val="0"/>
            <w:vAlign w:val="center"/>
          </w:tcPr>
          <w:p w14:paraId="42BCAC1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382" w:type="pct"/>
            <w:tcBorders>
              <w:tl2br w:val="nil"/>
              <w:tr2bl w:val="nil"/>
            </w:tcBorders>
            <w:noWrap w:val="0"/>
            <w:vAlign w:val="center"/>
          </w:tcPr>
          <w:p w14:paraId="0708018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浓度（mg/m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w:t>
            </w:r>
          </w:p>
        </w:tc>
        <w:tc>
          <w:tcPr>
            <w:tcW w:w="382" w:type="pct"/>
            <w:tcBorders>
              <w:tl2br w:val="nil"/>
              <w:tr2bl w:val="nil"/>
            </w:tcBorders>
            <w:noWrap w:val="0"/>
            <w:vAlign w:val="center"/>
          </w:tcPr>
          <w:p w14:paraId="27197E8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速率（kg/h）</w:t>
            </w:r>
          </w:p>
        </w:tc>
        <w:tc>
          <w:tcPr>
            <w:tcW w:w="454" w:type="pct"/>
            <w:tcBorders>
              <w:tl2br w:val="nil"/>
              <w:tr2bl w:val="nil"/>
            </w:tcBorders>
            <w:noWrap w:val="0"/>
            <w:vAlign w:val="center"/>
          </w:tcPr>
          <w:p w14:paraId="672C440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产生量（t/a）</w:t>
            </w:r>
          </w:p>
        </w:tc>
        <w:tc>
          <w:tcPr>
            <w:tcW w:w="1081" w:type="pct"/>
            <w:vMerge w:val="continue"/>
            <w:tcBorders>
              <w:tl2br w:val="nil"/>
              <w:tr2bl w:val="nil"/>
            </w:tcBorders>
            <w:noWrap w:val="0"/>
            <w:vAlign w:val="center"/>
          </w:tcPr>
          <w:p w14:paraId="4F58A11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498" w:type="pct"/>
            <w:tcBorders>
              <w:tl2br w:val="nil"/>
              <w:tr2bl w:val="nil"/>
            </w:tcBorders>
            <w:noWrap w:val="0"/>
            <w:vAlign w:val="center"/>
          </w:tcPr>
          <w:p w14:paraId="45189EC5">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浓度（mg/m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w:t>
            </w:r>
          </w:p>
        </w:tc>
        <w:tc>
          <w:tcPr>
            <w:tcW w:w="309" w:type="pct"/>
            <w:tcBorders>
              <w:tl2br w:val="nil"/>
              <w:tr2bl w:val="nil"/>
            </w:tcBorders>
            <w:noWrap w:val="0"/>
            <w:vAlign w:val="center"/>
          </w:tcPr>
          <w:p w14:paraId="23A9EB9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速率（kg/h）</w:t>
            </w:r>
          </w:p>
        </w:tc>
        <w:tc>
          <w:tcPr>
            <w:tcW w:w="301" w:type="pct"/>
            <w:tcBorders>
              <w:tl2br w:val="nil"/>
              <w:tr2bl w:val="nil"/>
            </w:tcBorders>
            <w:noWrap w:val="0"/>
            <w:vAlign w:val="center"/>
          </w:tcPr>
          <w:p w14:paraId="77A5A37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排放量（t/a）</w:t>
            </w:r>
          </w:p>
        </w:tc>
      </w:tr>
      <w:tr w14:paraId="3ECF60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9" w:type="pct"/>
            <w:vMerge w:val="restart"/>
            <w:tcBorders>
              <w:tl2br w:val="nil"/>
              <w:tr2bl w:val="nil"/>
            </w:tcBorders>
            <w:noWrap w:val="0"/>
            <w:vAlign w:val="center"/>
          </w:tcPr>
          <w:p w14:paraId="7C4613E8">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w:t>
            </w:r>
          </w:p>
        </w:tc>
        <w:tc>
          <w:tcPr>
            <w:tcW w:w="296" w:type="pct"/>
            <w:tcBorders>
              <w:tl2br w:val="nil"/>
              <w:tr2bl w:val="nil"/>
            </w:tcBorders>
            <w:noWrap w:val="0"/>
            <w:vAlign w:val="center"/>
          </w:tcPr>
          <w:p w14:paraId="6B21706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有组织</w:t>
            </w:r>
          </w:p>
        </w:tc>
        <w:tc>
          <w:tcPr>
            <w:tcW w:w="392" w:type="pct"/>
            <w:tcBorders>
              <w:tl2br w:val="nil"/>
              <w:tr2bl w:val="nil"/>
            </w:tcBorders>
            <w:noWrap w:val="0"/>
            <w:vAlign w:val="center"/>
          </w:tcPr>
          <w:p w14:paraId="289EFA1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DA001</w:t>
            </w:r>
          </w:p>
        </w:tc>
        <w:tc>
          <w:tcPr>
            <w:tcW w:w="298" w:type="pct"/>
            <w:tcBorders>
              <w:tl2br w:val="nil"/>
              <w:tr2bl w:val="nil"/>
            </w:tcBorders>
            <w:noWrap w:val="0"/>
            <w:vAlign w:val="center"/>
          </w:tcPr>
          <w:p w14:paraId="321F136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有组织</w:t>
            </w:r>
          </w:p>
        </w:tc>
        <w:tc>
          <w:tcPr>
            <w:tcW w:w="373" w:type="pct"/>
            <w:tcBorders>
              <w:tl2br w:val="nil"/>
              <w:tr2bl w:val="nil"/>
            </w:tcBorders>
            <w:noWrap w:val="0"/>
            <w:vAlign w:val="center"/>
          </w:tcPr>
          <w:p w14:paraId="4B82BCD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382" w:type="pct"/>
            <w:tcBorders>
              <w:tl2br w:val="nil"/>
              <w:tr2bl w:val="nil"/>
            </w:tcBorders>
            <w:noWrap w:val="0"/>
            <w:vAlign w:val="center"/>
          </w:tcPr>
          <w:p w14:paraId="6674A56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1018.7</w:t>
            </w:r>
          </w:p>
        </w:tc>
        <w:tc>
          <w:tcPr>
            <w:tcW w:w="382" w:type="pct"/>
            <w:tcBorders>
              <w:tl2br w:val="nil"/>
              <w:tr2bl w:val="nil"/>
            </w:tcBorders>
            <w:noWrap w:val="0"/>
            <w:vAlign w:val="center"/>
          </w:tcPr>
          <w:p w14:paraId="578B69D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40.75</w:t>
            </w:r>
          </w:p>
        </w:tc>
        <w:tc>
          <w:tcPr>
            <w:tcW w:w="454" w:type="pct"/>
            <w:tcBorders>
              <w:tl2br w:val="nil"/>
              <w:tr2bl w:val="nil"/>
            </w:tcBorders>
            <w:noWrap w:val="0"/>
            <w:vAlign w:val="center"/>
          </w:tcPr>
          <w:p w14:paraId="35620D0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97.79</w:t>
            </w:r>
          </w:p>
        </w:tc>
        <w:tc>
          <w:tcPr>
            <w:tcW w:w="1081" w:type="pct"/>
            <w:tcBorders>
              <w:tl2br w:val="nil"/>
              <w:tr2bl w:val="nil"/>
            </w:tcBorders>
            <w:noWrap w:val="0"/>
            <w:vAlign w:val="center"/>
          </w:tcPr>
          <w:p w14:paraId="61510220">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“集气罩</w:t>
            </w:r>
            <w:r>
              <w:rPr>
                <w:rFonts w:hint="default" w:ascii="Times New Roman" w:hAnsi="Times New Roman" w:cs="Times New Roman"/>
                <w:color w:val="auto"/>
                <w:kern w:val="0"/>
                <w:sz w:val="18"/>
                <w:szCs w:val="18"/>
                <w:highlight w:val="none"/>
                <w:lang w:val="en-US" w:eastAsia="zh-CN"/>
              </w:rPr>
              <w:t>+</w:t>
            </w:r>
            <w:r>
              <w:rPr>
                <w:rFonts w:hint="default" w:ascii="Times New Roman" w:hAnsi="Times New Roman" w:eastAsia="宋体" w:cs="Times New Roman"/>
                <w:color w:val="auto"/>
                <w:kern w:val="0"/>
                <w:sz w:val="18"/>
                <w:szCs w:val="18"/>
                <w:highlight w:val="none"/>
                <w:lang w:val="en-US" w:eastAsia="zh-CN"/>
              </w:rPr>
              <w:t>布袋收尘器”（收集效率</w:t>
            </w:r>
            <w:r>
              <w:rPr>
                <w:rFonts w:hint="default" w:ascii="Times New Roman" w:hAnsi="Times New Roman" w:cs="Times New Roman"/>
                <w:color w:val="auto"/>
                <w:kern w:val="0"/>
                <w:sz w:val="18"/>
                <w:szCs w:val="18"/>
                <w:highlight w:val="none"/>
                <w:lang w:val="en-US" w:eastAsia="zh-CN"/>
              </w:rPr>
              <w:t>85</w:t>
            </w:r>
            <w:r>
              <w:rPr>
                <w:rFonts w:hint="default" w:ascii="Times New Roman" w:hAnsi="Times New Roman" w:eastAsia="宋体" w:cs="Times New Roman"/>
                <w:color w:val="auto"/>
                <w:kern w:val="0"/>
                <w:sz w:val="18"/>
                <w:szCs w:val="18"/>
                <w:highlight w:val="none"/>
                <w:lang w:val="en-US" w:eastAsia="zh-CN"/>
              </w:rPr>
              <w:t>%、去除率99</w:t>
            </w:r>
            <w:r>
              <w:rPr>
                <w:rFonts w:hint="default" w:ascii="Times New Roman" w:hAnsi="Times New Roman" w:cs="Times New Roman"/>
                <w:color w:val="auto"/>
                <w:kern w:val="0"/>
                <w:sz w:val="18"/>
                <w:szCs w:val="18"/>
                <w:highlight w:val="none"/>
                <w:lang w:val="en-US" w:eastAsia="zh-CN"/>
              </w:rPr>
              <w:t>.5</w:t>
            </w:r>
            <w:r>
              <w:rPr>
                <w:rFonts w:hint="default" w:ascii="Times New Roman" w:hAnsi="Times New Roman" w:eastAsia="宋体" w:cs="Times New Roman"/>
                <w:color w:val="auto"/>
                <w:kern w:val="0"/>
                <w:sz w:val="18"/>
                <w:szCs w:val="18"/>
                <w:highlight w:val="none"/>
                <w:lang w:val="en-US" w:eastAsia="zh-CN"/>
              </w:rPr>
              <w:t>%），处理后废气经过15m高排气筒排放</w:t>
            </w:r>
            <w:r>
              <w:rPr>
                <w:rFonts w:hint="default" w:ascii="Times New Roman" w:hAnsi="Times New Roman" w:cs="Times New Roman"/>
                <w:color w:val="auto"/>
                <w:kern w:val="0"/>
                <w:sz w:val="18"/>
                <w:szCs w:val="18"/>
                <w:highlight w:val="none"/>
                <w:lang w:val="en-US" w:eastAsia="zh-CN"/>
              </w:rPr>
              <w:t>。</w:t>
            </w:r>
          </w:p>
        </w:tc>
        <w:tc>
          <w:tcPr>
            <w:tcW w:w="498" w:type="pct"/>
            <w:tcBorders>
              <w:tl2br w:val="nil"/>
              <w:tr2bl w:val="nil"/>
            </w:tcBorders>
            <w:noWrap w:val="0"/>
            <w:vAlign w:val="center"/>
          </w:tcPr>
          <w:p w14:paraId="259786D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5.1</w:t>
            </w:r>
          </w:p>
        </w:tc>
        <w:tc>
          <w:tcPr>
            <w:tcW w:w="309" w:type="pct"/>
            <w:tcBorders>
              <w:tl2br w:val="nil"/>
              <w:tr2bl w:val="nil"/>
            </w:tcBorders>
            <w:noWrap w:val="0"/>
            <w:vAlign w:val="center"/>
          </w:tcPr>
          <w:p w14:paraId="3DFC5E2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0.204</w:t>
            </w:r>
          </w:p>
        </w:tc>
        <w:tc>
          <w:tcPr>
            <w:tcW w:w="301" w:type="pct"/>
            <w:tcBorders>
              <w:tl2br w:val="nil"/>
              <w:tr2bl w:val="nil"/>
            </w:tcBorders>
            <w:noWrap w:val="0"/>
            <w:vAlign w:val="center"/>
          </w:tcPr>
          <w:p w14:paraId="1B5451A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0.489</w:t>
            </w:r>
          </w:p>
        </w:tc>
      </w:tr>
      <w:tr w14:paraId="04FFF0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9" w:type="pct"/>
            <w:vMerge w:val="continue"/>
            <w:tcBorders>
              <w:tl2br w:val="nil"/>
              <w:tr2bl w:val="nil"/>
            </w:tcBorders>
            <w:noWrap w:val="0"/>
            <w:vAlign w:val="center"/>
          </w:tcPr>
          <w:p w14:paraId="386357A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296" w:type="pct"/>
            <w:vMerge w:val="restart"/>
            <w:tcBorders>
              <w:tl2br w:val="nil"/>
              <w:tr2bl w:val="nil"/>
            </w:tcBorders>
            <w:noWrap w:val="0"/>
            <w:vAlign w:val="center"/>
          </w:tcPr>
          <w:p w14:paraId="14C0373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无组织</w:t>
            </w:r>
          </w:p>
        </w:tc>
        <w:tc>
          <w:tcPr>
            <w:tcW w:w="392" w:type="pct"/>
            <w:tcBorders>
              <w:tl2br w:val="nil"/>
              <w:tr2bl w:val="nil"/>
            </w:tcBorders>
            <w:noWrap w:val="0"/>
            <w:vAlign w:val="center"/>
          </w:tcPr>
          <w:p w14:paraId="63BA4015">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lang w:val="en-US" w:eastAsia="zh-CN"/>
              </w:rPr>
              <w:t>生产工艺无组织</w:t>
            </w:r>
            <w:r>
              <w:rPr>
                <w:rFonts w:hint="default" w:ascii="Times New Roman" w:hAnsi="Times New Roman" w:cs="Times New Roman"/>
                <w:color w:val="auto"/>
                <w:sz w:val="18"/>
                <w:szCs w:val="18"/>
              </w:rPr>
              <w:t>粉尘</w:t>
            </w:r>
          </w:p>
        </w:tc>
        <w:tc>
          <w:tcPr>
            <w:tcW w:w="298" w:type="pct"/>
            <w:tcBorders>
              <w:tl2br w:val="nil"/>
              <w:tr2bl w:val="nil"/>
            </w:tcBorders>
            <w:noWrap w:val="0"/>
            <w:vAlign w:val="center"/>
          </w:tcPr>
          <w:p w14:paraId="20E2DD1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无组织</w:t>
            </w:r>
          </w:p>
        </w:tc>
        <w:tc>
          <w:tcPr>
            <w:tcW w:w="373" w:type="pct"/>
            <w:tcBorders>
              <w:tl2br w:val="nil"/>
              <w:tr2bl w:val="nil"/>
            </w:tcBorders>
            <w:noWrap w:val="0"/>
            <w:vAlign w:val="center"/>
          </w:tcPr>
          <w:p w14:paraId="61E9FB9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颗粒物</w:t>
            </w:r>
          </w:p>
        </w:tc>
        <w:tc>
          <w:tcPr>
            <w:tcW w:w="382" w:type="pct"/>
            <w:tcBorders>
              <w:tl2br w:val="nil"/>
              <w:tr2bl w:val="nil"/>
            </w:tcBorders>
            <w:noWrap w:val="0"/>
            <w:vAlign w:val="center"/>
          </w:tcPr>
          <w:p w14:paraId="0C22D64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2" w:type="pct"/>
            <w:tcBorders>
              <w:tl2br w:val="nil"/>
              <w:tr2bl w:val="nil"/>
            </w:tcBorders>
            <w:noWrap w:val="0"/>
            <w:vAlign w:val="center"/>
          </w:tcPr>
          <w:p w14:paraId="055AF6B8">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7.19</w:t>
            </w:r>
          </w:p>
        </w:tc>
        <w:tc>
          <w:tcPr>
            <w:tcW w:w="454" w:type="pct"/>
            <w:tcBorders>
              <w:tl2br w:val="nil"/>
              <w:tr2bl w:val="nil"/>
            </w:tcBorders>
            <w:noWrap w:val="0"/>
            <w:vAlign w:val="center"/>
          </w:tcPr>
          <w:p w14:paraId="47FBC398">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17.26</w:t>
            </w:r>
          </w:p>
        </w:tc>
        <w:tc>
          <w:tcPr>
            <w:tcW w:w="1081" w:type="pct"/>
            <w:tcBorders>
              <w:tl2br w:val="nil"/>
              <w:tr2bl w:val="nil"/>
            </w:tcBorders>
            <w:noWrap w:val="0"/>
            <w:vAlign w:val="center"/>
          </w:tcPr>
          <w:p w14:paraId="232AEF43">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sz w:val="18"/>
                <w:szCs w:val="18"/>
                <w:lang w:val="en-US" w:eastAsia="zh-CN"/>
              </w:rPr>
              <w:t>设备封闭</w:t>
            </w:r>
            <w:r>
              <w:rPr>
                <w:rFonts w:hint="default" w:ascii="Times New Roman" w:hAnsi="Times New Roman" w:cs="Times New Roman"/>
                <w:color w:val="auto"/>
                <w:sz w:val="18"/>
                <w:szCs w:val="18"/>
              </w:rPr>
              <w:t>和喷雾降尘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无组织粉尘</w:t>
            </w:r>
            <w:r>
              <w:rPr>
                <w:rFonts w:hint="default" w:ascii="Times New Roman" w:hAnsi="Times New Roman" w:cs="Times New Roman"/>
                <w:color w:val="auto"/>
                <w:sz w:val="18"/>
                <w:szCs w:val="18"/>
                <w:lang w:val="en-US" w:eastAsia="zh-CN"/>
              </w:rPr>
              <w:t>综合</w:t>
            </w:r>
            <w:r>
              <w:rPr>
                <w:rFonts w:hint="default" w:ascii="Times New Roman" w:hAnsi="Times New Roman" w:cs="Times New Roman"/>
                <w:color w:val="auto"/>
                <w:sz w:val="18"/>
                <w:szCs w:val="18"/>
              </w:rPr>
              <w:t>控制效率</w:t>
            </w:r>
            <w:r>
              <w:rPr>
                <w:rFonts w:hint="default" w:ascii="Times New Roman" w:hAnsi="Times New Roman" w:cs="Times New Roman"/>
                <w:color w:val="auto"/>
                <w:sz w:val="18"/>
                <w:szCs w:val="18"/>
                <w:lang w:val="en-US" w:eastAsia="zh-CN"/>
              </w:rPr>
              <w:t>97.4</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w:t>
            </w:r>
          </w:p>
        </w:tc>
        <w:tc>
          <w:tcPr>
            <w:tcW w:w="498" w:type="pct"/>
            <w:tcBorders>
              <w:tl2br w:val="nil"/>
              <w:tr2bl w:val="nil"/>
            </w:tcBorders>
            <w:noWrap w:val="0"/>
            <w:vAlign w:val="center"/>
          </w:tcPr>
          <w:p w14:paraId="4D2D973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09" w:type="pct"/>
            <w:tcBorders>
              <w:tl2br w:val="nil"/>
              <w:tr2bl w:val="nil"/>
            </w:tcBorders>
            <w:noWrap w:val="0"/>
            <w:vAlign w:val="center"/>
          </w:tcPr>
          <w:p w14:paraId="7E8DB6D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0.187</w:t>
            </w:r>
          </w:p>
        </w:tc>
        <w:tc>
          <w:tcPr>
            <w:tcW w:w="301" w:type="pct"/>
            <w:tcBorders>
              <w:tl2br w:val="nil"/>
              <w:tr2bl w:val="nil"/>
            </w:tcBorders>
            <w:noWrap w:val="0"/>
            <w:vAlign w:val="center"/>
          </w:tcPr>
          <w:p w14:paraId="07C90B8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0.449</w:t>
            </w:r>
          </w:p>
        </w:tc>
      </w:tr>
      <w:tr w14:paraId="404450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9" w:type="pct"/>
            <w:vMerge w:val="continue"/>
            <w:tcBorders>
              <w:tl2br w:val="nil"/>
              <w:tr2bl w:val="nil"/>
            </w:tcBorders>
            <w:noWrap w:val="0"/>
            <w:vAlign w:val="center"/>
          </w:tcPr>
          <w:p w14:paraId="77339AC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296" w:type="pct"/>
            <w:vMerge w:val="continue"/>
            <w:tcBorders>
              <w:tl2br w:val="nil"/>
              <w:tr2bl w:val="nil"/>
            </w:tcBorders>
            <w:noWrap w:val="0"/>
            <w:vAlign w:val="center"/>
          </w:tcPr>
          <w:p w14:paraId="1AC6E78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392" w:type="pct"/>
            <w:tcBorders>
              <w:tl2br w:val="nil"/>
              <w:tr2bl w:val="nil"/>
            </w:tcBorders>
            <w:noWrap w:val="0"/>
            <w:vAlign w:val="center"/>
          </w:tcPr>
          <w:p w14:paraId="0143BC9A">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原矿料</w:t>
            </w:r>
            <w:r>
              <w:rPr>
                <w:rFonts w:hint="default" w:ascii="Times New Roman" w:hAnsi="Times New Roman" w:cs="Times New Roman"/>
                <w:color w:val="auto"/>
                <w:sz w:val="18"/>
                <w:szCs w:val="18"/>
                <w:lang w:val="en-US" w:eastAsia="zh-CN"/>
              </w:rPr>
              <w:t>斗</w:t>
            </w:r>
            <w:r>
              <w:rPr>
                <w:rFonts w:hint="default" w:ascii="Times New Roman" w:hAnsi="Times New Roman" w:cs="Times New Roman"/>
                <w:color w:val="auto"/>
                <w:sz w:val="18"/>
                <w:szCs w:val="18"/>
              </w:rPr>
              <w:t>给料粉尘</w:t>
            </w:r>
          </w:p>
        </w:tc>
        <w:tc>
          <w:tcPr>
            <w:tcW w:w="298" w:type="pct"/>
            <w:tcBorders>
              <w:tl2br w:val="nil"/>
              <w:tr2bl w:val="nil"/>
            </w:tcBorders>
            <w:noWrap w:val="0"/>
            <w:vAlign w:val="center"/>
          </w:tcPr>
          <w:p w14:paraId="447519D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无组织</w:t>
            </w:r>
          </w:p>
        </w:tc>
        <w:tc>
          <w:tcPr>
            <w:tcW w:w="373" w:type="pct"/>
            <w:tcBorders>
              <w:tl2br w:val="nil"/>
              <w:tr2bl w:val="nil"/>
            </w:tcBorders>
            <w:noWrap w:val="0"/>
            <w:vAlign w:val="center"/>
          </w:tcPr>
          <w:p w14:paraId="1916187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382" w:type="pct"/>
            <w:tcBorders>
              <w:tl2br w:val="nil"/>
              <w:tr2bl w:val="nil"/>
            </w:tcBorders>
            <w:noWrap w:val="0"/>
            <w:vAlign w:val="center"/>
          </w:tcPr>
          <w:p w14:paraId="2482051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2" w:type="pct"/>
            <w:tcBorders>
              <w:tl2br w:val="nil"/>
              <w:tr2bl w:val="nil"/>
            </w:tcBorders>
            <w:noWrap w:val="0"/>
            <w:vAlign w:val="center"/>
          </w:tcPr>
          <w:p w14:paraId="14906ED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0.83</w:t>
            </w:r>
          </w:p>
        </w:tc>
        <w:tc>
          <w:tcPr>
            <w:tcW w:w="454" w:type="pct"/>
            <w:tcBorders>
              <w:tl2br w:val="nil"/>
              <w:tr2bl w:val="nil"/>
            </w:tcBorders>
            <w:noWrap w:val="0"/>
            <w:vAlign w:val="center"/>
          </w:tcPr>
          <w:p w14:paraId="714F3FD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1081" w:type="pct"/>
            <w:tcBorders>
              <w:tl2br w:val="nil"/>
              <w:tr2bl w:val="nil"/>
            </w:tcBorders>
            <w:noWrap w:val="0"/>
            <w:vAlign w:val="center"/>
          </w:tcPr>
          <w:p w14:paraId="688ABBAF">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原矿料</w:t>
            </w:r>
            <w:r>
              <w:rPr>
                <w:rFonts w:hint="default" w:ascii="Times New Roman" w:hAnsi="Times New Roman" w:cs="Times New Roman"/>
                <w:color w:val="auto"/>
                <w:sz w:val="18"/>
                <w:szCs w:val="18"/>
                <w:lang w:val="en-US" w:eastAsia="zh-CN"/>
              </w:rPr>
              <w:t>斗</w:t>
            </w:r>
            <w:r>
              <w:rPr>
                <w:rFonts w:hint="default" w:ascii="Times New Roman" w:hAnsi="Times New Roman" w:eastAsia="宋体" w:cs="Times New Roman"/>
                <w:color w:val="auto"/>
                <w:sz w:val="18"/>
                <w:szCs w:val="18"/>
                <w:lang w:val="en-US" w:eastAsia="zh-CN"/>
              </w:rPr>
              <w:t>设置</w:t>
            </w:r>
            <w:r>
              <w:rPr>
                <w:rFonts w:hint="default" w:ascii="Times New Roman" w:hAnsi="Times New Roman" w:cs="Times New Roman"/>
                <w:color w:val="auto"/>
                <w:sz w:val="18"/>
                <w:szCs w:val="18"/>
                <w:lang w:val="en-US" w:eastAsia="zh-CN"/>
              </w:rPr>
              <w:t>三面围挡</w:t>
            </w:r>
            <w:r>
              <w:rPr>
                <w:rFonts w:hint="default" w:ascii="Times New Roman" w:hAnsi="Times New Roman" w:eastAsia="宋体" w:cs="Times New Roman"/>
                <w:color w:val="auto"/>
                <w:sz w:val="18"/>
                <w:szCs w:val="18"/>
                <w:lang w:val="en-US" w:eastAsia="zh-CN"/>
              </w:rPr>
              <w:t>，同时设置喷雾除尘；无组织粉尘综合控制效率8</w:t>
            </w:r>
            <w:r>
              <w:rPr>
                <w:rFonts w:hint="default" w:ascii="Times New Roman" w:hAnsi="Times New Roman" w:cs="Times New Roman"/>
                <w:color w:val="auto"/>
                <w:sz w:val="18"/>
                <w:szCs w:val="18"/>
                <w:lang w:val="en-US" w:eastAsia="zh-CN"/>
              </w:rPr>
              <w:t>9.6</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w:t>
            </w:r>
          </w:p>
        </w:tc>
        <w:tc>
          <w:tcPr>
            <w:tcW w:w="498" w:type="pct"/>
            <w:tcBorders>
              <w:tl2br w:val="nil"/>
              <w:tr2bl w:val="nil"/>
            </w:tcBorders>
            <w:noWrap w:val="0"/>
            <w:vAlign w:val="center"/>
          </w:tcPr>
          <w:p w14:paraId="5FB0553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09" w:type="pct"/>
            <w:tcBorders>
              <w:tl2br w:val="nil"/>
              <w:tr2bl w:val="nil"/>
            </w:tcBorders>
            <w:noWrap w:val="0"/>
            <w:vAlign w:val="center"/>
          </w:tcPr>
          <w:p w14:paraId="3F94391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0.086</w:t>
            </w:r>
          </w:p>
        </w:tc>
        <w:tc>
          <w:tcPr>
            <w:tcW w:w="301" w:type="pct"/>
            <w:tcBorders>
              <w:tl2br w:val="nil"/>
              <w:tr2bl w:val="nil"/>
            </w:tcBorders>
            <w:noWrap w:val="0"/>
            <w:vAlign w:val="center"/>
          </w:tcPr>
          <w:p w14:paraId="401E9B1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0.208</w:t>
            </w:r>
          </w:p>
        </w:tc>
      </w:tr>
      <w:tr w14:paraId="6E3271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9" w:type="pct"/>
            <w:vMerge w:val="continue"/>
            <w:tcBorders>
              <w:tl2br w:val="nil"/>
              <w:tr2bl w:val="nil"/>
            </w:tcBorders>
            <w:noWrap w:val="0"/>
            <w:vAlign w:val="center"/>
          </w:tcPr>
          <w:p w14:paraId="2EB2BFE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296" w:type="pct"/>
            <w:vMerge w:val="continue"/>
            <w:tcBorders>
              <w:tl2br w:val="nil"/>
              <w:tr2bl w:val="nil"/>
            </w:tcBorders>
            <w:noWrap w:val="0"/>
            <w:vAlign w:val="center"/>
          </w:tcPr>
          <w:p w14:paraId="09390A9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392" w:type="pct"/>
            <w:tcBorders>
              <w:tl2br w:val="nil"/>
              <w:tr2bl w:val="nil"/>
            </w:tcBorders>
            <w:noWrap w:val="0"/>
            <w:vAlign w:val="center"/>
          </w:tcPr>
          <w:p w14:paraId="2894F55A">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一次筛分大块料落料粉尘</w:t>
            </w:r>
          </w:p>
        </w:tc>
        <w:tc>
          <w:tcPr>
            <w:tcW w:w="298" w:type="pct"/>
            <w:tcBorders>
              <w:tl2br w:val="nil"/>
              <w:tr2bl w:val="nil"/>
            </w:tcBorders>
            <w:noWrap w:val="0"/>
            <w:vAlign w:val="center"/>
          </w:tcPr>
          <w:p w14:paraId="2CBCA07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无组织</w:t>
            </w:r>
          </w:p>
        </w:tc>
        <w:tc>
          <w:tcPr>
            <w:tcW w:w="373" w:type="pct"/>
            <w:tcBorders>
              <w:tl2br w:val="nil"/>
              <w:tr2bl w:val="nil"/>
            </w:tcBorders>
            <w:noWrap w:val="0"/>
            <w:vAlign w:val="center"/>
          </w:tcPr>
          <w:p w14:paraId="2394B12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382" w:type="pct"/>
            <w:tcBorders>
              <w:tl2br w:val="nil"/>
              <w:tr2bl w:val="nil"/>
            </w:tcBorders>
            <w:noWrap w:val="0"/>
            <w:vAlign w:val="center"/>
          </w:tcPr>
          <w:p w14:paraId="5B440EF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2" w:type="pct"/>
            <w:tcBorders>
              <w:tl2br w:val="nil"/>
              <w:tr2bl w:val="nil"/>
            </w:tcBorders>
            <w:noWrap w:val="0"/>
            <w:vAlign w:val="center"/>
          </w:tcPr>
          <w:p w14:paraId="7267984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0.083</w:t>
            </w:r>
          </w:p>
        </w:tc>
        <w:tc>
          <w:tcPr>
            <w:tcW w:w="454" w:type="pct"/>
            <w:tcBorders>
              <w:tl2br w:val="nil"/>
              <w:tr2bl w:val="nil"/>
            </w:tcBorders>
            <w:noWrap w:val="0"/>
            <w:vAlign w:val="center"/>
          </w:tcPr>
          <w:p w14:paraId="0DF5C3C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w:t>
            </w:r>
          </w:p>
        </w:tc>
        <w:tc>
          <w:tcPr>
            <w:tcW w:w="1081" w:type="pct"/>
            <w:tcBorders>
              <w:tl2br w:val="nil"/>
              <w:tr2bl w:val="nil"/>
            </w:tcBorders>
            <w:noWrap w:val="0"/>
            <w:vAlign w:val="center"/>
          </w:tcPr>
          <w:p w14:paraId="165B2C7B">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三面围挡+</w:t>
            </w:r>
            <w:r>
              <w:rPr>
                <w:rFonts w:hint="default" w:ascii="Times New Roman" w:hAnsi="Times New Roman" w:eastAsia="宋体" w:cs="Times New Roman"/>
                <w:color w:val="auto"/>
                <w:sz w:val="18"/>
                <w:szCs w:val="18"/>
                <w:lang w:val="en-US" w:eastAsia="zh-CN"/>
              </w:rPr>
              <w:t>喷雾除尘</w:t>
            </w:r>
            <w:r>
              <w:rPr>
                <w:rFonts w:hint="default" w:ascii="Times New Roman" w:hAnsi="Times New Roman"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无组织粉尘综合控制效率8</w:t>
            </w:r>
            <w:r>
              <w:rPr>
                <w:rFonts w:hint="default" w:ascii="Times New Roman" w:hAnsi="Times New Roman" w:cs="Times New Roman"/>
                <w:color w:val="auto"/>
                <w:sz w:val="18"/>
                <w:szCs w:val="18"/>
                <w:lang w:val="en-US" w:eastAsia="zh-CN"/>
              </w:rPr>
              <w:t>9.6</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w:t>
            </w:r>
          </w:p>
        </w:tc>
        <w:tc>
          <w:tcPr>
            <w:tcW w:w="498" w:type="pct"/>
            <w:tcBorders>
              <w:tl2br w:val="nil"/>
              <w:tr2bl w:val="nil"/>
            </w:tcBorders>
            <w:noWrap w:val="0"/>
            <w:vAlign w:val="center"/>
          </w:tcPr>
          <w:p w14:paraId="3EBE194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09" w:type="pct"/>
            <w:tcBorders>
              <w:tl2br w:val="nil"/>
              <w:tr2bl w:val="nil"/>
            </w:tcBorders>
            <w:noWrap w:val="0"/>
            <w:vAlign w:val="center"/>
          </w:tcPr>
          <w:p w14:paraId="6362E518">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0.0086</w:t>
            </w:r>
          </w:p>
        </w:tc>
        <w:tc>
          <w:tcPr>
            <w:tcW w:w="301" w:type="pct"/>
            <w:tcBorders>
              <w:tl2br w:val="nil"/>
              <w:tr2bl w:val="nil"/>
            </w:tcBorders>
            <w:noWrap w:val="0"/>
            <w:vAlign w:val="center"/>
          </w:tcPr>
          <w:p w14:paraId="1D530A5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0.021</w:t>
            </w:r>
          </w:p>
        </w:tc>
      </w:tr>
      <w:tr w14:paraId="5B26AE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29" w:type="pct"/>
            <w:vMerge w:val="continue"/>
            <w:tcBorders>
              <w:tl2br w:val="nil"/>
              <w:tr2bl w:val="nil"/>
            </w:tcBorders>
            <w:noWrap w:val="0"/>
            <w:vAlign w:val="center"/>
          </w:tcPr>
          <w:p w14:paraId="44F47E4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296" w:type="pct"/>
            <w:vMerge w:val="continue"/>
            <w:tcBorders>
              <w:tl2br w:val="nil"/>
              <w:tr2bl w:val="nil"/>
            </w:tcBorders>
            <w:noWrap w:val="0"/>
            <w:vAlign w:val="center"/>
          </w:tcPr>
          <w:p w14:paraId="1FB6353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392" w:type="pct"/>
            <w:tcBorders>
              <w:tl2br w:val="nil"/>
              <w:tr2bl w:val="nil"/>
            </w:tcBorders>
            <w:noWrap w:val="0"/>
            <w:vAlign w:val="center"/>
          </w:tcPr>
          <w:p w14:paraId="54628DCA">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铁矿石</w:t>
            </w:r>
            <w:r>
              <w:rPr>
                <w:rFonts w:hint="default" w:ascii="Times New Roman" w:hAnsi="Times New Roman" w:cs="Times New Roman"/>
                <w:color w:val="auto"/>
                <w:sz w:val="18"/>
                <w:szCs w:val="18"/>
              </w:rPr>
              <w:t>堆场扬尘</w:t>
            </w:r>
          </w:p>
        </w:tc>
        <w:tc>
          <w:tcPr>
            <w:tcW w:w="298" w:type="pct"/>
            <w:tcBorders>
              <w:tl2br w:val="nil"/>
              <w:tr2bl w:val="nil"/>
            </w:tcBorders>
            <w:noWrap w:val="0"/>
            <w:vAlign w:val="center"/>
          </w:tcPr>
          <w:p w14:paraId="4C541B9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无组织</w:t>
            </w:r>
          </w:p>
        </w:tc>
        <w:tc>
          <w:tcPr>
            <w:tcW w:w="373" w:type="pct"/>
            <w:tcBorders>
              <w:tl2br w:val="nil"/>
              <w:tr2bl w:val="nil"/>
            </w:tcBorders>
            <w:noWrap w:val="0"/>
            <w:vAlign w:val="center"/>
          </w:tcPr>
          <w:p w14:paraId="31502A0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382" w:type="pct"/>
            <w:tcBorders>
              <w:tl2br w:val="nil"/>
              <w:tr2bl w:val="nil"/>
            </w:tcBorders>
            <w:noWrap w:val="0"/>
            <w:vAlign w:val="center"/>
          </w:tcPr>
          <w:p w14:paraId="189F398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2" w:type="pct"/>
            <w:tcBorders>
              <w:tl2br w:val="nil"/>
              <w:tr2bl w:val="nil"/>
            </w:tcBorders>
            <w:noWrap w:val="0"/>
            <w:vAlign w:val="center"/>
          </w:tcPr>
          <w:p w14:paraId="3007779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1.37</w:t>
            </w:r>
          </w:p>
        </w:tc>
        <w:tc>
          <w:tcPr>
            <w:tcW w:w="454" w:type="pct"/>
            <w:tcBorders>
              <w:tl2br w:val="nil"/>
              <w:tr2bl w:val="nil"/>
            </w:tcBorders>
            <w:noWrap w:val="0"/>
            <w:vAlign w:val="center"/>
          </w:tcPr>
          <w:p w14:paraId="6C6D834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3.28</w:t>
            </w:r>
          </w:p>
        </w:tc>
        <w:tc>
          <w:tcPr>
            <w:tcW w:w="1081" w:type="pct"/>
            <w:vMerge w:val="restart"/>
            <w:tcBorders>
              <w:tl2br w:val="nil"/>
              <w:tr2bl w:val="nil"/>
            </w:tcBorders>
            <w:noWrap w:val="0"/>
            <w:vAlign w:val="center"/>
          </w:tcPr>
          <w:p w14:paraId="4664D898">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“三面围挡+彩钢瓦顶棚”（粉尘控制效率60%），设置喷雾降尘措施（粉尘控制效率74%），同时采取编织物覆盖措施（粉尘控制效率86%）。</w:t>
            </w:r>
          </w:p>
          <w:p w14:paraId="5B8CAD05">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FF"/>
                <w:sz w:val="18"/>
                <w:szCs w:val="18"/>
                <w:lang w:val="en-US" w:eastAsia="zh-CN"/>
              </w:rPr>
            </w:pPr>
            <w:r>
              <w:rPr>
                <w:rFonts w:hint="default" w:ascii="Times New Roman" w:hAnsi="Times New Roman" w:cs="Times New Roman"/>
                <w:color w:val="0000FF"/>
                <w:sz w:val="18"/>
                <w:szCs w:val="18"/>
                <w:lang w:val="en-US" w:eastAsia="zh-CN"/>
              </w:rPr>
              <w:t xml:space="preserve"> </w:t>
            </w:r>
          </w:p>
        </w:tc>
        <w:tc>
          <w:tcPr>
            <w:tcW w:w="498" w:type="pct"/>
            <w:tcBorders>
              <w:tl2br w:val="nil"/>
              <w:tr2bl w:val="nil"/>
            </w:tcBorders>
            <w:noWrap w:val="0"/>
            <w:vAlign w:val="center"/>
          </w:tcPr>
          <w:p w14:paraId="3A72B2F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09" w:type="pct"/>
            <w:tcBorders>
              <w:tl2br w:val="nil"/>
              <w:tr2bl w:val="nil"/>
            </w:tcBorders>
            <w:noWrap w:val="0"/>
            <w:vAlign w:val="center"/>
          </w:tcPr>
          <w:p w14:paraId="04F1B2C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0.02</w:t>
            </w:r>
          </w:p>
        </w:tc>
        <w:tc>
          <w:tcPr>
            <w:tcW w:w="301" w:type="pct"/>
            <w:tcBorders>
              <w:tl2br w:val="nil"/>
              <w:tr2bl w:val="nil"/>
            </w:tcBorders>
            <w:noWrap w:val="0"/>
            <w:vAlign w:val="center"/>
          </w:tcPr>
          <w:p w14:paraId="4AFC0A1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0.049</w:t>
            </w:r>
          </w:p>
        </w:tc>
      </w:tr>
      <w:tr w14:paraId="2D7A3A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29" w:type="pct"/>
            <w:vMerge w:val="continue"/>
            <w:tcBorders>
              <w:tl2br w:val="nil"/>
              <w:tr2bl w:val="nil"/>
            </w:tcBorders>
            <w:noWrap w:val="0"/>
            <w:vAlign w:val="center"/>
          </w:tcPr>
          <w:p w14:paraId="588632F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p>
        </w:tc>
        <w:tc>
          <w:tcPr>
            <w:tcW w:w="296" w:type="pct"/>
            <w:vMerge w:val="continue"/>
            <w:tcBorders>
              <w:tl2br w:val="nil"/>
              <w:tr2bl w:val="nil"/>
            </w:tcBorders>
            <w:noWrap w:val="0"/>
            <w:vAlign w:val="center"/>
          </w:tcPr>
          <w:p w14:paraId="0E08F755">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p>
        </w:tc>
        <w:tc>
          <w:tcPr>
            <w:tcW w:w="392" w:type="pct"/>
            <w:tcBorders>
              <w:tl2br w:val="nil"/>
              <w:tr2bl w:val="nil"/>
            </w:tcBorders>
            <w:noWrap w:val="0"/>
            <w:vAlign w:val="center"/>
          </w:tcPr>
          <w:p w14:paraId="28A5B10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砂石料堆场扬尘</w:t>
            </w:r>
          </w:p>
        </w:tc>
        <w:tc>
          <w:tcPr>
            <w:tcW w:w="298" w:type="pct"/>
            <w:tcBorders>
              <w:tl2br w:val="nil"/>
              <w:tr2bl w:val="nil"/>
            </w:tcBorders>
            <w:noWrap w:val="0"/>
            <w:vAlign w:val="center"/>
          </w:tcPr>
          <w:p w14:paraId="61CB239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无组织</w:t>
            </w:r>
          </w:p>
        </w:tc>
        <w:tc>
          <w:tcPr>
            <w:tcW w:w="373" w:type="pct"/>
            <w:tcBorders>
              <w:tl2br w:val="nil"/>
              <w:tr2bl w:val="nil"/>
            </w:tcBorders>
            <w:noWrap w:val="0"/>
            <w:vAlign w:val="center"/>
          </w:tcPr>
          <w:p w14:paraId="5E7FB48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颗粒物</w:t>
            </w:r>
          </w:p>
        </w:tc>
        <w:tc>
          <w:tcPr>
            <w:tcW w:w="382" w:type="pct"/>
            <w:tcBorders>
              <w:tl2br w:val="nil"/>
              <w:tr2bl w:val="nil"/>
            </w:tcBorders>
            <w:noWrap w:val="0"/>
            <w:vAlign w:val="center"/>
          </w:tcPr>
          <w:p w14:paraId="7E2C9E55">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highlight w:val="none"/>
                <w:lang w:val="en-US" w:eastAsia="zh-CN"/>
              </w:rPr>
              <w:t>/</w:t>
            </w:r>
          </w:p>
        </w:tc>
        <w:tc>
          <w:tcPr>
            <w:tcW w:w="382" w:type="pct"/>
            <w:tcBorders>
              <w:tl2br w:val="nil"/>
              <w:tr2bl w:val="nil"/>
            </w:tcBorders>
            <w:noWrap w:val="0"/>
            <w:vAlign w:val="center"/>
          </w:tcPr>
          <w:p w14:paraId="72B6AE2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3.19</w:t>
            </w:r>
          </w:p>
        </w:tc>
        <w:tc>
          <w:tcPr>
            <w:tcW w:w="454" w:type="pct"/>
            <w:tcBorders>
              <w:tl2br w:val="nil"/>
              <w:tr2bl w:val="nil"/>
            </w:tcBorders>
            <w:noWrap w:val="0"/>
            <w:vAlign w:val="center"/>
          </w:tcPr>
          <w:p w14:paraId="49AD52C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7.66</w:t>
            </w:r>
          </w:p>
        </w:tc>
        <w:tc>
          <w:tcPr>
            <w:tcW w:w="1081" w:type="pct"/>
            <w:vMerge w:val="continue"/>
            <w:tcBorders>
              <w:tl2br w:val="nil"/>
              <w:tr2bl w:val="nil"/>
            </w:tcBorders>
            <w:noWrap w:val="0"/>
            <w:vAlign w:val="center"/>
          </w:tcPr>
          <w:p w14:paraId="513784F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p>
        </w:tc>
        <w:tc>
          <w:tcPr>
            <w:tcW w:w="498" w:type="pct"/>
            <w:tcBorders>
              <w:tl2br w:val="nil"/>
              <w:tr2bl w:val="nil"/>
            </w:tcBorders>
            <w:noWrap w:val="0"/>
            <w:vAlign w:val="center"/>
          </w:tcPr>
          <w:p w14:paraId="4A71B7E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highlight w:val="none"/>
                <w:lang w:val="en-US" w:eastAsia="zh-CN"/>
              </w:rPr>
              <w:t>/</w:t>
            </w:r>
          </w:p>
        </w:tc>
        <w:tc>
          <w:tcPr>
            <w:tcW w:w="309" w:type="pct"/>
            <w:tcBorders>
              <w:tl2br w:val="nil"/>
              <w:tr2bl w:val="nil"/>
            </w:tcBorders>
            <w:noWrap w:val="0"/>
            <w:vAlign w:val="center"/>
          </w:tcPr>
          <w:p w14:paraId="6B75034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0.046</w:t>
            </w:r>
          </w:p>
        </w:tc>
        <w:tc>
          <w:tcPr>
            <w:tcW w:w="301" w:type="pct"/>
            <w:tcBorders>
              <w:tl2br w:val="nil"/>
              <w:tr2bl w:val="nil"/>
            </w:tcBorders>
            <w:noWrap w:val="0"/>
            <w:vAlign w:val="center"/>
          </w:tcPr>
          <w:p w14:paraId="3ACE0C7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0.11</w:t>
            </w:r>
          </w:p>
        </w:tc>
      </w:tr>
      <w:tr w14:paraId="3D70C9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29" w:type="pct"/>
            <w:vMerge w:val="continue"/>
            <w:tcBorders>
              <w:tl2br w:val="nil"/>
              <w:tr2bl w:val="nil"/>
            </w:tcBorders>
            <w:noWrap w:val="0"/>
            <w:vAlign w:val="center"/>
          </w:tcPr>
          <w:p w14:paraId="793E376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p>
        </w:tc>
        <w:tc>
          <w:tcPr>
            <w:tcW w:w="296" w:type="pct"/>
            <w:vMerge w:val="continue"/>
            <w:tcBorders>
              <w:tl2br w:val="nil"/>
              <w:tr2bl w:val="nil"/>
            </w:tcBorders>
            <w:noWrap w:val="0"/>
            <w:vAlign w:val="center"/>
          </w:tcPr>
          <w:p w14:paraId="7C91DEA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p>
        </w:tc>
        <w:tc>
          <w:tcPr>
            <w:tcW w:w="392" w:type="pct"/>
            <w:tcBorders>
              <w:tl2br w:val="nil"/>
              <w:tr2bl w:val="nil"/>
            </w:tcBorders>
            <w:noWrap w:val="0"/>
            <w:vAlign w:val="center"/>
          </w:tcPr>
          <w:p w14:paraId="1C53E4B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原料堆场</w:t>
            </w:r>
          </w:p>
        </w:tc>
        <w:tc>
          <w:tcPr>
            <w:tcW w:w="298" w:type="pct"/>
            <w:tcBorders>
              <w:tl2br w:val="nil"/>
              <w:tr2bl w:val="nil"/>
            </w:tcBorders>
            <w:noWrap w:val="0"/>
            <w:vAlign w:val="center"/>
          </w:tcPr>
          <w:p w14:paraId="70B2E6E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无组织</w:t>
            </w:r>
          </w:p>
        </w:tc>
        <w:tc>
          <w:tcPr>
            <w:tcW w:w="373" w:type="pct"/>
            <w:tcBorders>
              <w:tl2br w:val="nil"/>
              <w:tr2bl w:val="nil"/>
            </w:tcBorders>
            <w:noWrap w:val="0"/>
            <w:vAlign w:val="center"/>
          </w:tcPr>
          <w:p w14:paraId="3783C4C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382" w:type="pct"/>
            <w:tcBorders>
              <w:tl2br w:val="nil"/>
              <w:tr2bl w:val="nil"/>
            </w:tcBorders>
            <w:noWrap w:val="0"/>
            <w:vAlign w:val="center"/>
          </w:tcPr>
          <w:p w14:paraId="63A067F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2" w:type="pct"/>
            <w:tcBorders>
              <w:tl2br w:val="nil"/>
              <w:tr2bl w:val="nil"/>
            </w:tcBorders>
            <w:noWrap w:val="0"/>
            <w:vAlign w:val="center"/>
          </w:tcPr>
          <w:p w14:paraId="47DB50A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5.07</w:t>
            </w:r>
          </w:p>
        </w:tc>
        <w:tc>
          <w:tcPr>
            <w:tcW w:w="454" w:type="pct"/>
            <w:tcBorders>
              <w:tl2br w:val="nil"/>
              <w:tr2bl w:val="nil"/>
            </w:tcBorders>
            <w:noWrap w:val="0"/>
            <w:vAlign w:val="center"/>
          </w:tcPr>
          <w:p w14:paraId="196B5DD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12.16</w:t>
            </w:r>
          </w:p>
        </w:tc>
        <w:tc>
          <w:tcPr>
            <w:tcW w:w="1081" w:type="pct"/>
            <w:vMerge w:val="continue"/>
            <w:tcBorders>
              <w:tl2br w:val="nil"/>
              <w:tr2bl w:val="nil"/>
            </w:tcBorders>
            <w:noWrap w:val="0"/>
            <w:vAlign w:val="center"/>
          </w:tcPr>
          <w:p w14:paraId="0439F7F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498" w:type="pct"/>
            <w:tcBorders>
              <w:tl2br w:val="nil"/>
              <w:tr2bl w:val="nil"/>
            </w:tcBorders>
            <w:noWrap w:val="0"/>
            <w:vAlign w:val="center"/>
          </w:tcPr>
          <w:p w14:paraId="62E0944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09" w:type="pct"/>
            <w:tcBorders>
              <w:tl2br w:val="nil"/>
              <w:tr2bl w:val="nil"/>
            </w:tcBorders>
            <w:noWrap w:val="0"/>
            <w:vAlign w:val="center"/>
          </w:tcPr>
          <w:p w14:paraId="59F5324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0.075</w:t>
            </w:r>
          </w:p>
        </w:tc>
        <w:tc>
          <w:tcPr>
            <w:tcW w:w="301" w:type="pct"/>
            <w:tcBorders>
              <w:tl2br w:val="nil"/>
              <w:tr2bl w:val="nil"/>
            </w:tcBorders>
            <w:noWrap w:val="0"/>
            <w:vAlign w:val="center"/>
          </w:tcPr>
          <w:p w14:paraId="4828383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0.18</w:t>
            </w:r>
          </w:p>
        </w:tc>
      </w:tr>
      <w:tr w14:paraId="2B8E6C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9" w:type="pct"/>
            <w:vMerge w:val="continue"/>
            <w:tcBorders>
              <w:tl2br w:val="nil"/>
              <w:tr2bl w:val="nil"/>
            </w:tcBorders>
            <w:noWrap w:val="0"/>
            <w:vAlign w:val="center"/>
          </w:tcPr>
          <w:p w14:paraId="368B7F4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296" w:type="pct"/>
            <w:vMerge w:val="continue"/>
            <w:tcBorders>
              <w:tl2br w:val="nil"/>
              <w:tr2bl w:val="nil"/>
            </w:tcBorders>
            <w:noWrap w:val="0"/>
            <w:vAlign w:val="center"/>
          </w:tcPr>
          <w:p w14:paraId="1B63B13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392" w:type="pct"/>
            <w:tcBorders>
              <w:tl2br w:val="nil"/>
              <w:tr2bl w:val="nil"/>
            </w:tcBorders>
            <w:noWrap w:val="0"/>
            <w:vAlign w:val="center"/>
          </w:tcPr>
          <w:p w14:paraId="0A1F3B19">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车辆运输道路扬尘</w:t>
            </w:r>
          </w:p>
        </w:tc>
        <w:tc>
          <w:tcPr>
            <w:tcW w:w="298" w:type="pct"/>
            <w:tcBorders>
              <w:tl2br w:val="nil"/>
              <w:tr2bl w:val="nil"/>
            </w:tcBorders>
            <w:noWrap w:val="0"/>
            <w:vAlign w:val="center"/>
          </w:tcPr>
          <w:p w14:paraId="6BAD7518">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无组织</w:t>
            </w:r>
          </w:p>
        </w:tc>
        <w:tc>
          <w:tcPr>
            <w:tcW w:w="373" w:type="pct"/>
            <w:tcBorders>
              <w:tl2br w:val="nil"/>
              <w:tr2bl w:val="nil"/>
            </w:tcBorders>
            <w:noWrap w:val="0"/>
            <w:vAlign w:val="center"/>
          </w:tcPr>
          <w:p w14:paraId="0F63AAB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382" w:type="pct"/>
            <w:tcBorders>
              <w:tl2br w:val="nil"/>
              <w:tr2bl w:val="nil"/>
            </w:tcBorders>
            <w:noWrap w:val="0"/>
            <w:vAlign w:val="center"/>
          </w:tcPr>
          <w:p w14:paraId="674B474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2" w:type="pct"/>
            <w:tcBorders>
              <w:tl2br w:val="nil"/>
              <w:tr2bl w:val="nil"/>
            </w:tcBorders>
            <w:noWrap w:val="0"/>
            <w:vAlign w:val="center"/>
          </w:tcPr>
          <w:p w14:paraId="687D9B6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0.05</w:t>
            </w:r>
          </w:p>
        </w:tc>
        <w:tc>
          <w:tcPr>
            <w:tcW w:w="454" w:type="pct"/>
            <w:tcBorders>
              <w:tl2br w:val="nil"/>
              <w:tr2bl w:val="nil"/>
            </w:tcBorders>
            <w:noWrap w:val="0"/>
            <w:vAlign w:val="center"/>
          </w:tcPr>
          <w:p w14:paraId="2812234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0.12</w:t>
            </w:r>
          </w:p>
        </w:tc>
        <w:tc>
          <w:tcPr>
            <w:tcW w:w="1081" w:type="pct"/>
            <w:tcBorders>
              <w:tl2br w:val="nil"/>
              <w:tr2bl w:val="nil"/>
            </w:tcBorders>
            <w:noWrap w:val="0"/>
            <w:vAlign w:val="center"/>
          </w:tcPr>
          <w:p w14:paraId="73408D98">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晴天时</w:t>
            </w:r>
            <w:r>
              <w:rPr>
                <w:rFonts w:hint="default" w:ascii="Times New Roman" w:hAnsi="Times New Roman" w:cs="Times New Roman"/>
                <w:color w:val="auto"/>
                <w:sz w:val="18"/>
                <w:szCs w:val="18"/>
              </w:rPr>
              <w:t>洒水</w:t>
            </w:r>
            <w:r>
              <w:rPr>
                <w:rFonts w:hint="default" w:ascii="Times New Roman" w:hAnsi="Times New Roman" w:cs="Times New Roman"/>
                <w:color w:val="auto"/>
                <w:sz w:val="18"/>
                <w:szCs w:val="18"/>
                <w:lang w:val="en-US" w:eastAsia="zh-CN"/>
              </w:rPr>
              <w:t>降尘（</w:t>
            </w:r>
            <w:r>
              <w:rPr>
                <w:rFonts w:hint="default" w:ascii="Times New Roman" w:hAnsi="Times New Roman" w:cs="Times New Roman"/>
                <w:color w:val="auto"/>
                <w:sz w:val="18"/>
                <w:szCs w:val="18"/>
              </w:rPr>
              <w:t>2次/天</w:t>
            </w:r>
            <w:r>
              <w:rPr>
                <w:rFonts w:hint="default" w:ascii="Times New Roman" w:hAnsi="Times New Roman" w:cs="Times New Roman"/>
                <w:color w:val="auto"/>
                <w:sz w:val="18"/>
                <w:szCs w:val="18"/>
                <w:lang w:val="en-US" w:eastAsia="zh-CN"/>
              </w:rPr>
              <w:t>），无组织扬尘</w:t>
            </w:r>
            <w:r>
              <w:rPr>
                <w:rFonts w:hint="default" w:ascii="Times New Roman" w:hAnsi="Times New Roman" w:cs="Times New Roman"/>
                <w:color w:val="auto"/>
                <w:sz w:val="18"/>
                <w:szCs w:val="18"/>
              </w:rPr>
              <w:t>控制效率66%</w:t>
            </w:r>
          </w:p>
        </w:tc>
        <w:tc>
          <w:tcPr>
            <w:tcW w:w="498" w:type="pct"/>
            <w:tcBorders>
              <w:tl2br w:val="nil"/>
              <w:tr2bl w:val="nil"/>
            </w:tcBorders>
            <w:noWrap w:val="0"/>
            <w:vAlign w:val="center"/>
          </w:tcPr>
          <w:p w14:paraId="6F9EB06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09" w:type="pct"/>
            <w:tcBorders>
              <w:tl2br w:val="nil"/>
              <w:tr2bl w:val="nil"/>
            </w:tcBorders>
            <w:noWrap w:val="0"/>
            <w:vAlign w:val="center"/>
          </w:tcPr>
          <w:p w14:paraId="319AB13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0.0175</w:t>
            </w:r>
          </w:p>
        </w:tc>
        <w:tc>
          <w:tcPr>
            <w:tcW w:w="301" w:type="pct"/>
            <w:tcBorders>
              <w:tl2br w:val="nil"/>
              <w:tr2bl w:val="nil"/>
            </w:tcBorders>
            <w:noWrap w:val="0"/>
            <w:vAlign w:val="center"/>
          </w:tcPr>
          <w:p w14:paraId="4EDAFF21">
            <w:pPr>
              <w:pStyle w:val="28"/>
              <w:keepNext w:val="0"/>
              <w:keepLines w:val="0"/>
              <w:pageBreakBefore w:val="0"/>
              <w:kinsoku/>
              <w:wordWrap/>
              <w:overflowPunct/>
              <w:topLinePunct w:val="0"/>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0.042</w:t>
            </w:r>
          </w:p>
        </w:tc>
      </w:tr>
      <w:tr w14:paraId="2F5A2E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gridSpan w:val="2"/>
            <w:vMerge w:val="restart"/>
            <w:tcBorders>
              <w:tl2br w:val="nil"/>
              <w:tr2bl w:val="nil"/>
            </w:tcBorders>
            <w:noWrap w:val="0"/>
            <w:vAlign w:val="center"/>
          </w:tcPr>
          <w:p w14:paraId="6694903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废水</w:t>
            </w:r>
          </w:p>
        </w:tc>
        <w:tc>
          <w:tcPr>
            <w:tcW w:w="392" w:type="pct"/>
            <w:tcBorders>
              <w:tl2br w:val="nil"/>
              <w:tr2bl w:val="nil"/>
            </w:tcBorders>
            <w:noWrap w:val="0"/>
            <w:vAlign w:val="center"/>
          </w:tcPr>
          <w:p w14:paraId="7D2D996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初期雨水</w:t>
            </w:r>
          </w:p>
        </w:tc>
        <w:tc>
          <w:tcPr>
            <w:tcW w:w="671" w:type="pct"/>
            <w:gridSpan w:val="2"/>
            <w:tcBorders>
              <w:tl2br w:val="nil"/>
              <w:tr2bl w:val="nil"/>
            </w:tcBorders>
            <w:noWrap w:val="0"/>
            <w:vAlign w:val="center"/>
          </w:tcPr>
          <w:p w14:paraId="6704C06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SS、Fe等</w:t>
            </w:r>
          </w:p>
        </w:tc>
        <w:tc>
          <w:tcPr>
            <w:tcW w:w="764" w:type="pct"/>
            <w:gridSpan w:val="2"/>
            <w:tcBorders>
              <w:tl2br w:val="nil"/>
              <w:tr2bl w:val="nil"/>
            </w:tcBorders>
            <w:noWrap w:val="0"/>
            <w:vAlign w:val="center"/>
          </w:tcPr>
          <w:p w14:paraId="4C90862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kern w:val="0"/>
                <w:sz w:val="18"/>
                <w:szCs w:val="18"/>
                <w:lang w:val="en-US" w:eastAsia="zh-CN" w:bidi="ar"/>
              </w:rPr>
              <w:t>45</w:t>
            </w:r>
            <w:r>
              <w:rPr>
                <w:rFonts w:hint="default" w:ascii="Times New Roman" w:hAnsi="Times New Roman" w:eastAsia="宋体" w:cs="Times New Roman"/>
                <w:color w:val="auto"/>
                <w:kern w:val="0"/>
                <w:sz w:val="18"/>
                <w:szCs w:val="18"/>
                <w:lang w:val="en-US" w:eastAsia="zh-CN" w:bidi="ar"/>
              </w:rPr>
              <w:t>m³/次</w:t>
            </w:r>
          </w:p>
        </w:tc>
        <w:tc>
          <w:tcPr>
            <w:tcW w:w="1535" w:type="pct"/>
            <w:gridSpan w:val="2"/>
            <w:tcBorders>
              <w:tl2br w:val="nil"/>
              <w:tr2bl w:val="nil"/>
            </w:tcBorders>
            <w:noWrap w:val="0"/>
            <w:vAlign w:val="center"/>
          </w:tcPr>
          <w:p w14:paraId="580EC59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kern w:val="0"/>
                <w:sz w:val="18"/>
                <w:szCs w:val="18"/>
                <w:lang w:val="en-US" w:eastAsia="zh-CN" w:bidi="ar"/>
              </w:rPr>
              <w:t>新建325m³初期雨水收集池，收集本项目及整个6号料场初期雨水，</w:t>
            </w:r>
            <w:r>
              <w:rPr>
                <w:rFonts w:hint="default" w:ascii="Times New Roman" w:hAnsi="Times New Roman" w:eastAsia="宋体" w:cs="Times New Roman"/>
                <w:color w:val="auto"/>
                <w:kern w:val="0"/>
                <w:sz w:val="18"/>
                <w:szCs w:val="18"/>
                <w:lang w:val="en-US" w:eastAsia="zh-CN" w:bidi="ar"/>
              </w:rPr>
              <w:t>收集的初期雨水回用于</w:t>
            </w:r>
            <w:r>
              <w:rPr>
                <w:rFonts w:hint="default" w:ascii="Times New Roman" w:hAnsi="Times New Roman" w:cs="Times New Roman"/>
                <w:color w:val="auto"/>
                <w:kern w:val="0"/>
                <w:sz w:val="18"/>
                <w:szCs w:val="18"/>
                <w:lang w:val="en-US" w:eastAsia="zh-CN" w:bidi="ar"/>
              </w:rPr>
              <w:t>降尘</w:t>
            </w:r>
            <w:r>
              <w:rPr>
                <w:rFonts w:hint="default" w:ascii="Times New Roman" w:hAnsi="Times New Roman" w:eastAsia="宋体" w:cs="Times New Roman"/>
                <w:color w:val="auto"/>
                <w:kern w:val="0"/>
                <w:sz w:val="18"/>
                <w:szCs w:val="18"/>
                <w:lang w:val="en-US" w:eastAsia="zh-CN" w:bidi="ar"/>
              </w:rPr>
              <w:t>，不外排</w:t>
            </w:r>
          </w:p>
        </w:tc>
        <w:tc>
          <w:tcPr>
            <w:tcW w:w="1110" w:type="pct"/>
            <w:gridSpan w:val="3"/>
            <w:tcBorders>
              <w:tl2br w:val="nil"/>
              <w:tr2bl w:val="nil"/>
            </w:tcBorders>
            <w:noWrap w:val="0"/>
            <w:vAlign w:val="center"/>
          </w:tcPr>
          <w:p w14:paraId="14E56E0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0</w:t>
            </w:r>
          </w:p>
        </w:tc>
      </w:tr>
      <w:tr w14:paraId="02A16E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gridSpan w:val="2"/>
            <w:vMerge w:val="continue"/>
            <w:tcBorders>
              <w:tl2br w:val="nil"/>
              <w:tr2bl w:val="nil"/>
            </w:tcBorders>
            <w:noWrap w:val="0"/>
            <w:vAlign w:val="center"/>
          </w:tcPr>
          <w:p w14:paraId="0711EA9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392" w:type="pct"/>
            <w:tcBorders>
              <w:tl2br w:val="nil"/>
              <w:tr2bl w:val="nil"/>
            </w:tcBorders>
            <w:noWrap w:val="0"/>
            <w:vAlign w:val="center"/>
          </w:tcPr>
          <w:p w14:paraId="4149AA1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生活污水</w:t>
            </w:r>
          </w:p>
        </w:tc>
        <w:tc>
          <w:tcPr>
            <w:tcW w:w="671" w:type="pct"/>
            <w:gridSpan w:val="2"/>
            <w:tcBorders>
              <w:tl2br w:val="nil"/>
              <w:tr2bl w:val="nil"/>
            </w:tcBorders>
            <w:noWrap w:val="0"/>
            <w:vAlign w:val="center"/>
          </w:tcPr>
          <w:p w14:paraId="5EF66DF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SS</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rPr>
              <w:t>COD</w:t>
            </w:r>
            <w:r>
              <w:rPr>
                <w:rFonts w:hint="default" w:ascii="Times New Roman" w:hAnsi="Times New Roman" w:cs="Times New Roman"/>
                <w:color w:val="auto"/>
                <w:sz w:val="18"/>
                <w:szCs w:val="18"/>
                <w:highlight w:val="none"/>
                <w:vertAlign w:val="subscript"/>
              </w:rPr>
              <w:t>Cr</w:t>
            </w:r>
            <w:r>
              <w:rPr>
                <w:rFonts w:hint="default" w:ascii="Times New Roman" w:hAnsi="Times New Roman" w:cs="Times New Roman"/>
                <w:color w:val="auto"/>
                <w:sz w:val="18"/>
                <w:szCs w:val="18"/>
                <w:highlight w:val="none"/>
                <w:vertAlign w:val="baseline"/>
                <w:lang w:val="en-US" w:eastAsia="zh-CN"/>
              </w:rPr>
              <w:t>、</w:t>
            </w:r>
            <w:r>
              <w:rPr>
                <w:rFonts w:hint="default" w:ascii="Times New Roman" w:hAnsi="Times New Roman" w:cs="Times New Roman"/>
                <w:color w:val="auto"/>
                <w:sz w:val="18"/>
                <w:szCs w:val="18"/>
                <w:highlight w:val="none"/>
              </w:rPr>
              <w:t>BOD</w:t>
            </w:r>
            <w:r>
              <w:rPr>
                <w:rFonts w:hint="default" w:ascii="Times New Roman" w:hAnsi="Times New Roman" w:cs="Times New Roman"/>
                <w:color w:val="auto"/>
                <w:sz w:val="18"/>
                <w:szCs w:val="18"/>
                <w:highlight w:val="none"/>
                <w:vertAlign w:val="subscript"/>
              </w:rPr>
              <w:t>5</w:t>
            </w:r>
            <w:r>
              <w:rPr>
                <w:rFonts w:hint="default" w:ascii="Times New Roman" w:hAnsi="Times New Roman" w:cs="Times New Roman"/>
                <w:color w:val="auto"/>
                <w:sz w:val="18"/>
                <w:szCs w:val="18"/>
                <w:highlight w:val="none"/>
                <w:vertAlign w:val="baseline"/>
                <w:lang w:val="en-US" w:eastAsia="zh-CN"/>
              </w:rPr>
              <w:t>、</w:t>
            </w:r>
            <w:r>
              <w:rPr>
                <w:rFonts w:hint="default" w:ascii="Times New Roman" w:hAnsi="Times New Roman" w:cs="Times New Roman"/>
                <w:color w:val="auto"/>
                <w:sz w:val="18"/>
                <w:szCs w:val="18"/>
                <w:highlight w:val="none"/>
              </w:rPr>
              <w:t>氨氮</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总磷</w:t>
            </w:r>
          </w:p>
        </w:tc>
        <w:tc>
          <w:tcPr>
            <w:tcW w:w="764" w:type="pct"/>
            <w:gridSpan w:val="2"/>
            <w:tcBorders>
              <w:tl2br w:val="nil"/>
              <w:tr2bl w:val="nil"/>
            </w:tcBorders>
            <w:noWrap w:val="0"/>
            <w:vAlign w:val="center"/>
          </w:tcPr>
          <w:p w14:paraId="62962C9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0.4</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/d</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120</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/a</w:t>
            </w:r>
          </w:p>
        </w:tc>
        <w:tc>
          <w:tcPr>
            <w:tcW w:w="1535" w:type="pct"/>
            <w:gridSpan w:val="2"/>
            <w:tcBorders>
              <w:tl2br w:val="nil"/>
              <w:tr2bl w:val="nil"/>
            </w:tcBorders>
            <w:noWrap w:val="0"/>
            <w:vAlign w:val="center"/>
          </w:tcPr>
          <w:p w14:paraId="6A641F0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rPr>
              <w:t>依托鲁奎山铁矿污水处理设施</w:t>
            </w:r>
          </w:p>
        </w:tc>
        <w:tc>
          <w:tcPr>
            <w:tcW w:w="1110" w:type="pct"/>
            <w:gridSpan w:val="3"/>
            <w:tcBorders>
              <w:tl2br w:val="nil"/>
              <w:tr2bl w:val="nil"/>
            </w:tcBorders>
            <w:noWrap w:val="0"/>
            <w:vAlign w:val="center"/>
          </w:tcPr>
          <w:p w14:paraId="10E52B98">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w:t>
            </w:r>
          </w:p>
        </w:tc>
      </w:tr>
      <w:tr w14:paraId="2667EF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gridSpan w:val="2"/>
            <w:tcBorders>
              <w:tl2br w:val="nil"/>
              <w:tr2bl w:val="nil"/>
            </w:tcBorders>
            <w:noWrap w:val="0"/>
            <w:vAlign w:val="center"/>
          </w:tcPr>
          <w:p w14:paraId="438EBEF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w:t>
            </w:r>
          </w:p>
        </w:tc>
        <w:tc>
          <w:tcPr>
            <w:tcW w:w="392" w:type="pct"/>
            <w:tcBorders>
              <w:tl2br w:val="nil"/>
              <w:tr2bl w:val="nil"/>
            </w:tcBorders>
            <w:noWrap w:val="0"/>
            <w:vAlign w:val="center"/>
          </w:tcPr>
          <w:p w14:paraId="15996FE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生产设备</w:t>
            </w:r>
          </w:p>
        </w:tc>
        <w:tc>
          <w:tcPr>
            <w:tcW w:w="671" w:type="pct"/>
            <w:gridSpan w:val="2"/>
            <w:tcBorders>
              <w:tl2br w:val="nil"/>
              <w:tr2bl w:val="nil"/>
            </w:tcBorders>
            <w:noWrap w:val="0"/>
            <w:vAlign w:val="center"/>
          </w:tcPr>
          <w:p w14:paraId="1D315268">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Leq(A)</w:t>
            </w:r>
          </w:p>
        </w:tc>
        <w:tc>
          <w:tcPr>
            <w:tcW w:w="764" w:type="pct"/>
            <w:gridSpan w:val="2"/>
            <w:tcBorders>
              <w:tl2br w:val="nil"/>
              <w:tr2bl w:val="nil"/>
            </w:tcBorders>
            <w:noWrap w:val="0"/>
            <w:vAlign w:val="center"/>
          </w:tcPr>
          <w:p w14:paraId="74F887F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85～95</w:t>
            </w:r>
            <w:r>
              <w:rPr>
                <w:rFonts w:hint="default" w:ascii="Times New Roman" w:hAnsi="Times New Roman" w:cs="Times New Roman"/>
                <w:color w:val="auto"/>
                <w:sz w:val="18"/>
                <w:szCs w:val="18"/>
                <w:highlight w:val="none"/>
              </w:rPr>
              <w:t>dB（A）</w:t>
            </w:r>
          </w:p>
        </w:tc>
        <w:tc>
          <w:tcPr>
            <w:tcW w:w="1535" w:type="pct"/>
            <w:gridSpan w:val="2"/>
            <w:tcBorders>
              <w:tl2br w:val="nil"/>
              <w:tr2bl w:val="nil"/>
            </w:tcBorders>
            <w:noWrap w:val="0"/>
            <w:vAlign w:val="center"/>
          </w:tcPr>
          <w:p w14:paraId="4D98091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项目设备合理布局</w:t>
            </w:r>
            <w:r>
              <w:rPr>
                <w:rFonts w:hint="default" w:ascii="Times New Roman" w:hAnsi="Times New Roman" w:eastAsia="宋体" w:cs="Times New Roman"/>
                <w:color w:val="auto"/>
                <w:sz w:val="18"/>
                <w:szCs w:val="18"/>
                <w:highlight w:val="none"/>
                <w:lang w:eastAsia="zh-CN"/>
              </w:rPr>
              <w:t>，采取</w:t>
            </w:r>
            <w:r>
              <w:rPr>
                <w:rFonts w:hint="default" w:ascii="Times New Roman" w:hAnsi="Times New Roman" w:eastAsia="宋体" w:cs="Times New Roman"/>
                <w:color w:val="auto"/>
                <w:sz w:val="18"/>
                <w:szCs w:val="18"/>
                <w:highlight w:val="none"/>
                <w:lang w:val="en-US" w:eastAsia="zh-CN"/>
              </w:rPr>
              <w:t>基础减震</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封闭隔声</w:t>
            </w:r>
            <w:r>
              <w:rPr>
                <w:rFonts w:hint="default" w:ascii="Times New Roman" w:hAnsi="Times New Roman" w:eastAsia="宋体" w:cs="Times New Roman"/>
                <w:color w:val="auto"/>
                <w:sz w:val="18"/>
                <w:szCs w:val="18"/>
                <w:highlight w:val="none"/>
                <w:lang w:val="en-US" w:eastAsia="zh-CN"/>
              </w:rPr>
              <w:t>等</w:t>
            </w:r>
            <w:r>
              <w:rPr>
                <w:rFonts w:hint="default" w:ascii="Times New Roman" w:hAnsi="Times New Roman" w:eastAsia="宋体" w:cs="Times New Roman"/>
                <w:color w:val="auto"/>
                <w:sz w:val="18"/>
                <w:szCs w:val="18"/>
                <w:highlight w:val="none"/>
                <w:lang w:eastAsia="zh-CN"/>
              </w:rPr>
              <w:t>措施。</w:t>
            </w:r>
          </w:p>
        </w:tc>
        <w:tc>
          <w:tcPr>
            <w:tcW w:w="1110" w:type="pct"/>
            <w:gridSpan w:val="3"/>
            <w:tcBorders>
              <w:tl2br w:val="nil"/>
              <w:tr2bl w:val="nil"/>
            </w:tcBorders>
            <w:noWrap w:val="0"/>
            <w:vAlign w:val="center"/>
          </w:tcPr>
          <w:p w14:paraId="3C473C85">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85～95</w:t>
            </w:r>
            <w:r>
              <w:rPr>
                <w:rFonts w:hint="default" w:ascii="Times New Roman" w:hAnsi="Times New Roman" w:cs="Times New Roman"/>
                <w:color w:val="auto"/>
                <w:sz w:val="18"/>
                <w:szCs w:val="18"/>
                <w:highlight w:val="none"/>
              </w:rPr>
              <w:t>dB（A）</w:t>
            </w:r>
          </w:p>
        </w:tc>
      </w:tr>
      <w:tr w14:paraId="0CEFA3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526" w:type="pct"/>
            <w:gridSpan w:val="2"/>
            <w:vMerge w:val="restart"/>
            <w:tcBorders>
              <w:tl2br w:val="nil"/>
              <w:tr2bl w:val="nil"/>
            </w:tcBorders>
            <w:noWrap w:val="0"/>
            <w:vAlign w:val="center"/>
          </w:tcPr>
          <w:p w14:paraId="21634108">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固废</w:t>
            </w:r>
          </w:p>
        </w:tc>
        <w:tc>
          <w:tcPr>
            <w:tcW w:w="392" w:type="pct"/>
            <w:tcBorders>
              <w:tl2br w:val="nil"/>
              <w:tr2bl w:val="nil"/>
            </w:tcBorders>
            <w:noWrap w:val="0"/>
            <w:vAlign w:val="center"/>
          </w:tcPr>
          <w:p w14:paraId="34263FB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除尘器</w:t>
            </w:r>
          </w:p>
        </w:tc>
        <w:tc>
          <w:tcPr>
            <w:tcW w:w="671" w:type="pct"/>
            <w:gridSpan w:val="2"/>
            <w:tcBorders>
              <w:tl2br w:val="nil"/>
              <w:tr2bl w:val="nil"/>
            </w:tcBorders>
            <w:noWrap w:val="0"/>
            <w:vAlign w:val="center"/>
          </w:tcPr>
          <w:p w14:paraId="3FCEAF4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rPr>
              <w:t>除尘</w:t>
            </w:r>
            <w:r>
              <w:rPr>
                <w:rFonts w:hint="default" w:ascii="Times New Roman" w:hAnsi="Times New Roman" w:eastAsia="宋体" w:cs="Times New Roman"/>
                <w:snapToGrid w:val="0"/>
                <w:color w:val="auto"/>
                <w:kern w:val="0"/>
                <w:sz w:val="18"/>
                <w:szCs w:val="18"/>
                <w:highlight w:val="none"/>
                <w:lang w:val="en-US" w:eastAsia="zh-CN"/>
              </w:rPr>
              <w:t>灰</w:t>
            </w:r>
          </w:p>
        </w:tc>
        <w:tc>
          <w:tcPr>
            <w:tcW w:w="764" w:type="pct"/>
            <w:gridSpan w:val="2"/>
            <w:tcBorders>
              <w:tl2br w:val="nil"/>
              <w:tr2bl w:val="nil"/>
            </w:tcBorders>
            <w:noWrap w:val="0"/>
            <w:vAlign w:val="center"/>
          </w:tcPr>
          <w:p w14:paraId="202A224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97.30</w:t>
            </w:r>
            <w:r>
              <w:rPr>
                <w:rFonts w:hint="default" w:ascii="Times New Roman" w:hAnsi="Times New Roman" w:eastAsia="宋体" w:cs="Times New Roman"/>
                <w:snapToGrid w:val="0"/>
                <w:color w:val="auto"/>
                <w:kern w:val="0"/>
                <w:sz w:val="18"/>
                <w:szCs w:val="18"/>
                <w:highlight w:val="none"/>
              </w:rPr>
              <w:t>t/a</w:t>
            </w:r>
          </w:p>
        </w:tc>
        <w:tc>
          <w:tcPr>
            <w:tcW w:w="1535" w:type="pct"/>
            <w:gridSpan w:val="2"/>
            <w:tcBorders>
              <w:tl2br w:val="nil"/>
              <w:tr2bl w:val="nil"/>
            </w:tcBorders>
            <w:noWrap w:val="0"/>
            <w:vAlign w:val="center"/>
          </w:tcPr>
          <w:p w14:paraId="2A347D3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收集后外售新平甬福环保有限公司用于矿渣微粉生产线使用。</w:t>
            </w:r>
          </w:p>
        </w:tc>
        <w:tc>
          <w:tcPr>
            <w:tcW w:w="1110" w:type="pct"/>
            <w:gridSpan w:val="3"/>
            <w:tcBorders>
              <w:tl2br w:val="nil"/>
              <w:tr2bl w:val="nil"/>
            </w:tcBorders>
            <w:noWrap w:val="0"/>
            <w:vAlign w:val="center"/>
          </w:tcPr>
          <w:p w14:paraId="3501FDC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处置率100%</w:t>
            </w:r>
          </w:p>
        </w:tc>
      </w:tr>
      <w:tr w14:paraId="3B7EAB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26" w:type="pct"/>
            <w:gridSpan w:val="2"/>
            <w:vMerge w:val="continue"/>
            <w:tcBorders>
              <w:tl2br w:val="nil"/>
              <w:tr2bl w:val="nil"/>
            </w:tcBorders>
            <w:noWrap w:val="0"/>
            <w:vAlign w:val="center"/>
          </w:tcPr>
          <w:p w14:paraId="0765E8E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392" w:type="pct"/>
            <w:vMerge w:val="restart"/>
            <w:tcBorders>
              <w:tl2br w:val="nil"/>
              <w:tr2bl w:val="nil"/>
            </w:tcBorders>
            <w:noWrap w:val="0"/>
            <w:vAlign w:val="center"/>
          </w:tcPr>
          <w:p w14:paraId="3A017C0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rPr>
              <w:t>设备维修</w:t>
            </w:r>
          </w:p>
        </w:tc>
        <w:tc>
          <w:tcPr>
            <w:tcW w:w="671" w:type="pct"/>
            <w:gridSpan w:val="2"/>
            <w:tcBorders>
              <w:tl2br w:val="nil"/>
              <w:tr2bl w:val="nil"/>
            </w:tcBorders>
            <w:noWrap w:val="0"/>
            <w:vAlign w:val="center"/>
          </w:tcPr>
          <w:p w14:paraId="4D5F466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rPr>
              <w:t>废</w:t>
            </w:r>
            <w:r>
              <w:rPr>
                <w:rFonts w:hint="default" w:ascii="Times New Roman" w:hAnsi="Times New Roman" w:cs="Times New Roman"/>
                <w:color w:val="auto"/>
                <w:sz w:val="18"/>
                <w:szCs w:val="18"/>
                <w:highlight w:val="none"/>
                <w:lang w:val="en-US" w:eastAsia="zh-CN"/>
              </w:rPr>
              <w:t>矿物油及含矿物油废物</w:t>
            </w:r>
          </w:p>
        </w:tc>
        <w:tc>
          <w:tcPr>
            <w:tcW w:w="764" w:type="pct"/>
            <w:gridSpan w:val="2"/>
            <w:tcBorders>
              <w:tl2br w:val="nil"/>
              <w:tr2bl w:val="nil"/>
            </w:tcBorders>
            <w:noWrap w:val="0"/>
            <w:vAlign w:val="center"/>
          </w:tcPr>
          <w:p w14:paraId="4781E6F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0.01t/a</w:t>
            </w:r>
          </w:p>
        </w:tc>
        <w:tc>
          <w:tcPr>
            <w:tcW w:w="1535" w:type="pct"/>
            <w:gridSpan w:val="2"/>
            <w:vMerge w:val="restart"/>
            <w:tcBorders>
              <w:tl2br w:val="nil"/>
              <w:tr2bl w:val="nil"/>
            </w:tcBorders>
            <w:noWrap w:val="0"/>
            <w:vAlign w:val="center"/>
          </w:tcPr>
          <w:p w14:paraId="2D0A9BD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bCs/>
                <w:color w:val="auto"/>
                <w:sz w:val="18"/>
                <w:szCs w:val="18"/>
                <w:highlight w:val="none"/>
                <w:lang w:val="en-US" w:eastAsia="zh-CN" w:bidi="en-US"/>
              </w:rPr>
              <w:t>依托矿山危废暂存间暂存，由集团公司统一委托</w:t>
            </w:r>
            <w:r>
              <w:rPr>
                <w:rFonts w:hint="default" w:ascii="Times New Roman" w:hAnsi="Times New Roman" w:eastAsia="宋体" w:cs="Times New Roman"/>
                <w:bCs/>
                <w:color w:val="auto"/>
                <w:sz w:val="18"/>
                <w:szCs w:val="18"/>
                <w:highlight w:val="none"/>
                <w:lang w:bidi="en-US"/>
              </w:rPr>
              <w:t>有资质单位</w:t>
            </w:r>
            <w:r>
              <w:rPr>
                <w:rFonts w:hint="default" w:ascii="Times New Roman" w:hAnsi="Times New Roman" w:cs="Times New Roman"/>
                <w:bCs/>
                <w:color w:val="auto"/>
                <w:sz w:val="18"/>
                <w:szCs w:val="18"/>
                <w:highlight w:val="none"/>
                <w:lang w:val="en-US" w:eastAsia="zh-CN" w:bidi="en-US"/>
              </w:rPr>
              <w:t>清运</w:t>
            </w:r>
            <w:r>
              <w:rPr>
                <w:rFonts w:hint="default" w:ascii="Times New Roman" w:hAnsi="Times New Roman" w:eastAsia="宋体" w:cs="Times New Roman"/>
                <w:bCs/>
                <w:color w:val="auto"/>
                <w:sz w:val="18"/>
                <w:szCs w:val="18"/>
                <w:highlight w:val="none"/>
                <w:lang w:bidi="en-US"/>
              </w:rPr>
              <w:t>处置</w:t>
            </w:r>
          </w:p>
        </w:tc>
        <w:tc>
          <w:tcPr>
            <w:tcW w:w="1110" w:type="pct"/>
            <w:gridSpan w:val="3"/>
            <w:vMerge w:val="restart"/>
            <w:tcBorders>
              <w:tl2br w:val="nil"/>
              <w:tr2bl w:val="nil"/>
            </w:tcBorders>
            <w:noWrap w:val="0"/>
            <w:vAlign w:val="center"/>
          </w:tcPr>
          <w:p w14:paraId="4ACD233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处置率100%</w:t>
            </w:r>
          </w:p>
        </w:tc>
      </w:tr>
      <w:tr w14:paraId="5B164B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26" w:type="pct"/>
            <w:gridSpan w:val="2"/>
            <w:vMerge w:val="continue"/>
            <w:tcBorders>
              <w:tl2br w:val="nil"/>
              <w:tr2bl w:val="nil"/>
            </w:tcBorders>
            <w:noWrap w:val="0"/>
            <w:vAlign w:val="center"/>
          </w:tcPr>
          <w:p w14:paraId="6DD7815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p>
        </w:tc>
        <w:tc>
          <w:tcPr>
            <w:tcW w:w="392" w:type="pct"/>
            <w:vMerge w:val="continue"/>
            <w:tcBorders>
              <w:tl2br w:val="nil"/>
              <w:tr2bl w:val="nil"/>
            </w:tcBorders>
            <w:noWrap w:val="0"/>
            <w:vAlign w:val="center"/>
          </w:tcPr>
          <w:p w14:paraId="74849FB8">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p>
        </w:tc>
        <w:tc>
          <w:tcPr>
            <w:tcW w:w="671" w:type="pct"/>
            <w:gridSpan w:val="2"/>
            <w:tcBorders>
              <w:tl2br w:val="nil"/>
              <w:tr2bl w:val="nil"/>
            </w:tcBorders>
            <w:noWrap w:val="0"/>
            <w:vAlign w:val="center"/>
          </w:tcPr>
          <w:p w14:paraId="7EFE443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含油抹布及手套</w:t>
            </w:r>
          </w:p>
        </w:tc>
        <w:tc>
          <w:tcPr>
            <w:tcW w:w="764" w:type="pct"/>
            <w:gridSpan w:val="2"/>
            <w:tcBorders>
              <w:tl2br w:val="nil"/>
              <w:tr2bl w:val="nil"/>
            </w:tcBorders>
            <w:noWrap w:val="0"/>
            <w:vAlign w:val="center"/>
          </w:tcPr>
          <w:p w14:paraId="638708B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kern w:val="2"/>
                <w:sz w:val="18"/>
                <w:szCs w:val="18"/>
                <w:highlight w:val="none"/>
                <w:lang w:val="en-US" w:eastAsia="zh-CN" w:bidi="ar-SA"/>
              </w:rPr>
              <w:t>0.01t/a</w:t>
            </w:r>
          </w:p>
        </w:tc>
        <w:tc>
          <w:tcPr>
            <w:tcW w:w="1535" w:type="pct"/>
            <w:gridSpan w:val="2"/>
            <w:vMerge w:val="continue"/>
            <w:tcBorders>
              <w:tl2br w:val="nil"/>
              <w:tr2bl w:val="nil"/>
            </w:tcBorders>
            <w:noWrap w:val="0"/>
            <w:vAlign w:val="center"/>
          </w:tcPr>
          <w:p w14:paraId="36433DA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110" w:type="pct"/>
            <w:gridSpan w:val="3"/>
            <w:vMerge w:val="continue"/>
            <w:tcBorders>
              <w:tl2br w:val="nil"/>
              <w:tr2bl w:val="nil"/>
            </w:tcBorders>
            <w:noWrap w:val="0"/>
            <w:vAlign w:val="center"/>
          </w:tcPr>
          <w:p w14:paraId="17F3378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rPr>
            </w:pPr>
          </w:p>
        </w:tc>
      </w:tr>
      <w:tr w14:paraId="78B331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6" w:type="pct"/>
            <w:gridSpan w:val="2"/>
            <w:vMerge w:val="continue"/>
            <w:tcBorders>
              <w:tl2br w:val="nil"/>
              <w:tr2bl w:val="nil"/>
            </w:tcBorders>
            <w:noWrap w:val="0"/>
            <w:vAlign w:val="center"/>
          </w:tcPr>
          <w:p w14:paraId="14F9C74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392" w:type="pct"/>
            <w:tcBorders>
              <w:tl2br w:val="nil"/>
              <w:tr2bl w:val="nil"/>
            </w:tcBorders>
            <w:noWrap w:val="0"/>
            <w:vAlign w:val="center"/>
          </w:tcPr>
          <w:p w14:paraId="7C976D7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员工</w:t>
            </w:r>
          </w:p>
        </w:tc>
        <w:tc>
          <w:tcPr>
            <w:tcW w:w="671" w:type="pct"/>
            <w:gridSpan w:val="2"/>
            <w:tcBorders>
              <w:tl2br w:val="nil"/>
              <w:tr2bl w:val="nil"/>
            </w:tcBorders>
            <w:noWrap w:val="0"/>
            <w:vAlign w:val="center"/>
          </w:tcPr>
          <w:p w14:paraId="2BB0522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val="en-US" w:eastAsia="zh-CN"/>
              </w:rPr>
              <w:t>生活</w:t>
            </w:r>
            <w:r>
              <w:rPr>
                <w:rFonts w:hint="default" w:ascii="Times New Roman" w:hAnsi="Times New Roman" w:cs="Times New Roman"/>
                <w:color w:val="auto"/>
                <w:kern w:val="0"/>
                <w:sz w:val="18"/>
                <w:szCs w:val="18"/>
                <w:highlight w:val="none"/>
              </w:rPr>
              <w:t>垃圾</w:t>
            </w:r>
          </w:p>
        </w:tc>
        <w:tc>
          <w:tcPr>
            <w:tcW w:w="764" w:type="pct"/>
            <w:gridSpan w:val="2"/>
            <w:tcBorders>
              <w:tl2br w:val="nil"/>
              <w:tr2bl w:val="nil"/>
            </w:tcBorders>
            <w:noWrap w:val="0"/>
            <w:vAlign w:val="center"/>
          </w:tcPr>
          <w:p w14:paraId="0F2059E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1.5</w:t>
            </w:r>
            <w:r>
              <w:rPr>
                <w:rFonts w:hint="default" w:ascii="Times New Roman" w:hAnsi="Times New Roman" w:cs="Times New Roman"/>
                <w:color w:val="auto"/>
                <w:kern w:val="0"/>
                <w:sz w:val="18"/>
                <w:szCs w:val="18"/>
                <w:highlight w:val="none"/>
              </w:rPr>
              <w:t>t/a</w:t>
            </w:r>
          </w:p>
        </w:tc>
        <w:tc>
          <w:tcPr>
            <w:tcW w:w="1535" w:type="pct"/>
            <w:gridSpan w:val="2"/>
            <w:tcBorders>
              <w:tl2br w:val="nil"/>
              <w:tr2bl w:val="nil"/>
            </w:tcBorders>
            <w:noWrap w:val="0"/>
            <w:vAlign w:val="center"/>
          </w:tcPr>
          <w:p w14:paraId="2A121B6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kern w:val="0"/>
                <w:sz w:val="18"/>
                <w:szCs w:val="18"/>
                <w:highlight w:val="none"/>
                <w:lang w:val="en-US" w:eastAsia="zh-CN"/>
              </w:rPr>
              <w:t>依托矿山生活垃圾池统一收集后定期清运至扬武镇生活垃圾集中收集点，统一处置。</w:t>
            </w:r>
          </w:p>
        </w:tc>
        <w:tc>
          <w:tcPr>
            <w:tcW w:w="1110" w:type="pct"/>
            <w:gridSpan w:val="3"/>
            <w:tcBorders>
              <w:tl2br w:val="nil"/>
              <w:tr2bl w:val="nil"/>
            </w:tcBorders>
            <w:noWrap w:val="0"/>
            <w:vAlign w:val="center"/>
          </w:tcPr>
          <w:p w14:paraId="6293431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处置率100%</w:t>
            </w:r>
          </w:p>
        </w:tc>
      </w:tr>
    </w:tbl>
    <w:p w14:paraId="71183E31">
      <w:pPr>
        <w:spacing w:line="360" w:lineRule="auto"/>
        <w:ind w:firstLine="480" w:firstLineChars="200"/>
        <w:rPr>
          <w:rFonts w:hint="default" w:ascii="Times New Roman" w:hAnsi="Times New Roman" w:cs="Times New Roman" w:eastAsiaTheme="minorEastAsia"/>
          <w:sz w:val="24"/>
          <w:szCs w:val="24"/>
        </w:rPr>
      </w:pPr>
    </w:p>
    <w:p w14:paraId="5F872776">
      <w:pPr>
        <w:spacing w:line="360" w:lineRule="auto"/>
        <w:ind w:firstLine="480" w:firstLineChars="200"/>
        <w:rPr>
          <w:rFonts w:hint="default" w:ascii="Times New Roman" w:hAnsi="Times New Roman" w:cs="Times New Roman" w:eastAsiaTheme="minorEastAsia"/>
          <w:sz w:val="24"/>
          <w:szCs w:val="24"/>
        </w:rPr>
      </w:pPr>
    </w:p>
    <w:p w14:paraId="3BEF5F13">
      <w:pPr>
        <w:spacing w:line="360" w:lineRule="auto"/>
        <w:ind w:firstLine="480" w:firstLineChars="200"/>
        <w:rPr>
          <w:rFonts w:hint="default" w:ascii="Times New Roman" w:hAnsi="Times New Roman" w:cs="Times New Roman" w:eastAsiaTheme="minorEastAsia"/>
          <w:sz w:val="24"/>
          <w:szCs w:val="24"/>
        </w:rPr>
      </w:pPr>
    </w:p>
    <w:p w14:paraId="2BB39AC5">
      <w:pPr>
        <w:spacing w:line="360" w:lineRule="auto"/>
        <w:ind w:firstLine="480" w:firstLineChars="200"/>
        <w:rPr>
          <w:rFonts w:hint="default" w:ascii="Times New Roman" w:hAnsi="Times New Roman" w:cs="Times New Roman" w:eastAsiaTheme="minorEastAsia"/>
          <w:sz w:val="24"/>
          <w:szCs w:val="24"/>
        </w:rPr>
      </w:pPr>
    </w:p>
    <w:p w14:paraId="724A6A83">
      <w:pPr>
        <w:spacing w:line="360" w:lineRule="auto"/>
        <w:ind w:firstLine="480" w:firstLineChars="200"/>
        <w:rPr>
          <w:rFonts w:hint="default" w:ascii="Times New Roman" w:hAnsi="Times New Roman" w:cs="Times New Roman" w:eastAsiaTheme="minorEastAsia"/>
          <w:sz w:val="24"/>
          <w:szCs w:val="24"/>
        </w:rPr>
      </w:pPr>
    </w:p>
    <w:p w14:paraId="0018D6F9">
      <w:pPr>
        <w:spacing w:line="360" w:lineRule="auto"/>
        <w:ind w:firstLine="480" w:firstLineChars="200"/>
        <w:rPr>
          <w:rFonts w:hint="default" w:ascii="Times New Roman" w:hAnsi="Times New Roman" w:cs="Times New Roman" w:eastAsiaTheme="minorEastAsia"/>
          <w:sz w:val="24"/>
          <w:szCs w:val="24"/>
        </w:rPr>
      </w:pPr>
    </w:p>
    <w:p w14:paraId="0E17FE66">
      <w:pPr>
        <w:rPr>
          <w:rFonts w:hint="default" w:ascii="Times New Roman" w:hAnsi="Times New Roman" w:cs="Times New Roman" w:eastAsiaTheme="minorEastAsia"/>
          <w:sz w:val="24"/>
          <w:szCs w:val="24"/>
          <w:lang w:val="en-US" w:eastAsia="zh-CN"/>
        </w:rPr>
        <w:sectPr>
          <w:pgSz w:w="16838" w:h="11906" w:orient="landscape"/>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AndChars" w:linePitch="336" w:charSpace="0"/>
        </w:sectPr>
      </w:pPr>
      <w:bookmarkStart w:id="343" w:name="_Toc165816755"/>
      <w:r>
        <w:rPr>
          <w:rFonts w:hint="default" w:ascii="Times New Roman" w:hAnsi="Times New Roman" w:cs="Times New Roman" w:eastAsiaTheme="minorEastAsia"/>
          <w:sz w:val="24"/>
          <w:szCs w:val="24"/>
          <w:lang w:val="en-US" w:eastAsia="zh-CN"/>
        </w:rPr>
        <w:br w:type="page"/>
      </w:r>
    </w:p>
    <w:p w14:paraId="50249DE9">
      <w:pPr>
        <w:pStyle w:val="4"/>
        <w:bidi w:val="0"/>
        <w:rPr>
          <w:rFonts w:hint="default" w:ascii="Times New Roman" w:hAnsi="Times New Roman" w:cs="Times New Roman"/>
        </w:rPr>
      </w:pPr>
      <w:bookmarkStart w:id="344" w:name="_Toc5571"/>
      <w:bookmarkStart w:id="345" w:name="_Toc12704"/>
      <w:bookmarkStart w:id="346" w:name="_Toc10350"/>
      <w:bookmarkStart w:id="347" w:name="_Toc27807"/>
      <w:bookmarkStart w:id="348" w:name="_Toc29586"/>
      <w:r>
        <w:rPr>
          <w:rFonts w:hint="default" w:ascii="Times New Roman" w:hAnsi="Times New Roman" w:cs="Times New Roman"/>
          <w:lang w:val="en-US" w:eastAsia="zh-CN"/>
        </w:rPr>
        <w:t>4</w:t>
      </w:r>
      <w:r>
        <w:rPr>
          <w:rFonts w:hint="default" w:ascii="Times New Roman" w:hAnsi="Times New Roman" w:cs="Times New Roman"/>
        </w:rPr>
        <w:t xml:space="preserve"> 环境现状调查与评价</w:t>
      </w:r>
      <w:bookmarkEnd w:id="343"/>
      <w:bookmarkEnd w:id="344"/>
      <w:bookmarkEnd w:id="345"/>
      <w:bookmarkEnd w:id="346"/>
      <w:bookmarkEnd w:id="347"/>
      <w:bookmarkEnd w:id="348"/>
    </w:p>
    <w:p w14:paraId="249D6FF8">
      <w:pPr>
        <w:pStyle w:val="5"/>
        <w:bidi w:val="0"/>
        <w:rPr>
          <w:rFonts w:hint="default" w:ascii="Times New Roman" w:hAnsi="Times New Roman" w:cs="Times New Roman"/>
        </w:rPr>
      </w:pPr>
      <w:bookmarkStart w:id="349" w:name="_Toc15692"/>
      <w:bookmarkStart w:id="350" w:name="_Toc16223"/>
      <w:bookmarkStart w:id="351" w:name="_Toc10765"/>
      <w:bookmarkStart w:id="352" w:name="_Toc1927"/>
      <w:bookmarkStart w:id="353" w:name="_Toc165816756"/>
      <w:bookmarkStart w:id="354" w:name="_Toc660"/>
      <w:r>
        <w:rPr>
          <w:rFonts w:hint="default" w:ascii="Times New Roman" w:hAnsi="Times New Roman" w:cs="Times New Roman"/>
          <w:lang w:val="en-US" w:eastAsia="zh-CN"/>
        </w:rPr>
        <w:t>4</w:t>
      </w:r>
      <w:r>
        <w:rPr>
          <w:rFonts w:hint="default" w:ascii="Times New Roman" w:hAnsi="Times New Roman" w:cs="Times New Roman"/>
        </w:rPr>
        <w:t>.1自然环境现状调查与评价</w:t>
      </w:r>
      <w:bookmarkEnd w:id="349"/>
      <w:bookmarkEnd w:id="350"/>
      <w:bookmarkEnd w:id="351"/>
      <w:bookmarkEnd w:id="352"/>
      <w:bookmarkEnd w:id="353"/>
      <w:bookmarkEnd w:id="354"/>
    </w:p>
    <w:p w14:paraId="0C2E76C5">
      <w:pPr>
        <w:pStyle w:val="6"/>
        <w:bidi w:val="0"/>
        <w:rPr>
          <w:rFonts w:hint="default" w:ascii="Times New Roman" w:hAnsi="Times New Roman" w:cs="Times New Roman"/>
        </w:rPr>
      </w:pPr>
      <w:bookmarkStart w:id="355" w:name="_Toc165816757"/>
      <w:bookmarkStart w:id="356" w:name="_Toc7929"/>
      <w:r>
        <w:rPr>
          <w:rFonts w:hint="default" w:ascii="Times New Roman" w:hAnsi="Times New Roman" w:cs="Times New Roman"/>
          <w:lang w:val="en-US" w:eastAsia="zh-CN"/>
        </w:rPr>
        <w:t>4</w:t>
      </w:r>
      <w:r>
        <w:rPr>
          <w:rFonts w:hint="default" w:ascii="Times New Roman" w:hAnsi="Times New Roman" w:cs="Times New Roman"/>
        </w:rPr>
        <w:t>.1.1地理位置</w:t>
      </w:r>
      <w:bookmarkEnd w:id="355"/>
      <w:bookmarkEnd w:id="356"/>
    </w:p>
    <w:p w14:paraId="19CE273D">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"http://baike.sogou.com/lemma/ShowInnerLink.htm?lemmaId=101613868"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新平</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彝族</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"http://baike.sogou.com/lemma/ShowInnerLink.htm?lemmaId=9058"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傣族</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"http://baike.sogou.com/lemma/ShowInnerLink.htm?lemmaId=140705"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自治县</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是云南省</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"http://baike.sogou.com/lemma/ShowInnerLink.htm?lemmaId=28858"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玉溪市</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下属的一个县，地理位置在北纬23°38′15″~24°26′05″，东经101°16′30″~102°16′50″。县境最大</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"http://baike.sogou.com/lemma/ShowInnerLink.htm?lemmaId=85632039"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横距</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102公里，最大纵距88.2公里，总面积4223平方公里，其中山区面积4139.6平方公里，占98%，坝区面积仅83.4平方公里，占2%；山谷纵横，山峦层叠，是典型的山区县。地势西北高、东南低。新平彝族傣族自治县分别与</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"http://baike.sogou.com/lemma/ShowInnerLink.htm?lemmaId=148485"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峨山县</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"http://baike.sogou.com/lemma/ShowInnerLink.htm?lemmaId=149559"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石屏县</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"http://baike.sogou.com/lemma/ShowInnerLink.htm?lemmaId=148670"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元江县</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"http://baike.sogou.com/lemma/ShowInnerLink.htm?lemmaId=389073"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墨江县</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"http://baike.sogou.com/lemma/ShowInnerLink.htm?lemmaId=5140584"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镇沅县</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"http://baike.sogou.com/lemma/ShowInnerLink.htm?lemmaId=149447"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双柏县</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接壤，县城驻地</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"http://baike.sogou.com/lemma/ShowInnerLink.htm?lemmaId=7084694"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桂山街道</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。新平县是一个聚集了好几个少数民族的自治县，民族风俗独异，境内有彝族、傣族、哈尼族、</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"http://baike.sogou.com/lemma/ShowInnerLink.htm?lemmaId=9326"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拉祜族</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、回族、白族、苗族、汉族等17种民族。其自然风光独特，哀牢山</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"http://baike.sogou.com/lemma/ShowInnerLink.htm?lemmaId=3909286"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国家级自然保护区</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其核心部位于新平境内，原始生态最为典型，为世界同纬度生物多样化、同类型</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"http://baike.sogou.com/lemma/ShowInnerLink.htm?lemmaId=629788"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植物群落</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保留最完整的地区，哀牢山横跨热带和亚热带，形成南北</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"http://baike.sogou.com/lemma/ShowInnerLink.htm?lemmaId=7986309"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动物迁徙</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的“走廊”和</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"http://baike.sogou.com/lemma/ShowInnerLink.htm?lemmaId=2230485"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生物物种</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"http://baike.sogou.com/lemma/ShowInnerLink.htm?lemmaId=417301"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基因库</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”，被列为联合国“人与</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"http://baike.sogou.com/lemma/ShowInnerLink.htm?lemmaId=66061"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生物圈</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"http://baike.sogou.com/lemma/ShowInnerLink.htm?lemmaId=3723244"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森林生态系统</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定位观察站和国际候鸟保护基地。</w:t>
      </w:r>
    </w:p>
    <w:p w14:paraId="07BC3806">
      <w:pPr>
        <w:spacing w:line="360" w:lineRule="auto"/>
        <w:ind w:firstLine="480"/>
        <w:rPr>
          <w:rFonts w:hint="default" w:ascii="Times New Roman" w:hAnsi="Times New Roman" w:cs="Times New Roman" w:eastAsiaTheme="minorEastAsia"/>
          <w:color w:val="auto"/>
          <w:sz w:val="24"/>
          <w:szCs w:val="24"/>
          <w:shd w:val="clear" w:color="auto" w:fill="FFFFFF"/>
        </w:rPr>
      </w:pPr>
      <w:r>
        <w:rPr>
          <w:rFonts w:hint="default" w:ascii="Times New Roman" w:hAnsi="Times New Roman" w:cs="Times New Roman" w:eastAsiaTheme="minorEastAsia"/>
          <w:color w:val="auto"/>
          <w:sz w:val="24"/>
          <w:szCs w:val="24"/>
          <w:shd w:val="clear" w:color="auto" w:fill="FFFFFF"/>
        </w:rPr>
        <w:t>本项目</w:t>
      </w:r>
      <w:r>
        <w:rPr>
          <w:rFonts w:hint="default" w:ascii="Times New Roman" w:hAnsi="Times New Roman" w:cs="Times New Roman" w:eastAsiaTheme="minorEastAsia"/>
          <w:color w:val="auto"/>
          <w:sz w:val="24"/>
          <w:szCs w:val="24"/>
        </w:rPr>
        <w:t>位于新平县扬武镇鲁奎山</w:t>
      </w:r>
      <w:r>
        <w:rPr>
          <w:rFonts w:hint="default" w:ascii="Times New Roman" w:hAnsi="Times New Roman" w:cs="Times New Roman" w:eastAsiaTheme="minorEastAsia"/>
          <w:color w:val="auto"/>
          <w:sz w:val="24"/>
          <w:szCs w:val="24"/>
          <w:lang w:val="en-US" w:eastAsia="zh-CN"/>
        </w:rPr>
        <w:t>铁矿西北侧</w:t>
      </w:r>
      <w:r>
        <w:rPr>
          <w:rFonts w:hint="default" w:ascii="Times New Roman" w:hAnsi="Times New Roman" w:cs="Times New Roman" w:eastAsiaTheme="minorEastAsia"/>
          <w:color w:val="auto"/>
          <w:sz w:val="24"/>
          <w:szCs w:val="24"/>
          <w:shd w:val="clear" w:color="auto" w:fill="FFFFFF"/>
        </w:rPr>
        <w:t>，</w:t>
      </w:r>
      <w:r>
        <w:rPr>
          <w:rFonts w:hint="default" w:ascii="Times New Roman" w:hAnsi="Times New Roman" w:cs="Times New Roman" w:eastAsiaTheme="minorEastAsia"/>
          <w:color w:val="auto"/>
          <w:sz w:val="24"/>
          <w:szCs w:val="24"/>
        </w:rPr>
        <w:t>项目中心地理坐标为东经102.196263，北纬23.958044，地理位置图见附图1。</w:t>
      </w:r>
    </w:p>
    <w:p w14:paraId="30CF1F60">
      <w:pPr>
        <w:pStyle w:val="6"/>
        <w:bidi w:val="0"/>
        <w:rPr>
          <w:rFonts w:hint="default" w:ascii="Times New Roman" w:hAnsi="Times New Roman" w:cs="Times New Roman"/>
        </w:rPr>
      </w:pPr>
      <w:bookmarkStart w:id="357" w:name="_Toc165816758"/>
      <w:bookmarkStart w:id="358" w:name="_Toc10259"/>
      <w:r>
        <w:rPr>
          <w:rFonts w:hint="default" w:ascii="Times New Roman" w:hAnsi="Times New Roman" w:cs="Times New Roman"/>
          <w:lang w:val="en-US" w:eastAsia="zh-CN"/>
        </w:rPr>
        <w:t>4</w:t>
      </w:r>
      <w:r>
        <w:rPr>
          <w:rFonts w:hint="default" w:ascii="Times New Roman" w:hAnsi="Times New Roman" w:cs="Times New Roman"/>
        </w:rPr>
        <w:t>.1.2地形地貌</w:t>
      </w:r>
      <w:bookmarkEnd w:id="357"/>
      <w:bookmarkEnd w:id="358"/>
    </w:p>
    <w:p w14:paraId="15375D01">
      <w:pPr>
        <w:spacing w:line="360" w:lineRule="auto"/>
        <w:ind w:firstLine="480"/>
        <w:rPr>
          <w:rFonts w:hint="default" w:ascii="Times New Roman" w:hAnsi="Times New Roman" w:cs="Times New Roman" w:eastAsiaTheme="minorEastAsia"/>
          <w:sz w:val="24"/>
          <w:szCs w:val="24"/>
          <w:shd w:val="clear" w:color="auto" w:fill="FFFFFF"/>
        </w:rPr>
      </w:pPr>
      <w:r>
        <w:rPr>
          <w:rFonts w:hint="default" w:ascii="Times New Roman" w:hAnsi="Times New Roman" w:cs="Times New Roman" w:eastAsiaTheme="minorEastAsia"/>
          <w:sz w:val="24"/>
          <w:szCs w:val="24"/>
          <w:shd w:val="clear" w:color="auto" w:fill="FFFFFF"/>
        </w:rPr>
        <w:t>新平县内地质构造的时空差异明显，哀牢山、红河、绿汁江三大断裂带变形强烈，其余地区变形较弱。哀牢山断裂带北东侧为中深变质的下元古界哀牢山岩群，南西侧由浅变质的古生界马邓群所组成。在深浅变质岩系间，存在宽1</w:t>
      </w:r>
      <w:r>
        <w:rPr>
          <w:rFonts w:hint="default" w:ascii="Times New Roman" w:hAnsi="Times New Roman" w:cs="Times New Roman" w:eastAsiaTheme="minorEastAsia"/>
          <w:sz w:val="24"/>
          <w:szCs w:val="24"/>
          <w:shd w:val="clear" w:color="auto" w:fill="FFFFFF"/>
          <w:lang w:eastAsia="zh-CN"/>
        </w:rPr>
        <w:t>～</w:t>
      </w:r>
      <w:r>
        <w:rPr>
          <w:rFonts w:hint="default" w:ascii="Times New Roman" w:hAnsi="Times New Roman" w:cs="Times New Roman" w:eastAsiaTheme="minorEastAsia"/>
          <w:sz w:val="24"/>
          <w:szCs w:val="24"/>
          <w:shd w:val="clear" w:color="auto" w:fill="FFFFFF"/>
        </w:rPr>
        <w:t>3km的千糜岩、糜棱岩带，构造面理总体向北东陡倾。在千糜岩、糜棱岩带北东、南西两侧的深、浅变质岩系中，不对称褶皱发育。不对称褶皱轴面向北东倾斜，北东翼较长、南西翼较短，反映了褶皱形成于北东南西向挤压机制。红河断裂带位于者竜——戛洒——漠沙一线，断裂带南西盘为中变质的下元古界哀牢山岩群，北东盘为大面积的中生代红层所覆盖，其下零星出露有变质不均的下元古界大红山岩群。在断裂带内，糜棱岩化现象普遍，河流阶地十分发育，断层三角面屡见不鲜。在糜棱岩带中，水平拉伸线理、不对称残斑、倾坚褶皱等发育；在断裂带内发育的洪冲积扇中，可见明显的右行水平移位现象；这均反映出红河断裂带为一条右行平移剪切断裂带。绿汁江断裂带位于大开门——扬武一线，呈北东走向，断裂带北西侧为未变质的中生代红层，南东侧集中出露浅变质的中元古界昆阳群，反映了绿汁江断裂带对滇中中生代拗陷的形成与演化起着重要的控制作用。</w:t>
      </w:r>
    </w:p>
    <w:p w14:paraId="5360132D">
      <w:pPr>
        <w:spacing w:line="360" w:lineRule="auto"/>
        <w:ind w:firstLine="480"/>
        <w:rPr>
          <w:rFonts w:hint="default" w:ascii="Times New Roman" w:hAnsi="Times New Roman" w:cs="Times New Roman" w:eastAsiaTheme="minorEastAsia"/>
          <w:sz w:val="24"/>
          <w:szCs w:val="24"/>
          <w:shd w:val="clear" w:color="auto" w:fill="FFFFFF"/>
        </w:rPr>
      </w:pPr>
      <w:r>
        <w:rPr>
          <w:rFonts w:hint="default" w:ascii="Times New Roman" w:hAnsi="Times New Roman" w:cs="Times New Roman" w:eastAsiaTheme="minorEastAsia"/>
          <w:sz w:val="24"/>
          <w:szCs w:val="24"/>
          <w:shd w:val="clear" w:color="auto" w:fill="FFFFFF"/>
        </w:rPr>
        <w:t>鲁奎山走向在北段近南北，南段呈北西—南东向，总体呈走向“弧形”，主要由碳酸盐岩可溶岩类沉积岩组成。山岭地带、洼地、槽谷、漏斗等溶蚀地貌广为分布；山地周围被断层所限，龟枢河沿北、东、南三面断裂侵蚀呈“V”形峡谷，西侧沿断裂带侵蚀成冲沟，致使鲁奎山为一岩溶断块高中山地。最高峰标高为2403米，南西部斜查拉河，自北西—南东流向汇入龟枢河，汇入处龟枢河水位标高866.6m。为最低侵蚀基准面，相对高差达1536.4m。鲁奎山整体地形呈中间高、南北两端低之势，显示一幅崇山峻岭横卧、深沟峡谷纵横、森林茂密、灌木丛生、植被发育的地形地貌景观。</w:t>
      </w:r>
    </w:p>
    <w:p w14:paraId="54D56C0E">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项目区为山坡地带，场地周围无崩塌，无滑坡迹象及其它不良物理地质现象，地貌单元简单，场地较为稳定，适宜项目的建设。</w:t>
      </w:r>
    </w:p>
    <w:p w14:paraId="4B65466D">
      <w:pPr>
        <w:pStyle w:val="6"/>
        <w:bidi w:val="0"/>
        <w:rPr>
          <w:rFonts w:hint="default" w:ascii="Times New Roman" w:hAnsi="Times New Roman" w:cs="Times New Roman"/>
        </w:rPr>
      </w:pPr>
      <w:bookmarkStart w:id="359" w:name="_Toc597"/>
      <w:bookmarkStart w:id="360" w:name="_Toc165816759"/>
      <w:r>
        <w:rPr>
          <w:rFonts w:hint="default" w:ascii="Times New Roman" w:hAnsi="Times New Roman" w:cs="Times New Roman"/>
          <w:lang w:val="en-US" w:eastAsia="zh-CN"/>
        </w:rPr>
        <w:t>4</w:t>
      </w:r>
      <w:r>
        <w:rPr>
          <w:rFonts w:hint="default" w:ascii="Times New Roman" w:hAnsi="Times New Roman" w:cs="Times New Roman"/>
        </w:rPr>
        <w:t>.1.3气候和气象</w:t>
      </w:r>
      <w:bookmarkEnd w:id="359"/>
      <w:bookmarkEnd w:id="360"/>
    </w:p>
    <w:p w14:paraId="6E17EBEE">
      <w:pPr>
        <w:spacing w:line="360" w:lineRule="auto"/>
        <w:ind w:firstLine="490" w:firstLineChars="200"/>
        <w:rPr>
          <w:rFonts w:hint="default" w:ascii="Times New Roman" w:hAnsi="Times New Roman" w:cs="Times New Roman"/>
          <w:color w:val="auto"/>
          <w:sz w:val="24"/>
        </w:rPr>
      </w:pPr>
      <w:r>
        <w:rPr>
          <w:rFonts w:hint="default" w:ascii="Times New Roman" w:hAnsi="Times New Roman" w:cs="Times New Roman" w:eastAsiaTheme="minorEastAsia"/>
          <w:sz w:val="24"/>
          <w:szCs w:val="24"/>
          <w:shd w:val="clear" w:color="auto" w:fill="FFFFFF"/>
        </w:rPr>
        <w:t>新平县属中亚热带气候，气候垂直分带现象明显，海拔1900m以上的地区气候温凉，海拔1300m以下的河谷地带气候湿热。县内最高海拔哀牢山主峰大磨岩峰</w:t>
      </w:r>
      <w:r>
        <w:rPr>
          <w:rFonts w:hint="default" w:ascii="Times New Roman" w:hAnsi="Times New Roman" w:cs="Times New Roman" w:eastAsiaTheme="minorEastAsia"/>
          <w:sz w:val="24"/>
          <w:szCs w:val="24"/>
        </w:rPr>
        <w:t>3165.9</w:t>
      </w:r>
      <w:r>
        <w:rPr>
          <w:rFonts w:hint="default" w:ascii="Times New Roman" w:hAnsi="Times New Roman" w:cs="Times New Roman" w:eastAsiaTheme="minorEastAsia"/>
          <w:sz w:val="24"/>
          <w:szCs w:val="24"/>
          <w:shd w:val="clear" w:color="auto" w:fill="FFFFFF"/>
        </w:rPr>
        <w:t>m，最低海拔漠沙南蒿村</w:t>
      </w:r>
      <w:r>
        <w:rPr>
          <w:rFonts w:hint="default" w:ascii="Times New Roman" w:hAnsi="Times New Roman" w:cs="Times New Roman" w:eastAsiaTheme="minorEastAsia"/>
          <w:sz w:val="24"/>
          <w:szCs w:val="24"/>
        </w:rPr>
        <w:t>422</w:t>
      </w:r>
      <w:r>
        <w:rPr>
          <w:rFonts w:hint="default" w:ascii="Times New Roman" w:hAnsi="Times New Roman" w:cs="Times New Roman" w:eastAsiaTheme="minorEastAsia"/>
          <w:sz w:val="24"/>
          <w:szCs w:val="24"/>
          <w:shd w:val="clear" w:color="auto" w:fill="FFFFFF"/>
        </w:rPr>
        <w:t>m，呈明显的垂直</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"http://baike.sogou.com/lemma/ShowInnerLink.htm?lemmaId=474109"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shd w:val="clear" w:color="auto" w:fill="FFFFFF"/>
        </w:rPr>
        <w:t>立体气候</w:t>
      </w:r>
      <w:r>
        <w:rPr>
          <w:rFonts w:hint="default" w:ascii="Times New Roman" w:hAnsi="Times New Roman" w:cs="Times New Roman" w:eastAsiaTheme="minorEastAsia"/>
          <w:sz w:val="24"/>
          <w:szCs w:val="24"/>
          <w:shd w:val="clear" w:color="auto" w:fill="FFFFFF"/>
        </w:rPr>
        <w:fldChar w:fldCharType="end"/>
      </w:r>
      <w:r>
        <w:rPr>
          <w:rFonts w:hint="default" w:ascii="Times New Roman" w:hAnsi="Times New Roman" w:cs="Times New Roman" w:eastAsiaTheme="minorEastAsia"/>
          <w:sz w:val="24"/>
          <w:szCs w:val="24"/>
          <w:shd w:val="clear" w:color="auto" w:fill="FFFFFF"/>
        </w:rPr>
        <w:t>，一山之中自</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"http://baike.sogou.com/lemma/ShowInnerLink.htm?lemmaId=321928" \t "http://baike.sogou.com/_blank"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shd w:val="clear" w:color="auto" w:fill="FFFFFF"/>
        </w:rPr>
        <w:t>红河谷</w:t>
      </w:r>
      <w:r>
        <w:rPr>
          <w:rFonts w:hint="default" w:ascii="Times New Roman" w:hAnsi="Times New Roman" w:cs="Times New Roman" w:eastAsiaTheme="minorEastAsia"/>
          <w:sz w:val="24"/>
          <w:szCs w:val="24"/>
          <w:shd w:val="clear" w:color="auto" w:fill="FFFFFF"/>
        </w:rPr>
        <w:fldChar w:fldCharType="end"/>
      </w:r>
      <w:r>
        <w:rPr>
          <w:rFonts w:hint="default" w:ascii="Times New Roman" w:hAnsi="Times New Roman" w:cs="Times New Roman" w:eastAsiaTheme="minorEastAsia"/>
          <w:sz w:val="24"/>
          <w:szCs w:val="24"/>
          <w:shd w:val="clear" w:color="auto" w:fill="FFFFFF"/>
        </w:rPr>
        <w:t>到哀牢山顶可分为河谷热坝高温区，半山暖温区和高山寒温区，一天中可以感受到四时气候和景观。据县气象局27年资料统计，新平县年平均气温17.4℃、最高气温33.9℃，最低气温2.7℃，年平均降水量</w:t>
      </w:r>
      <w:r>
        <w:rPr>
          <w:rFonts w:hint="default" w:ascii="Times New Roman" w:hAnsi="Times New Roman" w:cs="Times New Roman" w:eastAsiaTheme="minorEastAsia"/>
          <w:sz w:val="24"/>
          <w:szCs w:val="24"/>
        </w:rPr>
        <w:t>946</w:t>
      </w:r>
      <w:r>
        <w:rPr>
          <w:rFonts w:hint="default" w:ascii="Times New Roman" w:hAnsi="Times New Roman" w:cs="Times New Roman" w:eastAsiaTheme="minorEastAsia"/>
          <w:sz w:val="24"/>
          <w:szCs w:val="24"/>
          <w:shd w:val="clear" w:color="auto" w:fill="FFFFFF"/>
        </w:rPr>
        <w:t>mm，无霜期312天。全年有雨季和旱季之分，雨季为5月下旬至10月下旬，平均降雨量732.6mm，占年平均降雨量的77.39%。旱季为11月至次年5月中旬，平均降雨量为214mm，占年平均降雨量的22.61%。县内日照时间较长，年平均日照数2230h，旱季月平均日照数200</w:t>
      </w:r>
      <w:r>
        <w:rPr>
          <w:rFonts w:hint="default" w:ascii="Times New Roman" w:hAnsi="Times New Roman" w:cs="Times New Roman" w:eastAsiaTheme="minorEastAsia"/>
          <w:sz w:val="24"/>
          <w:szCs w:val="24"/>
          <w:shd w:val="clear" w:color="auto" w:fill="FFFFFF"/>
          <w:lang w:eastAsia="zh-CN"/>
        </w:rPr>
        <w:t>—</w:t>
      </w:r>
      <w:r>
        <w:rPr>
          <w:rFonts w:hint="default" w:ascii="Times New Roman" w:hAnsi="Times New Roman" w:cs="Times New Roman" w:eastAsiaTheme="minorEastAsia"/>
          <w:sz w:val="24"/>
          <w:szCs w:val="24"/>
          <w:shd w:val="clear" w:color="auto" w:fill="FFFFFF"/>
        </w:rPr>
        <w:t>250h，雨季月平均日照数130</w:t>
      </w:r>
      <w:r>
        <w:rPr>
          <w:rFonts w:hint="default" w:ascii="Times New Roman" w:hAnsi="Times New Roman" w:cs="Times New Roman" w:eastAsiaTheme="minorEastAsia"/>
          <w:sz w:val="24"/>
          <w:szCs w:val="24"/>
          <w:shd w:val="clear" w:color="auto" w:fill="FFFFFF"/>
          <w:lang w:eastAsia="zh-CN"/>
        </w:rPr>
        <w:t>—</w:t>
      </w:r>
      <w:r>
        <w:rPr>
          <w:rFonts w:hint="default" w:ascii="Times New Roman" w:hAnsi="Times New Roman" w:cs="Times New Roman" w:eastAsiaTheme="minorEastAsia"/>
          <w:sz w:val="24"/>
          <w:szCs w:val="24"/>
          <w:shd w:val="clear" w:color="auto" w:fill="FFFFFF"/>
        </w:rPr>
        <w:t>150h。全县年平均蒸发量为1270.8mm。6-10月为湿润期，降雨量大、蒸发量小，是土壤和水利的蓄水期。11月至次年5月为干燥期，降雨量小、蒸发量大，是土壤和水利工程的失水期。</w:t>
      </w:r>
      <w:r>
        <w:rPr>
          <w:rFonts w:hint="default" w:ascii="Times New Roman" w:hAnsi="Times New Roman" w:cs="Times New Roman"/>
          <w:color w:val="auto"/>
          <w:sz w:val="24"/>
        </w:rPr>
        <w:t>新平县城多年平均风速2.0m/s，最大风速19.7m/s，常年风向多以西南风为主。</w:t>
      </w:r>
    </w:p>
    <w:p w14:paraId="5248B652">
      <w:pPr>
        <w:pStyle w:val="6"/>
        <w:bidi w:val="0"/>
        <w:rPr>
          <w:rFonts w:hint="default" w:ascii="Times New Roman" w:hAnsi="Times New Roman" w:cs="Times New Roman"/>
        </w:rPr>
      </w:pPr>
      <w:bookmarkStart w:id="361" w:name="_Toc165816760"/>
      <w:bookmarkStart w:id="362" w:name="_Toc21257"/>
      <w:r>
        <w:rPr>
          <w:rFonts w:hint="default" w:ascii="Times New Roman" w:hAnsi="Times New Roman" w:cs="Times New Roman"/>
          <w:lang w:val="en-US" w:eastAsia="zh-CN"/>
        </w:rPr>
        <w:t>4</w:t>
      </w:r>
      <w:r>
        <w:rPr>
          <w:rFonts w:hint="default" w:ascii="Times New Roman" w:hAnsi="Times New Roman" w:cs="Times New Roman"/>
        </w:rPr>
        <w:t>.1.</w:t>
      </w:r>
      <w:r>
        <w:rPr>
          <w:rFonts w:hint="eastAsia" w:ascii="Times New Roman" w:hAnsi="Times New Roman" w:cs="Times New Roman"/>
          <w:lang w:val="en-US" w:eastAsia="zh-CN"/>
        </w:rPr>
        <w:t>4</w:t>
      </w:r>
      <w:r>
        <w:rPr>
          <w:rFonts w:hint="default" w:ascii="Times New Roman" w:hAnsi="Times New Roman" w:cs="Times New Roman"/>
        </w:rPr>
        <w:t>水文水系</w:t>
      </w:r>
      <w:bookmarkEnd w:id="361"/>
      <w:bookmarkEnd w:id="362"/>
    </w:p>
    <w:p w14:paraId="41BB489E">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新平县境内有大小河流32条，除班东河与麻大街河为李仙江水系外，其它均属元江水系。县内最大的过境河流为元江，境内长113.7km，最大洪峰流量3680m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/s，最枯流量4.1m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s，沿江两岸较大的支流有：绿汁江、大春河、棉花河、南恩河、达哈河、丫味河、马龙河、西尼河、蚌岗河、困龙河，挖窖河、峨德河、南渡河及南甘河。县境东部较大的河流为平甸河，境内长60km，落差806m，枯水流量0.32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/s，西南部过境河流谷麻江境内长10km，其支流班东河长25km，最大落差1308m，最枯流量1.07m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/s。</w:t>
      </w:r>
    </w:p>
    <w:p w14:paraId="319818A7">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新平县</w:t>
      </w:r>
      <w:r>
        <w:rPr>
          <w:rFonts w:hint="default" w:ascii="Times New Roman" w:hAnsi="Times New Roman" w:cs="Times New Roman" w:eastAsiaTheme="minorEastAsia"/>
          <w:sz w:val="24"/>
          <w:szCs w:val="24"/>
          <w:lang w:eastAsia="zh-CN"/>
        </w:rPr>
        <w:t>扬武镇</w:t>
      </w:r>
      <w:r>
        <w:rPr>
          <w:rFonts w:hint="default" w:ascii="Times New Roman" w:hAnsi="Times New Roman" w:cs="Times New Roman" w:eastAsiaTheme="minorEastAsia"/>
          <w:sz w:val="24"/>
          <w:szCs w:val="24"/>
        </w:rPr>
        <w:t>属红河流域，主要河道有龟枢河、扬武河、南甘河、玉租河、高粱冲河、土祖河、母祖鲁河、西拉河、小河底河。小河底河是元江县左岸的一级支流，发源于峨山县甸中灯挂山（俗称狗头坡山）南麓，沿新平、元江、石屏等三县边缘地界向东南流。小河底河河道全长194km，流域面积3877km</w:t>
      </w:r>
      <w:r>
        <w:rPr>
          <w:rFonts w:hint="default" w:ascii="Times New Roman" w:hAnsi="Times New Roman" w:cs="Times New Roman" w:eastAsiaTheme="minorEastAsia"/>
          <w:sz w:val="24"/>
          <w:szCs w:val="24"/>
          <w:vertAlign w:val="superscript"/>
        </w:rPr>
        <w:t>2</w:t>
      </w:r>
      <w:r>
        <w:rPr>
          <w:rFonts w:hint="default" w:ascii="Times New Roman" w:hAnsi="Times New Roman" w:cs="Times New Roman" w:eastAsiaTheme="minorEastAsia"/>
          <w:sz w:val="24"/>
          <w:szCs w:val="24"/>
        </w:rPr>
        <w:t>，其中，新平县境内河道全长43.69km，流域面积255.29km</w:t>
      </w:r>
      <w:r>
        <w:rPr>
          <w:rFonts w:hint="default" w:ascii="Times New Roman" w:hAnsi="Times New Roman" w:cs="Times New Roman" w:eastAsiaTheme="minorEastAsia"/>
          <w:sz w:val="24"/>
          <w:szCs w:val="24"/>
          <w:vertAlign w:val="superscript"/>
        </w:rPr>
        <w:t>2</w:t>
      </w:r>
      <w:r>
        <w:rPr>
          <w:rFonts w:hint="default" w:ascii="Times New Roman" w:hAnsi="Times New Roman" w:cs="Times New Roman" w:eastAsiaTheme="minorEastAsia"/>
          <w:sz w:val="24"/>
          <w:szCs w:val="24"/>
        </w:rPr>
        <w:t>，平均比降7.24‰，流经扬武镇大开门社区、丕且莫村、写莫村、扬武社区后流入元江县。</w:t>
      </w:r>
    </w:p>
    <w:p w14:paraId="3BF1492E">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项目区域</w:t>
      </w:r>
      <w:r>
        <w:rPr>
          <w:rFonts w:hint="default" w:ascii="Times New Roman" w:hAnsi="Times New Roman" w:cs="Times New Roman" w:eastAsiaTheme="minorEastAsia"/>
          <w:sz w:val="24"/>
          <w:szCs w:val="24"/>
          <w:lang w:val="zh-CN"/>
        </w:rPr>
        <w:t>为</w:t>
      </w:r>
      <w:r>
        <w:rPr>
          <w:rFonts w:hint="default" w:ascii="Times New Roman" w:hAnsi="Times New Roman" w:cs="Times New Roman" w:eastAsiaTheme="minorEastAsia"/>
          <w:sz w:val="24"/>
          <w:szCs w:val="24"/>
        </w:rPr>
        <w:t>小河底河</w:t>
      </w:r>
      <w:r>
        <w:rPr>
          <w:rFonts w:hint="default" w:ascii="Times New Roman" w:hAnsi="Times New Roman" w:cs="Times New Roman" w:eastAsiaTheme="minorEastAsia"/>
          <w:sz w:val="24"/>
          <w:szCs w:val="24"/>
          <w:lang w:val="zh-CN"/>
        </w:rPr>
        <w:t>的支流龟枢河流域区，龟枢河发源于扬武附近，流经扬武、大开门等</w:t>
      </w:r>
      <w:r>
        <w:rPr>
          <w:rFonts w:hint="default" w:ascii="Times New Roman" w:hAnsi="Times New Roman" w:cs="Times New Roman" w:eastAsiaTheme="minorEastAsia"/>
          <w:sz w:val="24"/>
          <w:szCs w:val="24"/>
        </w:rPr>
        <w:t>地，总体上环绕鲁奎山山麓从北西→北→东→南方向径流，最终</w:t>
      </w:r>
      <w:r>
        <w:rPr>
          <w:rFonts w:hint="default" w:ascii="Times New Roman" w:hAnsi="Times New Roman" w:cs="Times New Roman" w:eastAsiaTheme="minorEastAsia"/>
          <w:sz w:val="24"/>
          <w:szCs w:val="24"/>
          <w:lang w:val="zh-CN"/>
        </w:rPr>
        <w:t>向南汇入小河底江，继而向南注入红河。</w:t>
      </w:r>
      <w:r>
        <w:rPr>
          <w:rFonts w:hint="default" w:ascii="Times New Roman" w:hAnsi="Times New Roman" w:cs="Times New Roman" w:eastAsiaTheme="minorEastAsia"/>
          <w:sz w:val="24"/>
          <w:szCs w:val="24"/>
        </w:rPr>
        <w:t>龟枢河</w:t>
      </w:r>
      <w:r>
        <w:rPr>
          <w:rFonts w:hint="default" w:ascii="Times New Roman" w:hAnsi="Times New Roman" w:cs="Times New Roman" w:eastAsiaTheme="minorEastAsia"/>
          <w:sz w:val="24"/>
          <w:szCs w:val="24"/>
          <w:lang w:val="zh-CN"/>
        </w:rPr>
        <w:t>平均流量为6.893m</w:t>
      </w:r>
      <w:r>
        <w:rPr>
          <w:rFonts w:hint="default" w:ascii="Times New Roman" w:hAnsi="Times New Roman" w:cs="Times New Roman" w:eastAsiaTheme="minorEastAsia"/>
          <w:sz w:val="24"/>
          <w:szCs w:val="24"/>
          <w:vertAlign w:val="superscript"/>
          <w:lang w:val="zh-CN"/>
        </w:rPr>
        <w:t>3</w:t>
      </w:r>
      <w:r>
        <w:rPr>
          <w:rFonts w:hint="default" w:ascii="Times New Roman" w:hAnsi="Times New Roman" w:cs="Times New Roman" w:eastAsiaTheme="minorEastAsia"/>
          <w:sz w:val="24"/>
          <w:szCs w:val="24"/>
          <w:lang w:val="zh-CN"/>
        </w:rPr>
        <w:t>/s，</w:t>
      </w:r>
      <w:r>
        <w:rPr>
          <w:rFonts w:hint="default" w:ascii="Times New Roman" w:hAnsi="Times New Roman" w:cs="Times New Roman" w:eastAsiaTheme="minorEastAsia"/>
          <w:sz w:val="24"/>
          <w:szCs w:val="24"/>
        </w:rPr>
        <w:t xml:space="preserve">最大流量可达319.25 </w:t>
      </w:r>
      <w:r>
        <w:rPr>
          <w:rFonts w:hint="default" w:ascii="Times New Roman" w:hAnsi="Times New Roman" w:cs="Times New Roman" w:eastAsiaTheme="minorEastAsia"/>
          <w:sz w:val="24"/>
          <w:szCs w:val="24"/>
          <w:lang w:val="zh-CN"/>
        </w:rPr>
        <w:t>m</w:t>
      </w:r>
      <w:r>
        <w:rPr>
          <w:rFonts w:hint="default" w:ascii="Times New Roman" w:hAnsi="Times New Roman" w:cs="Times New Roman" w:eastAsiaTheme="minorEastAsia"/>
          <w:sz w:val="24"/>
          <w:szCs w:val="24"/>
          <w:vertAlign w:val="superscript"/>
          <w:lang w:val="zh-CN"/>
        </w:rPr>
        <w:t>3</w:t>
      </w:r>
      <w:r>
        <w:rPr>
          <w:rFonts w:hint="default" w:ascii="Times New Roman" w:hAnsi="Times New Roman" w:cs="Times New Roman" w:eastAsiaTheme="minorEastAsia"/>
          <w:sz w:val="24"/>
          <w:szCs w:val="24"/>
          <w:lang w:val="zh-CN"/>
        </w:rPr>
        <w:t>/s，</w:t>
      </w:r>
      <w:r>
        <w:rPr>
          <w:rFonts w:hint="default" w:ascii="Times New Roman" w:hAnsi="Times New Roman" w:cs="Times New Roman" w:eastAsiaTheme="minorEastAsia"/>
          <w:sz w:val="24"/>
          <w:szCs w:val="24"/>
        </w:rPr>
        <w:t>最小流量0.04475</w:t>
      </w:r>
      <w:r>
        <w:rPr>
          <w:rFonts w:hint="default" w:ascii="Times New Roman" w:hAnsi="Times New Roman" w:cs="Times New Roman" w:eastAsiaTheme="minorEastAsia"/>
          <w:sz w:val="24"/>
          <w:szCs w:val="24"/>
          <w:lang w:val="zh-CN"/>
        </w:rPr>
        <w:t>m</w:t>
      </w:r>
      <w:r>
        <w:rPr>
          <w:rFonts w:hint="default" w:ascii="Times New Roman" w:hAnsi="Times New Roman" w:cs="Times New Roman" w:eastAsiaTheme="minorEastAsia"/>
          <w:sz w:val="24"/>
          <w:szCs w:val="24"/>
          <w:vertAlign w:val="superscript"/>
          <w:lang w:val="zh-CN"/>
        </w:rPr>
        <w:t>3</w:t>
      </w:r>
      <w:r>
        <w:rPr>
          <w:rFonts w:hint="default" w:ascii="Times New Roman" w:hAnsi="Times New Roman" w:cs="Times New Roman" w:eastAsiaTheme="minorEastAsia"/>
          <w:sz w:val="24"/>
          <w:szCs w:val="24"/>
          <w:lang w:val="zh-CN"/>
        </w:rPr>
        <w:t>/s，</w:t>
      </w:r>
      <w:r>
        <w:rPr>
          <w:rFonts w:hint="default" w:ascii="Times New Roman" w:hAnsi="Times New Roman" w:cs="Times New Roman" w:eastAsiaTheme="minorEastAsia"/>
          <w:sz w:val="24"/>
          <w:szCs w:val="24"/>
        </w:rPr>
        <w:t>在大开门河与扬武河交汇处水位标高1050.74m，在与大桥河交汇处水位标高902.5m，在矿山东南部位大桥河汇入口—树都白田房段水位标高902.5m—839.64m。</w:t>
      </w:r>
    </w:p>
    <w:p w14:paraId="6E4BC310">
      <w:pPr>
        <w:pStyle w:val="6"/>
        <w:bidi w:val="0"/>
        <w:rPr>
          <w:rFonts w:hint="default" w:ascii="Times New Roman" w:hAnsi="Times New Roman" w:cs="Times New Roman"/>
        </w:rPr>
      </w:pPr>
      <w:bookmarkStart w:id="363" w:name="_Toc165816761"/>
      <w:bookmarkStart w:id="364" w:name="_Toc16884"/>
      <w:r>
        <w:rPr>
          <w:rFonts w:hint="default" w:ascii="Times New Roman" w:hAnsi="Times New Roman" w:cs="Times New Roman"/>
          <w:lang w:val="en-US" w:eastAsia="zh-CN"/>
        </w:rPr>
        <w:t>4</w:t>
      </w:r>
      <w:r>
        <w:rPr>
          <w:rFonts w:hint="default" w:ascii="Times New Roman" w:hAnsi="Times New Roman" w:cs="Times New Roman"/>
        </w:rPr>
        <w:t>.1.</w:t>
      </w:r>
      <w:r>
        <w:rPr>
          <w:rFonts w:hint="eastAsia" w:ascii="Times New Roman" w:hAnsi="Times New Roman" w:cs="Times New Roman"/>
          <w:lang w:val="en-US" w:eastAsia="zh-CN"/>
        </w:rPr>
        <w:t>5</w:t>
      </w:r>
      <w:r>
        <w:rPr>
          <w:rFonts w:hint="default" w:ascii="Times New Roman" w:hAnsi="Times New Roman" w:cs="Times New Roman"/>
        </w:rPr>
        <w:t>水文地质条件</w:t>
      </w:r>
      <w:bookmarkEnd w:id="363"/>
      <w:bookmarkEnd w:id="364"/>
    </w:p>
    <w:p w14:paraId="4507FBEB">
      <w:pPr>
        <w:spacing w:line="360" w:lineRule="auto"/>
        <w:ind w:firstLine="49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区位于鲁奎山向斜西翼。勘察场地区位于鲁奎山向斜西南翼，由新到老依次为第四系，第三系，侏罗系张河组，冯家河组，上三叠系舍资组，干海子组，普家村组，下震旦系澄江组，昆阳群大龙组，富良棚组，黑山头组，黄草岭组等地层。鲁奎山向斜两翼由老至新依次出露黑山头组、富良棚组地层、三叠系干海子组，期间缺失古生界地层。</w:t>
      </w:r>
    </w:p>
    <w:p w14:paraId="6377BE50">
      <w:pPr>
        <w:spacing w:line="360" w:lineRule="auto"/>
        <w:ind w:firstLine="49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勘察场地位于青扬断裂带与法记断裂带（建水</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石屏）之间，属武定-石屏隆断束的南缘，构造变形明显受上述两条断裂带复合作用的控制和影响，构造线展布方向以南北向为主，部分北东向、北西向和近东西向。变形形迹以表部构造层次的断层、褶皱为主体。主断层走向基本与地层走向一致。早期北东向断裂被后期北西向、近东西向断裂构造切割、破坏。断裂构造总体具向北东收敛，南西撒开的特点。</w:t>
      </w:r>
    </w:p>
    <w:p w14:paraId="7B8809DC">
      <w:pPr>
        <w:spacing w:line="360" w:lineRule="auto"/>
        <w:ind w:firstLine="56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鲁奎山向斜是区内主要的褶皱构造，轴面总体呈北西向弯曲状。分布在鲁奎山大寨－阿腊迷一带，向斜轴走向为北西近南北方向，长约10km，宽5－6km，为一以残留原生层理与早期板劈理为变形面形成的褶皱。核部出露大龙口组上部地层，翼部为大龙口组底部、富良棚组、黑山头组地层，翼部地层倾角30°－50°，两翼较对称。</w:t>
      </w:r>
    </w:p>
    <w:p w14:paraId="18241DCE">
      <w:pPr>
        <w:spacing w:line="360" w:lineRule="auto"/>
        <w:ind w:firstLine="56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（1）东西向构造：以扬武—赵米克断裂、F13断层及法土山断裂为代表，断裂走向东西，具压扭性特征。该组构造属新平—邱北纬向构造带在区内的断片构造。</w:t>
      </w:r>
    </w:p>
    <w:p w14:paraId="14A3A909">
      <w:pPr>
        <w:spacing w:line="360" w:lineRule="auto"/>
        <w:ind w:firstLine="56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（2）南北向构造：包括鲁奎山复式向斜及F1、F10、F11和F12断层。</w:t>
      </w:r>
    </w:p>
    <w:p w14:paraId="15DA32D9">
      <w:pPr>
        <w:spacing w:line="360" w:lineRule="auto"/>
        <w:ind w:firstLine="56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（3）北西向弧形构造：以鲁奎山北东侧的法记断裂（石屏－大桥断裂）为代表，区内总体走向325°，断裂带宽，出现分叉复合现象。该构造在区域上属通海山字型构造体系石屏弧形构造的西延部分。</w:t>
      </w:r>
    </w:p>
    <w:p w14:paraId="4849C264">
      <w:pPr>
        <w:spacing w:line="360" w:lineRule="auto"/>
        <w:ind w:firstLine="56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4）北东向构造：青扬断裂是区内规模较大的北北东向构造，该构造南起于元江县青龙厂以南，经扬武、化念往北继续延伸，全长约100公里。断裂整体走向30°，局部弯曲呈微波状，地貌特征为断陷盆地，断裂带上有扬武温泉出露。</w:t>
      </w:r>
    </w:p>
    <w:p w14:paraId="5352CF23">
      <w:pPr>
        <w:spacing w:line="360" w:lineRule="auto"/>
        <w:ind w:firstLine="49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鲁奎山在构造上为一向斜，其轴向为北西～南东，北西端扬起，向南东倾伏。南西翼倾角陡，倾角大于45°，北东翼倾角较缓，倾角小于45°，大龙口组灰岩组成向斜核部，黑山头组石英岩、板岩及层状凝灰岩组成两翼。使中间大龙口组灰岩形成似“瓢状”含水体。由于隔水层的封闭，使鲁奎山为一完整的独立水文地质单元。</w:t>
      </w:r>
    </w:p>
    <w:p w14:paraId="17A232BB">
      <w:pPr>
        <w:pStyle w:val="6"/>
        <w:bidi w:val="0"/>
        <w:rPr>
          <w:rFonts w:hint="default" w:ascii="Times New Roman" w:hAnsi="Times New Roman" w:cs="Times New Roman"/>
        </w:rPr>
      </w:pPr>
      <w:bookmarkStart w:id="365" w:name="_Toc5077"/>
      <w:bookmarkStart w:id="366" w:name="_Toc165816762"/>
      <w:r>
        <w:rPr>
          <w:rFonts w:hint="default" w:ascii="Times New Roman" w:hAnsi="Times New Roman" w:cs="Times New Roman"/>
          <w:lang w:val="en-US" w:eastAsia="zh-CN"/>
        </w:rPr>
        <w:t>4</w:t>
      </w:r>
      <w:r>
        <w:rPr>
          <w:rFonts w:hint="default" w:ascii="Times New Roman" w:hAnsi="Times New Roman" w:cs="Times New Roman"/>
        </w:rPr>
        <w:t>.1.</w:t>
      </w:r>
      <w:r>
        <w:rPr>
          <w:rFonts w:hint="eastAsia" w:ascii="Times New Roman" w:hAnsi="Times New Roman" w:cs="Times New Roman"/>
          <w:lang w:val="en-US" w:eastAsia="zh-CN"/>
        </w:rPr>
        <w:t>6</w:t>
      </w:r>
      <w:r>
        <w:rPr>
          <w:rFonts w:hint="default" w:ascii="Times New Roman" w:hAnsi="Times New Roman" w:cs="Times New Roman"/>
        </w:rPr>
        <w:t>土壤类型</w:t>
      </w:r>
      <w:bookmarkEnd w:id="365"/>
      <w:bookmarkEnd w:id="366"/>
    </w:p>
    <w:p w14:paraId="761843FF">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新平县土壤有红壤、红色石灰土和水稻土等。土壤呈微酸性至中性。</w:t>
      </w:r>
    </w:p>
    <w:p w14:paraId="2D8C32D8">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项目区属红壤区，主要以红壤为主，易侵蚀，土壤厚度80厘米，土壤垂直分布不是十分明显，只是由于地形、土质以及人为利用上的差距，形成了土壤的地带性水平分布上的不同。</w:t>
      </w:r>
    </w:p>
    <w:p w14:paraId="6F31BEC4">
      <w:pPr>
        <w:pStyle w:val="6"/>
        <w:bidi w:val="0"/>
        <w:rPr>
          <w:rFonts w:hint="default" w:ascii="Times New Roman" w:hAnsi="Times New Roman" w:cs="Times New Roman"/>
        </w:rPr>
      </w:pPr>
      <w:bookmarkStart w:id="367" w:name="_Toc15675"/>
      <w:bookmarkStart w:id="368" w:name="_Toc165816763"/>
      <w:r>
        <w:rPr>
          <w:rFonts w:hint="default" w:ascii="Times New Roman" w:hAnsi="Times New Roman" w:cs="Times New Roman"/>
          <w:lang w:val="en-US" w:eastAsia="zh-CN"/>
        </w:rPr>
        <w:t>4</w:t>
      </w:r>
      <w:r>
        <w:rPr>
          <w:rFonts w:hint="default" w:ascii="Times New Roman" w:hAnsi="Times New Roman" w:cs="Times New Roman"/>
        </w:rPr>
        <w:t>.1.</w:t>
      </w:r>
      <w:r>
        <w:rPr>
          <w:rFonts w:hint="eastAsia" w:ascii="Times New Roman" w:hAnsi="Times New Roman" w:cs="Times New Roman"/>
          <w:lang w:val="en-US" w:eastAsia="zh-CN"/>
        </w:rPr>
        <w:t>7</w:t>
      </w:r>
      <w:r>
        <w:rPr>
          <w:rFonts w:hint="default" w:ascii="Times New Roman" w:hAnsi="Times New Roman" w:cs="Times New Roman"/>
        </w:rPr>
        <w:t>动植物自然资源</w:t>
      </w:r>
      <w:bookmarkEnd w:id="367"/>
      <w:bookmarkEnd w:id="368"/>
    </w:p>
    <w:p w14:paraId="2DA6E03C">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 xml:space="preserve">新平县境生物资源丰富。全县共有林地面积353万亩，占全县土地面积的55.8%，森林面积187万亩，森林覆盖率60.96%；草地面积126万亩。有高等植物219科762属1402种，有国家一级保护植物伯乐树、二级保护植物水青树、三级保护植物翠柏等；兽类75种，禽类153种，两栖爬行类45种，昆虫类130余种，其中有一级保护动物绿孔雀、二级保护动物白鹇等。哀牢山自然保护区是原始生态最为典型，为世界同纬度生物多样化，同类型植物群落保留最完整的地区，被列为联合国“人与生物圈”森林生态系统定位观察站和国际候鸟保护基地。 </w:t>
      </w:r>
    </w:p>
    <w:p w14:paraId="7928460E">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新平县由于地理位置和气候条件的特殊性，地带性植被类型为干热河谷稀树灌木草丛植被型和暖热性针叶森林植被型两种。海拔800m</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1300m，绝大多数为灌木，其次为杂草，稀疏的小树所覆盖；海拔800m以下主要为灌木和杂草所覆盖；1300m以上多为松树覆盖。</w:t>
      </w:r>
    </w:p>
    <w:p w14:paraId="68D5D407">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bidi="ar"/>
        </w:rPr>
        <w:t>根据调查，项目所在区域无</w:t>
      </w:r>
      <w:r>
        <w:rPr>
          <w:rFonts w:hint="default" w:ascii="Times New Roman" w:hAnsi="Times New Roman" w:cs="Times New Roman" w:eastAsiaTheme="minorEastAsia"/>
          <w:sz w:val="24"/>
          <w:szCs w:val="24"/>
          <w:lang w:eastAsia="zh-CN" w:bidi="ar"/>
        </w:rPr>
        <w:t>古树名木</w:t>
      </w:r>
      <w:r>
        <w:rPr>
          <w:rFonts w:hint="default" w:ascii="Times New Roman" w:hAnsi="Times New Roman" w:cs="Times New Roman" w:eastAsiaTheme="minorEastAsia"/>
          <w:sz w:val="24"/>
          <w:szCs w:val="24"/>
          <w:lang w:bidi="ar"/>
        </w:rPr>
        <w:t>，无需保护的野生动物。项目区无珍稀树种分布，不涉及自然保护区、生态功能区及风景名胜区。项目区周边常见野生动物以禽类和爬行类为主，小型哺乳类动物以啮齿类为主。区内无国家及地方珍稀保护物种分布。</w:t>
      </w:r>
    </w:p>
    <w:p w14:paraId="7037E9EA">
      <w:pPr>
        <w:pStyle w:val="6"/>
        <w:bidi w:val="0"/>
        <w:rPr>
          <w:rFonts w:hint="default" w:ascii="Times New Roman" w:hAnsi="Times New Roman" w:cs="Times New Roman"/>
          <w:color w:val="auto"/>
        </w:rPr>
      </w:pPr>
      <w:bookmarkStart w:id="369" w:name="_Toc13001"/>
      <w:r>
        <w:rPr>
          <w:rFonts w:hint="default" w:ascii="Times New Roman" w:hAnsi="Times New Roman" w:cs="Times New Roman"/>
          <w:color w:val="auto"/>
          <w:lang w:val="en-US" w:eastAsia="zh-CN"/>
        </w:rPr>
        <w:t>4.1.</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项目周边</w:t>
      </w:r>
      <w:r>
        <w:rPr>
          <w:rFonts w:hint="default" w:ascii="Times New Roman" w:hAnsi="Times New Roman" w:cs="Times New Roman"/>
          <w:color w:val="auto"/>
        </w:rPr>
        <w:t>主要污染源</w:t>
      </w:r>
      <w:bookmarkEnd w:id="369"/>
    </w:p>
    <w:p w14:paraId="10EB8A63">
      <w:pPr>
        <w:spacing w:line="360" w:lineRule="auto"/>
        <w:ind w:firstLine="49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lang w:val="en-US" w:eastAsia="zh-CN"/>
        </w:rPr>
        <w:t>项目周边污染源主要为</w:t>
      </w:r>
      <w:r>
        <w:rPr>
          <w:rFonts w:hint="default" w:ascii="Times New Roman" w:hAnsi="Times New Roman" w:cs="Times New Roman"/>
          <w:color w:val="auto"/>
          <w:sz w:val="24"/>
          <w:lang w:val="en-US" w:eastAsia="zh-CN"/>
        </w:rPr>
        <w:t>项目所在的鲁奎山铁矿及</w:t>
      </w:r>
      <w:r>
        <w:rPr>
          <w:rFonts w:hint="default" w:ascii="Times New Roman" w:hAnsi="Times New Roman" w:cs="Times New Roman"/>
          <w:color w:val="auto"/>
          <w:sz w:val="24"/>
          <w:szCs w:val="20"/>
        </w:rPr>
        <w:t>新平鲁电矿业有限公司自走铁矿</w:t>
      </w: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szCs w:val="20"/>
        </w:rPr>
        <w:t>新平鲁电矿业有限公司自走铁矿</w:t>
      </w:r>
      <w:r>
        <w:rPr>
          <w:rFonts w:hint="default" w:ascii="Times New Roman" w:hAnsi="Times New Roman" w:eastAsia="宋体" w:cs="Times New Roman"/>
          <w:color w:val="auto"/>
          <w:sz w:val="24"/>
          <w:lang w:val="en-US" w:eastAsia="zh-CN"/>
        </w:rPr>
        <w:t>位于项目南面，</w:t>
      </w:r>
      <w:r>
        <w:rPr>
          <w:rFonts w:hint="default" w:ascii="Times New Roman" w:hAnsi="Times New Roman" w:eastAsia="宋体" w:cs="Times New Roman"/>
          <w:color w:val="auto"/>
          <w:sz w:val="24"/>
          <w:szCs w:val="20"/>
        </w:rPr>
        <w:t>开采矿种</w:t>
      </w:r>
      <w:r>
        <w:rPr>
          <w:rFonts w:hint="default" w:ascii="Times New Roman" w:hAnsi="Times New Roman" w:eastAsia="宋体" w:cs="Times New Roman"/>
          <w:color w:val="auto"/>
          <w:sz w:val="24"/>
          <w:szCs w:val="20"/>
          <w:lang w:val="en-US" w:eastAsia="zh-CN"/>
        </w:rPr>
        <w:t>为</w:t>
      </w:r>
      <w:r>
        <w:rPr>
          <w:rFonts w:hint="default" w:ascii="Times New Roman" w:hAnsi="Times New Roman" w:eastAsia="宋体" w:cs="Times New Roman"/>
          <w:color w:val="auto"/>
          <w:sz w:val="24"/>
          <w:szCs w:val="20"/>
        </w:rPr>
        <w:t>铁矿，开采方式为地下开采。</w:t>
      </w:r>
      <w:r>
        <w:rPr>
          <w:rFonts w:hint="default" w:ascii="Times New Roman" w:hAnsi="Times New Roman" w:eastAsia="宋体" w:cs="Times New Roman"/>
          <w:color w:val="auto"/>
          <w:sz w:val="24"/>
          <w:szCs w:val="20"/>
          <w:lang w:val="en-US" w:eastAsia="zh-CN"/>
        </w:rPr>
        <w:t>生活污水</w:t>
      </w:r>
      <w:r>
        <w:rPr>
          <w:rFonts w:hint="default" w:ascii="Times New Roman" w:hAnsi="Times New Roman" w:eastAsia="宋体" w:cs="Times New Roman"/>
          <w:color w:val="auto"/>
          <w:sz w:val="24"/>
          <w:szCs w:val="20"/>
        </w:rPr>
        <w:t>统一进入</w:t>
      </w:r>
      <w:r>
        <w:rPr>
          <w:rFonts w:hint="default" w:ascii="Times New Roman" w:hAnsi="Times New Roman" w:eastAsia="宋体" w:cs="Times New Roman"/>
          <w:color w:val="auto"/>
          <w:sz w:val="24"/>
          <w:szCs w:val="20"/>
          <w:lang w:val="en-US" w:eastAsia="zh-CN"/>
        </w:rPr>
        <w:t>生活污水</w:t>
      </w:r>
      <w:r>
        <w:rPr>
          <w:rFonts w:hint="default" w:ascii="Times New Roman" w:hAnsi="Times New Roman" w:eastAsia="宋体" w:cs="Times New Roman"/>
          <w:color w:val="auto"/>
          <w:sz w:val="24"/>
          <w:szCs w:val="20"/>
        </w:rPr>
        <w:t>处理设施处理，处理达标后</w:t>
      </w:r>
      <w:r>
        <w:rPr>
          <w:rFonts w:hint="default" w:ascii="Times New Roman" w:hAnsi="Times New Roman" w:eastAsia="宋体" w:cs="Times New Roman"/>
          <w:color w:val="auto"/>
          <w:sz w:val="24"/>
          <w:szCs w:val="20"/>
          <w:lang w:val="en-US" w:eastAsia="zh-CN"/>
        </w:rPr>
        <w:t>全部回用于绿化、洒水降尘，不外排</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val="en-US" w:eastAsia="zh-CN"/>
        </w:rPr>
        <w:t>矿井水经矿井水处理站处理达标后部分回用于生产用水，多余部分达标排入项目南面斜查拉河，</w:t>
      </w:r>
      <w:r>
        <w:rPr>
          <w:rFonts w:hint="default" w:ascii="Times New Roman" w:hAnsi="Times New Roman" w:cs="Times New Roman"/>
          <w:color w:val="auto"/>
          <w:sz w:val="24"/>
          <w:szCs w:val="24"/>
        </w:rPr>
        <w:t>最终进入</w:t>
      </w:r>
      <w:r>
        <w:rPr>
          <w:rFonts w:hint="default" w:ascii="Times New Roman" w:hAnsi="Times New Roman" w:cs="Times New Roman"/>
          <w:color w:val="auto"/>
          <w:sz w:val="24"/>
          <w:szCs w:val="24"/>
          <w:lang w:val="en-US" w:eastAsia="zh-CN"/>
        </w:rPr>
        <w:t>小河底河</w:t>
      </w:r>
      <w:r>
        <w:rPr>
          <w:rFonts w:hint="default" w:ascii="Times New Roman" w:hAnsi="Times New Roman" w:cs="Times New Roman"/>
          <w:color w:val="auto"/>
          <w:sz w:val="24"/>
          <w:szCs w:val="24"/>
        </w:rPr>
        <w:t>。</w:t>
      </w:r>
    </w:p>
    <w:p w14:paraId="6DB9EC7D">
      <w:pPr>
        <w:pStyle w:val="9"/>
        <w:spacing w:line="360" w:lineRule="auto"/>
        <w:ind w:firstLine="479" w:firstLineChars="196"/>
        <w:rPr>
          <w:rFonts w:hint="default" w:ascii="Times New Roman" w:hAnsi="Times New Roman" w:cs="Times New Roman" w:eastAsiaTheme="minorEastAsia"/>
          <w:color w:val="auto"/>
          <w:sz w:val="24"/>
          <w:szCs w:val="24"/>
        </w:rPr>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AndChars" w:linePitch="336" w:charSpace="1062"/>
        </w:sectPr>
      </w:pPr>
    </w:p>
    <w:p w14:paraId="07758247">
      <w:pPr>
        <w:pStyle w:val="5"/>
        <w:bidi w:val="0"/>
        <w:rPr>
          <w:rFonts w:hint="default" w:ascii="Times New Roman" w:hAnsi="Times New Roman" w:cs="Times New Roman"/>
        </w:rPr>
      </w:pPr>
      <w:bookmarkStart w:id="370" w:name="_Toc8323"/>
      <w:bookmarkStart w:id="371" w:name="_Toc13082"/>
      <w:bookmarkStart w:id="372" w:name="_Toc8335"/>
      <w:bookmarkStart w:id="373" w:name="_Toc15154"/>
      <w:bookmarkStart w:id="374" w:name="_Toc4807"/>
      <w:bookmarkStart w:id="375" w:name="_Toc165816764"/>
      <w:r>
        <w:rPr>
          <w:rFonts w:hint="default" w:ascii="Times New Roman" w:hAnsi="Times New Roman" w:cs="Times New Roman"/>
          <w:lang w:val="en-US" w:eastAsia="zh-CN"/>
        </w:rPr>
        <w:t>4</w:t>
      </w:r>
      <w:r>
        <w:rPr>
          <w:rFonts w:hint="default" w:ascii="Times New Roman" w:hAnsi="Times New Roman" w:cs="Times New Roman"/>
        </w:rPr>
        <w:t>.2环境质量现状调查与评价</w:t>
      </w:r>
      <w:bookmarkEnd w:id="370"/>
      <w:bookmarkEnd w:id="371"/>
      <w:bookmarkEnd w:id="372"/>
      <w:bookmarkEnd w:id="373"/>
      <w:bookmarkEnd w:id="374"/>
      <w:bookmarkEnd w:id="375"/>
    </w:p>
    <w:p w14:paraId="6DEBB0DD">
      <w:pPr>
        <w:pStyle w:val="6"/>
        <w:bidi w:val="0"/>
        <w:rPr>
          <w:rFonts w:hint="default" w:ascii="Times New Roman" w:hAnsi="Times New Roman" w:cs="Times New Roman"/>
        </w:rPr>
      </w:pPr>
      <w:bookmarkStart w:id="376" w:name="_Toc19895"/>
      <w:bookmarkStart w:id="377" w:name="_Toc165816765"/>
      <w:r>
        <w:rPr>
          <w:rFonts w:hint="default" w:ascii="Times New Roman" w:hAnsi="Times New Roman" w:cs="Times New Roman"/>
          <w:lang w:val="en-US" w:eastAsia="zh-CN"/>
        </w:rPr>
        <w:t>4</w:t>
      </w:r>
      <w:r>
        <w:rPr>
          <w:rFonts w:hint="default" w:ascii="Times New Roman" w:hAnsi="Times New Roman" w:cs="Times New Roman"/>
        </w:rPr>
        <w:t>.2.1大气环境质量现状调查及评价</w:t>
      </w:r>
      <w:bookmarkEnd w:id="376"/>
      <w:bookmarkEnd w:id="377"/>
    </w:p>
    <w:p w14:paraId="24BB6D75">
      <w:pPr>
        <w:pStyle w:val="7"/>
        <w:spacing w:before="0" w:after="0"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.2.1.1评价基准年筛选</w:t>
      </w:r>
    </w:p>
    <w:p w14:paraId="154826C5">
      <w:pPr>
        <w:widowControl w:val="0"/>
        <w:spacing w:line="360" w:lineRule="auto"/>
        <w:ind w:firstLine="49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根据《环境影响评价技术导则 大气环境》（HJ2.2-2018）中“5.5评价基准年筛选，依据评价所需环境空气质量现状、气象资料等数据的可获得性、数据质量、代表性等因素，选择近3年中数据相对完整的1个日历年作为评价基准年”。根据调查收集数据情况，本评价选择2022年作为评价基准年。</w:t>
      </w:r>
    </w:p>
    <w:p w14:paraId="4C5B9371">
      <w:pPr>
        <w:pStyle w:val="7"/>
        <w:spacing w:before="0" w:after="0"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.2.1.2环境空气质量达标区判定</w:t>
      </w:r>
    </w:p>
    <w:p w14:paraId="795C7289">
      <w:pPr>
        <w:spacing w:line="360" w:lineRule="auto"/>
        <w:ind w:firstLine="49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2"/>
        </w:rPr>
        <w:t>根据《环境影响评价技术导则 大气环境》（HJ2.2-2018）中项目所在区域环境质量达标判定的相关要求。</w:t>
      </w:r>
    </w:p>
    <w:p w14:paraId="30DD6F09">
      <w:pPr>
        <w:spacing w:line="360" w:lineRule="auto"/>
        <w:ind w:firstLine="49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本项目位于玉溪市新平县，本次评价采用新平县</w:t>
      </w:r>
      <w:r>
        <w:rPr>
          <w:rFonts w:hint="default" w:ascii="Times New Roman" w:hAnsi="Times New Roman" w:eastAsia="宋体" w:cs="Times New Roman"/>
          <w:color w:val="auto"/>
          <w:sz w:val="24"/>
          <w:szCs w:val="22"/>
        </w:rPr>
        <w:t>环境空气质量自动监测点的202</w:t>
      </w:r>
      <w:r>
        <w:rPr>
          <w:rFonts w:hint="default" w:ascii="Times New Roman" w:hAnsi="Times New Roman" w:eastAsia="宋体" w:cs="Times New Roman"/>
          <w:color w:val="auto"/>
          <w:sz w:val="24"/>
          <w:szCs w:val="22"/>
          <w:lang w:val="en-US" w:eastAsia="zh-CN"/>
        </w:rPr>
        <w:t>2</w:t>
      </w:r>
      <w:r>
        <w:rPr>
          <w:rFonts w:hint="default" w:ascii="Times New Roman" w:hAnsi="Times New Roman" w:eastAsia="宋体" w:cs="Times New Roman"/>
          <w:color w:val="auto"/>
          <w:sz w:val="24"/>
          <w:szCs w:val="22"/>
        </w:rPr>
        <w:t>年全年环境空气监测数据进行达标区判定及基本污染物环境空气质量现状评价。</w:t>
      </w:r>
    </w:p>
    <w:p w14:paraId="30970824">
      <w:pPr>
        <w:spacing w:line="360" w:lineRule="auto"/>
        <w:ind w:firstLine="49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新平县</w:t>
      </w:r>
      <w:r>
        <w:rPr>
          <w:rFonts w:hint="default" w:ascii="Times New Roman" w:hAnsi="Times New Roman" w:eastAsia="宋体" w:cs="Times New Roman"/>
          <w:color w:val="auto"/>
          <w:sz w:val="24"/>
          <w:szCs w:val="22"/>
        </w:rPr>
        <w:t>环境空气质量自动监测点位于新平县一小，距离本项目约</w:t>
      </w:r>
      <w:r>
        <w:rPr>
          <w:rFonts w:hint="default" w:ascii="Times New Roman" w:hAnsi="Times New Roman" w:eastAsia="宋体" w:cs="Times New Roman"/>
          <w:color w:val="auto"/>
          <w:sz w:val="24"/>
          <w:szCs w:val="22"/>
          <w:lang w:val="en-US" w:eastAsia="zh-CN"/>
        </w:rPr>
        <w:t>25.4</w:t>
      </w:r>
      <w:r>
        <w:rPr>
          <w:rFonts w:hint="default" w:ascii="Times New Roman" w:hAnsi="Times New Roman" w:eastAsia="宋体" w:cs="Times New Roman"/>
          <w:color w:val="auto"/>
          <w:sz w:val="24"/>
          <w:szCs w:val="22"/>
        </w:rPr>
        <w:t>km。</w:t>
      </w:r>
    </w:p>
    <w:p w14:paraId="4E6C7AF3">
      <w:pPr>
        <w:spacing w:line="360" w:lineRule="auto"/>
        <w:ind w:firstLine="49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2"/>
        </w:rPr>
        <w:t>环境空气质量达标情况评价指标为SO</w:t>
      </w:r>
      <w:r>
        <w:rPr>
          <w:rFonts w:hint="default" w:ascii="Times New Roman" w:hAnsi="Times New Roman" w:eastAsia="宋体" w:cs="Times New Roman"/>
          <w:color w:val="auto"/>
          <w:sz w:val="24"/>
          <w:szCs w:val="22"/>
          <w:vertAlign w:val="subscript"/>
        </w:rPr>
        <w:t>2</w:t>
      </w:r>
      <w:r>
        <w:rPr>
          <w:rFonts w:hint="default" w:ascii="Times New Roman" w:hAnsi="Times New Roman" w:eastAsia="宋体" w:cs="Times New Roman"/>
          <w:color w:val="auto"/>
          <w:sz w:val="24"/>
          <w:szCs w:val="22"/>
        </w:rPr>
        <w:t>、NO</w:t>
      </w:r>
      <w:r>
        <w:rPr>
          <w:rFonts w:hint="default" w:ascii="Times New Roman" w:hAnsi="Times New Roman" w:eastAsia="宋体" w:cs="Times New Roman"/>
          <w:color w:val="auto"/>
          <w:sz w:val="24"/>
          <w:szCs w:val="22"/>
          <w:vertAlign w:val="subscript"/>
        </w:rPr>
        <w:t>2</w:t>
      </w:r>
      <w:r>
        <w:rPr>
          <w:rFonts w:hint="default" w:ascii="Times New Roman" w:hAnsi="Times New Roman" w:eastAsia="宋体" w:cs="Times New Roman"/>
          <w:color w:val="auto"/>
          <w:sz w:val="24"/>
          <w:szCs w:val="22"/>
        </w:rPr>
        <w:t>、PM</w:t>
      </w:r>
      <w:r>
        <w:rPr>
          <w:rFonts w:hint="default" w:ascii="Times New Roman" w:hAnsi="Times New Roman" w:eastAsia="宋体" w:cs="Times New Roman"/>
          <w:color w:val="auto"/>
          <w:sz w:val="24"/>
          <w:szCs w:val="22"/>
          <w:vertAlign w:val="subscript"/>
        </w:rPr>
        <w:t>10</w:t>
      </w:r>
      <w:r>
        <w:rPr>
          <w:rFonts w:hint="default" w:ascii="Times New Roman" w:hAnsi="Times New Roman" w:eastAsia="宋体" w:cs="Times New Roman"/>
          <w:color w:val="auto"/>
          <w:sz w:val="24"/>
          <w:szCs w:val="22"/>
        </w:rPr>
        <w:t>、PM</w:t>
      </w:r>
      <w:r>
        <w:rPr>
          <w:rFonts w:hint="default" w:ascii="Times New Roman" w:hAnsi="Times New Roman" w:eastAsia="宋体" w:cs="Times New Roman"/>
          <w:color w:val="auto"/>
          <w:sz w:val="24"/>
          <w:szCs w:val="22"/>
          <w:vertAlign w:val="subscript"/>
        </w:rPr>
        <w:t>2.5</w:t>
      </w:r>
      <w:r>
        <w:rPr>
          <w:rFonts w:hint="default" w:ascii="Times New Roman" w:hAnsi="Times New Roman" w:eastAsia="宋体" w:cs="Times New Roman"/>
          <w:color w:val="auto"/>
          <w:sz w:val="24"/>
          <w:szCs w:val="22"/>
        </w:rPr>
        <w:t>、CO、O</w:t>
      </w:r>
      <w:r>
        <w:rPr>
          <w:rFonts w:hint="default" w:ascii="Times New Roman" w:hAnsi="Times New Roman" w:eastAsia="宋体" w:cs="Times New Roman"/>
          <w:color w:val="auto"/>
          <w:sz w:val="24"/>
          <w:szCs w:val="22"/>
          <w:vertAlign w:val="subscript"/>
        </w:rPr>
        <w:t>3</w:t>
      </w:r>
      <w:r>
        <w:rPr>
          <w:rFonts w:hint="default" w:ascii="Times New Roman" w:hAnsi="Times New Roman" w:eastAsia="宋体" w:cs="Times New Roman"/>
          <w:color w:val="auto"/>
          <w:sz w:val="24"/>
          <w:szCs w:val="22"/>
        </w:rPr>
        <w:t>，六项基本污染物</w:t>
      </w:r>
      <w:r>
        <w:rPr>
          <w:rFonts w:hint="default" w:ascii="Times New Roman" w:hAnsi="Times New Roman" w:eastAsia="宋体" w:cs="Times New Roman"/>
          <w:color w:val="auto"/>
          <w:sz w:val="24"/>
          <w:szCs w:val="24"/>
        </w:rPr>
        <w:t>按照HJ663中各评价项目的年评价指标进行评价，年评价指标中的年均浓度和相应百分位数24h平均或8h平均质量浓度满足GB3095中浓度限值要求的即为达标区。</w:t>
      </w:r>
    </w:p>
    <w:p w14:paraId="781C8D7C">
      <w:pPr>
        <w:adjustRightInd w:val="0"/>
        <w:snapToGrid w:val="0"/>
        <w:spacing w:beforeLines="0" w:line="360" w:lineRule="auto"/>
        <w:ind w:firstLine="422" w:firstLineChars="200"/>
        <w:jc w:val="center"/>
        <w:rPr>
          <w:rFonts w:hint="default" w:ascii="Times New Roman" w:hAnsi="Times New Roman" w:eastAsia="黑体" w:cs="Times New Roman"/>
          <w:color w:val="auto"/>
          <w:spacing w:val="-2"/>
          <w:kern w:val="2"/>
          <w:sz w:val="21"/>
          <w:szCs w:val="22"/>
          <w:lang w:val="en-US" w:eastAsia="zh-CN"/>
        </w:rPr>
      </w:pPr>
      <w:r>
        <w:rPr>
          <w:rFonts w:hint="default" w:ascii="Times New Roman" w:hAnsi="Times New Roman" w:eastAsia="黑体" w:cs="Times New Roman"/>
          <w:color w:val="auto"/>
          <w:spacing w:val="-2"/>
          <w:kern w:val="2"/>
          <w:sz w:val="21"/>
          <w:szCs w:val="22"/>
          <w:lang w:val="en-US" w:eastAsia="zh-CN"/>
        </w:rPr>
        <w:t xml:space="preserve">表4.2.1-1  新平县空气质量现状评价表  </w:t>
      </w:r>
    </w:p>
    <w:tbl>
      <w:tblPr>
        <w:tblStyle w:val="2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2630"/>
        <w:gridCol w:w="1757"/>
        <w:gridCol w:w="1456"/>
        <w:gridCol w:w="1020"/>
        <w:gridCol w:w="1344"/>
      </w:tblGrid>
      <w:tr w14:paraId="2D9BBF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80" w:type="pct"/>
            <w:tcBorders>
              <w:tl2br w:val="nil"/>
              <w:tr2bl w:val="nil"/>
            </w:tcBorders>
            <w:noWrap w:val="0"/>
            <w:vAlign w:val="center"/>
          </w:tcPr>
          <w:p w14:paraId="5A4BC1CE">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污染物</w:t>
            </w:r>
          </w:p>
        </w:tc>
        <w:tc>
          <w:tcPr>
            <w:tcW w:w="1416" w:type="pct"/>
            <w:tcBorders>
              <w:tl2br w:val="nil"/>
              <w:tr2bl w:val="nil"/>
            </w:tcBorders>
            <w:noWrap w:val="0"/>
            <w:vAlign w:val="center"/>
          </w:tcPr>
          <w:p w14:paraId="5CB3F50D">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年评价指标</w:t>
            </w:r>
          </w:p>
        </w:tc>
        <w:tc>
          <w:tcPr>
            <w:tcW w:w="946" w:type="pct"/>
            <w:tcBorders>
              <w:tl2br w:val="nil"/>
              <w:tr2bl w:val="nil"/>
            </w:tcBorders>
            <w:noWrap w:val="0"/>
            <w:vAlign w:val="center"/>
          </w:tcPr>
          <w:p w14:paraId="741E61B7">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现状浓度 μg/ m</w:t>
            </w:r>
            <w:r>
              <w:rPr>
                <w:rFonts w:hint="default" w:ascii="Times New Roman" w:hAnsi="Times New Roman" w:eastAsia="宋体" w:cs="Times New Roman"/>
                <w:snapToGrid/>
                <w:color w:val="auto"/>
                <w:kern w:val="2"/>
                <w:sz w:val="18"/>
                <w:szCs w:val="18"/>
                <w:highlight w:val="none"/>
                <w:vertAlign w:val="superscript"/>
              </w:rPr>
              <w:t>3</w:t>
            </w:r>
          </w:p>
        </w:tc>
        <w:tc>
          <w:tcPr>
            <w:tcW w:w="784" w:type="pct"/>
            <w:tcBorders>
              <w:tl2br w:val="nil"/>
              <w:tr2bl w:val="nil"/>
            </w:tcBorders>
            <w:noWrap w:val="0"/>
            <w:vAlign w:val="center"/>
          </w:tcPr>
          <w:p w14:paraId="2B4919ED">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标准值 μg/ m</w:t>
            </w:r>
            <w:r>
              <w:rPr>
                <w:rFonts w:hint="default" w:ascii="Times New Roman" w:hAnsi="Times New Roman" w:eastAsia="宋体" w:cs="Times New Roman"/>
                <w:snapToGrid/>
                <w:color w:val="auto"/>
                <w:kern w:val="2"/>
                <w:sz w:val="18"/>
                <w:szCs w:val="18"/>
                <w:highlight w:val="none"/>
                <w:vertAlign w:val="superscript"/>
              </w:rPr>
              <w:t>3</w:t>
            </w:r>
          </w:p>
        </w:tc>
        <w:tc>
          <w:tcPr>
            <w:tcW w:w="549" w:type="pct"/>
            <w:tcBorders>
              <w:tl2br w:val="nil"/>
              <w:tr2bl w:val="nil"/>
            </w:tcBorders>
            <w:noWrap w:val="0"/>
            <w:vAlign w:val="center"/>
          </w:tcPr>
          <w:p w14:paraId="6BFDEE63">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占标率%</w:t>
            </w:r>
          </w:p>
        </w:tc>
        <w:tc>
          <w:tcPr>
            <w:tcW w:w="723" w:type="pct"/>
            <w:tcBorders>
              <w:tl2br w:val="nil"/>
              <w:tr2bl w:val="nil"/>
            </w:tcBorders>
            <w:noWrap w:val="0"/>
            <w:vAlign w:val="center"/>
          </w:tcPr>
          <w:p w14:paraId="6D7A083F">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达标情况</w:t>
            </w:r>
          </w:p>
        </w:tc>
      </w:tr>
      <w:tr w14:paraId="724D4B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restart"/>
            <w:tcBorders>
              <w:tl2br w:val="nil"/>
              <w:tr2bl w:val="nil"/>
            </w:tcBorders>
            <w:noWrap w:val="0"/>
            <w:vAlign w:val="center"/>
          </w:tcPr>
          <w:p w14:paraId="0BE5DA38">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SO</w:t>
            </w:r>
            <w:r>
              <w:rPr>
                <w:rFonts w:hint="default" w:ascii="Times New Roman" w:hAnsi="Times New Roman" w:eastAsia="宋体" w:cs="Times New Roman"/>
                <w:snapToGrid/>
                <w:color w:val="auto"/>
                <w:kern w:val="2"/>
                <w:sz w:val="18"/>
                <w:szCs w:val="18"/>
                <w:highlight w:val="none"/>
                <w:vertAlign w:val="subscript"/>
              </w:rPr>
              <w:t>2</w:t>
            </w:r>
          </w:p>
        </w:tc>
        <w:tc>
          <w:tcPr>
            <w:tcW w:w="1416" w:type="pct"/>
            <w:tcBorders>
              <w:tl2br w:val="nil"/>
              <w:tr2bl w:val="nil"/>
            </w:tcBorders>
            <w:noWrap w:val="0"/>
            <w:vAlign w:val="center"/>
          </w:tcPr>
          <w:p w14:paraId="5948BEA4">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年平均质量浓度</w:t>
            </w:r>
          </w:p>
        </w:tc>
        <w:tc>
          <w:tcPr>
            <w:tcW w:w="946" w:type="pct"/>
            <w:tcBorders>
              <w:tl2br w:val="nil"/>
              <w:tr2bl w:val="nil"/>
            </w:tcBorders>
            <w:noWrap w:val="0"/>
            <w:vAlign w:val="center"/>
          </w:tcPr>
          <w:p w14:paraId="07783BEE">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cs="Times New Roman"/>
                <w:snapToGrid/>
                <w:color w:val="auto"/>
                <w:kern w:val="2"/>
                <w:sz w:val="18"/>
                <w:szCs w:val="18"/>
                <w:highlight w:val="none"/>
                <w:lang w:val="en-US" w:eastAsia="zh-CN"/>
              </w:rPr>
              <w:t>5.79</w:t>
            </w:r>
          </w:p>
        </w:tc>
        <w:tc>
          <w:tcPr>
            <w:tcW w:w="784" w:type="pct"/>
            <w:tcBorders>
              <w:tl2br w:val="nil"/>
              <w:tr2bl w:val="nil"/>
            </w:tcBorders>
            <w:noWrap w:val="0"/>
            <w:vAlign w:val="center"/>
          </w:tcPr>
          <w:p w14:paraId="02C3999A">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60</w:t>
            </w:r>
          </w:p>
        </w:tc>
        <w:tc>
          <w:tcPr>
            <w:tcW w:w="549" w:type="pct"/>
            <w:tcBorders>
              <w:tl2br w:val="nil"/>
              <w:tr2bl w:val="nil"/>
            </w:tcBorders>
            <w:noWrap w:val="0"/>
            <w:vAlign w:val="center"/>
          </w:tcPr>
          <w:p w14:paraId="06D2A1A8">
            <w:pPr>
              <w:keepNext w:val="0"/>
              <w:keepLines w:val="0"/>
              <w:pageBreakBefore w:val="0"/>
              <w:widowControl/>
              <w:suppressLineNumbers w:val="0"/>
              <w:kinsoku/>
              <w:wordWrap/>
              <w:overflowPunct/>
              <w:topLinePunct w:val="0"/>
              <w:autoSpaceDE/>
              <w:autoSpaceDN/>
              <w:bidi w:val="0"/>
              <w:adjustRightInd/>
              <w:snapToGrid/>
              <w:spacing w:beforeLines="0" w:line="240" w:lineRule="auto"/>
              <w:ind w:firstLine="0" w:firstLineChars="0"/>
              <w:jc w:val="center"/>
              <w:textAlignment w:val="center"/>
              <w:rPr>
                <w:rFonts w:hint="default" w:ascii="Times New Roman" w:hAnsi="Times New Roman" w:eastAsia="宋体" w:cs="Times New Roman"/>
                <w:snapToGrid/>
                <w:color w:val="auto"/>
                <w:kern w:val="2"/>
                <w:sz w:val="18"/>
                <w:szCs w:val="18"/>
                <w:highlight w:val="none"/>
                <w:lang w:val="en-US"/>
              </w:rPr>
            </w:pPr>
            <w:r>
              <w:rPr>
                <w:rFonts w:hint="default" w:ascii="Times New Roman" w:hAnsi="Times New Roman" w:cs="Times New Roman"/>
                <w:i w:val="0"/>
                <w:iCs w:val="0"/>
                <w:snapToGrid/>
                <w:color w:val="auto"/>
                <w:kern w:val="0"/>
                <w:sz w:val="18"/>
                <w:szCs w:val="18"/>
                <w:highlight w:val="none"/>
                <w:u w:val="none"/>
                <w:lang w:val="en-US" w:eastAsia="zh-CN" w:bidi="ar"/>
              </w:rPr>
              <w:t>9.65</w:t>
            </w:r>
          </w:p>
        </w:tc>
        <w:tc>
          <w:tcPr>
            <w:tcW w:w="723" w:type="pct"/>
            <w:tcBorders>
              <w:tl2br w:val="nil"/>
              <w:tr2bl w:val="nil"/>
            </w:tcBorders>
            <w:noWrap w:val="0"/>
            <w:vAlign w:val="center"/>
          </w:tcPr>
          <w:p w14:paraId="1DB866C3">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达标</w:t>
            </w:r>
          </w:p>
        </w:tc>
      </w:tr>
      <w:tr w14:paraId="719A12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continue"/>
            <w:tcBorders>
              <w:tl2br w:val="nil"/>
              <w:tr2bl w:val="nil"/>
            </w:tcBorders>
            <w:noWrap w:val="0"/>
            <w:vAlign w:val="center"/>
          </w:tcPr>
          <w:p w14:paraId="567F1CC9">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p>
        </w:tc>
        <w:tc>
          <w:tcPr>
            <w:tcW w:w="1416" w:type="pct"/>
            <w:tcBorders>
              <w:tl2br w:val="nil"/>
              <w:tr2bl w:val="nil"/>
            </w:tcBorders>
            <w:noWrap w:val="0"/>
            <w:vAlign w:val="center"/>
          </w:tcPr>
          <w:p w14:paraId="1935984B">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24h平均第98百分位数</w:t>
            </w:r>
          </w:p>
        </w:tc>
        <w:tc>
          <w:tcPr>
            <w:tcW w:w="946" w:type="pct"/>
            <w:tcBorders>
              <w:tl2br w:val="nil"/>
              <w:tr2bl w:val="nil"/>
            </w:tcBorders>
            <w:noWrap w:val="0"/>
            <w:vAlign w:val="center"/>
          </w:tcPr>
          <w:p w14:paraId="110BD7CF">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cs="Times New Roman"/>
                <w:snapToGrid/>
                <w:color w:val="auto"/>
                <w:kern w:val="2"/>
                <w:sz w:val="18"/>
                <w:szCs w:val="18"/>
                <w:highlight w:val="none"/>
                <w:lang w:val="en-US" w:eastAsia="zh-CN"/>
              </w:rPr>
              <w:t>8.00</w:t>
            </w:r>
          </w:p>
        </w:tc>
        <w:tc>
          <w:tcPr>
            <w:tcW w:w="784" w:type="pct"/>
            <w:tcBorders>
              <w:tl2br w:val="nil"/>
              <w:tr2bl w:val="nil"/>
            </w:tcBorders>
            <w:noWrap w:val="0"/>
            <w:vAlign w:val="center"/>
          </w:tcPr>
          <w:p w14:paraId="07F6570F">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150</w:t>
            </w:r>
          </w:p>
        </w:tc>
        <w:tc>
          <w:tcPr>
            <w:tcW w:w="549" w:type="pct"/>
            <w:tcBorders>
              <w:tl2br w:val="nil"/>
              <w:tr2bl w:val="nil"/>
            </w:tcBorders>
            <w:noWrap w:val="0"/>
            <w:vAlign w:val="center"/>
          </w:tcPr>
          <w:p w14:paraId="1F09EE93">
            <w:pPr>
              <w:keepNext w:val="0"/>
              <w:keepLines w:val="0"/>
              <w:pageBreakBefore w:val="0"/>
              <w:widowControl/>
              <w:suppressLineNumbers w:val="0"/>
              <w:kinsoku/>
              <w:wordWrap/>
              <w:overflowPunct/>
              <w:topLinePunct w:val="0"/>
              <w:autoSpaceDE/>
              <w:autoSpaceDN/>
              <w:bidi w:val="0"/>
              <w:adjustRightInd/>
              <w:snapToGrid/>
              <w:spacing w:beforeLines="0" w:line="240" w:lineRule="auto"/>
              <w:ind w:firstLine="0" w:firstLineChars="0"/>
              <w:jc w:val="center"/>
              <w:textAlignment w:val="center"/>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cs="Times New Roman"/>
                <w:snapToGrid/>
                <w:color w:val="auto"/>
                <w:kern w:val="2"/>
                <w:sz w:val="18"/>
                <w:szCs w:val="18"/>
                <w:highlight w:val="none"/>
                <w:lang w:val="en-US" w:eastAsia="zh-CN"/>
              </w:rPr>
              <w:t>5.33</w:t>
            </w:r>
          </w:p>
        </w:tc>
        <w:tc>
          <w:tcPr>
            <w:tcW w:w="723" w:type="pct"/>
            <w:tcBorders>
              <w:tl2br w:val="nil"/>
              <w:tr2bl w:val="nil"/>
            </w:tcBorders>
            <w:noWrap w:val="0"/>
            <w:vAlign w:val="center"/>
          </w:tcPr>
          <w:p w14:paraId="7E425E02">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达标</w:t>
            </w:r>
          </w:p>
        </w:tc>
      </w:tr>
      <w:tr w14:paraId="6CF32C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restart"/>
            <w:tcBorders>
              <w:tl2br w:val="nil"/>
              <w:tr2bl w:val="nil"/>
            </w:tcBorders>
            <w:noWrap w:val="0"/>
            <w:vAlign w:val="center"/>
          </w:tcPr>
          <w:p w14:paraId="37902638">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NO</w:t>
            </w:r>
            <w:r>
              <w:rPr>
                <w:rFonts w:hint="default" w:ascii="Times New Roman" w:hAnsi="Times New Roman" w:eastAsia="宋体" w:cs="Times New Roman"/>
                <w:snapToGrid/>
                <w:color w:val="auto"/>
                <w:kern w:val="2"/>
                <w:sz w:val="18"/>
                <w:szCs w:val="18"/>
                <w:highlight w:val="none"/>
                <w:vertAlign w:val="subscript"/>
              </w:rPr>
              <w:t>2</w:t>
            </w:r>
          </w:p>
        </w:tc>
        <w:tc>
          <w:tcPr>
            <w:tcW w:w="1416" w:type="pct"/>
            <w:tcBorders>
              <w:tl2br w:val="nil"/>
              <w:tr2bl w:val="nil"/>
            </w:tcBorders>
            <w:noWrap w:val="0"/>
            <w:vAlign w:val="center"/>
          </w:tcPr>
          <w:p w14:paraId="0C4AB0C4">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年平均质量浓度</w:t>
            </w:r>
          </w:p>
        </w:tc>
        <w:tc>
          <w:tcPr>
            <w:tcW w:w="946" w:type="pct"/>
            <w:tcBorders>
              <w:tl2br w:val="nil"/>
              <w:tr2bl w:val="nil"/>
            </w:tcBorders>
            <w:noWrap w:val="0"/>
            <w:vAlign w:val="center"/>
          </w:tcPr>
          <w:p w14:paraId="458CCE37">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cs="Times New Roman"/>
                <w:snapToGrid/>
                <w:color w:val="auto"/>
                <w:kern w:val="2"/>
                <w:sz w:val="18"/>
                <w:szCs w:val="18"/>
                <w:highlight w:val="none"/>
                <w:lang w:val="en-US" w:eastAsia="zh-CN"/>
              </w:rPr>
              <w:t>7.23</w:t>
            </w:r>
          </w:p>
        </w:tc>
        <w:tc>
          <w:tcPr>
            <w:tcW w:w="784" w:type="pct"/>
            <w:tcBorders>
              <w:tl2br w:val="nil"/>
              <w:tr2bl w:val="nil"/>
            </w:tcBorders>
            <w:noWrap w:val="0"/>
            <w:vAlign w:val="center"/>
          </w:tcPr>
          <w:p w14:paraId="4782E39D">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40</w:t>
            </w:r>
          </w:p>
        </w:tc>
        <w:tc>
          <w:tcPr>
            <w:tcW w:w="549" w:type="pct"/>
            <w:tcBorders>
              <w:tl2br w:val="nil"/>
              <w:tr2bl w:val="nil"/>
            </w:tcBorders>
            <w:noWrap w:val="0"/>
            <w:vAlign w:val="center"/>
          </w:tcPr>
          <w:p w14:paraId="663F9A29">
            <w:pPr>
              <w:keepNext w:val="0"/>
              <w:keepLines w:val="0"/>
              <w:pageBreakBefore w:val="0"/>
              <w:widowControl/>
              <w:suppressLineNumbers w:val="0"/>
              <w:kinsoku/>
              <w:wordWrap/>
              <w:overflowPunct/>
              <w:topLinePunct w:val="0"/>
              <w:autoSpaceDE/>
              <w:autoSpaceDN/>
              <w:bidi w:val="0"/>
              <w:adjustRightInd/>
              <w:snapToGrid/>
              <w:spacing w:beforeLines="0" w:line="240" w:lineRule="auto"/>
              <w:ind w:firstLine="0" w:firstLineChars="0"/>
              <w:jc w:val="center"/>
              <w:textAlignment w:val="center"/>
              <w:rPr>
                <w:rFonts w:hint="default" w:ascii="Times New Roman" w:hAnsi="Times New Roman" w:eastAsia="宋体" w:cs="Times New Roman"/>
                <w:snapToGrid/>
                <w:color w:val="auto"/>
                <w:kern w:val="2"/>
                <w:sz w:val="18"/>
                <w:szCs w:val="18"/>
                <w:highlight w:val="none"/>
                <w:lang w:val="en-US"/>
              </w:rPr>
            </w:pPr>
            <w:r>
              <w:rPr>
                <w:rFonts w:hint="default" w:ascii="Times New Roman" w:hAnsi="Times New Roman" w:cs="Times New Roman"/>
                <w:i w:val="0"/>
                <w:iCs w:val="0"/>
                <w:snapToGrid/>
                <w:color w:val="auto"/>
                <w:kern w:val="0"/>
                <w:sz w:val="18"/>
                <w:szCs w:val="18"/>
                <w:highlight w:val="none"/>
                <w:u w:val="none"/>
                <w:lang w:val="en-US" w:eastAsia="zh-CN" w:bidi="ar"/>
              </w:rPr>
              <w:t>18.09</w:t>
            </w:r>
          </w:p>
        </w:tc>
        <w:tc>
          <w:tcPr>
            <w:tcW w:w="723" w:type="pct"/>
            <w:tcBorders>
              <w:tl2br w:val="nil"/>
              <w:tr2bl w:val="nil"/>
            </w:tcBorders>
            <w:noWrap w:val="0"/>
            <w:vAlign w:val="center"/>
          </w:tcPr>
          <w:p w14:paraId="43EF3B14">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达标</w:t>
            </w:r>
          </w:p>
        </w:tc>
      </w:tr>
      <w:tr w14:paraId="350328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continue"/>
            <w:tcBorders>
              <w:tl2br w:val="nil"/>
              <w:tr2bl w:val="nil"/>
            </w:tcBorders>
            <w:noWrap w:val="0"/>
            <w:vAlign w:val="center"/>
          </w:tcPr>
          <w:p w14:paraId="53D10ADE">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p>
        </w:tc>
        <w:tc>
          <w:tcPr>
            <w:tcW w:w="1416" w:type="pct"/>
            <w:tcBorders>
              <w:tl2br w:val="nil"/>
              <w:tr2bl w:val="nil"/>
            </w:tcBorders>
            <w:noWrap w:val="0"/>
            <w:vAlign w:val="center"/>
          </w:tcPr>
          <w:p w14:paraId="261A283F">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24h平均第98百分位数</w:t>
            </w:r>
          </w:p>
        </w:tc>
        <w:tc>
          <w:tcPr>
            <w:tcW w:w="946" w:type="pct"/>
            <w:tcBorders>
              <w:tl2br w:val="nil"/>
              <w:tr2bl w:val="nil"/>
            </w:tcBorders>
            <w:noWrap w:val="0"/>
            <w:vAlign w:val="center"/>
          </w:tcPr>
          <w:p w14:paraId="69CEEF56">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cs="Times New Roman"/>
                <w:snapToGrid/>
                <w:color w:val="auto"/>
                <w:kern w:val="2"/>
                <w:sz w:val="18"/>
                <w:szCs w:val="18"/>
                <w:highlight w:val="none"/>
                <w:lang w:val="en-US" w:eastAsia="zh-CN"/>
              </w:rPr>
              <w:t>12.00</w:t>
            </w:r>
          </w:p>
        </w:tc>
        <w:tc>
          <w:tcPr>
            <w:tcW w:w="784" w:type="pct"/>
            <w:tcBorders>
              <w:tl2br w:val="nil"/>
              <w:tr2bl w:val="nil"/>
            </w:tcBorders>
            <w:noWrap w:val="0"/>
            <w:vAlign w:val="center"/>
          </w:tcPr>
          <w:p w14:paraId="02F9C02B">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80</w:t>
            </w:r>
          </w:p>
        </w:tc>
        <w:tc>
          <w:tcPr>
            <w:tcW w:w="549" w:type="pct"/>
            <w:tcBorders>
              <w:tl2br w:val="nil"/>
              <w:tr2bl w:val="nil"/>
            </w:tcBorders>
            <w:noWrap w:val="0"/>
            <w:vAlign w:val="center"/>
          </w:tcPr>
          <w:p w14:paraId="2067B4D8">
            <w:pPr>
              <w:keepNext w:val="0"/>
              <w:keepLines w:val="0"/>
              <w:pageBreakBefore w:val="0"/>
              <w:widowControl/>
              <w:suppressLineNumbers w:val="0"/>
              <w:kinsoku/>
              <w:wordWrap/>
              <w:overflowPunct/>
              <w:topLinePunct w:val="0"/>
              <w:autoSpaceDE/>
              <w:autoSpaceDN/>
              <w:bidi w:val="0"/>
              <w:adjustRightInd/>
              <w:snapToGrid/>
              <w:spacing w:beforeLines="0" w:line="240" w:lineRule="auto"/>
              <w:ind w:firstLine="0" w:firstLineChars="0"/>
              <w:jc w:val="center"/>
              <w:textAlignment w:val="center"/>
              <w:rPr>
                <w:rFonts w:hint="default" w:ascii="Times New Roman" w:hAnsi="Times New Roman" w:eastAsia="宋体" w:cs="Times New Roman"/>
                <w:snapToGrid/>
                <w:color w:val="auto"/>
                <w:kern w:val="2"/>
                <w:sz w:val="18"/>
                <w:szCs w:val="18"/>
                <w:highlight w:val="none"/>
                <w:lang w:val="en-US"/>
              </w:rPr>
            </w:pPr>
            <w:r>
              <w:rPr>
                <w:rFonts w:hint="default" w:ascii="Times New Roman" w:hAnsi="Times New Roman" w:cs="Times New Roman"/>
                <w:i w:val="0"/>
                <w:iCs w:val="0"/>
                <w:snapToGrid/>
                <w:color w:val="auto"/>
                <w:kern w:val="0"/>
                <w:sz w:val="18"/>
                <w:szCs w:val="18"/>
                <w:highlight w:val="none"/>
                <w:u w:val="none"/>
                <w:lang w:val="en-US" w:eastAsia="zh-CN" w:bidi="ar"/>
              </w:rPr>
              <w:t>15.00</w:t>
            </w:r>
          </w:p>
        </w:tc>
        <w:tc>
          <w:tcPr>
            <w:tcW w:w="723" w:type="pct"/>
            <w:tcBorders>
              <w:tl2br w:val="nil"/>
              <w:tr2bl w:val="nil"/>
            </w:tcBorders>
            <w:noWrap w:val="0"/>
            <w:vAlign w:val="center"/>
          </w:tcPr>
          <w:p w14:paraId="0E6A849E">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达标</w:t>
            </w:r>
          </w:p>
        </w:tc>
      </w:tr>
      <w:tr w14:paraId="40CC13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restart"/>
            <w:tcBorders>
              <w:tl2br w:val="nil"/>
              <w:tr2bl w:val="nil"/>
            </w:tcBorders>
            <w:noWrap w:val="0"/>
            <w:vAlign w:val="center"/>
          </w:tcPr>
          <w:p w14:paraId="3DFB91B5">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PM</w:t>
            </w:r>
            <w:r>
              <w:rPr>
                <w:rFonts w:hint="default" w:ascii="Times New Roman" w:hAnsi="Times New Roman" w:eastAsia="宋体" w:cs="Times New Roman"/>
                <w:snapToGrid/>
                <w:color w:val="auto"/>
                <w:kern w:val="2"/>
                <w:sz w:val="18"/>
                <w:szCs w:val="18"/>
                <w:highlight w:val="none"/>
                <w:vertAlign w:val="subscript"/>
              </w:rPr>
              <w:t>10</w:t>
            </w:r>
          </w:p>
        </w:tc>
        <w:tc>
          <w:tcPr>
            <w:tcW w:w="1416" w:type="pct"/>
            <w:tcBorders>
              <w:tl2br w:val="nil"/>
              <w:tr2bl w:val="nil"/>
            </w:tcBorders>
            <w:noWrap w:val="0"/>
            <w:vAlign w:val="center"/>
          </w:tcPr>
          <w:p w14:paraId="413D2FB0">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年平均质量浓度</w:t>
            </w:r>
          </w:p>
        </w:tc>
        <w:tc>
          <w:tcPr>
            <w:tcW w:w="946" w:type="pct"/>
            <w:tcBorders>
              <w:tl2br w:val="nil"/>
              <w:tr2bl w:val="nil"/>
            </w:tcBorders>
            <w:noWrap w:val="0"/>
            <w:vAlign w:val="center"/>
          </w:tcPr>
          <w:p w14:paraId="60854E91">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cs="Times New Roman"/>
                <w:snapToGrid/>
                <w:color w:val="auto"/>
                <w:kern w:val="2"/>
                <w:sz w:val="18"/>
                <w:szCs w:val="18"/>
                <w:highlight w:val="none"/>
                <w:lang w:val="en-US" w:eastAsia="zh-CN"/>
              </w:rPr>
              <w:t>24.96</w:t>
            </w:r>
          </w:p>
        </w:tc>
        <w:tc>
          <w:tcPr>
            <w:tcW w:w="784" w:type="pct"/>
            <w:tcBorders>
              <w:tl2br w:val="nil"/>
              <w:tr2bl w:val="nil"/>
            </w:tcBorders>
            <w:noWrap w:val="0"/>
            <w:vAlign w:val="center"/>
          </w:tcPr>
          <w:p w14:paraId="55A1D080">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70</w:t>
            </w:r>
          </w:p>
        </w:tc>
        <w:tc>
          <w:tcPr>
            <w:tcW w:w="549" w:type="pct"/>
            <w:tcBorders>
              <w:tl2br w:val="nil"/>
              <w:tr2bl w:val="nil"/>
            </w:tcBorders>
            <w:noWrap w:val="0"/>
            <w:vAlign w:val="center"/>
          </w:tcPr>
          <w:p w14:paraId="72A2B7DA">
            <w:pPr>
              <w:keepNext w:val="0"/>
              <w:keepLines w:val="0"/>
              <w:pageBreakBefore w:val="0"/>
              <w:widowControl/>
              <w:suppressLineNumbers w:val="0"/>
              <w:kinsoku/>
              <w:wordWrap/>
              <w:overflowPunct/>
              <w:topLinePunct w:val="0"/>
              <w:autoSpaceDE/>
              <w:autoSpaceDN/>
              <w:bidi w:val="0"/>
              <w:adjustRightInd/>
              <w:snapToGrid/>
              <w:spacing w:beforeLines="0" w:line="240" w:lineRule="auto"/>
              <w:ind w:firstLine="0" w:firstLineChars="0"/>
              <w:jc w:val="center"/>
              <w:textAlignment w:val="center"/>
              <w:rPr>
                <w:rFonts w:hint="default" w:ascii="Times New Roman" w:hAnsi="Times New Roman" w:eastAsia="宋体" w:cs="Times New Roman"/>
                <w:snapToGrid/>
                <w:color w:val="auto"/>
                <w:kern w:val="2"/>
                <w:sz w:val="18"/>
                <w:szCs w:val="18"/>
                <w:highlight w:val="none"/>
                <w:lang w:val="en-US"/>
              </w:rPr>
            </w:pPr>
            <w:r>
              <w:rPr>
                <w:rFonts w:hint="default" w:ascii="Times New Roman" w:hAnsi="Times New Roman" w:cs="Times New Roman"/>
                <w:i w:val="0"/>
                <w:iCs w:val="0"/>
                <w:snapToGrid/>
                <w:color w:val="auto"/>
                <w:kern w:val="0"/>
                <w:sz w:val="18"/>
                <w:szCs w:val="18"/>
                <w:highlight w:val="none"/>
                <w:u w:val="none"/>
                <w:lang w:val="en-US" w:eastAsia="zh-CN" w:bidi="ar"/>
              </w:rPr>
              <w:t>35.65</w:t>
            </w:r>
          </w:p>
        </w:tc>
        <w:tc>
          <w:tcPr>
            <w:tcW w:w="723" w:type="pct"/>
            <w:tcBorders>
              <w:tl2br w:val="nil"/>
              <w:tr2bl w:val="nil"/>
            </w:tcBorders>
            <w:noWrap w:val="0"/>
            <w:vAlign w:val="center"/>
          </w:tcPr>
          <w:p w14:paraId="4C351628">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达标</w:t>
            </w:r>
          </w:p>
        </w:tc>
      </w:tr>
      <w:tr w14:paraId="540339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continue"/>
            <w:tcBorders>
              <w:tl2br w:val="nil"/>
              <w:tr2bl w:val="nil"/>
            </w:tcBorders>
            <w:noWrap w:val="0"/>
            <w:vAlign w:val="center"/>
          </w:tcPr>
          <w:p w14:paraId="4EF51DE4">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p>
        </w:tc>
        <w:tc>
          <w:tcPr>
            <w:tcW w:w="1416" w:type="pct"/>
            <w:tcBorders>
              <w:tl2br w:val="nil"/>
              <w:tr2bl w:val="nil"/>
            </w:tcBorders>
            <w:noWrap w:val="0"/>
            <w:vAlign w:val="center"/>
          </w:tcPr>
          <w:p w14:paraId="1479E325">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24h平均第95百分位数</w:t>
            </w:r>
          </w:p>
        </w:tc>
        <w:tc>
          <w:tcPr>
            <w:tcW w:w="946" w:type="pct"/>
            <w:tcBorders>
              <w:tl2br w:val="nil"/>
              <w:tr2bl w:val="nil"/>
            </w:tcBorders>
            <w:noWrap w:val="0"/>
            <w:vAlign w:val="center"/>
          </w:tcPr>
          <w:p w14:paraId="2311AD0E">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cs="Times New Roman"/>
                <w:snapToGrid/>
                <w:color w:val="auto"/>
                <w:kern w:val="2"/>
                <w:sz w:val="18"/>
                <w:szCs w:val="18"/>
                <w:highlight w:val="none"/>
                <w:lang w:val="en-US" w:eastAsia="zh-CN"/>
              </w:rPr>
              <w:t>56.00</w:t>
            </w:r>
          </w:p>
        </w:tc>
        <w:tc>
          <w:tcPr>
            <w:tcW w:w="784" w:type="pct"/>
            <w:tcBorders>
              <w:tl2br w:val="nil"/>
              <w:tr2bl w:val="nil"/>
            </w:tcBorders>
            <w:noWrap w:val="0"/>
            <w:vAlign w:val="center"/>
          </w:tcPr>
          <w:p w14:paraId="7DCD276F">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150</w:t>
            </w:r>
          </w:p>
        </w:tc>
        <w:tc>
          <w:tcPr>
            <w:tcW w:w="549" w:type="pct"/>
            <w:tcBorders>
              <w:tl2br w:val="nil"/>
              <w:tr2bl w:val="nil"/>
            </w:tcBorders>
            <w:noWrap w:val="0"/>
            <w:vAlign w:val="center"/>
          </w:tcPr>
          <w:p w14:paraId="0470C8F5">
            <w:pPr>
              <w:keepNext w:val="0"/>
              <w:keepLines w:val="0"/>
              <w:pageBreakBefore w:val="0"/>
              <w:widowControl/>
              <w:suppressLineNumbers w:val="0"/>
              <w:kinsoku/>
              <w:wordWrap/>
              <w:overflowPunct/>
              <w:topLinePunct w:val="0"/>
              <w:autoSpaceDE/>
              <w:autoSpaceDN/>
              <w:bidi w:val="0"/>
              <w:adjustRightInd/>
              <w:snapToGrid/>
              <w:spacing w:beforeLines="0" w:line="240" w:lineRule="auto"/>
              <w:ind w:firstLine="0" w:firstLineChars="0"/>
              <w:jc w:val="center"/>
              <w:textAlignment w:val="center"/>
              <w:rPr>
                <w:rFonts w:hint="default" w:ascii="Times New Roman" w:hAnsi="Times New Roman" w:eastAsia="宋体" w:cs="Times New Roman"/>
                <w:snapToGrid/>
                <w:color w:val="auto"/>
                <w:kern w:val="2"/>
                <w:sz w:val="18"/>
                <w:szCs w:val="18"/>
                <w:highlight w:val="none"/>
                <w:lang w:val="en-US"/>
              </w:rPr>
            </w:pPr>
            <w:r>
              <w:rPr>
                <w:rFonts w:hint="default" w:ascii="Times New Roman" w:hAnsi="Times New Roman" w:cs="Times New Roman"/>
                <w:i w:val="0"/>
                <w:iCs w:val="0"/>
                <w:snapToGrid/>
                <w:color w:val="auto"/>
                <w:kern w:val="0"/>
                <w:sz w:val="18"/>
                <w:szCs w:val="18"/>
                <w:highlight w:val="none"/>
                <w:u w:val="none"/>
                <w:lang w:val="en-US" w:eastAsia="zh-CN" w:bidi="ar"/>
              </w:rPr>
              <w:t>37.33</w:t>
            </w:r>
          </w:p>
        </w:tc>
        <w:tc>
          <w:tcPr>
            <w:tcW w:w="723" w:type="pct"/>
            <w:tcBorders>
              <w:tl2br w:val="nil"/>
              <w:tr2bl w:val="nil"/>
            </w:tcBorders>
            <w:noWrap w:val="0"/>
            <w:vAlign w:val="center"/>
          </w:tcPr>
          <w:p w14:paraId="169D5A46">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达标</w:t>
            </w:r>
          </w:p>
        </w:tc>
      </w:tr>
      <w:tr w14:paraId="303072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restart"/>
            <w:tcBorders>
              <w:tl2br w:val="nil"/>
              <w:tr2bl w:val="nil"/>
            </w:tcBorders>
            <w:noWrap w:val="0"/>
            <w:vAlign w:val="center"/>
          </w:tcPr>
          <w:p w14:paraId="6F8C4E70">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CO</w:t>
            </w:r>
          </w:p>
        </w:tc>
        <w:tc>
          <w:tcPr>
            <w:tcW w:w="1416" w:type="pct"/>
            <w:tcBorders>
              <w:tl2br w:val="nil"/>
              <w:tr2bl w:val="nil"/>
            </w:tcBorders>
            <w:noWrap w:val="0"/>
            <w:vAlign w:val="center"/>
          </w:tcPr>
          <w:p w14:paraId="566E8332">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年平均质量浓度</w:t>
            </w:r>
          </w:p>
        </w:tc>
        <w:tc>
          <w:tcPr>
            <w:tcW w:w="946" w:type="pct"/>
            <w:tcBorders>
              <w:tl2br w:val="nil"/>
              <w:tr2bl w:val="nil"/>
            </w:tcBorders>
            <w:noWrap w:val="0"/>
            <w:vAlign w:val="center"/>
          </w:tcPr>
          <w:p w14:paraId="69B8F82C">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cs="Times New Roman"/>
                <w:snapToGrid/>
                <w:color w:val="auto"/>
                <w:kern w:val="2"/>
                <w:sz w:val="18"/>
                <w:szCs w:val="18"/>
                <w:highlight w:val="none"/>
                <w:lang w:val="en-US" w:eastAsia="zh-CN"/>
              </w:rPr>
              <w:t>584</w:t>
            </w:r>
          </w:p>
        </w:tc>
        <w:tc>
          <w:tcPr>
            <w:tcW w:w="784" w:type="pct"/>
            <w:tcBorders>
              <w:tl2br w:val="nil"/>
              <w:tr2bl w:val="nil"/>
            </w:tcBorders>
            <w:noWrap w:val="0"/>
            <w:vAlign w:val="center"/>
          </w:tcPr>
          <w:p w14:paraId="0B396AF8">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eastAsia="宋体" w:cs="Times New Roman"/>
                <w:snapToGrid/>
                <w:color w:val="auto"/>
                <w:kern w:val="2"/>
                <w:sz w:val="18"/>
                <w:szCs w:val="18"/>
                <w:highlight w:val="none"/>
                <w:lang w:val="en-US" w:eastAsia="zh-CN"/>
              </w:rPr>
              <w:t>--</w:t>
            </w:r>
          </w:p>
        </w:tc>
        <w:tc>
          <w:tcPr>
            <w:tcW w:w="549" w:type="pct"/>
            <w:tcBorders>
              <w:tl2br w:val="nil"/>
              <w:tr2bl w:val="nil"/>
            </w:tcBorders>
            <w:noWrap w:val="0"/>
            <w:vAlign w:val="center"/>
          </w:tcPr>
          <w:p w14:paraId="671FE59C">
            <w:pPr>
              <w:keepNext w:val="0"/>
              <w:keepLines w:val="0"/>
              <w:pageBreakBefore w:val="0"/>
              <w:widowControl w:val="0"/>
              <w:kinsoku/>
              <w:wordWrap/>
              <w:overflowPunct/>
              <w:topLinePunct w:val="0"/>
              <w:autoSpaceDE/>
              <w:autoSpaceDN/>
              <w:bidi w:val="0"/>
              <w:adjustRightInd/>
              <w:snapToGrid/>
              <w:spacing w:beforeLines="0" w:after="100" w:afterAutospacing="1"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723" w:type="pct"/>
            <w:tcBorders>
              <w:tl2br w:val="nil"/>
              <w:tr2bl w:val="nil"/>
            </w:tcBorders>
            <w:noWrap w:val="0"/>
            <w:vAlign w:val="center"/>
          </w:tcPr>
          <w:p w14:paraId="7B26EA1C">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eastAsia="宋体" w:cs="Times New Roman"/>
                <w:snapToGrid/>
                <w:color w:val="auto"/>
                <w:kern w:val="2"/>
                <w:sz w:val="18"/>
                <w:szCs w:val="18"/>
                <w:highlight w:val="none"/>
                <w:lang w:val="en-US" w:eastAsia="zh-CN"/>
              </w:rPr>
              <w:t>--</w:t>
            </w:r>
          </w:p>
        </w:tc>
      </w:tr>
      <w:tr w14:paraId="55717B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continue"/>
            <w:tcBorders>
              <w:tl2br w:val="nil"/>
              <w:tr2bl w:val="nil"/>
            </w:tcBorders>
            <w:noWrap w:val="0"/>
            <w:vAlign w:val="center"/>
          </w:tcPr>
          <w:p w14:paraId="27655667">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p>
        </w:tc>
        <w:tc>
          <w:tcPr>
            <w:tcW w:w="1416" w:type="pct"/>
            <w:tcBorders>
              <w:tl2br w:val="nil"/>
              <w:tr2bl w:val="nil"/>
            </w:tcBorders>
            <w:noWrap w:val="0"/>
            <w:vAlign w:val="center"/>
          </w:tcPr>
          <w:p w14:paraId="44EEB5FD">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24h平均第95百分位数</w:t>
            </w:r>
          </w:p>
        </w:tc>
        <w:tc>
          <w:tcPr>
            <w:tcW w:w="946" w:type="pct"/>
            <w:tcBorders>
              <w:tl2br w:val="nil"/>
              <w:tr2bl w:val="nil"/>
            </w:tcBorders>
            <w:noWrap w:val="0"/>
            <w:vAlign w:val="center"/>
          </w:tcPr>
          <w:p w14:paraId="0DCC1668">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cs="Times New Roman"/>
                <w:snapToGrid/>
                <w:color w:val="auto"/>
                <w:kern w:val="2"/>
                <w:sz w:val="18"/>
                <w:szCs w:val="18"/>
                <w:highlight w:val="none"/>
                <w:lang w:val="en-US" w:eastAsia="zh-CN"/>
              </w:rPr>
              <w:t>800</w:t>
            </w:r>
          </w:p>
        </w:tc>
        <w:tc>
          <w:tcPr>
            <w:tcW w:w="784" w:type="pct"/>
            <w:tcBorders>
              <w:tl2br w:val="nil"/>
              <w:tr2bl w:val="nil"/>
            </w:tcBorders>
            <w:noWrap w:val="0"/>
            <w:vAlign w:val="center"/>
          </w:tcPr>
          <w:p w14:paraId="10059777">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4000</w:t>
            </w:r>
          </w:p>
        </w:tc>
        <w:tc>
          <w:tcPr>
            <w:tcW w:w="549" w:type="pct"/>
            <w:tcBorders>
              <w:tl2br w:val="nil"/>
              <w:tr2bl w:val="nil"/>
            </w:tcBorders>
            <w:noWrap w:val="0"/>
            <w:vAlign w:val="center"/>
          </w:tcPr>
          <w:p w14:paraId="79F407BD">
            <w:pPr>
              <w:keepNext w:val="0"/>
              <w:keepLines w:val="0"/>
              <w:pageBreakBefore w:val="0"/>
              <w:widowControl/>
              <w:suppressLineNumbers w:val="0"/>
              <w:kinsoku/>
              <w:wordWrap/>
              <w:overflowPunct/>
              <w:topLinePunct w:val="0"/>
              <w:autoSpaceDE/>
              <w:autoSpaceDN/>
              <w:bidi w:val="0"/>
              <w:adjustRightInd/>
              <w:snapToGrid/>
              <w:spacing w:beforeLines="0" w:line="240" w:lineRule="auto"/>
              <w:ind w:firstLine="0" w:firstLineChars="0"/>
              <w:jc w:val="center"/>
              <w:textAlignment w:val="center"/>
              <w:rPr>
                <w:rFonts w:hint="default" w:ascii="Times New Roman" w:hAnsi="Times New Roman" w:eastAsia="宋体" w:cs="Times New Roman"/>
                <w:snapToGrid/>
                <w:color w:val="auto"/>
                <w:kern w:val="2"/>
                <w:sz w:val="18"/>
                <w:szCs w:val="18"/>
                <w:highlight w:val="none"/>
                <w:lang w:val="en-US"/>
              </w:rPr>
            </w:pPr>
            <w:r>
              <w:rPr>
                <w:rFonts w:hint="default" w:ascii="Times New Roman" w:hAnsi="Times New Roman" w:cs="Times New Roman"/>
                <w:i w:val="0"/>
                <w:iCs w:val="0"/>
                <w:snapToGrid/>
                <w:color w:val="auto"/>
                <w:kern w:val="0"/>
                <w:sz w:val="18"/>
                <w:szCs w:val="18"/>
                <w:highlight w:val="none"/>
                <w:u w:val="none"/>
                <w:lang w:val="en-US" w:eastAsia="zh-CN" w:bidi="ar"/>
              </w:rPr>
              <w:t>20.00</w:t>
            </w:r>
          </w:p>
        </w:tc>
        <w:tc>
          <w:tcPr>
            <w:tcW w:w="723" w:type="pct"/>
            <w:tcBorders>
              <w:tl2br w:val="nil"/>
              <w:tr2bl w:val="nil"/>
            </w:tcBorders>
            <w:noWrap w:val="0"/>
            <w:vAlign w:val="center"/>
          </w:tcPr>
          <w:p w14:paraId="3CAFA8D3">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达标</w:t>
            </w:r>
          </w:p>
        </w:tc>
      </w:tr>
      <w:tr w14:paraId="09B47B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restart"/>
            <w:tcBorders>
              <w:tl2br w:val="nil"/>
              <w:tr2bl w:val="nil"/>
            </w:tcBorders>
            <w:noWrap w:val="0"/>
            <w:vAlign w:val="center"/>
          </w:tcPr>
          <w:p w14:paraId="2DC58008">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O</w:t>
            </w:r>
            <w:r>
              <w:rPr>
                <w:rFonts w:hint="default" w:ascii="Times New Roman" w:hAnsi="Times New Roman" w:eastAsia="宋体" w:cs="Times New Roman"/>
                <w:snapToGrid/>
                <w:color w:val="auto"/>
                <w:kern w:val="2"/>
                <w:sz w:val="18"/>
                <w:szCs w:val="18"/>
                <w:highlight w:val="none"/>
                <w:vertAlign w:val="subscript"/>
              </w:rPr>
              <w:t>3</w:t>
            </w:r>
          </w:p>
        </w:tc>
        <w:tc>
          <w:tcPr>
            <w:tcW w:w="1416" w:type="pct"/>
            <w:tcBorders>
              <w:tl2br w:val="nil"/>
              <w:tr2bl w:val="nil"/>
            </w:tcBorders>
            <w:noWrap w:val="0"/>
            <w:vAlign w:val="center"/>
          </w:tcPr>
          <w:p w14:paraId="7B70AC98">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8小时平均质量浓度</w:t>
            </w:r>
          </w:p>
        </w:tc>
        <w:tc>
          <w:tcPr>
            <w:tcW w:w="946" w:type="pct"/>
            <w:tcBorders>
              <w:tl2br w:val="nil"/>
              <w:tr2bl w:val="nil"/>
            </w:tcBorders>
            <w:noWrap w:val="0"/>
            <w:vAlign w:val="center"/>
          </w:tcPr>
          <w:p w14:paraId="7BF4A354">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cs="Times New Roman"/>
                <w:snapToGrid/>
                <w:color w:val="auto"/>
                <w:kern w:val="2"/>
                <w:sz w:val="18"/>
                <w:szCs w:val="18"/>
                <w:highlight w:val="none"/>
                <w:lang w:val="en-US" w:eastAsia="zh-CN"/>
              </w:rPr>
              <w:t>69.62</w:t>
            </w:r>
          </w:p>
        </w:tc>
        <w:tc>
          <w:tcPr>
            <w:tcW w:w="784" w:type="pct"/>
            <w:tcBorders>
              <w:tl2br w:val="nil"/>
              <w:tr2bl w:val="nil"/>
            </w:tcBorders>
            <w:noWrap w:val="0"/>
            <w:vAlign w:val="center"/>
          </w:tcPr>
          <w:p w14:paraId="1FB3EF4F">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160</w:t>
            </w:r>
          </w:p>
        </w:tc>
        <w:tc>
          <w:tcPr>
            <w:tcW w:w="549" w:type="pct"/>
            <w:tcBorders>
              <w:tl2br w:val="nil"/>
              <w:tr2bl w:val="nil"/>
            </w:tcBorders>
            <w:noWrap w:val="0"/>
            <w:vAlign w:val="center"/>
          </w:tcPr>
          <w:p w14:paraId="7F2C9360">
            <w:pPr>
              <w:keepNext w:val="0"/>
              <w:keepLines w:val="0"/>
              <w:pageBreakBefore w:val="0"/>
              <w:widowControl/>
              <w:suppressLineNumbers w:val="0"/>
              <w:kinsoku/>
              <w:wordWrap/>
              <w:overflowPunct/>
              <w:topLinePunct w:val="0"/>
              <w:autoSpaceDE/>
              <w:autoSpaceDN/>
              <w:bidi w:val="0"/>
              <w:adjustRightInd/>
              <w:snapToGrid/>
              <w:spacing w:beforeLines="0" w:line="240" w:lineRule="auto"/>
              <w:ind w:firstLine="0" w:firstLineChars="0"/>
              <w:jc w:val="center"/>
              <w:textAlignment w:val="center"/>
              <w:rPr>
                <w:rFonts w:hint="default" w:ascii="Times New Roman" w:hAnsi="Times New Roman" w:eastAsia="宋体" w:cs="Times New Roman"/>
                <w:snapToGrid/>
                <w:color w:val="auto"/>
                <w:kern w:val="2"/>
                <w:sz w:val="18"/>
                <w:szCs w:val="18"/>
                <w:highlight w:val="none"/>
                <w:lang w:val="en-US"/>
              </w:rPr>
            </w:pPr>
            <w:r>
              <w:rPr>
                <w:rFonts w:hint="default" w:ascii="Times New Roman" w:hAnsi="Times New Roman" w:cs="Times New Roman"/>
                <w:i w:val="0"/>
                <w:iCs w:val="0"/>
                <w:snapToGrid/>
                <w:color w:val="auto"/>
                <w:kern w:val="0"/>
                <w:sz w:val="18"/>
                <w:szCs w:val="18"/>
                <w:highlight w:val="none"/>
                <w:u w:val="none"/>
                <w:lang w:val="en-US" w:eastAsia="zh-CN" w:bidi="ar"/>
              </w:rPr>
              <w:t>43.52</w:t>
            </w:r>
          </w:p>
        </w:tc>
        <w:tc>
          <w:tcPr>
            <w:tcW w:w="723" w:type="pct"/>
            <w:tcBorders>
              <w:tl2br w:val="nil"/>
              <w:tr2bl w:val="nil"/>
            </w:tcBorders>
            <w:noWrap w:val="0"/>
            <w:vAlign w:val="center"/>
          </w:tcPr>
          <w:p w14:paraId="5676DDA9">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达标</w:t>
            </w:r>
          </w:p>
        </w:tc>
      </w:tr>
      <w:tr w14:paraId="146F37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continue"/>
            <w:tcBorders>
              <w:tl2br w:val="nil"/>
              <w:tr2bl w:val="nil"/>
            </w:tcBorders>
            <w:noWrap w:val="0"/>
            <w:vAlign w:val="center"/>
          </w:tcPr>
          <w:p w14:paraId="437C530D">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p>
        </w:tc>
        <w:tc>
          <w:tcPr>
            <w:tcW w:w="1416" w:type="pct"/>
            <w:tcBorders>
              <w:tl2br w:val="nil"/>
              <w:tr2bl w:val="nil"/>
            </w:tcBorders>
            <w:noWrap w:val="0"/>
            <w:vAlign w:val="center"/>
          </w:tcPr>
          <w:p w14:paraId="1EAB9F42">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8小时平均第90百分位数</w:t>
            </w:r>
          </w:p>
        </w:tc>
        <w:tc>
          <w:tcPr>
            <w:tcW w:w="946" w:type="pct"/>
            <w:tcBorders>
              <w:tl2br w:val="nil"/>
              <w:tr2bl w:val="nil"/>
            </w:tcBorders>
            <w:noWrap w:val="0"/>
            <w:vAlign w:val="center"/>
          </w:tcPr>
          <w:p w14:paraId="083802D4">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cs="Times New Roman"/>
                <w:snapToGrid/>
                <w:color w:val="auto"/>
                <w:kern w:val="2"/>
                <w:sz w:val="18"/>
                <w:szCs w:val="18"/>
                <w:highlight w:val="none"/>
                <w:lang w:val="en-US" w:eastAsia="zh-CN"/>
              </w:rPr>
              <w:t>105</w:t>
            </w:r>
          </w:p>
        </w:tc>
        <w:tc>
          <w:tcPr>
            <w:tcW w:w="784" w:type="pct"/>
            <w:tcBorders>
              <w:tl2br w:val="nil"/>
              <w:tr2bl w:val="nil"/>
            </w:tcBorders>
            <w:noWrap w:val="0"/>
            <w:vAlign w:val="center"/>
          </w:tcPr>
          <w:p w14:paraId="06126B45">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200</w:t>
            </w:r>
          </w:p>
        </w:tc>
        <w:tc>
          <w:tcPr>
            <w:tcW w:w="549" w:type="pct"/>
            <w:tcBorders>
              <w:tl2br w:val="nil"/>
              <w:tr2bl w:val="nil"/>
            </w:tcBorders>
            <w:noWrap w:val="0"/>
            <w:vAlign w:val="center"/>
          </w:tcPr>
          <w:p w14:paraId="78BE5D8C">
            <w:pPr>
              <w:keepNext w:val="0"/>
              <w:keepLines w:val="0"/>
              <w:pageBreakBefore w:val="0"/>
              <w:widowControl/>
              <w:suppressLineNumbers w:val="0"/>
              <w:kinsoku/>
              <w:wordWrap/>
              <w:overflowPunct/>
              <w:topLinePunct w:val="0"/>
              <w:autoSpaceDE/>
              <w:autoSpaceDN/>
              <w:bidi w:val="0"/>
              <w:adjustRightInd/>
              <w:snapToGrid/>
              <w:spacing w:beforeLines="0" w:line="240" w:lineRule="auto"/>
              <w:ind w:firstLine="0" w:firstLineChars="0"/>
              <w:jc w:val="center"/>
              <w:textAlignment w:val="center"/>
              <w:rPr>
                <w:rFonts w:hint="default" w:ascii="Times New Roman" w:hAnsi="Times New Roman" w:eastAsia="宋体" w:cs="Times New Roman"/>
                <w:snapToGrid/>
                <w:color w:val="auto"/>
                <w:kern w:val="2"/>
                <w:sz w:val="18"/>
                <w:szCs w:val="18"/>
                <w:highlight w:val="none"/>
                <w:lang w:val="en-US"/>
              </w:rPr>
            </w:pPr>
            <w:r>
              <w:rPr>
                <w:rFonts w:hint="default" w:ascii="Times New Roman" w:hAnsi="Times New Roman" w:cs="Times New Roman"/>
                <w:i w:val="0"/>
                <w:iCs w:val="0"/>
                <w:snapToGrid/>
                <w:color w:val="auto"/>
                <w:kern w:val="0"/>
                <w:sz w:val="18"/>
                <w:szCs w:val="18"/>
                <w:highlight w:val="none"/>
                <w:u w:val="none"/>
                <w:lang w:val="en-US" w:eastAsia="zh-CN" w:bidi="ar"/>
              </w:rPr>
              <w:t>52.50</w:t>
            </w:r>
          </w:p>
        </w:tc>
        <w:tc>
          <w:tcPr>
            <w:tcW w:w="723" w:type="pct"/>
            <w:tcBorders>
              <w:tl2br w:val="nil"/>
              <w:tr2bl w:val="nil"/>
            </w:tcBorders>
            <w:noWrap w:val="0"/>
            <w:vAlign w:val="center"/>
          </w:tcPr>
          <w:p w14:paraId="205066BC">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达标</w:t>
            </w:r>
          </w:p>
        </w:tc>
      </w:tr>
      <w:tr w14:paraId="269270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restart"/>
            <w:tcBorders>
              <w:tl2br w:val="nil"/>
              <w:tr2bl w:val="nil"/>
            </w:tcBorders>
            <w:noWrap w:val="0"/>
            <w:vAlign w:val="center"/>
          </w:tcPr>
          <w:p w14:paraId="2FC48EF4">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PM</w:t>
            </w:r>
            <w:r>
              <w:rPr>
                <w:rFonts w:hint="default" w:ascii="Times New Roman" w:hAnsi="Times New Roman" w:eastAsia="宋体" w:cs="Times New Roman"/>
                <w:snapToGrid/>
                <w:color w:val="auto"/>
                <w:kern w:val="2"/>
                <w:sz w:val="18"/>
                <w:szCs w:val="18"/>
                <w:highlight w:val="none"/>
                <w:vertAlign w:val="subscript"/>
              </w:rPr>
              <w:t>2.5</w:t>
            </w:r>
          </w:p>
        </w:tc>
        <w:tc>
          <w:tcPr>
            <w:tcW w:w="1416" w:type="pct"/>
            <w:tcBorders>
              <w:tl2br w:val="nil"/>
              <w:tr2bl w:val="nil"/>
            </w:tcBorders>
            <w:noWrap w:val="0"/>
            <w:vAlign w:val="center"/>
          </w:tcPr>
          <w:p w14:paraId="6D07A7A1">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年平均质量浓度</w:t>
            </w:r>
          </w:p>
        </w:tc>
        <w:tc>
          <w:tcPr>
            <w:tcW w:w="946" w:type="pct"/>
            <w:tcBorders>
              <w:tl2br w:val="nil"/>
              <w:tr2bl w:val="nil"/>
            </w:tcBorders>
            <w:noWrap w:val="0"/>
            <w:vAlign w:val="center"/>
          </w:tcPr>
          <w:p w14:paraId="0B9DF9A2">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cs="Times New Roman"/>
                <w:snapToGrid/>
                <w:color w:val="auto"/>
                <w:kern w:val="2"/>
                <w:sz w:val="18"/>
                <w:szCs w:val="18"/>
                <w:highlight w:val="none"/>
                <w:lang w:val="en-US" w:eastAsia="zh-CN"/>
              </w:rPr>
              <w:t>17.05</w:t>
            </w:r>
          </w:p>
        </w:tc>
        <w:tc>
          <w:tcPr>
            <w:tcW w:w="784" w:type="pct"/>
            <w:tcBorders>
              <w:tl2br w:val="nil"/>
              <w:tr2bl w:val="nil"/>
            </w:tcBorders>
            <w:noWrap w:val="0"/>
            <w:vAlign w:val="center"/>
          </w:tcPr>
          <w:p w14:paraId="4ABAC752">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35</w:t>
            </w:r>
          </w:p>
        </w:tc>
        <w:tc>
          <w:tcPr>
            <w:tcW w:w="549" w:type="pct"/>
            <w:tcBorders>
              <w:tl2br w:val="nil"/>
              <w:tr2bl w:val="nil"/>
            </w:tcBorders>
            <w:noWrap w:val="0"/>
            <w:vAlign w:val="center"/>
          </w:tcPr>
          <w:p w14:paraId="42436930">
            <w:pPr>
              <w:keepNext w:val="0"/>
              <w:keepLines w:val="0"/>
              <w:pageBreakBefore w:val="0"/>
              <w:widowControl/>
              <w:suppressLineNumbers w:val="0"/>
              <w:kinsoku/>
              <w:wordWrap/>
              <w:overflowPunct/>
              <w:topLinePunct w:val="0"/>
              <w:autoSpaceDE/>
              <w:autoSpaceDN/>
              <w:bidi w:val="0"/>
              <w:adjustRightInd/>
              <w:snapToGrid/>
              <w:spacing w:beforeLines="0" w:line="240" w:lineRule="auto"/>
              <w:ind w:firstLine="0" w:firstLineChars="0"/>
              <w:jc w:val="center"/>
              <w:textAlignment w:val="center"/>
              <w:rPr>
                <w:rFonts w:hint="default" w:ascii="Times New Roman" w:hAnsi="Times New Roman" w:eastAsia="宋体" w:cs="Times New Roman"/>
                <w:snapToGrid/>
                <w:color w:val="auto"/>
                <w:kern w:val="2"/>
                <w:sz w:val="18"/>
                <w:szCs w:val="18"/>
                <w:highlight w:val="none"/>
                <w:lang w:val="en-US"/>
              </w:rPr>
            </w:pPr>
            <w:r>
              <w:rPr>
                <w:rFonts w:hint="default" w:ascii="Times New Roman" w:hAnsi="Times New Roman" w:cs="Times New Roman"/>
                <w:i w:val="0"/>
                <w:iCs w:val="0"/>
                <w:snapToGrid/>
                <w:color w:val="auto"/>
                <w:kern w:val="0"/>
                <w:sz w:val="18"/>
                <w:szCs w:val="18"/>
                <w:highlight w:val="none"/>
                <w:u w:val="none"/>
                <w:lang w:val="en-US" w:eastAsia="zh-CN" w:bidi="ar"/>
              </w:rPr>
              <w:t>48.72</w:t>
            </w:r>
          </w:p>
        </w:tc>
        <w:tc>
          <w:tcPr>
            <w:tcW w:w="723" w:type="pct"/>
            <w:tcBorders>
              <w:tl2br w:val="nil"/>
              <w:tr2bl w:val="nil"/>
            </w:tcBorders>
            <w:noWrap w:val="0"/>
            <w:vAlign w:val="center"/>
          </w:tcPr>
          <w:p w14:paraId="5D976554">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达标</w:t>
            </w:r>
          </w:p>
        </w:tc>
      </w:tr>
      <w:tr w14:paraId="6FE106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continue"/>
            <w:tcBorders>
              <w:tl2br w:val="nil"/>
              <w:tr2bl w:val="nil"/>
            </w:tcBorders>
            <w:noWrap w:val="0"/>
            <w:vAlign w:val="center"/>
          </w:tcPr>
          <w:p w14:paraId="0C361CEC">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p>
        </w:tc>
        <w:tc>
          <w:tcPr>
            <w:tcW w:w="1416" w:type="pct"/>
            <w:tcBorders>
              <w:tl2br w:val="nil"/>
              <w:tr2bl w:val="nil"/>
            </w:tcBorders>
            <w:noWrap w:val="0"/>
            <w:vAlign w:val="center"/>
          </w:tcPr>
          <w:p w14:paraId="5E0395CF">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24h平均第95百分位数</w:t>
            </w:r>
          </w:p>
        </w:tc>
        <w:tc>
          <w:tcPr>
            <w:tcW w:w="946" w:type="pct"/>
            <w:tcBorders>
              <w:tl2br w:val="nil"/>
              <w:tr2bl w:val="nil"/>
            </w:tcBorders>
            <w:noWrap w:val="0"/>
            <w:vAlign w:val="center"/>
          </w:tcPr>
          <w:p w14:paraId="29202DCD">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lang w:val="en-US" w:eastAsia="zh-CN"/>
              </w:rPr>
            </w:pPr>
            <w:r>
              <w:rPr>
                <w:rFonts w:hint="default" w:ascii="Times New Roman" w:hAnsi="Times New Roman" w:cs="Times New Roman"/>
                <w:snapToGrid/>
                <w:color w:val="auto"/>
                <w:kern w:val="2"/>
                <w:sz w:val="18"/>
                <w:szCs w:val="18"/>
                <w:highlight w:val="none"/>
                <w:lang w:val="en-US" w:eastAsia="zh-CN"/>
              </w:rPr>
              <w:t>42.00</w:t>
            </w:r>
          </w:p>
        </w:tc>
        <w:tc>
          <w:tcPr>
            <w:tcW w:w="784" w:type="pct"/>
            <w:tcBorders>
              <w:tl2br w:val="nil"/>
              <w:tr2bl w:val="nil"/>
            </w:tcBorders>
            <w:noWrap w:val="0"/>
            <w:vAlign w:val="center"/>
          </w:tcPr>
          <w:p w14:paraId="02D9858E">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75</w:t>
            </w:r>
          </w:p>
        </w:tc>
        <w:tc>
          <w:tcPr>
            <w:tcW w:w="549" w:type="pct"/>
            <w:tcBorders>
              <w:tl2br w:val="nil"/>
              <w:tr2bl w:val="nil"/>
            </w:tcBorders>
            <w:noWrap w:val="0"/>
            <w:vAlign w:val="center"/>
          </w:tcPr>
          <w:p w14:paraId="7C59B26A">
            <w:pPr>
              <w:keepNext w:val="0"/>
              <w:keepLines w:val="0"/>
              <w:pageBreakBefore w:val="0"/>
              <w:widowControl/>
              <w:suppressLineNumbers w:val="0"/>
              <w:kinsoku/>
              <w:wordWrap/>
              <w:overflowPunct/>
              <w:topLinePunct w:val="0"/>
              <w:autoSpaceDE/>
              <w:autoSpaceDN/>
              <w:bidi w:val="0"/>
              <w:adjustRightInd/>
              <w:snapToGrid/>
              <w:spacing w:beforeLines="0" w:line="240" w:lineRule="auto"/>
              <w:ind w:firstLine="0" w:firstLineChars="0"/>
              <w:jc w:val="center"/>
              <w:textAlignment w:val="center"/>
              <w:rPr>
                <w:rFonts w:hint="default" w:ascii="Times New Roman" w:hAnsi="Times New Roman" w:eastAsia="宋体" w:cs="Times New Roman"/>
                <w:snapToGrid/>
                <w:color w:val="auto"/>
                <w:kern w:val="2"/>
                <w:sz w:val="18"/>
                <w:szCs w:val="18"/>
                <w:highlight w:val="none"/>
                <w:lang w:val="en-US"/>
              </w:rPr>
            </w:pPr>
            <w:r>
              <w:rPr>
                <w:rFonts w:hint="default" w:ascii="Times New Roman" w:hAnsi="Times New Roman" w:cs="Times New Roman"/>
                <w:i w:val="0"/>
                <w:iCs w:val="0"/>
                <w:snapToGrid/>
                <w:color w:val="auto"/>
                <w:kern w:val="0"/>
                <w:sz w:val="18"/>
                <w:szCs w:val="18"/>
                <w:highlight w:val="none"/>
                <w:u w:val="none"/>
                <w:lang w:val="en-US" w:eastAsia="zh-CN" w:bidi="ar"/>
              </w:rPr>
              <w:t>56.00</w:t>
            </w:r>
          </w:p>
        </w:tc>
        <w:tc>
          <w:tcPr>
            <w:tcW w:w="723" w:type="pct"/>
            <w:tcBorders>
              <w:tl2br w:val="nil"/>
              <w:tr2bl w:val="nil"/>
            </w:tcBorders>
            <w:noWrap w:val="0"/>
            <w:vAlign w:val="center"/>
          </w:tcPr>
          <w:p w14:paraId="3E5633A0">
            <w:pPr>
              <w:keepNext w:val="0"/>
              <w:keepLines w:val="0"/>
              <w:pageBreakBefore w:val="0"/>
              <w:widowControl/>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snapToGrid/>
                <w:color w:val="auto"/>
                <w:kern w:val="2"/>
                <w:sz w:val="18"/>
                <w:szCs w:val="18"/>
                <w:highlight w:val="none"/>
              </w:rPr>
            </w:pPr>
            <w:r>
              <w:rPr>
                <w:rFonts w:hint="default" w:ascii="Times New Roman" w:hAnsi="Times New Roman" w:eastAsia="宋体" w:cs="Times New Roman"/>
                <w:snapToGrid/>
                <w:color w:val="auto"/>
                <w:kern w:val="2"/>
                <w:sz w:val="18"/>
                <w:szCs w:val="18"/>
                <w:highlight w:val="none"/>
              </w:rPr>
              <w:t>达标</w:t>
            </w:r>
          </w:p>
        </w:tc>
      </w:tr>
    </w:tbl>
    <w:p w14:paraId="592EE735">
      <w:pPr>
        <w:spacing w:line="360" w:lineRule="auto"/>
        <w:ind w:firstLine="49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年监测数据可知，SO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、CO、O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六项污染物均满足《环境空气质量标准》（GB3095-2012）及2018年修改单的二级标准浓度限值要求，项目所在区域属于环境空气质量达标区。</w:t>
      </w:r>
    </w:p>
    <w:p w14:paraId="46EC51F6">
      <w:pPr>
        <w:pStyle w:val="7"/>
        <w:spacing w:before="0" w:after="0"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.2.1.3其他污染物环境空气质量现状补充监测</w:t>
      </w:r>
    </w:p>
    <w:p w14:paraId="08A9E904">
      <w:pPr>
        <w:spacing w:line="360" w:lineRule="auto"/>
        <w:ind w:firstLine="49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根据项目工程分析，本项目的特征污染物主要为颗粒物。</w:t>
      </w:r>
    </w:p>
    <w:p w14:paraId="715FD56C">
      <w:pPr>
        <w:pStyle w:val="39"/>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根据《环境影响评价技术导则 大气环境》（HJ2.2-2018），除基本污染物外的其他污染物在没有环境空气质量监测网数据或公开发布的环境现状数据的，没有评价范围内近3年与项目排放的其他污染物有关的历史监测资料时，应按要求进行补充监测。因此，本环评布点对特征污染因子进行了补充监测。</w:t>
      </w:r>
    </w:p>
    <w:p w14:paraId="50093B13">
      <w:pPr>
        <w:spacing w:line="360" w:lineRule="auto"/>
        <w:ind w:firstLine="49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1、监测点位</w:t>
      </w:r>
    </w:p>
    <w:p w14:paraId="5689BA69">
      <w:pPr>
        <w:spacing w:line="360" w:lineRule="auto"/>
        <w:ind w:firstLine="49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本项目其他污染物环境空气质量现状补充监测共布设</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个监测点。</w:t>
      </w:r>
    </w:p>
    <w:p w14:paraId="741AF2B3">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4</w:t>
      </w:r>
      <w:r>
        <w:rPr>
          <w:rFonts w:hint="default" w:ascii="Times New Roman" w:hAnsi="Times New Roman" w:eastAsia="黑体" w:cs="Times New Roman"/>
          <w:b w:val="0"/>
          <w:bCs/>
          <w:sz w:val="21"/>
          <w:szCs w:val="21"/>
        </w:rPr>
        <w:t>.2</w:t>
      </w:r>
      <w:r>
        <w:rPr>
          <w:rFonts w:hint="default" w:ascii="Times New Roman" w:hAnsi="Times New Roman" w:eastAsia="黑体" w:cs="Times New Roman"/>
          <w:b w:val="0"/>
          <w:bCs/>
          <w:sz w:val="21"/>
          <w:szCs w:val="21"/>
          <w:lang w:val="en-US" w:eastAsia="zh-CN"/>
        </w:rPr>
        <w:t>.1</w:t>
      </w:r>
      <w:r>
        <w:rPr>
          <w:rFonts w:hint="default" w:ascii="Times New Roman" w:hAnsi="Times New Roman" w:eastAsia="黑体" w:cs="Times New Roman"/>
          <w:b w:val="0"/>
          <w:bCs/>
          <w:sz w:val="21"/>
          <w:szCs w:val="21"/>
        </w:rPr>
        <w:t>-2  其他污染物补充监测点位基本信息</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690"/>
        <w:gridCol w:w="1568"/>
        <w:gridCol w:w="1207"/>
        <w:gridCol w:w="1277"/>
        <w:gridCol w:w="1007"/>
        <w:gridCol w:w="1043"/>
      </w:tblGrid>
      <w:tr w14:paraId="128EFA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96" w:type="dxa"/>
            <w:vMerge w:val="restart"/>
            <w:tcBorders>
              <w:tl2br w:val="nil"/>
              <w:tr2bl w:val="nil"/>
            </w:tcBorders>
            <w:vAlign w:val="center"/>
          </w:tcPr>
          <w:p w14:paraId="7D8F5FB8">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监测点名称</w:t>
            </w:r>
          </w:p>
        </w:tc>
        <w:tc>
          <w:tcPr>
            <w:tcW w:w="3258" w:type="dxa"/>
            <w:gridSpan w:val="2"/>
            <w:tcBorders>
              <w:tl2br w:val="nil"/>
              <w:tr2bl w:val="nil"/>
            </w:tcBorders>
            <w:vAlign w:val="center"/>
          </w:tcPr>
          <w:p w14:paraId="1BE1BC6E">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监测点坐标</w:t>
            </w:r>
          </w:p>
        </w:tc>
        <w:tc>
          <w:tcPr>
            <w:tcW w:w="1207" w:type="dxa"/>
            <w:vMerge w:val="restart"/>
            <w:tcBorders>
              <w:tl2br w:val="nil"/>
              <w:tr2bl w:val="nil"/>
            </w:tcBorders>
            <w:vAlign w:val="center"/>
          </w:tcPr>
          <w:p w14:paraId="7CC88339">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监测因子</w:t>
            </w:r>
          </w:p>
        </w:tc>
        <w:tc>
          <w:tcPr>
            <w:tcW w:w="1277" w:type="dxa"/>
            <w:vMerge w:val="restart"/>
            <w:tcBorders>
              <w:tl2br w:val="nil"/>
              <w:tr2bl w:val="nil"/>
            </w:tcBorders>
            <w:vAlign w:val="center"/>
          </w:tcPr>
          <w:p w14:paraId="73457E64">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监测时段</w:t>
            </w:r>
          </w:p>
        </w:tc>
        <w:tc>
          <w:tcPr>
            <w:tcW w:w="1006" w:type="dxa"/>
            <w:vMerge w:val="restart"/>
            <w:tcBorders>
              <w:tl2br w:val="nil"/>
              <w:tr2bl w:val="nil"/>
            </w:tcBorders>
            <w:vAlign w:val="center"/>
          </w:tcPr>
          <w:p w14:paraId="3CA0F57F">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相对厂址方位</w:t>
            </w:r>
          </w:p>
        </w:tc>
        <w:tc>
          <w:tcPr>
            <w:tcW w:w="1042" w:type="dxa"/>
            <w:vMerge w:val="restart"/>
            <w:tcBorders>
              <w:tl2br w:val="nil"/>
              <w:tr2bl w:val="nil"/>
            </w:tcBorders>
            <w:vAlign w:val="center"/>
          </w:tcPr>
          <w:p w14:paraId="6C60A607">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相对厂界距离/m</w:t>
            </w:r>
          </w:p>
        </w:tc>
      </w:tr>
      <w:tr w14:paraId="6F0B09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96" w:type="dxa"/>
            <w:vMerge w:val="continue"/>
            <w:tcBorders>
              <w:tl2br w:val="nil"/>
              <w:tr2bl w:val="nil"/>
            </w:tcBorders>
            <w:vAlign w:val="center"/>
          </w:tcPr>
          <w:p w14:paraId="2196CF75">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sz w:val="18"/>
                <w:szCs w:val="18"/>
              </w:rPr>
            </w:pPr>
          </w:p>
        </w:tc>
        <w:tc>
          <w:tcPr>
            <w:tcW w:w="1690" w:type="dxa"/>
            <w:tcBorders>
              <w:tl2br w:val="nil"/>
              <w:tr2bl w:val="nil"/>
            </w:tcBorders>
            <w:vAlign w:val="center"/>
          </w:tcPr>
          <w:p w14:paraId="631EE9A3">
            <w:pPr>
              <w:pStyle w:val="61"/>
              <w:snapToGrid/>
              <w:spacing w:beforeLines="0" w:afterLines="0" w:line="240" w:lineRule="auto"/>
              <w:rPr>
                <w:rFonts w:hint="default" w:ascii="Times New Roman" w:hAnsi="Times New Roman" w:cs="Times New Roman" w:eastAsiaTheme="minorEastAsia"/>
                <w:b w:val="0"/>
                <w:bCs/>
                <w:iCs/>
                <w:kern w:val="2"/>
                <w:sz w:val="18"/>
                <w:szCs w:val="18"/>
              </w:rPr>
            </w:pPr>
            <w:r>
              <w:rPr>
                <w:rFonts w:hint="default" w:ascii="Times New Roman" w:hAnsi="Times New Roman" w:cs="Times New Roman" w:eastAsiaTheme="minorEastAsia"/>
                <w:b w:val="0"/>
                <w:bCs/>
                <w:iCs/>
                <w:kern w:val="2"/>
                <w:sz w:val="18"/>
                <w:szCs w:val="18"/>
              </w:rPr>
              <w:t>经度</w:t>
            </w:r>
          </w:p>
        </w:tc>
        <w:tc>
          <w:tcPr>
            <w:tcW w:w="1568" w:type="dxa"/>
            <w:tcBorders>
              <w:tl2br w:val="nil"/>
              <w:tr2bl w:val="nil"/>
            </w:tcBorders>
            <w:vAlign w:val="center"/>
          </w:tcPr>
          <w:p w14:paraId="6F65D65F">
            <w:pPr>
              <w:pStyle w:val="61"/>
              <w:snapToGrid/>
              <w:spacing w:beforeLines="0" w:afterLines="0" w:line="240" w:lineRule="auto"/>
              <w:rPr>
                <w:rFonts w:hint="default" w:ascii="Times New Roman" w:hAnsi="Times New Roman" w:cs="Times New Roman" w:eastAsiaTheme="minorEastAsia"/>
                <w:b w:val="0"/>
                <w:bCs/>
                <w:iCs/>
                <w:kern w:val="2"/>
                <w:sz w:val="18"/>
                <w:szCs w:val="18"/>
              </w:rPr>
            </w:pPr>
            <w:r>
              <w:rPr>
                <w:rFonts w:hint="default" w:ascii="Times New Roman" w:hAnsi="Times New Roman" w:cs="Times New Roman" w:eastAsiaTheme="minorEastAsia"/>
                <w:b w:val="0"/>
                <w:bCs/>
                <w:iCs/>
                <w:kern w:val="2"/>
                <w:sz w:val="18"/>
                <w:szCs w:val="18"/>
              </w:rPr>
              <w:t>纬度</w:t>
            </w:r>
          </w:p>
        </w:tc>
        <w:tc>
          <w:tcPr>
            <w:tcW w:w="1207" w:type="dxa"/>
            <w:vMerge w:val="continue"/>
            <w:tcBorders>
              <w:tl2br w:val="nil"/>
              <w:tr2bl w:val="nil"/>
            </w:tcBorders>
            <w:vAlign w:val="center"/>
          </w:tcPr>
          <w:p w14:paraId="67387C16">
            <w:pPr>
              <w:pStyle w:val="61"/>
              <w:snapToGrid/>
              <w:spacing w:beforeLines="0" w:afterLines="0" w:line="240" w:lineRule="auto"/>
              <w:rPr>
                <w:rFonts w:hint="default" w:ascii="Times New Roman" w:hAnsi="Times New Roman" w:cs="Times New Roman" w:eastAsiaTheme="minorEastAsia"/>
                <w:b w:val="0"/>
                <w:bCs/>
                <w:iCs/>
                <w:kern w:val="2"/>
                <w:sz w:val="18"/>
                <w:szCs w:val="18"/>
              </w:rPr>
            </w:pPr>
          </w:p>
        </w:tc>
        <w:tc>
          <w:tcPr>
            <w:tcW w:w="1277" w:type="dxa"/>
            <w:vMerge w:val="continue"/>
            <w:tcBorders>
              <w:tl2br w:val="nil"/>
              <w:tr2bl w:val="nil"/>
            </w:tcBorders>
            <w:vAlign w:val="center"/>
          </w:tcPr>
          <w:p w14:paraId="105805C5">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sz w:val="18"/>
                <w:szCs w:val="18"/>
              </w:rPr>
            </w:pPr>
          </w:p>
        </w:tc>
        <w:tc>
          <w:tcPr>
            <w:tcW w:w="1006" w:type="dxa"/>
            <w:vMerge w:val="continue"/>
            <w:tcBorders>
              <w:tl2br w:val="nil"/>
              <w:tr2bl w:val="nil"/>
            </w:tcBorders>
            <w:vAlign w:val="center"/>
          </w:tcPr>
          <w:p w14:paraId="319CE6A6">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sz w:val="18"/>
                <w:szCs w:val="18"/>
              </w:rPr>
            </w:pPr>
          </w:p>
        </w:tc>
        <w:tc>
          <w:tcPr>
            <w:tcW w:w="1042" w:type="dxa"/>
            <w:vMerge w:val="continue"/>
            <w:tcBorders>
              <w:tl2br w:val="nil"/>
              <w:tr2bl w:val="nil"/>
            </w:tcBorders>
            <w:vAlign w:val="center"/>
          </w:tcPr>
          <w:p w14:paraId="462D7FC2">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sz w:val="18"/>
                <w:szCs w:val="18"/>
              </w:rPr>
            </w:pPr>
          </w:p>
        </w:tc>
      </w:tr>
      <w:tr w14:paraId="24353A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1496" w:type="dxa"/>
            <w:tcBorders>
              <w:tl2br w:val="nil"/>
              <w:tr2bl w:val="nil"/>
            </w:tcBorders>
            <w:vAlign w:val="center"/>
          </w:tcPr>
          <w:p w14:paraId="34249D90">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新寨旧址（项目区下风向约900m）</w:t>
            </w:r>
          </w:p>
        </w:tc>
        <w:tc>
          <w:tcPr>
            <w:tcW w:w="1690" w:type="dxa"/>
            <w:tcBorders>
              <w:tl2br w:val="nil"/>
              <w:tr2bl w:val="nil"/>
            </w:tcBorders>
            <w:vAlign w:val="center"/>
          </w:tcPr>
          <w:p w14:paraId="6FC3F39D">
            <w:pPr>
              <w:pStyle w:val="61"/>
              <w:snapToGrid/>
              <w:spacing w:beforeLines="0" w:afterLines="0" w:line="240" w:lineRule="auto"/>
              <w:rPr>
                <w:rFonts w:hint="default" w:ascii="Times New Roman" w:hAnsi="Times New Roman" w:cs="Times New Roman" w:eastAsiaTheme="minorEastAsia"/>
                <w:b w:val="0"/>
                <w:bCs/>
                <w:iCs/>
                <w:kern w:val="2"/>
                <w:sz w:val="18"/>
                <w:szCs w:val="18"/>
              </w:rPr>
            </w:pPr>
            <w:r>
              <w:rPr>
                <w:rFonts w:hint="default" w:ascii="Times New Roman" w:hAnsi="Times New Roman" w:cs="Times New Roman" w:eastAsiaTheme="minorEastAsia"/>
                <w:b w:val="0"/>
                <w:bCs/>
                <w:iCs/>
                <w:kern w:val="2"/>
                <w:sz w:val="18"/>
                <w:szCs w:val="18"/>
              </w:rPr>
              <w:t>102.201126</w:t>
            </w:r>
          </w:p>
        </w:tc>
        <w:tc>
          <w:tcPr>
            <w:tcW w:w="1568" w:type="dxa"/>
            <w:tcBorders>
              <w:tl2br w:val="nil"/>
              <w:tr2bl w:val="nil"/>
            </w:tcBorders>
            <w:vAlign w:val="center"/>
          </w:tcPr>
          <w:p w14:paraId="3865A662">
            <w:pPr>
              <w:pStyle w:val="61"/>
              <w:snapToGrid/>
              <w:spacing w:beforeLines="0" w:afterLines="0" w:line="240" w:lineRule="auto"/>
              <w:rPr>
                <w:rFonts w:hint="default" w:ascii="Times New Roman" w:hAnsi="Times New Roman" w:cs="Times New Roman" w:eastAsiaTheme="minorEastAsia"/>
                <w:b w:val="0"/>
                <w:bCs/>
                <w:iCs/>
                <w:kern w:val="2"/>
                <w:sz w:val="18"/>
                <w:szCs w:val="18"/>
              </w:rPr>
            </w:pPr>
            <w:r>
              <w:rPr>
                <w:rFonts w:hint="default" w:ascii="Times New Roman" w:hAnsi="Times New Roman" w:cs="Times New Roman" w:eastAsiaTheme="minorEastAsia"/>
                <w:b w:val="0"/>
                <w:bCs/>
                <w:iCs/>
                <w:kern w:val="2"/>
                <w:sz w:val="18"/>
                <w:szCs w:val="18"/>
              </w:rPr>
              <w:t>23.964510</w:t>
            </w:r>
          </w:p>
        </w:tc>
        <w:tc>
          <w:tcPr>
            <w:tcW w:w="1207" w:type="dxa"/>
            <w:tcBorders>
              <w:tl2br w:val="nil"/>
              <w:tr2bl w:val="nil"/>
            </w:tcBorders>
            <w:vAlign w:val="center"/>
          </w:tcPr>
          <w:p w14:paraId="1FEE8CF0">
            <w:pPr>
              <w:pStyle w:val="61"/>
              <w:snapToGrid/>
              <w:spacing w:beforeLines="0" w:afterLines="0" w:line="240" w:lineRule="auto"/>
              <w:rPr>
                <w:rFonts w:hint="default" w:ascii="Times New Roman" w:hAnsi="Times New Roman" w:cs="Times New Roman" w:eastAsiaTheme="minorEastAsia"/>
                <w:b w:val="0"/>
                <w:bCs/>
                <w:iCs/>
                <w:kern w:val="2"/>
                <w:sz w:val="18"/>
                <w:szCs w:val="18"/>
              </w:rPr>
            </w:pPr>
            <w:r>
              <w:rPr>
                <w:rFonts w:hint="default" w:ascii="Times New Roman" w:hAnsi="Times New Roman" w:cs="Times New Roman" w:eastAsiaTheme="minorEastAsia"/>
                <w:b w:val="0"/>
                <w:bCs/>
                <w:iCs/>
                <w:kern w:val="2"/>
                <w:sz w:val="18"/>
                <w:szCs w:val="18"/>
              </w:rPr>
              <w:t>TSP</w:t>
            </w:r>
          </w:p>
        </w:tc>
        <w:tc>
          <w:tcPr>
            <w:tcW w:w="1277" w:type="dxa"/>
            <w:tcBorders>
              <w:tl2br w:val="nil"/>
              <w:tr2bl w:val="nil"/>
            </w:tcBorders>
            <w:vAlign w:val="center"/>
          </w:tcPr>
          <w:p w14:paraId="6C8B46AD">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监测7天</w:t>
            </w:r>
          </w:p>
        </w:tc>
        <w:tc>
          <w:tcPr>
            <w:tcW w:w="1006" w:type="dxa"/>
            <w:tcBorders>
              <w:tl2br w:val="nil"/>
              <w:tr2bl w:val="nil"/>
            </w:tcBorders>
            <w:vAlign w:val="center"/>
          </w:tcPr>
          <w:p w14:paraId="1591E31B">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东北</w:t>
            </w:r>
          </w:p>
        </w:tc>
        <w:tc>
          <w:tcPr>
            <w:tcW w:w="1042" w:type="dxa"/>
            <w:tcBorders>
              <w:tl2br w:val="nil"/>
              <w:tr2bl w:val="nil"/>
            </w:tcBorders>
            <w:vAlign w:val="center"/>
          </w:tcPr>
          <w:p w14:paraId="7B927E2A">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lang w:val="en-US" w:eastAsia="zh-CN"/>
              </w:rPr>
              <w:t>8</w:t>
            </w:r>
            <w:r>
              <w:rPr>
                <w:rFonts w:hint="default" w:ascii="Times New Roman" w:hAnsi="Times New Roman" w:cs="Times New Roman" w:eastAsiaTheme="minorEastAsia"/>
                <w:sz w:val="18"/>
                <w:szCs w:val="18"/>
              </w:rPr>
              <w:t>50</w:t>
            </w:r>
          </w:p>
        </w:tc>
      </w:tr>
    </w:tbl>
    <w:p w14:paraId="793C49A0">
      <w:pPr>
        <w:spacing w:line="360" w:lineRule="auto"/>
        <w:ind w:firstLine="49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2、监测因子</w:t>
      </w:r>
    </w:p>
    <w:p w14:paraId="24B35359">
      <w:pPr>
        <w:spacing w:line="360" w:lineRule="auto"/>
        <w:ind w:firstLine="49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本项目选取除基本污染物外的其他污染物中有环境空气质量标准的因子作为监测因子，共选取</w:t>
      </w:r>
      <w:r>
        <w:rPr>
          <w:rFonts w:hint="default" w:ascii="Times New Roman" w:hAnsi="Times New Roman" w:cs="Times New Roman" w:eastAsiaTheme="minorEastAsia"/>
          <w:bCs/>
          <w:iCs/>
          <w:sz w:val="24"/>
          <w:szCs w:val="24"/>
        </w:rPr>
        <w:t>1个监测因子：TSP。</w:t>
      </w:r>
    </w:p>
    <w:p w14:paraId="5AB7EF81">
      <w:pPr>
        <w:spacing w:line="360" w:lineRule="auto"/>
        <w:ind w:firstLine="49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3、监测时间及频次</w:t>
      </w:r>
    </w:p>
    <w:p w14:paraId="6A6F31A0">
      <w:pPr>
        <w:spacing w:line="360" w:lineRule="auto"/>
        <w:ind w:firstLine="49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监测时间为</w:t>
      </w:r>
      <w:bookmarkStart w:id="378" w:name="_Hlk161852364"/>
      <w:r>
        <w:rPr>
          <w:rFonts w:hint="default" w:ascii="Times New Roman" w:hAnsi="Times New Roman" w:cs="Times New Roman" w:eastAsiaTheme="minorEastAsia"/>
          <w:color w:val="auto"/>
          <w:sz w:val="24"/>
          <w:szCs w:val="24"/>
        </w:rPr>
        <w:t>202</w:t>
      </w: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年</w:t>
      </w:r>
      <w:r>
        <w:rPr>
          <w:rFonts w:hint="default"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rPr>
        <w:t>月</w:t>
      </w:r>
      <w:r>
        <w:rPr>
          <w:rFonts w:hint="default" w:ascii="Times New Roman" w:hAnsi="Times New Roman"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rPr>
        <w:t>日至</w:t>
      </w:r>
      <w:r>
        <w:rPr>
          <w:rFonts w:hint="default"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rPr>
        <w:t>月</w:t>
      </w:r>
      <w:r>
        <w:rPr>
          <w:rFonts w:hint="default" w:ascii="Times New Roman" w:hAnsi="Times New Roman" w:cs="Times New Roman" w:eastAsiaTheme="minorEastAsia"/>
          <w:color w:val="auto"/>
          <w:sz w:val="24"/>
          <w:szCs w:val="24"/>
          <w:lang w:val="en-US" w:eastAsia="zh-CN"/>
        </w:rPr>
        <w:t>27</w:t>
      </w:r>
      <w:r>
        <w:rPr>
          <w:rFonts w:hint="default" w:ascii="Times New Roman" w:hAnsi="Times New Roman" w:cs="Times New Roman" w:eastAsiaTheme="minorEastAsia"/>
          <w:color w:val="auto"/>
          <w:sz w:val="24"/>
          <w:szCs w:val="24"/>
        </w:rPr>
        <w:t>日</w:t>
      </w:r>
      <w:bookmarkEnd w:id="378"/>
      <w:r>
        <w:rPr>
          <w:rFonts w:hint="default" w:ascii="Times New Roman" w:hAnsi="Times New Roman" w:cs="Times New Roman" w:eastAsiaTheme="minorEastAsia"/>
          <w:color w:val="auto"/>
          <w:sz w:val="24"/>
          <w:szCs w:val="24"/>
        </w:rPr>
        <w:t>，连续监测7天。TSP监测24小时平均值。</w:t>
      </w:r>
      <w:r>
        <w:rPr>
          <w:rFonts w:hint="default" w:ascii="Times New Roman" w:hAnsi="Times New Roman" w:cs="Times New Roman" w:eastAsiaTheme="minorEastAsia"/>
          <w:color w:val="auto"/>
          <w:sz w:val="24"/>
          <w:szCs w:val="24"/>
          <w:lang w:val="en-US" w:eastAsia="zh-CN"/>
        </w:rPr>
        <w:t>监测期间本项目为停运状态。</w:t>
      </w:r>
    </w:p>
    <w:p w14:paraId="42ADAF39">
      <w:pPr>
        <w:spacing w:line="360" w:lineRule="auto"/>
        <w:ind w:firstLine="49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采样时间及采样频率，根据GB 3095中污染物浓度数据有效性规定的要求确定。</w:t>
      </w:r>
    </w:p>
    <w:p w14:paraId="676F52F6">
      <w:pPr>
        <w:spacing w:line="360" w:lineRule="auto"/>
        <w:ind w:firstLine="49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4、监测结果</w:t>
      </w:r>
    </w:p>
    <w:p w14:paraId="200C9953">
      <w:pPr>
        <w:spacing w:line="360" w:lineRule="auto"/>
        <w:ind w:firstLine="49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项目其他污染物补充监测结果见下表。</w:t>
      </w:r>
    </w:p>
    <w:p w14:paraId="5D221C4E">
      <w:pPr>
        <w:spacing w:line="360" w:lineRule="auto"/>
        <w:jc w:val="center"/>
        <w:rPr>
          <w:rFonts w:hint="default" w:ascii="Times New Roman" w:hAnsi="Times New Roman" w:eastAsia="黑体" w:cs="Times New Roman"/>
          <w:b w:val="0"/>
          <w:bCs/>
          <w:color w:val="auto"/>
          <w:sz w:val="21"/>
          <w:szCs w:val="21"/>
        </w:rPr>
      </w:pPr>
    </w:p>
    <w:p w14:paraId="26BD3019">
      <w:pPr>
        <w:spacing w:line="360" w:lineRule="auto"/>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表</w:t>
      </w:r>
      <w:r>
        <w:rPr>
          <w:rFonts w:hint="default" w:ascii="Times New Roman" w:hAnsi="Times New Roman" w:eastAsia="黑体" w:cs="Times New Roman"/>
          <w:b w:val="0"/>
          <w:bCs/>
          <w:color w:val="auto"/>
          <w:sz w:val="21"/>
          <w:szCs w:val="21"/>
          <w:lang w:val="en-US" w:eastAsia="zh-CN"/>
        </w:rPr>
        <w:t>4</w:t>
      </w:r>
      <w:r>
        <w:rPr>
          <w:rFonts w:hint="default" w:ascii="Times New Roman" w:hAnsi="Times New Roman" w:eastAsia="黑体" w:cs="Times New Roman"/>
          <w:b w:val="0"/>
          <w:bCs/>
          <w:color w:val="auto"/>
          <w:sz w:val="21"/>
          <w:szCs w:val="21"/>
        </w:rPr>
        <w:t>.2</w:t>
      </w:r>
      <w:r>
        <w:rPr>
          <w:rFonts w:hint="default" w:ascii="Times New Roman" w:hAnsi="Times New Roman" w:eastAsia="黑体" w:cs="Times New Roman"/>
          <w:b w:val="0"/>
          <w:bCs/>
          <w:color w:val="auto"/>
          <w:sz w:val="21"/>
          <w:szCs w:val="21"/>
          <w:lang w:val="en-US" w:eastAsia="zh-CN"/>
        </w:rPr>
        <w:t>.1</w:t>
      </w:r>
      <w:r>
        <w:rPr>
          <w:rFonts w:hint="default" w:ascii="Times New Roman" w:hAnsi="Times New Roman" w:eastAsia="黑体" w:cs="Times New Roman"/>
          <w:b w:val="0"/>
          <w:bCs/>
          <w:color w:val="auto"/>
          <w:sz w:val="21"/>
          <w:szCs w:val="21"/>
        </w:rPr>
        <w:t>-3  其他污染物环境质量现状（监测结果）表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870"/>
        <w:gridCol w:w="871"/>
        <w:gridCol w:w="961"/>
        <w:gridCol w:w="664"/>
        <w:gridCol w:w="1088"/>
        <w:gridCol w:w="1253"/>
        <w:gridCol w:w="1084"/>
        <w:gridCol w:w="717"/>
        <w:gridCol w:w="717"/>
      </w:tblGrid>
      <w:tr w14:paraId="4CC68B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tcBorders>
              <w:tl2br w:val="nil"/>
              <w:tr2bl w:val="nil"/>
            </w:tcBorders>
            <w:vAlign w:val="center"/>
          </w:tcPr>
          <w:p w14:paraId="5A9B7E96">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监测点位</w:t>
            </w:r>
          </w:p>
        </w:tc>
        <w:tc>
          <w:tcPr>
            <w:tcW w:w="1741" w:type="dxa"/>
            <w:gridSpan w:val="2"/>
            <w:tcBorders>
              <w:tl2br w:val="nil"/>
              <w:tr2bl w:val="nil"/>
            </w:tcBorders>
            <w:vAlign w:val="center"/>
          </w:tcPr>
          <w:p w14:paraId="775CEC3E">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监测点坐标</w:t>
            </w:r>
          </w:p>
        </w:tc>
        <w:tc>
          <w:tcPr>
            <w:tcW w:w="961" w:type="dxa"/>
            <w:vMerge w:val="restart"/>
            <w:tcBorders>
              <w:tl2br w:val="nil"/>
              <w:tr2bl w:val="nil"/>
            </w:tcBorders>
            <w:vAlign w:val="center"/>
          </w:tcPr>
          <w:p w14:paraId="2DBAFA6E">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污染物</w:t>
            </w:r>
          </w:p>
        </w:tc>
        <w:tc>
          <w:tcPr>
            <w:tcW w:w="664" w:type="dxa"/>
            <w:vMerge w:val="restart"/>
            <w:tcBorders>
              <w:tl2br w:val="nil"/>
              <w:tr2bl w:val="nil"/>
            </w:tcBorders>
            <w:vAlign w:val="center"/>
          </w:tcPr>
          <w:p w14:paraId="50204D45">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平均时间</w:t>
            </w:r>
          </w:p>
        </w:tc>
        <w:tc>
          <w:tcPr>
            <w:tcW w:w="1087" w:type="dxa"/>
            <w:vMerge w:val="restart"/>
            <w:tcBorders>
              <w:tl2br w:val="nil"/>
              <w:tr2bl w:val="nil"/>
            </w:tcBorders>
            <w:vAlign w:val="center"/>
          </w:tcPr>
          <w:p w14:paraId="493966DA">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评价标准/(μg/m</w:t>
            </w:r>
            <w:r>
              <w:rPr>
                <w:rFonts w:hint="default" w:ascii="Times New Roman" w:hAnsi="Times New Roman" w:cs="Times New Roman" w:eastAsiaTheme="minorEastAsia"/>
                <w:color w:val="auto"/>
                <w:sz w:val="18"/>
                <w:szCs w:val="18"/>
                <w:vertAlign w:val="superscript"/>
              </w:rPr>
              <w:t>3</w:t>
            </w:r>
            <w:r>
              <w:rPr>
                <w:rFonts w:hint="default" w:ascii="Times New Roman" w:hAnsi="Times New Roman" w:cs="Times New Roman" w:eastAsiaTheme="minorEastAsia"/>
                <w:color w:val="auto"/>
                <w:sz w:val="18"/>
                <w:szCs w:val="18"/>
              </w:rPr>
              <w:t>)</w:t>
            </w:r>
          </w:p>
        </w:tc>
        <w:tc>
          <w:tcPr>
            <w:tcW w:w="1253" w:type="dxa"/>
            <w:vMerge w:val="restart"/>
            <w:tcBorders>
              <w:tl2br w:val="nil"/>
              <w:tr2bl w:val="nil"/>
            </w:tcBorders>
            <w:vAlign w:val="center"/>
          </w:tcPr>
          <w:p w14:paraId="01E7FF92">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监测浓度范围/(μg/m</w:t>
            </w:r>
            <w:r>
              <w:rPr>
                <w:rFonts w:hint="default" w:ascii="Times New Roman" w:hAnsi="Times New Roman" w:cs="Times New Roman" w:eastAsiaTheme="minorEastAsia"/>
                <w:color w:val="auto"/>
                <w:sz w:val="18"/>
                <w:szCs w:val="18"/>
                <w:vertAlign w:val="superscript"/>
              </w:rPr>
              <w:t>3</w:t>
            </w:r>
            <w:r>
              <w:rPr>
                <w:rFonts w:hint="default" w:ascii="Times New Roman" w:hAnsi="Times New Roman" w:cs="Times New Roman" w:eastAsiaTheme="minorEastAsia"/>
                <w:color w:val="auto"/>
                <w:sz w:val="18"/>
                <w:szCs w:val="18"/>
              </w:rPr>
              <w:t>)</w:t>
            </w:r>
          </w:p>
        </w:tc>
        <w:tc>
          <w:tcPr>
            <w:tcW w:w="1084" w:type="dxa"/>
            <w:vMerge w:val="restart"/>
            <w:tcBorders>
              <w:tl2br w:val="nil"/>
              <w:tr2bl w:val="nil"/>
            </w:tcBorders>
            <w:vAlign w:val="center"/>
          </w:tcPr>
          <w:p w14:paraId="5EDB12A3">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最大浓度占标率/%</w:t>
            </w:r>
          </w:p>
        </w:tc>
        <w:tc>
          <w:tcPr>
            <w:tcW w:w="717" w:type="dxa"/>
            <w:vMerge w:val="restart"/>
            <w:tcBorders>
              <w:tl2br w:val="nil"/>
              <w:tr2bl w:val="nil"/>
            </w:tcBorders>
            <w:vAlign w:val="center"/>
          </w:tcPr>
          <w:p w14:paraId="6BFD9E4E">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超标率/%</w:t>
            </w:r>
          </w:p>
        </w:tc>
        <w:tc>
          <w:tcPr>
            <w:tcW w:w="717" w:type="dxa"/>
            <w:vMerge w:val="restart"/>
            <w:tcBorders>
              <w:tl2br w:val="nil"/>
              <w:tr2bl w:val="nil"/>
            </w:tcBorders>
            <w:vAlign w:val="center"/>
          </w:tcPr>
          <w:p w14:paraId="2101917D">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达标情况</w:t>
            </w:r>
          </w:p>
        </w:tc>
      </w:tr>
      <w:tr w14:paraId="15385E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062" w:type="dxa"/>
            <w:vMerge w:val="continue"/>
            <w:tcBorders>
              <w:tl2br w:val="nil"/>
              <w:tr2bl w:val="nil"/>
            </w:tcBorders>
            <w:vAlign w:val="center"/>
          </w:tcPr>
          <w:p w14:paraId="1DDB1083">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p>
        </w:tc>
        <w:tc>
          <w:tcPr>
            <w:tcW w:w="870" w:type="dxa"/>
            <w:tcBorders>
              <w:tl2br w:val="nil"/>
              <w:tr2bl w:val="nil"/>
            </w:tcBorders>
            <w:vAlign w:val="center"/>
          </w:tcPr>
          <w:p w14:paraId="7AE69E29">
            <w:pPr>
              <w:pStyle w:val="61"/>
              <w:snapToGrid/>
              <w:spacing w:beforeLines="0" w:afterLines="0" w:line="240" w:lineRule="auto"/>
              <w:ind w:left="0" w:leftChars="0" w:firstLine="0" w:firstLineChars="0"/>
              <w:jc w:val="both"/>
              <w:rPr>
                <w:rFonts w:hint="default" w:ascii="Times New Roman" w:hAnsi="Times New Roman" w:cs="Times New Roman" w:eastAsiaTheme="minorEastAsia"/>
                <w:b w:val="0"/>
                <w:bCs/>
                <w:iCs/>
                <w:color w:val="auto"/>
                <w:kern w:val="2"/>
                <w:sz w:val="18"/>
                <w:szCs w:val="18"/>
              </w:rPr>
            </w:pPr>
            <w:r>
              <w:rPr>
                <w:rFonts w:hint="default" w:ascii="Times New Roman" w:hAnsi="Times New Roman" w:cs="Times New Roman" w:eastAsiaTheme="minorEastAsia"/>
                <w:b w:val="0"/>
                <w:bCs/>
                <w:iCs/>
                <w:color w:val="auto"/>
                <w:kern w:val="2"/>
                <w:sz w:val="18"/>
                <w:szCs w:val="18"/>
              </w:rPr>
              <w:t>经度</w:t>
            </w:r>
          </w:p>
        </w:tc>
        <w:tc>
          <w:tcPr>
            <w:tcW w:w="871" w:type="dxa"/>
            <w:tcBorders>
              <w:tl2br w:val="nil"/>
              <w:tr2bl w:val="nil"/>
            </w:tcBorders>
            <w:vAlign w:val="center"/>
          </w:tcPr>
          <w:p w14:paraId="6C7DD6D8">
            <w:pPr>
              <w:pStyle w:val="61"/>
              <w:snapToGrid/>
              <w:spacing w:beforeLines="0" w:afterLines="0" w:line="240" w:lineRule="auto"/>
              <w:ind w:left="0" w:leftChars="0" w:firstLine="0" w:firstLineChars="0"/>
              <w:jc w:val="both"/>
              <w:rPr>
                <w:rFonts w:hint="default" w:ascii="Times New Roman" w:hAnsi="Times New Roman" w:cs="Times New Roman" w:eastAsiaTheme="minorEastAsia"/>
                <w:b w:val="0"/>
                <w:bCs/>
                <w:iCs/>
                <w:color w:val="auto"/>
                <w:kern w:val="2"/>
                <w:sz w:val="18"/>
                <w:szCs w:val="18"/>
              </w:rPr>
            </w:pPr>
            <w:r>
              <w:rPr>
                <w:rFonts w:hint="default" w:ascii="Times New Roman" w:hAnsi="Times New Roman" w:cs="Times New Roman" w:eastAsiaTheme="minorEastAsia"/>
                <w:b w:val="0"/>
                <w:bCs/>
                <w:iCs/>
                <w:color w:val="auto"/>
                <w:kern w:val="2"/>
                <w:sz w:val="18"/>
                <w:szCs w:val="18"/>
              </w:rPr>
              <w:t>纬度</w:t>
            </w:r>
          </w:p>
        </w:tc>
        <w:tc>
          <w:tcPr>
            <w:tcW w:w="961" w:type="dxa"/>
            <w:vMerge w:val="continue"/>
            <w:tcBorders>
              <w:tl2br w:val="nil"/>
              <w:tr2bl w:val="nil"/>
            </w:tcBorders>
            <w:vAlign w:val="center"/>
          </w:tcPr>
          <w:p w14:paraId="2250DC06">
            <w:pPr>
              <w:pStyle w:val="61"/>
              <w:snapToGrid/>
              <w:spacing w:beforeLines="0" w:afterLines="0" w:line="240" w:lineRule="auto"/>
              <w:rPr>
                <w:rFonts w:hint="default" w:ascii="Times New Roman" w:hAnsi="Times New Roman" w:cs="Times New Roman" w:eastAsiaTheme="minorEastAsia"/>
                <w:b w:val="0"/>
                <w:bCs/>
                <w:iCs/>
                <w:color w:val="auto"/>
                <w:kern w:val="2"/>
                <w:sz w:val="18"/>
                <w:szCs w:val="18"/>
              </w:rPr>
            </w:pPr>
          </w:p>
        </w:tc>
        <w:tc>
          <w:tcPr>
            <w:tcW w:w="664" w:type="dxa"/>
            <w:vMerge w:val="continue"/>
            <w:tcBorders>
              <w:tl2br w:val="nil"/>
              <w:tr2bl w:val="nil"/>
            </w:tcBorders>
            <w:vAlign w:val="center"/>
          </w:tcPr>
          <w:p w14:paraId="17B090B7">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p>
        </w:tc>
        <w:tc>
          <w:tcPr>
            <w:tcW w:w="1087" w:type="dxa"/>
            <w:vMerge w:val="continue"/>
            <w:tcBorders>
              <w:tl2br w:val="nil"/>
              <w:tr2bl w:val="nil"/>
            </w:tcBorders>
            <w:vAlign w:val="center"/>
          </w:tcPr>
          <w:p w14:paraId="14D0AEBA">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p>
        </w:tc>
        <w:tc>
          <w:tcPr>
            <w:tcW w:w="1253" w:type="dxa"/>
            <w:vMerge w:val="continue"/>
            <w:tcBorders>
              <w:tl2br w:val="nil"/>
              <w:tr2bl w:val="nil"/>
            </w:tcBorders>
            <w:vAlign w:val="center"/>
          </w:tcPr>
          <w:p w14:paraId="1B38B43C">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p>
        </w:tc>
        <w:tc>
          <w:tcPr>
            <w:tcW w:w="1084" w:type="dxa"/>
            <w:vMerge w:val="continue"/>
            <w:tcBorders>
              <w:tl2br w:val="nil"/>
              <w:tr2bl w:val="nil"/>
            </w:tcBorders>
            <w:vAlign w:val="center"/>
          </w:tcPr>
          <w:p w14:paraId="3B1B391F">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p>
        </w:tc>
        <w:tc>
          <w:tcPr>
            <w:tcW w:w="717" w:type="dxa"/>
            <w:vMerge w:val="continue"/>
            <w:tcBorders>
              <w:tl2br w:val="nil"/>
              <w:tr2bl w:val="nil"/>
            </w:tcBorders>
            <w:vAlign w:val="center"/>
          </w:tcPr>
          <w:p w14:paraId="7AE828BB">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p>
        </w:tc>
        <w:tc>
          <w:tcPr>
            <w:tcW w:w="717" w:type="dxa"/>
            <w:vMerge w:val="continue"/>
            <w:tcBorders>
              <w:tl2br w:val="nil"/>
              <w:tr2bl w:val="nil"/>
            </w:tcBorders>
            <w:vAlign w:val="center"/>
          </w:tcPr>
          <w:p w14:paraId="36763596">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p>
        </w:tc>
      </w:tr>
      <w:tr w14:paraId="14D2BF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l2br w:val="nil"/>
              <w:tr2bl w:val="nil"/>
            </w:tcBorders>
            <w:vAlign w:val="center"/>
          </w:tcPr>
          <w:p w14:paraId="60B2DBDD">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新寨旧址（项目区下风向约900m）</w:t>
            </w:r>
          </w:p>
        </w:tc>
        <w:tc>
          <w:tcPr>
            <w:tcW w:w="870" w:type="dxa"/>
            <w:tcBorders>
              <w:tl2br w:val="nil"/>
              <w:tr2bl w:val="nil"/>
            </w:tcBorders>
            <w:vAlign w:val="center"/>
          </w:tcPr>
          <w:p w14:paraId="304432D5">
            <w:pPr>
              <w:pStyle w:val="61"/>
              <w:snapToGrid/>
              <w:spacing w:beforeLines="0" w:afterLines="0" w:line="240" w:lineRule="auto"/>
              <w:ind w:left="0" w:leftChars="0" w:firstLine="0" w:firstLineChars="0"/>
              <w:jc w:val="both"/>
              <w:rPr>
                <w:rFonts w:hint="default" w:ascii="Times New Roman" w:hAnsi="Times New Roman" w:cs="Times New Roman" w:eastAsiaTheme="minorEastAsia"/>
                <w:b w:val="0"/>
                <w:bCs/>
                <w:iCs/>
                <w:color w:val="auto"/>
                <w:kern w:val="2"/>
                <w:sz w:val="18"/>
                <w:szCs w:val="18"/>
                <w:lang w:val="en-US" w:eastAsia="zh-CN" w:bidi="ar-SA"/>
              </w:rPr>
            </w:pPr>
            <w:r>
              <w:rPr>
                <w:rFonts w:hint="default" w:ascii="Times New Roman" w:hAnsi="Times New Roman" w:cs="Times New Roman" w:eastAsiaTheme="minorEastAsia"/>
                <w:b w:val="0"/>
                <w:bCs/>
                <w:iCs/>
                <w:color w:val="auto"/>
                <w:kern w:val="2"/>
                <w:sz w:val="18"/>
                <w:szCs w:val="18"/>
              </w:rPr>
              <w:t>102.201126</w:t>
            </w:r>
          </w:p>
        </w:tc>
        <w:tc>
          <w:tcPr>
            <w:tcW w:w="871" w:type="dxa"/>
            <w:tcBorders>
              <w:tl2br w:val="nil"/>
              <w:tr2bl w:val="nil"/>
            </w:tcBorders>
            <w:vAlign w:val="center"/>
          </w:tcPr>
          <w:p w14:paraId="45989F2C">
            <w:pPr>
              <w:pStyle w:val="61"/>
              <w:snapToGrid/>
              <w:spacing w:beforeLines="0" w:afterLines="0" w:line="240" w:lineRule="auto"/>
              <w:ind w:left="0" w:leftChars="0" w:firstLine="0" w:firstLineChars="0"/>
              <w:jc w:val="both"/>
              <w:rPr>
                <w:rFonts w:hint="default" w:ascii="Times New Roman" w:hAnsi="Times New Roman" w:cs="Times New Roman" w:eastAsiaTheme="minorEastAsia"/>
                <w:b w:val="0"/>
                <w:bCs/>
                <w:iCs/>
                <w:color w:val="auto"/>
                <w:kern w:val="2"/>
                <w:sz w:val="18"/>
                <w:szCs w:val="18"/>
                <w:lang w:val="en-US" w:eastAsia="zh-CN" w:bidi="ar-SA"/>
              </w:rPr>
            </w:pPr>
            <w:r>
              <w:rPr>
                <w:rFonts w:hint="default" w:ascii="Times New Roman" w:hAnsi="Times New Roman" w:cs="Times New Roman" w:eastAsiaTheme="minorEastAsia"/>
                <w:b w:val="0"/>
                <w:bCs/>
                <w:iCs/>
                <w:color w:val="auto"/>
                <w:kern w:val="2"/>
                <w:sz w:val="18"/>
                <w:szCs w:val="18"/>
              </w:rPr>
              <w:t>23.964510</w:t>
            </w:r>
          </w:p>
        </w:tc>
        <w:tc>
          <w:tcPr>
            <w:tcW w:w="961" w:type="dxa"/>
            <w:tcBorders>
              <w:tl2br w:val="nil"/>
              <w:tr2bl w:val="nil"/>
            </w:tcBorders>
            <w:vAlign w:val="center"/>
          </w:tcPr>
          <w:p w14:paraId="2AA72F50">
            <w:pPr>
              <w:pStyle w:val="61"/>
              <w:snapToGrid/>
              <w:spacing w:beforeLines="0" w:afterLines="0" w:line="240" w:lineRule="auto"/>
              <w:ind w:left="0" w:leftChars="0" w:firstLine="0" w:firstLineChars="0"/>
              <w:jc w:val="both"/>
              <w:rPr>
                <w:rFonts w:hint="default" w:ascii="Times New Roman" w:hAnsi="Times New Roman" w:cs="Times New Roman" w:eastAsiaTheme="minorEastAsia"/>
                <w:b w:val="0"/>
                <w:bCs/>
                <w:iCs/>
                <w:color w:val="auto"/>
                <w:kern w:val="2"/>
                <w:sz w:val="18"/>
                <w:szCs w:val="18"/>
              </w:rPr>
            </w:pPr>
            <w:r>
              <w:rPr>
                <w:rFonts w:hint="default" w:ascii="Times New Roman" w:hAnsi="Times New Roman" w:cs="Times New Roman" w:eastAsiaTheme="minorEastAsia"/>
                <w:b w:val="0"/>
                <w:bCs/>
                <w:iCs/>
                <w:color w:val="auto"/>
                <w:kern w:val="2"/>
                <w:sz w:val="18"/>
                <w:szCs w:val="18"/>
              </w:rPr>
              <w:t>TSP</w:t>
            </w:r>
          </w:p>
        </w:tc>
        <w:tc>
          <w:tcPr>
            <w:tcW w:w="664" w:type="dxa"/>
            <w:tcBorders>
              <w:tl2br w:val="nil"/>
              <w:tr2bl w:val="nil"/>
            </w:tcBorders>
            <w:vAlign w:val="center"/>
          </w:tcPr>
          <w:p w14:paraId="52767896">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24h</w:t>
            </w:r>
          </w:p>
        </w:tc>
        <w:tc>
          <w:tcPr>
            <w:tcW w:w="1087" w:type="dxa"/>
            <w:tcBorders>
              <w:tl2br w:val="nil"/>
              <w:tr2bl w:val="nil"/>
            </w:tcBorders>
            <w:vAlign w:val="center"/>
          </w:tcPr>
          <w:p w14:paraId="25CC8C13">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300</w:t>
            </w:r>
          </w:p>
        </w:tc>
        <w:tc>
          <w:tcPr>
            <w:tcW w:w="1253" w:type="dxa"/>
            <w:tcBorders>
              <w:tl2br w:val="nil"/>
              <w:tr2bl w:val="nil"/>
            </w:tcBorders>
            <w:vAlign w:val="center"/>
          </w:tcPr>
          <w:p w14:paraId="4A5CDB6C">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50~59</w:t>
            </w:r>
          </w:p>
        </w:tc>
        <w:tc>
          <w:tcPr>
            <w:tcW w:w="1084" w:type="dxa"/>
            <w:tcBorders>
              <w:tl2br w:val="nil"/>
              <w:tr2bl w:val="nil"/>
            </w:tcBorders>
            <w:vAlign w:val="center"/>
          </w:tcPr>
          <w:p w14:paraId="21670A79">
            <w:pPr>
              <w:pStyle w:val="17"/>
              <w:adjustRightInd w:val="0"/>
              <w:snapToGrid/>
              <w:spacing w:before="0" w:beforeAutospacing="0" w:after="0" w:afterAutospacing="0" w:line="240" w:lineRule="auto"/>
              <w:ind w:firstLine="0" w:firstLine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19.67</w:t>
            </w:r>
          </w:p>
        </w:tc>
        <w:tc>
          <w:tcPr>
            <w:tcW w:w="717" w:type="dxa"/>
            <w:tcBorders>
              <w:tl2br w:val="nil"/>
              <w:tr2bl w:val="nil"/>
            </w:tcBorders>
            <w:vAlign w:val="center"/>
          </w:tcPr>
          <w:p w14:paraId="5F71AFB5">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717" w:type="dxa"/>
            <w:tcBorders>
              <w:tl2br w:val="nil"/>
              <w:tr2bl w:val="nil"/>
            </w:tcBorders>
            <w:vAlign w:val="center"/>
          </w:tcPr>
          <w:p w14:paraId="7B2C6C33">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达标</w:t>
            </w:r>
          </w:p>
        </w:tc>
      </w:tr>
    </w:tbl>
    <w:p w14:paraId="41A0986F">
      <w:pPr>
        <w:spacing w:line="360" w:lineRule="auto"/>
        <w:ind w:firstLine="49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5、现状评价</w:t>
      </w:r>
    </w:p>
    <w:p w14:paraId="5AA45382">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根据监测结果，</w:t>
      </w:r>
      <w:bookmarkStart w:id="379" w:name="_Hlk69682450"/>
      <w:r>
        <w:rPr>
          <w:rFonts w:hint="default" w:ascii="Times New Roman" w:hAnsi="Times New Roman" w:cs="Times New Roman" w:eastAsiaTheme="minorEastAsia"/>
          <w:bCs/>
          <w:iCs/>
          <w:sz w:val="24"/>
          <w:szCs w:val="24"/>
        </w:rPr>
        <w:t>项目区TSP日均浓度</w:t>
      </w:r>
      <w:r>
        <w:rPr>
          <w:rFonts w:hint="default" w:ascii="Times New Roman" w:hAnsi="Times New Roman" w:cs="Times New Roman" w:eastAsiaTheme="minorEastAsia"/>
          <w:sz w:val="24"/>
          <w:szCs w:val="24"/>
        </w:rPr>
        <w:t>满足《环境空气质量标准》（GB3095-2012）及2018年修改单的二级标准。</w:t>
      </w:r>
    </w:p>
    <w:bookmarkEnd w:id="379"/>
    <w:p w14:paraId="2A7583E3">
      <w:pPr>
        <w:pStyle w:val="6"/>
        <w:bidi w:val="0"/>
        <w:rPr>
          <w:rFonts w:hint="default" w:ascii="Times New Roman" w:hAnsi="Times New Roman" w:cs="Times New Roman"/>
        </w:rPr>
      </w:pPr>
      <w:bookmarkStart w:id="380" w:name="_Toc20960"/>
      <w:bookmarkStart w:id="381" w:name="_Toc165816766"/>
      <w:r>
        <w:rPr>
          <w:rFonts w:hint="default" w:ascii="Times New Roman" w:hAnsi="Times New Roman" w:cs="Times New Roman"/>
          <w:lang w:val="en-US" w:eastAsia="zh-CN"/>
        </w:rPr>
        <w:t>4</w:t>
      </w:r>
      <w:r>
        <w:rPr>
          <w:rFonts w:hint="default" w:ascii="Times New Roman" w:hAnsi="Times New Roman" w:cs="Times New Roman"/>
        </w:rPr>
        <w:t>.2.2地表水环境质量现状调查及评价</w:t>
      </w:r>
      <w:bookmarkEnd w:id="380"/>
      <w:bookmarkEnd w:id="381"/>
    </w:p>
    <w:p w14:paraId="22579AB7">
      <w:pPr>
        <w:pStyle w:val="7"/>
        <w:bidi w:val="0"/>
        <w:rPr>
          <w:rFonts w:hint="default" w:ascii="Times New Roman" w:hAnsi="Times New Roman" w:cs="Times New Roman"/>
        </w:rPr>
      </w:pPr>
      <w:bookmarkStart w:id="382" w:name="_Toc165816767"/>
      <w:r>
        <w:rPr>
          <w:rFonts w:hint="default" w:ascii="Times New Roman" w:hAnsi="Times New Roman" w:cs="Times New Roman"/>
        </w:rPr>
        <w:t>4.2.2.1区域地表水环境质量现状</w:t>
      </w:r>
    </w:p>
    <w:p w14:paraId="5D9E4C1A">
      <w:pPr>
        <w:widowControl w:val="0"/>
        <w:spacing w:line="360" w:lineRule="auto"/>
        <w:ind w:firstLine="490" w:firstLineChars="200"/>
        <w:jc w:val="both"/>
        <w:rPr>
          <w:rFonts w:hint="default" w:ascii="Times New Roman" w:hAnsi="Times New Roman" w:eastAsia="宋体" w:cs="Times New Roman"/>
          <w:color w:val="auto"/>
          <w:kern w:val="2"/>
          <w:sz w:val="24"/>
          <w:szCs w:val="24"/>
          <w:lang w:val="en-US" w:eastAsia="zh-CN" w:bidi="ar-SA"/>
        </w:rPr>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AndChars" w:linePitch="336" w:charSpace="1062"/>
        </w:sectPr>
      </w:pPr>
      <w:r>
        <w:rPr>
          <w:rFonts w:hint="default" w:ascii="Times New Roman" w:hAnsi="Times New Roman" w:eastAsia="宋体" w:cs="Times New Roman"/>
          <w:color w:val="auto"/>
          <w:kern w:val="2"/>
          <w:sz w:val="24"/>
          <w:szCs w:val="24"/>
          <w:lang w:val="en-US" w:eastAsia="zh-CN" w:bidi="ar-SA"/>
        </w:rPr>
        <w:t>项目区最近地表水体为</w:t>
      </w:r>
      <w:r>
        <w:rPr>
          <w:rFonts w:hint="default" w:ascii="Times New Roman" w:hAnsi="Times New Roman" w:cs="Times New Roman"/>
          <w:color w:val="auto"/>
          <w:kern w:val="2"/>
          <w:sz w:val="24"/>
          <w:szCs w:val="24"/>
          <w:lang w:val="en-US" w:eastAsia="zh-CN" w:bidi="ar-SA"/>
        </w:rPr>
        <w:t>西</w:t>
      </w:r>
      <w:r>
        <w:rPr>
          <w:rFonts w:hint="default" w:ascii="Times New Roman" w:hAnsi="Times New Roman" w:eastAsia="宋体" w:cs="Times New Roman"/>
          <w:color w:val="auto"/>
          <w:kern w:val="2"/>
          <w:sz w:val="24"/>
          <w:szCs w:val="24"/>
          <w:lang w:val="en-US" w:eastAsia="zh-CN" w:bidi="ar-SA"/>
        </w:rPr>
        <w:t>侧</w:t>
      </w:r>
      <w:r>
        <w:rPr>
          <w:rFonts w:hint="default" w:ascii="Times New Roman" w:hAnsi="Times New Roman" w:cs="Times New Roman"/>
          <w:color w:val="auto"/>
          <w:kern w:val="2"/>
          <w:sz w:val="24"/>
          <w:szCs w:val="24"/>
          <w:lang w:val="en-US" w:eastAsia="zh-CN" w:bidi="ar-SA"/>
        </w:rPr>
        <w:t>里牌</w:t>
      </w:r>
      <w:r>
        <w:rPr>
          <w:rFonts w:hint="default" w:ascii="Times New Roman" w:hAnsi="Times New Roman" w:eastAsia="宋体" w:cs="Times New Roman"/>
          <w:color w:val="auto"/>
          <w:kern w:val="2"/>
          <w:sz w:val="24"/>
          <w:szCs w:val="24"/>
          <w:lang w:val="en-US" w:eastAsia="zh-CN" w:bidi="ar-SA"/>
        </w:rPr>
        <w:t>河，</w:t>
      </w:r>
      <w:r>
        <w:rPr>
          <w:rFonts w:hint="default" w:ascii="Times New Roman" w:hAnsi="Times New Roman" w:cs="Times New Roman"/>
          <w:color w:val="auto"/>
          <w:kern w:val="2"/>
          <w:sz w:val="24"/>
          <w:szCs w:val="24"/>
          <w:lang w:val="en-US" w:eastAsia="zh-CN" w:bidi="ar-SA"/>
        </w:rPr>
        <w:t>由北侧</w:t>
      </w:r>
      <w:r>
        <w:rPr>
          <w:rFonts w:hint="default" w:ascii="Times New Roman" w:hAnsi="Times New Roman" w:eastAsia="宋体" w:cs="Times New Roman"/>
          <w:color w:val="auto"/>
          <w:kern w:val="2"/>
          <w:sz w:val="24"/>
          <w:szCs w:val="24"/>
          <w:lang w:val="en-US" w:eastAsia="zh-CN" w:bidi="ar-SA"/>
        </w:rPr>
        <w:t>汇入小河底河（龟枢河）。根据云南省水利厅制定的《云南省水功能区划（2014年修订）》（云政复[2014]号），小河底河新平-元江保留区执行《地表水环境质量标准》（GB3838-2002）Ⅲ类水质标准。按照支流不低于干流的原则，</w:t>
      </w:r>
      <w:r>
        <w:rPr>
          <w:rFonts w:hint="default" w:ascii="Times New Roman" w:hAnsi="Times New Roman" w:cs="Times New Roman"/>
          <w:color w:val="auto"/>
          <w:kern w:val="2"/>
          <w:sz w:val="24"/>
          <w:szCs w:val="24"/>
          <w:lang w:val="en-US" w:eastAsia="zh-CN" w:bidi="ar-SA"/>
        </w:rPr>
        <w:t>里牌</w:t>
      </w:r>
      <w:r>
        <w:rPr>
          <w:rFonts w:hint="default" w:ascii="Times New Roman" w:hAnsi="Times New Roman" w:eastAsia="宋体" w:cs="Times New Roman"/>
          <w:color w:val="auto"/>
          <w:kern w:val="2"/>
          <w:sz w:val="24"/>
          <w:szCs w:val="24"/>
          <w:lang w:val="en-US" w:eastAsia="zh-CN" w:bidi="ar-SA"/>
        </w:rPr>
        <w:t>河水质执行《地表水环境质量标准》（GB3838-2002）Ⅲ类水质标准</w:t>
      </w:r>
      <w:r>
        <w:rPr>
          <w:rFonts w:hint="default" w:ascii="Times New Roman" w:hAnsi="Times New Roman" w:cs="Times New Roman"/>
          <w:color w:val="auto"/>
          <w:kern w:val="2"/>
          <w:sz w:val="24"/>
          <w:szCs w:val="24"/>
          <w:lang w:val="en-US" w:eastAsia="zh-CN" w:bidi="ar-SA"/>
        </w:rPr>
        <w:t>。</w:t>
      </w:r>
    </w:p>
    <w:p w14:paraId="50933BB7">
      <w:pPr>
        <w:widowControl w:val="0"/>
        <w:spacing w:line="360" w:lineRule="auto"/>
        <w:ind w:firstLine="49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小河底河化念水库国控断面</w:t>
      </w:r>
      <w:r>
        <w:rPr>
          <w:rFonts w:hint="default" w:ascii="Times New Roman" w:hAnsi="Times New Roman" w:cs="Times New Roman"/>
          <w:color w:val="auto"/>
          <w:kern w:val="2"/>
          <w:sz w:val="24"/>
          <w:szCs w:val="24"/>
          <w:lang w:val="en-US" w:eastAsia="zh-CN" w:bidi="ar-SA"/>
        </w:rPr>
        <w:t>（位于里牌河汇入口下游约5.5km）</w:t>
      </w:r>
      <w:r>
        <w:rPr>
          <w:rFonts w:hint="default" w:ascii="Times New Roman" w:hAnsi="Times New Roman" w:eastAsia="宋体" w:cs="Times New Roman"/>
          <w:color w:val="auto"/>
          <w:kern w:val="2"/>
          <w:sz w:val="24"/>
          <w:szCs w:val="24"/>
          <w:lang w:val="en-US" w:eastAsia="zh-CN" w:bidi="ar-SA"/>
        </w:rPr>
        <w:t>2021年</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2023年监测结果见表</w:t>
      </w:r>
      <w:r>
        <w:rPr>
          <w:rFonts w:hint="default" w:ascii="Times New Roman" w:hAnsi="Times New Roman"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-1。</w:t>
      </w:r>
    </w:p>
    <w:p w14:paraId="6CD44B5B">
      <w:pPr>
        <w:adjustRightInd w:val="0"/>
        <w:snapToGrid w:val="0"/>
        <w:spacing w:beforeLines="0" w:line="360" w:lineRule="auto"/>
        <w:ind w:firstLine="422" w:firstLineChars="200"/>
        <w:jc w:val="center"/>
        <w:rPr>
          <w:rFonts w:hint="default" w:ascii="Times New Roman" w:hAnsi="Times New Roman" w:eastAsia="黑体" w:cs="Times New Roman"/>
          <w:color w:val="auto"/>
          <w:spacing w:val="-2"/>
          <w:kern w:val="2"/>
          <w:sz w:val="21"/>
          <w:szCs w:val="22"/>
          <w:lang w:val="en-US" w:eastAsia="zh-CN"/>
        </w:rPr>
      </w:pPr>
      <w:r>
        <w:rPr>
          <w:rFonts w:hint="default" w:ascii="Times New Roman" w:hAnsi="Times New Roman" w:eastAsia="黑体" w:cs="Times New Roman"/>
          <w:color w:val="auto"/>
          <w:spacing w:val="-2"/>
          <w:kern w:val="2"/>
          <w:sz w:val="21"/>
          <w:szCs w:val="22"/>
          <w:lang w:val="en-US" w:eastAsia="zh-CN"/>
        </w:rPr>
        <w:t>表4.2.2-1   小河底河化念水库2021年～2023年例行监测数据年均值一览表</w:t>
      </w:r>
    </w:p>
    <w:tbl>
      <w:tblPr>
        <w:tblStyle w:val="2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55"/>
        <w:gridCol w:w="731"/>
        <w:gridCol w:w="731"/>
        <w:gridCol w:w="731"/>
        <w:gridCol w:w="731"/>
        <w:gridCol w:w="731"/>
        <w:gridCol w:w="731"/>
        <w:gridCol w:w="731"/>
        <w:gridCol w:w="731"/>
        <w:gridCol w:w="731"/>
        <w:gridCol w:w="731"/>
        <w:gridCol w:w="731"/>
        <w:gridCol w:w="731"/>
        <w:gridCol w:w="731"/>
        <w:gridCol w:w="731"/>
        <w:gridCol w:w="731"/>
        <w:gridCol w:w="731"/>
        <w:gridCol w:w="731"/>
        <w:gridCol w:w="737"/>
      </w:tblGrid>
      <w:tr w14:paraId="67D06A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4" w:hRule="atLeast"/>
          <w:tblHeader/>
        </w:trPr>
        <w:tc>
          <w:tcPr>
            <w:tcW w:w="304" w:type="pct"/>
            <w:vMerge w:val="restart"/>
            <w:tcBorders>
              <w:tl2br w:val="nil"/>
              <w:tr2bl w:val="nil"/>
            </w:tcBorders>
            <w:noWrap/>
            <w:tcMar>
              <w:top w:w="10" w:type="dxa"/>
              <w:left w:w="10" w:type="dxa"/>
              <w:right w:w="10" w:type="dxa"/>
            </w:tcMar>
            <w:vAlign w:val="center"/>
          </w:tcPr>
          <w:p w14:paraId="412FF96B">
            <w:pPr>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时间</w:t>
            </w:r>
          </w:p>
        </w:tc>
        <w:tc>
          <w:tcPr>
            <w:tcW w:w="260" w:type="pct"/>
            <w:tcBorders>
              <w:tl2br w:val="nil"/>
              <w:tr2bl w:val="nil"/>
            </w:tcBorders>
            <w:noWrap/>
            <w:tcMar>
              <w:top w:w="10" w:type="dxa"/>
              <w:left w:w="10" w:type="dxa"/>
              <w:right w:w="10" w:type="dxa"/>
            </w:tcMar>
            <w:vAlign w:val="center"/>
          </w:tcPr>
          <w:p w14:paraId="62C0B89A">
            <w:pPr>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pH值</w:t>
            </w:r>
          </w:p>
        </w:tc>
        <w:tc>
          <w:tcPr>
            <w:tcW w:w="260" w:type="pct"/>
            <w:tcBorders>
              <w:tl2br w:val="nil"/>
              <w:tr2bl w:val="nil"/>
            </w:tcBorders>
            <w:noWrap/>
            <w:tcMar>
              <w:top w:w="10" w:type="dxa"/>
              <w:left w:w="10" w:type="dxa"/>
              <w:right w:w="10" w:type="dxa"/>
            </w:tcMar>
            <w:vAlign w:val="center"/>
          </w:tcPr>
          <w:p w14:paraId="6BD92B0E">
            <w:pPr>
              <w:jc w:val="center"/>
              <w:rPr>
                <w:rFonts w:hint="default" w:ascii="Times New Roman" w:hAnsi="Times New Roman" w:eastAsia="宋体" w:cs="Times New Roman"/>
                <w:color w:val="auto"/>
                <w:kern w:val="2"/>
                <w:sz w:val="18"/>
                <w:szCs w:val="18"/>
                <w:lang w:val="en-US"/>
              </w:rPr>
            </w:pPr>
            <w:r>
              <w:rPr>
                <w:rFonts w:hint="default" w:ascii="Times New Roman" w:hAnsi="Times New Roman" w:eastAsia="宋体" w:cs="Times New Roman"/>
                <w:color w:val="auto"/>
                <w:kern w:val="2"/>
                <w:sz w:val="18"/>
                <w:szCs w:val="18"/>
                <w:lang w:val="en-US" w:eastAsia="zh-CN"/>
              </w:rPr>
              <w:t>DO</w:t>
            </w:r>
          </w:p>
        </w:tc>
        <w:tc>
          <w:tcPr>
            <w:tcW w:w="260" w:type="pct"/>
            <w:tcBorders>
              <w:tl2br w:val="nil"/>
              <w:tr2bl w:val="nil"/>
            </w:tcBorders>
            <w:noWrap/>
            <w:tcMar>
              <w:top w:w="10" w:type="dxa"/>
              <w:left w:w="10" w:type="dxa"/>
              <w:right w:w="10" w:type="dxa"/>
            </w:tcMar>
            <w:vAlign w:val="center"/>
          </w:tcPr>
          <w:p w14:paraId="685F7C22">
            <w:pPr>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高锰酸盐指数</w:t>
            </w:r>
          </w:p>
        </w:tc>
        <w:tc>
          <w:tcPr>
            <w:tcW w:w="260" w:type="pct"/>
            <w:tcBorders>
              <w:tl2br w:val="nil"/>
              <w:tr2bl w:val="nil"/>
            </w:tcBorders>
            <w:noWrap/>
            <w:tcMar>
              <w:top w:w="10" w:type="dxa"/>
              <w:left w:w="10" w:type="dxa"/>
              <w:right w:w="10" w:type="dxa"/>
            </w:tcMar>
            <w:vAlign w:val="center"/>
          </w:tcPr>
          <w:p w14:paraId="4E7262AB">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COD</w:t>
            </w:r>
          </w:p>
        </w:tc>
        <w:tc>
          <w:tcPr>
            <w:tcW w:w="260" w:type="pct"/>
            <w:tcBorders>
              <w:tl2br w:val="nil"/>
              <w:tr2bl w:val="nil"/>
            </w:tcBorders>
            <w:noWrap/>
            <w:tcMar>
              <w:top w:w="10" w:type="dxa"/>
              <w:left w:w="10" w:type="dxa"/>
              <w:right w:w="10" w:type="dxa"/>
            </w:tcMar>
            <w:vAlign w:val="center"/>
          </w:tcPr>
          <w:p w14:paraId="50FF9A7D">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BOD</w:t>
            </w:r>
            <w:r>
              <w:rPr>
                <w:rFonts w:hint="default" w:ascii="Times New Roman" w:hAnsi="Times New Roman" w:eastAsia="宋体" w:cs="Times New Roman"/>
                <w:color w:val="auto"/>
                <w:kern w:val="2"/>
                <w:sz w:val="18"/>
                <w:szCs w:val="18"/>
                <w:vertAlign w:val="subscript"/>
                <w:lang w:val="en-US" w:eastAsia="zh-CN"/>
              </w:rPr>
              <w:t>5</w:t>
            </w:r>
          </w:p>
        </w:tc>
        <w:tc>
          <w:tcPr>
            <w:tcW w:w="260" w:type="pct"/>
            <w:tcBorders>
              <w:tl2br w:val="nil"/>
              <w:tr2bl w:val="nil"/>
            </w:tcBorders>
            <w:noWrap/>
            <w:tcMar>
              <w:top w:w="10" w:type="dxa"/>
              <w:left w:w="10" w:type="dxa"/>
              <w:right w:w="10" w:type="dxa"/>
            </w:tcMar>
            <w:vAlign w:val="center"/>
          </w:tcPr>
          <w:p w14:paraId="02070F5A">
            <w:pPr>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氨氮</w:t>
            </w:r>
          </w:p>
        </w:tc>
        <w:tc>
          <w:tcPr>
            <w:tcW w:w="260" w:type="pct"/>
            <w:tcBorders>
              <w:tl2br w:val="nil"/>
              <w:tr2bl w:val="nil"/>
            </w:tcBorders>
            <w:noWrap/>
            <w:tcMar>
              <w:top w:w="10" w:type="dxa"/>
              <w:left w:w="10" w:type="dxa"/>
              <w:right w:w="10" w:type="dxa"/>
            </w:tcMar>
            <w:vAlign w:val="center"/>
          </w:tcPr>
          <w:p w14:paraId="286F5D09">
            <w:pPr>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总磷</w:t>
            </w:r>
          </w:p>
        </w:tc>
        <w:tc>
          <w:tcPr>
            <w:tcW w:w="260" w:type="pct"/>
            <w:tcBorders>
              <w:tl2br w:val="nil"/>
              <w:tr2bl w:val="nil"/>
            </w:tcBorders>
            <w:noWrap/>
            <w:tcMar>
              <w:top w:w="10" w:type="dxa"/>
              <w:left w:w="10" w:type="dxa"/>
              <w:right w:w="10" w:type="dxa"/>
            </w:tcMar>
            <w:vAlign w:val="center"/>
          </w:tcPr>
          <w:p w14:paraId="1CE1AD89">
            <w:pPr>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铜</w:t>
            </w:r>
          </w:p>
        </w:tc>
        <w:tc>
          <w:tcPr>
            <w:tcW w:w="260" w:type="pct"/>
            <w:tcBorders>
              <w:tl2br w:val="nil"/>
              <w:tr2bl w:val="nil"/>
            </w:tcBorders>
            <w:noWrap/>
            <w:tcMar>
              <w:top w:w="10" w:type="dxa"/>
              <w:left w:w="10" w:type="dxa"/>
              <w:right w:w="10" w:type="dxa"/>
            </w:tcMar>
            <w:vAlign w:val="center"/>
          </w:tcPr>
          <w:p w14:paraId="76C90518">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锌</w:t>
            </w:r>
          </w:p>
        </w:tc>
        <w:tc>
          <w:tcPr>
            <w:tcW w:w="260" w:type="pct"/>
            <w:tcBorders>
              <w:tl2br w:val="nil"/>
              <w:tr2bl w:val="nil"/>
            </w:tcBorders>
            <w:noWrap/>
            <w:tcMar>
              <w:top w:w="10" w:type="dxa"/>
              <w:left w:w="10" w:type="dxa"/>
              <w:right w:w="10" w:type="dxa"/>
            </w:tcMar>
            <w:vAlign w:val="center"/>
          </w:tcPr>
          <w:p w14:paraId="1BACA4AD">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氟化物</w:t>
            </w:r>
          </w:p>
        </w:tc>
        <w:tc>
          <w:tcPr>
            <w:tcW w:w="260" w:type="pct"/>
            <w:tcBorders>
              <w:tl2br w:val="nil"/>
              <w:tr2bl w:val="nil"/>
            </w:tcBorders>
            <w:noWrap/>
            <w:tcMar>
              <w:top w:w="10" w:type="dxa"/>
              <w:left w:w="10" w:type="dxa"/>
              <w:right w:w="10" w:type="dxa"/>
            </w:tcMar>
            <w:vAlign w:val="center"/>
          </w:tcPr>
          <w:p w14:paraId="72A83843">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镉</w:t>
            </w:r>
          </w:p>
        </w:tc>
        <w:tc>
          <w:tcPr>
            <w:tcW w:w="260" w:type="pct"/>
            <w:tcBorders>
              <w:tl2br w:val="nil"/>
              <w:tr2bl w:val="nil"/>
            </w:tcBorders>
            <w:noWrap/>
            <w:tcMar>
              <w:top w:w="10" w:type="dxa"/>
              <w:left w:w="10" w:type="dxa"/>
              <w:right w:w="10" w:type="dxa"/>
            </w:tcMar>
            <w:vAlign w:val="center"/>
          </w:tcPr>
          <w:p w14:paraId="13536352">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六价铬</w:t>
            </w:r>
          </w:p>
        </w:tc>
        <w:tc>
          <w:tcPr>
            <w:tcW w:w="260" w:type="pct"/>
            <w:tcBorders>
              <w:tl2br w:val="nil"/>
              <w:tr2bl w:val="nil"/>
            </w:tcBorders>
            <w:noWrap/>
            <w:tcMar>
              <w:top w:w="10" w:type="dxa"/>
              <w:left w:w="10" w:type="dxa"/>
              <w:right w:w="10" w:type="dxa"/>
            </w:tcMar>
            <w:vAlign w:val="center"/>
          </w:tcPr>
          <w:p w14:paraId="69681D1C">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铅</w:t>
            </w:r>
          </w:p>
        </w:tc>
        <w:tc>
          <w:tcPr>
            <w:tcW w:w="260" w:type="pct"/>
            <w:tcBorders>
              <w:tl2br w:val="nil"/>
              <w:tr2bl w:val="nil"/>
            </w:tcBorders>
            <w:noWrap/>
            <w:tcMar>
              <w:top w:w="10" w:type="dxa"/>
              <w:left w:w="10" w:type="dxa"/>
              <w:right w:w="10" w:type="dxa"/>
            </w:tcMar>
            <w:vAlign w:val="center"/>
          </w:tcPr>
          <w:p w14:paraId="0C025B40">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氰化物</w:t>
            </w:r>
          </w:p>
        </w:tc>
        <w:tc>
          <w:tcPr>
            <w:tcW w:w="260" w:type="pct"/>
            <w:tcBorders>
              <w:tl2br w:val="nil"/>
              <w:tr2bl w:val="nil"/>
            </w:tcBorders>
            <w:noWrap/>
            <w:tcMar>
              <w:top w:w="10" w:type="dxa"/>
              <w:left w:w="10" w:type="dxa"/>
              <w:right w:w="10" w:type="dxa"/>
            </w:tcMar>
            <w:vAlign w:val="center"/>
          </w:tcPr>
          <w:p w14:paraId="63DD2527">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挥发酚</w:t>
            </w:r>
          </w:p>
        </w:tc>
        <w:tc>
          <w:tcPr>
            <w:tcW w:w="260" w:type="pct"/>
            <w:tcBorders>
              <w:tl2br w:val="nil"/>
              <w:tr2bl w:val="nil"/>
            </w:tcBorders>
            <w:noWrap/>
            <w:tcMar>
              <w:top w:w="10" w:type="dxa"/>
              <w:left w:w="10" w:type="dxa"/>
              <w:right w:w="10" w:type="dxa"/>
            </w:tcMar>
            <w:vAlign w:val="center"/>
          </w:tcPr>
          <w:p w14:paraId="5EE1B9DD">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石油类</w:t>
            </w:r>
          </w:p>
        </w:tc>
        <w:tc>
          <w:tcPr>
            <w:tcW w:w="260" w:type="pct"/>
            <w:tcBorders>
              <w:tl2br w:val="nil"/>
              <w:tr2bl w:val="nil"/>
            </w:tcBorders>
            <w:noWrap/>
            <w:tcMar>
              <w:top w:w="10" w:type="dxa"/>
              <w:left w:w="10" w:type="dxa"/>
              <w:right w:w="10" w:type="dxa"/>
            </w:tcMar>
            <w:vAlign w:val="center"/>
          </w:tcPr>
          <w:p w14:paraId="7022A8DF">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阴离子表面活性剂</w:t>
            </w:r>
          </w:p>
        </w:tc>
        <w:tc>
          <w:tcPr>
            <w:tcW w:w="262" w:type="pct"/>
            <w:tcBorders>
              <w:tl2br w:val="nil"/>
              <w:tr2bl w:val="nil"/>
            </w:tcBorders>
            <w:noWrap/>
            <w:tcMar>
              <w:top w:w="10" w:type="dxa"/>
              <w:left w:w="10" w:type="dxa"/>
              <w:right w:w="10" w:type="dxa"/>
            </w:tcMar>
            <w:vAlign w:val="center"/>
          </w:tcPr>
          <w:p w14:paraId="3B5E996D">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硫化物</w:t>
            </w:r>
          </w:p>
        </w:tc>
      </w:tr>
      <w:tr w14:paraId="6FC74A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tblHeader/>
        </w:trPr>
        <w:tc>
          <w:tcPr>
            <w:tcW w:w="304" w:type="pct"/>
            <w:vMerge w:val="continue"/>
            <w:tcBorders>
              <w:tl2br w:val="nil"/>
              <w:tr2bl w:val="nil"/>
            </w:tcBorders>
            <w:noWrap/>
            <w:tcMar>
              <w:top w:w="10" w:type="dxa"/>
              <w:left w:w="10" w:type="dxa"/>
              <w:right w:w="10" w:type="dxa"/>
            </w:tcMar>
            <w:vAlign w:val="center"/>
          </w:tcPr>
          <w:p w14:paraId="3214C66D">
            <w:pPr>
              <w:jc w:val="center"/>
              <w:rPr>
                <w:rFonts w:hint="default" w:ascii="Times New Roman" w:hAnsi="Times New Roman" w:eastAsia="宋体" w:cs="Times New Roman"/>
                <w:color w:val="auto"/>
                <w:kern w:val="2"/>
                <w:sz w:val="18"/>
                <w:szCs w:val="18"/>
              </w:rPr>
            </w:pPr>
          </w:p>
        </w:tc>
        <w:tc>
          <w:tcPr>
            <w:tcW w:w="260" w:type="pct"/>
            <w:tcBorders>
              <w:tl2br w:val="nil"/>
              <w:tr2bl w:val="nil"/>
            </w:tcBorders>
            <w:noWrap/>
            <w:tcMar>
              <w:top w:w="10" w:type="dxa"/>
              <w:left w:w="10" w:type="dxa"/>
              <w:right w:w="10" w:type="dxa"/>
            </w:tcMar>
            <w:vAlign w:val="center"/>
          </w:tcPr>
          <w:p w14:paraId="0B348606">
            <w:pPr>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无量纲</w:t>
            </w:r>
          </w:p>
        </w:tc>
        <w:tc>
          <w:tcPr>
            <w:tcW w:w="260" w:type="pct"/>
            <w:tcBorders>
              <w:tl2br w:val="nil"/>
              <w:tr2bl w:val="nil"/>
            </w:tcBorders>
            <w:noWrap/>
            <w:tcMar>
              <w:top w:w="10" w:type="dxa"/>
              <w:left w:w="10" w:type="dxa"/>
              <w:right w:w="10" w:type="dxa"/>
            </w:tcMar>
            <w:vAlign w:val="center"/>
          </w:tcPr>
          <w:p w14:paraId="53E3C16A">
            <w:pPr>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44B95813">
            <w:pPr>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48C5C2DA">
            <w:pPr>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7B3C7FF4">
            <w:pPr>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6B12302C">
            <w:pPr>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05E58EFE">
            <w:pPr>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6289D30F">
            <w:pPr>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359EF440">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31B49EAA">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0F6B1A24">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7BD2E0FB">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246C5842">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7F7DB0C9">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30ED00CE">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2DB33375">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mg/L</w:t>
            </w:r>
          </w:p>
        </w:tc>
        <w:tc>
          <w:tcPr>
            <w:tcW w:w="260" w:type="pct"/>
            <w:tcBorders>
              <w:tl2br w:val="nil"/>
              <w:tr2bl w:val="nil"/>
            </w:tcBorders>
            <w:noWrap/>
            <w:tcMar>
              <w:top w:w="10" w:type="dxa"/>
              <w:left w:w="10" w:type="dxa"/>
              <w:right w:w="10" w:type="dxa"/>
            </w:tcMar>
            <w:vAlign w:val="center"/>
          </w:tcPr>
          <w:p w14:paraId="0721B4DD">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mg/L</w:t>
            </w:r>
          </w:p>
        </w:tc>
        <w:tc>
          <w:tcPr>
            <w:tcW w:w="262" w:type="pct"/>
            <w:tcBorders>
              <w:tl2br w:val="nil"/>
              <w:tr2bl w:val="nil"/>
            </w:tcBorders>
            <w:noWrap/>
            <w:tcMar>
              <w:top w:w="10" w:type="dxa"/>
              <w:left w:w="10" w:type="dxa"/>
              <w:right w:w="10" w:type="dxa"/>
            </w:tcMar>
            <w:vAlign w:val="center"/>
          </w:tcPr>
          <w:p w14:paraId="31AB0EF5">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mg/L</w:t>
            </w:r>
          </w:p>
        </w:tc>
      </w:tr>
      <w:tr w14:paraId="16D240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trPr>
        <w:tc>
          <w:tcPr>
            <w:tcW w:w="304" w:type="pct"/>
            <w:tcBorders>
              <w:tl2br w:val="nil"/>
              <w:tr2bl w:val="nil"/>
            </w:tcBorders>
            <w:noWrap/>
            <w:tcMar>
              <w:top w:w="10" w:type="dxa"/>
              <w:left w:w="10" w:type="dxa"/>
              <w:right w:w="10" w:type="dxa"/>
            </w:tcMar>
            <w:vAlign w:val="center"/>
          </w:tcPr>
          <w:p w14:paraId="5EB8EAC4">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2021</w:t>
            </w:r>
          </w:p>
        </w:tc>
        <w:tc>
          <w:tcPr>
            <w:tcW w:w="260" w:type="pct"/>
            <w:tcBorders>
              <w:tl2br w:val="nil"/>
              <w:tr2bl w:val="nil"/>
            </w:tcBorders>
            <w:noWrap/>
            <w:tcMar>
              <w:top w:w="10" w:type="dxa"/>
              <w:left w:w="10" w:type="dxa"/>
              <w:right w:w="10" w:type="dxa"/>
            </w:tcMar>
            <w:vAlign w:val="center"/>
          </w:tcPr>
          <w:p w14:paraId="10B54928">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8.25</w:t>
            </w:r>
          </w:p>
        </w:tc>
        <w:tc>
          <w:tcPr>
            <w:tcW w:w="260" w:type="pct"/>
            <w:tcBorders>
              <w:tl2br w:val="nil"/>
              <w:tr2bl w:val="nil"/>
            </w:tcBorders>
            <w:noWrap/>
            <w:tcMar>
              <w:top w:w="10" w:type="dxa"/>
              <w:left w:w="10" w:type="dxa"/>
              <w:right w:w="10" w:type="dxa"/>
            </w:tcMar>
            <w:vAlign w:val="center"/>
          </w:tcPr>
          <w:p w14:paraId="127CD7C8">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8.38</w:t>
            </w:r>
          </w:p>
        </w:tc>
        <w:tc>
          <w:tcPr>
            <w:tcW w:w="260" w:type="pct"/>
            <w:tcBorders>
              <w:tl2br w:val="nil"/>
              <w:tr2bl w:val="nil"/>
            </w:tcBorders>
            <w:noWrap/>
            <w:tcMar>
              <w:top w:w="10" w:type="dxa"/>
              <w:left w:w="10" w:type="dxa"/>
              <w:right w:w="10" w:type="dxa"/>
            </w:tcMar>
            <w:vAlign w:val="center"/>
          </w:tcPr>
          <w:p w14:paraId="085E11F1">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2.68</w:t>
            </w:r>
          </w:p>
        </w:tc>
        <w:tc>
          <w:tcPr>
            <w:tcW w:w="260" w:type="pct"/>
            <w:tcBorders>
              <w:tl2br w:val="nil"/>
              <w:tr2bl w:val="nil"/>
            </w:tcBorders>
            <w:noWrap/>
            <w:tcMar>
              <w:top w:w="10" w:type="dxa"/>
              <w:left w:w="10" w:type="dxa"/>
              <w:right w:w="10" w:type="dxa"/>
            </w:tcMar>
            <w:vAlign w:val="center"/>
          </w:tcPr>
          <w:p w14:paraId="5A65E484">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10.83</w:t>
            </w:r>
          </w:p>
        </w:tc>
        <w:tc>
          <w:tcPr>
            <w:tcW w:w="260" w:type="pct"/>
            <w:tcBorders>
              <w:tl2br w:val="nil"/>
              <w:tr2bl w:val="nil"/>
            </w:tcBorders>
            <w:noWrap/>
            <w:tcMar>
              <w:top w:w="10" w:type="dxa"/>
              <w:left w:w="10" w:type="dxa"/>
              <w:right w:w="10" w:type="dxa"/>
            </w:tcMar>
            <w:vAlign w:val="center"/>
          </w:tcPr>
          <w:p w14:paraId="32D3A93E">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1.16</w:t>
            </w:r>
          </w:p>
        </w:tc>
        <w:tc>
          <w:tcPr>
            <w:tcW w:w="260" w:type="pct"/>
            <w:tcBorders>
              <w:tl2br w:val="nil"/>
              <w:tr2bl w:val="nil"/>
            </w:tcBorders>
            <w:noWrap/>
            <w:tcMar>
              <w:top w:w="10" w:type="dxa"/>
              <w:left w:w="10" w:type="dxa"/>
              <w:right w:w="10" w:type="dxa"/>
            </w:tcMar>
            <w:vAlign w:val="center"/>
          </w:tcPr>
          <w:p w14:paraId="1DD8B6A0">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0.23</w:t>
            </w:r>
          </w:p>
        </w:tc>
        <w:tc>
          <w:tcPr>
            <w:tcW w:w="260" w:type="pct"/>
            <w:tcBorders>
              <w:tl2br w:val="nil"/>
              <w:tr2bl w:val="nil"/>
            </w:tcBorders>
            <w:noWrap/>
            <w:tcMar>
              <w:top w:w="10" w:type="dxa"/>
              <w:left w:w="10" w:type="dxa"/>
              <w:right w:w="10" w:type="dxa"/>
            </w:tcMar>
            <w:vAlign w:val="center"/>
          </w:tcPr>
          <w:p w14:paraId="2E70FB51">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0.06</w:t>
            </w:r>
          </w:p>
        </w:tc>
        <w:tc>
          <w:tcPr>
            <w:tcW w:w="260" w:type="pct"/>
            <w:tcBorders>
              <w:tl2br w:val="nil"/>
              <w:tr2bl w:val="nil"/>
            </w:tcBorders>
            <w:noWrap/>
            <w:tcMar>
              <w:top w:w="10" w:type="dxa"/>
              <w:left w:w="10" w:type="dxa"/>
              <w:right w:w="10" w:type="dxa"/>
            </w:tcMar>
            <w:vAlign w:val="center"/>
          </w:tcPr>
          <w:p w14:paraId="0CA03942">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0.003</w:t>
            </w:r>
          </w:p>
        </w:tc>
        <w:tc>
          <w:tcPr>
            <w:tcW w:w="260" w:type="pct"/>
            <w:tcBorders>
              <w:tl2br w:val="nil"/>
              <w:tr2bl w:val="nil"/>
            </w:tcBorders>
            <w:noWrap/>
            <w:tcMar>
              <w:top w:w="10" w:type="dxa"/>
              <w:left w:w="10" w:type="dxa"/>
              <w:right w:w="10" w:type="dxa"/>
            </w:tcMar>
            <w:vAlign w:val="center"/>
          </w:tcPr>
          <w:p w14:paraId="54907D5D">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0.0088</w:t>
            </w:r>
          </w:p>
        </w:tc>
        <w:tc>
          <w:tcPr>
            <w:tcW w:w="260" w:type="pct"/>
            <w:tcBorders>
              <w:tl2br w:val="nil"/>
              <w:tr2bl w:val="nil"/>
            </w:tcBorders>
            <w:noWrap/>
            <w:tcMar>
              <w:top w:w="10" w:type="dxa"/>
              <w:left w:w="10" w:type="dxa"/>
              <w:right w:w="10" w:type="dxa"/>
            </w:tcMar>
            <w:vAlign w:val="center"/>
          </w:tcPr>
          <w:p w14:paraId="5F8D249D">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0.48</w:t>
            </w:r>
          </w:p>
        </w:tc>
        <w:tc>
          <w:tcPr>
            <w:tcW w:w="260" w:type="pct"/>
            <w:tcBorders>
              <w:tl2br w:val="nil"/>
              <w:tr2bl w:val="nil"/>
            </w:tcBorders>
            <w:noWrap/>
            <w:tcMar>
              <w:top w:w="10" w:type="dxa"/>
              <w:left w:w="10" w:type="dxa"/>
              <w:right w:w="10" w:type="dxa"/>
            </w:tcMar>
            <w:vAlign w:val="center"/>
          </w:tcPr>
          <w:p w14:paraId="5E6D853B">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0.00006</w:t>
            </w:r>
          </w:p>
        </w:tc>
        <w:tc>
          <w:tcPr>
            <w:tcW w:w="260" w:type="pct"/>
            <w:tcBorders>
              <w:tl2br w:val="nil"/>
              <w:tr2bl w:val="nil"/>
            </w:tcBorders>
            <w:noWrap/>
            <w:tcMar>
              <w:top w:w="10" w:type="dxa"/>
              <w:left w:w="10" w:type="dxa"/>
              <w:right w:w="10" w:type="dxa"/>
            </w:tcMar>
            <w:vAlign w:val="center"/>
          </w:tcPr>
          <w:p w14:paraId="438131AF">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0.002</w:t>
            </w:r>
          </w:p>
        </w:tc>
        <w:tc>
          <w:tcPr>
            <w:tcW w:w="260" w:type="pct"/>
            <w:tcBorders>
              <w:tl2br w:val="nil"/>
              <w:tr2bl w:val="nil"/>
            </w:tcBorders>
            <w:noWrap/>
            <w:tcMar>
              <w:top w:w="10" w:type="dxa"/>
              <w:left w:w="10" w:type="dxa"/>
              <w:right w:w="10" w:type="dxa"/>
            </w:tcMar>
            <w:vAlign w:val="center"/>
          </w:tcPr>
          <w:p w14:paraId="12D32C92">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0.00167</w:t>
            </w:r>
          </w:p>
        </w:tc>
        <w:tc>
          <w:tcPr>
            <w:tcW w:w="260" w:type="pct"/>
            <w:tcBorders>
              <w:tl2br w:val="nil"/>
              <w:tr2bl w:val="nil"/>
            </w:tcBorders>
            <w:noWrap/>
            <w:tcMar>
              <w:top w:w="10" w:type="dxa"/>
              <w:left w:w="10" w:type="dxa"/>
              <w:right w:w="10" w:type="dxa"/>
            </w:tcMar>
            <w:vAlign w:val="center"/>
          </w:tcPr>
          <w:p w14:paraId="3F418EB8">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0.48</w:t>
            </w:r>
          </w:p>
        </w:tc>
        <w:tc>
          <w:tcPr>
            <w:tcW w:w="260" w:type="pct"/>
            <w:tcBorders>
              <w:tl2br w:val="nil"/>
              <w:tr2bl w:val="nil"/>
            </w:tcBorders>
            <w:noWrap/>
            <w:tcMar>
              <w:top w:w="10" w:type="dxa"/>
              <w:left w:w="10" w:type="dxa"/>
              <w:right w:w="10" w:type="dxa"/>
            </w:tcMar>
            <w:vAlign w:val="center"/>
          </w:tcPr>
          <w:p w14:paraId="44A568F7">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0.0004</w:t>
            </w:r>
          </w:p>
        </w:tc>
        <w:tc>
          <w:tcPr>
            <w:tcW w:w="260" w:type="pct"/>
            <w:tcBorders>
              <w:tl2br w:val="nil"/>
              <w:tr2bl w:val="nil"/>
            </w:tcBorders>
            <w:noWrap/>
            <w:tcMar>
              <w:top w:w="10" w:type="dxa"/>
              <w:left w:w="10" w:type="dxa"/>
              <w:right w:w="10" w:type="dxa"/>
            </w:tcMar>
            <w:vAlign w:val="center"/>
          </w:tcPr>
          <w:p w14:paraId="3BFEE566">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0.01</w:t>
            </w:r>
          </w:p>
        </w:tc>
        <w:tc>
          <w:tcPr>
            <w:tcW w:w="260" w:type="pct"/>
            <w:tcBorders>
              <w:tl2br w:val="nil"/>
              <w:tr2bl w:val="nil"/>
            </w:tcBorders>
            <w:noWrap/>
            <w:tcMar>
              <w:top w:w="10" w:type="dxa"/>
              <w:left w:w="10" w:type="dxa"/>
              <w:right w:w="10" w:type="dxa"/>
            </w:tcMar>
            <w:vAlign w:val="center"/>
          </w:tcPr>
          <w:p w14:paraId="28F71F82">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0.05</w:t>
            </w:r>
          </w:p>
        </w:tc>
        <w:tc>
          <w:tcPr>
            <w:tcW w:w="262" w:type="pct"/>
            <w:tcBorders>
              <w:tl2br w:val="nil"/>
              <w:tr2bl w:val="nil"/>
            </w:tcBorders>
            <w:noWrap/>
            <w:tcMar>
              <w:top w:w="10" w:type="dxa"/>
              <w:left w:w="10" w:type="dxa"/>
              <w:right w:w="10" w:type="dxa"/>
            </w:tcMar>
            <w:vAlign w:val="center"/>
          </w:tcPr>
          <w:p w14:paraId="65174F38">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0.002</w:t>
            </w:r>
          </w:p>
        </w:tc>
      </w:tr>
      <w:tr w14:paraId="59CEB5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04" w:type="pct"/>
            <w:tcBorders>
              <w:tl2br w:val="nil"/>
              <w:tr2bl w:val="nil"/>
            </w:tcBorders>
            <w:noWrap/>
            <w:tcMar>
              <w:top w:w="10" w:type="dxa"/>
              <w:left w:w="10" w:type="dxa"/>
              <w:right w:w="10" w:type="dxa"/>
            </w:tcMar>
            <w:vAlign w:val="center"/>
          </w:tcPr>
          <w:p w14:paraId="31C342DB">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2022</w:t>
            </w:r>
          </w:p>
        </w:tc>
        <w:tc>
          <w:tcPr>
            <w:tcW w:w="260" w:type="pct"/>
            <w:tcBorders>
              <w:tl2br w:val="nil"/>
              <w:tr2bl w:val="nil"/>
            </w:tcBorders>
            <w:noWrap/>
            <w:tcMar>
              <w:top w:w="10" w:type="dxa"/>
              <w:left w:w="10" w:type="dxa"/>
              <w:right w:w="10" w:type="dxa"/>
            </w:tcMar>
            <w:vAlign w:val="center"/>
          </w:tcPr>
          <w:p w14:paraId="1F46C0E0">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8.27</w:t>
            </w:r>
          </w:p>
        </w:tc>
        <w:tc>
          <w:tcPr>
            <w:tcW w:w="260" w:type="pct"/>
            <w:tcBorders>
              <w:tl2br w:val="nil"/>
              <w:tr2bl w:val="nil"/>
            </w:tcBorders>
            <w:noWrap/>
            <w:tcMar>
              <w:top w:w="10" w:type="dxa"/>
              <w:left w:w="10" w:type="dxa"/>
              <w:right w:w="10" w:type="dxa"/>
            </w:tcMar>
            <w:vAlign w:val="center"/>
          </w:tcPr>
          <w:p w14:paraId="0DAC2392">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7.06</w:t>
            </w:r>
          </w:p>
        </w:tc>
        <w:tc>
          <w:tcPr>
            <w:tcW w:w="260" w:type="pct"/>
            <w:tcBorders>
              <w:tl2br w:val="nil"/>
              <w:tr2bl w:val="nil"/>
            </w:tcBorders>
            <w:noWrap/>
            <w:tcMar>
              <w:top w:w="10" w:type="dxa"/>
              <w:left w:w="10" w:type="dxa"/>
              <w:right w:w="10" w:type="dxa"/>
            </w:tcMar>
            <w:vAlign w:val="center"/>
          </w:tcPr>
          <w:p w14:paraId="2A72EE3E">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4.24</w:t>
            </w:r>
          </w:p>
        </w:tc>
        <w:tc>
          <w:tcPr>
            <w:tcW w:w="260" w:type="pct"/>
            <w:tcBorders>
              <w:tl2br w:val="nil"/>
              <w:tr2bl w:val="nil"/>
            </w:tcBorders>
            <w:noWrap/>
            <w:tcMar>
              <w:top w:w="10" w:type="dxa"/>
              <w:left w:w="10" w:type="dxa"/>
              <w:right w:w="10" w:type="dxa"/>
            </w:tcMar>
            <w:vAlign w:val="center"/>
          </w:tcPr>
          <w:p w14:paraId="0B92C1B0">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12.25</w:t>
            </w:r>
          </w:p>
        </w:tc>
        <w:tc>
          <w:tcPr>
            <w:tcW w:w="260" w:type="pct"/>
            <w:tcBorders>
              <w:tl2br w:val="nil"/>
              <w:tr2bl w:val="nil"/>
            </w:tcBorders>
            <w:noWrap/>
            <w:tcMar>
              <w:top w:w="10" w:type="dxa"/>
              <w:left w:w="10" w:type="dxa"/>
              <w:right w:w="10" w:type="dxa"/>
            </w:tcMar>
            <w:vAlign w:val="center"/>
          </w:tcPr>
          <w:p w14:paraId="0AFEE82F">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1.73</w:t>
            </w:r>
          </w:p>
        </w:tc>
        <w:tc>
          <w:tcPr>
            <w:tcW w:w="260" w:type="pct"/>
            <w:tcBorders>
              <w:tl2br w:val="nil"/>
              <w:tr2bl w:val="nil"/>
            </w:tcBorders>
            <w:noWrap/>
            <w:tcMar>
              <w:top w:w="10" w:type="dxa"/>
              <w:left w:w="10" w:type="dxa"/>
              <w:right w:w="10" w:type="dxa"/>
            </w:tcMar>
            <w:vAlign w:val="center"/>
          </w:tcPr>
          <w:p w14:paraId="5D0E7E78">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0.24</w:t>
            </w:r>
          </w:p>
        </w:tc>
        <w:tc>
          <w:tcPr>
            <w:tcW w:w="260" w:type="pct"/>
            <w:tcBorders>
              <w:tl2br w:val="nil"/>
              <w:tr2bl w:val="nil"/>
            </w:tcBorders>
            <w:noWrap/>
            <w:tcMar>
              <w:top w:w="10" w:type="dxa"/>
              <w:left w:w="10" w:type="dxa"/>
              <w:right w:w="10" w:type="dxa"/>
            </w:tcMar>
            <w:vAlign w:val="center"/>
          </w:tcPr>
          <w:p w14:paraId="18351EAA">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0.12</w:t>
            </w:r>
          </w:p>
        </w:tc>
        <w:tc>
          <w:tcPr>
            <w:tcW w:w="260" w:type="pct"/>
            <w:tcBorders>
              <w:tl2br w:val="nil"/>
              <w:tr2bl w:val="nil"/>
            </w:tcBorders>
            <w:noWrap/>
            <w:tcMar>
              <w:top w:w="10" w:type="dxa"/>
              <w:left w:w="10" w:type="dxa"/>
              <w:right w:w="10" w:type="dxa"/>
            </w:tcMar>
            <w:vAlign w:val="center"/>
          </w:tcPr>
          <w:p w14:paraId="7C03436F">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0.0025</w:t>
            </w:r>
          </w:p>
        </w:tc>
        <w:tc>
          <w:tcPr>
            <w:tcW w:w="260" w:type="pct"/>
            <w:tcBorders>
              <w:tl2br w:val="nil"/>
              <w:tr2bl w:val="nil"/>
            </w:tcBorders>
            <w:noWrap/>
            <w:tcMar>
              <w:top w:w="10" w:type="dxa"/>
              <w:left w:w="10" w:type="dxa"/>
              <w:right w:w="10" w:type="dxa"/>
            </w:tcMar>
            <w:vAlign w:val="center"/>
          </w:tcPr>
          <w:p w14:paraId="39619D28">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0.0023</w:t>
            </w:r>
          </w:p>
        </w:tc>
        <w:tc>
          <w:tcPr>
            <w:tcW w:w="260" w:type="pct"/>
            <w:tcBorders>
              <w:tl2br w:val="nil"/>
              <w:tr2bl w:val="nil"/>
            </w:tcBorders>
            <w:noWrap/>
            <w:tcMar>
              <w:top w:w="10" w:type="dxa"/>
              <w:left w:w="10" w:type="dxa"/>
              <w:right w:w="10" w:type="dxa"/>
            </w:tcMar>
            <w:vAlign w:val="center"/>
          </w:tcPr>
          <w:p w14:paraId="197697EA">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0.38</w:t>
            </w:r>
          </w:p>
        </w:tc>
        <w:tc>
          <w:tcPr>
            <w:tcW w:w="260" w:type="pct"/>
            <w:tcBorders>
              <w:tl2br w:val="nil"/>
              <w:tr2bl w:val="nil"/>
            </w:tcBorders>
            <w:noWrap/>
            <w:tcMar>
              <w:top w:w="10" w:type="dxa"/>
              <w:left w:w="10" w:type="dxa"/>
              <w:right w:w="10" w:type="dxa"/>
            </w:tcMar>
            <w:vAlign w:val="center"/>
          </w:tcPr>
          <w:p w14:paraId="0AEF2546">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0.00005</w:t>
            </w:r>
          </w:p>
        </w:tc>
        <w:tc>
          <w:tcPr>
            <w:tcW w:w="260" w:type="pct"/>
            <w:tcBorders>
              <w:tl2br w:val="nil"/>
              <w:tr2bl w:val="nil"/>
            </w:tcBorders>
            <w:noWrap/>
            <w:tcMar>
              <w:top w:w="10" w:type="dxa"/>
              <w:left w:w="10" w:type="dxa"/>
              <w:right w:w="10" w:type="dxa"/>
            </w:tcMar>
            <w:vAlign w:val="center"/>
          </w:tcPr>
          <w:p w14:paraId="7248D6B6">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0.002</w:t>
            </w:r>
          </w:p>
        </w:tc>
        <w:tc>
          <w:tcPr>
            <w:tcW w:w="260" w:type="pct"/>
            <w:tcBorders>
              <w:tl2br w:val="nil"/>
              <w:tr2bl w:val="nil"/>
            </w:tcBorders>
            <w:noWrap/>
            <w:tcMar>
              <w:top w:w="10" w:type="dxa"/>
              <w:left w:w="10" w:type="dxa"/>
              <w:right w:w="10" w:type="dxa"/>
            </w:tcMar>
            <w:vAlign w:val="center"/>
          </w:tcPr>
          <w:p w14:paraId="2562A4A8">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0.00052</w:t>
            </w:r>
          </w:p>
        </w:tc>
        <w:tc>
          <w:tcPr>
            <w:tcW w:w="260" w:type="pct"/>
            <w:tcBorders>
              <w:tl2br w:val="nil"/>
              <w:tr2bl w:val="nil"/>
            </w:tcBorders>
            <w:noWrap/>
            <w:tcMar>
              <w:top w:w="10" w:type="dxa"/>
              <w:left w:w="10" w:type="dxa"/>
              <w:right w:w="10" w:type="dxa"/>
            </w:tcMar>
            <w:vAlign w:val="center"/>
          </w:tcPr>
          <w:p w14:paraId="20F5B94B">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0.0015</w:t>
            </w:r>
          </w:p>
        </w:tc>
        <w:tc>
          <w:tcPr>
            <w:tcW w:w="260" w:type="pct"/>
            <w:tcBorders>
              <w:tl2br w:val="nil"/>
              <w:tr2bl w:val="nil"/>
            </w:tcBorders>
            <w:noWrap/>
            <w:tcMar>
              <w:top w:w="10" w:type="dxa"/>
              <w:left w:w="10" w:type="dxa"/>
              <w:right w:w="10" w:type="dxa"/>
            </w:tcMar>
            <w:vAlign w:val="center"/>
          </w:tcPr>
          <w:p w14:paraId="25647083">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0.0006</w:t>
            </w:r>
          </w:p>
        </w:tc>
        <w:tc>
          <w:tcPr>
            <w:tcW w:w="260" w:type="pct"/>
            <w:tcBorders>
              <w:tl2br w:val="nil"/>
              <w:tr2bl w:val="nil"/>
            </w:tcBorders>
            <w:noWrap/>
            <w:tcMar>
              <w:top w:w="10" w:type="dxa"/>
              <w:left w:w="10" w:type="dxa"/>
              <w:right w:w="10" w:type="dxa"/>
            </w:tcMar>
            <w:vAlign w:val="center"/>
          </w:tcPr>
          <w:p w14:paraId="1F3AF699">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0.0125</w:t>
            </w:r>
          </w:p>
        </w:tc>
        <w:tc>
          <w:tcPr>
            <w:tcW w:w="260" w:type="pct"/>
            <w:tcBorders>
              <w:tl2br w:val="nil"/>
              <w:tr2bl w:val="nil"/>
            </w:tcBorders>
            <w:noWrap/>
            <w:tcMar>
              <w:top w:w="10" w:type="dxa"/>
              <w:left w:w="10" w:type="dxa"/>
              <w:right w:w="10" w:type="dxa"/>
            </w:tcMar>
            <w:vAlign w:val="center"/>
          </w:tcPr>
          <w:p w14:paraId="04344AD5">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0.07</w:t>
            </w:r>
          </w:p>
        </w:tc>
        <w:tc>
          <w:tcPr>
            <w:tcW w:w="262" w:type="pct"/>
            <w:tcBorders>
              <w:tl2br w:val="nil"/>
              <w:tr2bl w:val="nil"/>
            </w:tcBorders>
            <w:noWrap/>
            <w:tcMar>
              <w:top w:w="10" w:type="dxa"/>
              <w:left w:w="10" w:type="dxa"/>
              <w:right w:w="10" w:type="dxa"/>
            </w:tcMar>
            <w:vAlign w:val="center"/>
          </w:tcPr>
          <w:p w14:paraId="3B12F2A0">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0.004</w:t>
            </w:r>
          </w:p>
        </w:tc>
      </w:tr>
      <w:tr w14:paraId="51E3C7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trPr>
        <w:tc>
          <w:tcPr>
            <w:tcW w:w="304" w:type="pct"/>
            <w:tcBorders>
              <w:tl2br w:val="nil"/>
              <w:tr2bl w:val="nil"/>
            </w:tcBorders>
            <w:noWrap/>
            <w:tcMar>
              <w:top w:w="10" w:type="dxa"/>
              <w:left w:w="10" w:type="dxa"/>
              <w:right w:w="10" w:type="dxa"/>
            </w:tcMar>
            <w:vAlign w:val="center"/>
          </w:tcPr>
          <w:p w14:paraId="069697B2">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2023</w:t>
            </w:r>
          </w:p>
        </w:tc>
        <w:tc>
          <w:tcPr>
            <w:tcW w:w="260" w:type="pct"/>
            <w:tcBorders>
              <w:tl2br w:val="nil"/>
              <w:tr2bl w:val="nil"/>
            </w:tcBorders>
            <w:noWrap/>
            <w:tcMar>
              <w:top w:w="10" w:type="dxa"/>
              <w:left w:w="10" w:type="dxa"/>
              <w:right w:w="10" w:type="dxa"/>
            </w:tcMar>
            <w:vAlign w:val="center"/>
          </w:tcPr>
          <w:p w14:paraId="1C0B26ED">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8.83</w:t>
            </w:r>
          </w:p>
        </w:tc>
        <w:tc>
          <w:tcPr>
            <w:tcW w:w="260" w:type="pct"/>
            <w:tcBorders>
              <w:tl2br w:val="nil"/>
              <w:tr2bl w:val="nil"/>
            </w:tcBorders>
            <w:noWrap/>
            <w:tcMar>
              <w:top w:w="10" w:type="dxa"/>
              <w:left w:w="10" w:type="dxa"/>
              <w:right w:w="10" w:type="dxa"/>
            </w:tcMar>
            <w:vAlign w:val="center"/>
          </w:tcPr>
          <w:p w14:paraId="2EA51542">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7.45</w:t>
            </w:r>
          </w:p>
        </w:tc>
        <w:tc>
          <w:tcPr>
            <w:tcW w:w="260" w:type="pct"/>
            <w:tcBorders>
              <w:tl2br w:val="nil"/>
              <w:tr2bl w:val="nil"/>
            </w:tcBorders>
            <w:noWrap/>
            <w:tcMar>
              <w:top w:w="10" w:type="dxa"/>
              <w:left w:w="10" w:type="dxa"/>
              <w:right w:w="10" w:type="dxa"/>
            </w:tcMar>
            <w:vAlign w:val="center"/>
          </w:tcPr>
          <w:p w14:paraId="45207BD3">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3.62</w:t>
            </w:r>
          </w:p>
        </w:tc>
        <w:tc>
          <w:tcPr>
            <w:tcW w:w="260" w:type="pct"/>
            <w:tcBorders>
              <w:tl2br w:val="nil"/>
              <w:tr2bl w:val="nil"/>
            </w:tcBorders>
            <w:noWrap/>
            <w:tcMar>
              <w:top w:w="10" w:type="dxa"/>
              <w:left w:w="10" w:type="dxa"/>
              <w:right w:w="10" w:type="dxa"/>
            </w:tcMar>
            <w:vAlign w:val="center"/>
          </w:tcPr>
          <w:p w14:paraId="060E3D83">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11.42</w:t>
            </w:r>
          </w:p>
        </w:tc>
        <w:tc>
          <w:tcPr>
            <w:tcW w:w="260" w:type="pct"/>
            <w:tcBorders>
              <w:tl2br w:val="nil"/>
              <w:tr2bl w:val="nil"/>
            </w:tcBorders>
            <w:noWrap/>
            <w:tcMar>
              <w:top w:w="10" w:type="dxa"/>
              <w:left w:w="10" w:type="dxa"/>
              <w:right w:w="10" w:type="dxa"/>
            </w:tcMar>
            <w:vAlign w:val="center"/>
          </w:tcPr>
          <w:p w14:paraId="585FA1F9">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0.54</w:t>
            </w:r>
          </w:p>
        </w:tc>
        <w:tc>
          <w:tcPr>
            <w:tcW w:w="260" w:type="pct"/>
            <w:tcBorders>
              <w:tl2br w:val="nil"/>
              <w:tr2bl w:val="nil"/>
            </w:tcBorders>
            <w:noWrap/>
            <w:tcMar>
              <w:top w:w="10" w:type="dxa"/>
              <w:left w:w="10" w:type="dxa"/>
              <w:right w:w="10" w:type="dxa"/>
            </w:tcMar>
            <w:vAlign w:val="center"/>
          </w:tcPr>
          <w:p w14:paraId="45186C59">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0.34</w:t>
            </w:r>
          </w:p>
        </w:tc>
        <w:tc>
          <w:tcPr>
            <w:tcW w:w="260" w:type="pct"/>
            <w:tcBorders>
              <w:tl2br w:val="nil"/>
              <w:tr2bl w:val="nil"/>
            </w:tcBorders>
            <w:noWrap/>
            <w:tcMar>
              <w:top w:w="10" w:type="dxa"/>
              <w:left w:w="10" w:type="dxa"/>
              <w:right w:w="10" w:type="dxa"/>
            </w:tcMar>
            <w:vAlign w:val="center"/>
          </w:tcPr>
          <w:p w14:paraId="028C0A84">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0.07</w:t>
            </w:r>
          </w:p>
        </w:tc>
        <w:tc>
          <w:tcPr>
            <w:tcW w:w="260" w:type="pct"/>
            <w:tcBorders>
              <w:tl2br w:val="nil"/>
              <w:tr2bl w:val="nil"/>
            </w:tcBorders>
            <w:noWrap/>
            <w:tcMar>
              <w:top w:w="10" w:type="dxa"/>
              <w:left w:w="10" w:type="dxa"/>
              <w:right w:w="10" w:type="dxa"/>
            </w:tcMar>
            <w:vAlign w:val="center"/>
          </w:tcPr>
          <w:p w14:paraId="28E0FC1B">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0.00042</w:t>
            </w:r>
          </w:p>
        </w:tc>
        <w:tc>
          <w:tcPr>
            <w:tcW w:w="260" w:type="pct"/>
            <w:tcBorders>
              <w:tl2br w:val="nil"/>
              <w:tr2bl w:val="nil"/>
            </w:tcBorders>
            <w:noWrap/>
            <w:tcMar>
              <w:top w:w="10" w:type="dxa"/>
              <w:left w:w="10" w:type="dxa"/>
              <w:right w:w="10" w:type="dxa"/>
            </w:tcMar>
            <w:vAlign w:val="center"/>
          </w:tcPr>
          <w:p w14:paraId="17C92B4E">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0.0025</w:t>
            </w:r>
          </w:p>
        </w:tc>
        <w:tc>
          <w:tcPr>
            <w:tcW w:w="260" w:type="pct"/>
            <w:tcBorders>
              <w:tl2br w:val="nil"/>
              <w:tr2bl w:val="nil"/>
            </w:tcBorders>
            <w:noWrap/>
            <w:tcMar>
              <w:top w:w="10" w:type="dxa"/>
              <w:left w:w="10" w:type="dxa"/>
              <w:right w:w="10" w:type="dxa"/>
            </w:tcMar>
            <w:vAlign w:val="center"/>
          </w:tcPr>
          <w:p w14:paraId="183B6743">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0.22</w:t>
            </w:r>
          </w:p>
        </w:tc>
        <w:tc>
          <w:tcPr>
            <w:tcW w:w="260" w:type="pct"/>
            <w:tcBorders>
              <w:tl2br w:val="nil"/>
              <w:tr2bl w:val="nil"/>
            </w:tcBorders>
            <w:noWrap/>
            <w:tcMar>
              <w:top w:w="10" w:type="dxa"/>
              <w:left w:w="10" w:type="dxa"/>
              <w:right w:w="10" w:type="dxa"/>
            </w:tcMar>
            <w:vAlign w:val="center"/>
          </w:tcPr>
          <w:p w14:paraId="09265A09">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0.00002</w:t>
            </w:r>
          </w:p>
        </w:tc>
        <w:tc>
          <w:tcPr>
            <w:tcW w:w="260" w:type="pct"/>
            <w:tcBorders>
              <w:tl2br w:val="nil"/>
              <w:tr2bl w:val="nil"/>
            </w:tcBorders>
            <w:noWrap/>
            <w:tcMar>
              <w:top w:w="10" w:type="dxa"/>
              <w:left w:w="10" w:type="dxa"/>
              <w:right w:w="10" w:type="dxa"/>
            </w:tcMar>
            <w:vAlign w:val="center"/>
          </w:tcPr>
          <w:p w14:paraId="75515E42">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0.00083</w:t>
            </w:r>
          </w:p>
        </w:tc>
        <w:tc>
          <w:tcPr>
            <w:tcW w:w="260" w:type="pct"/>
            <w:tcBorders>
              <w:tl2br w:val="nil"/>
              <w:tr2bl w:val="nil"/>
            </w:tcBorders>
            <w:noWrap/>
            <w:tcMar>
              <w:top w:w="10" w:type="dxa"/>
              <w:left w:w="10" w:type="dxa"/>
              <w:right w:w="10" w:type="dxa"/>
            </w:tcMar>
            <w:vAlign w:val="center"/>
          </w:tcPr>
          <w:p w14:paraId="7F8FA7FA">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0.00021</w:t>
            </w:r>
          </w:p>
        </w:tc>
        <w:tc>
          <w:tcPr>
            <w:tcW w:w="260" w:type="pct"/>
            <w:tcBorders>
              <w:tl2br w:val="nil"/>
              <w:tr2bl w:val="nil"/>
            </w:tcBorders>
            <w:noWrap/>
            <w:tcMar>
              <w:top w:w="10" w:type="dxa"/>
              <w:left w:w="10" w:type="dxa"/>
              <w:right w:w="10" w:type="dxa"/>
            </w:tcMar>
            <w:vAlign w:val="center"/>
          </w:tcPr>
          <w:p w14:paraId="09371D0E">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0.0008</w:t>
            </w:r>
          </w:p>
        </w:tc>
        <w:tc>
          <w:tcPr>
            <w:tcW w:w="260" w:type="pct"/>
            <w:tcBorders>
              <w:tl2br w:val="nil"/>
              <w:tr2bl w:val="nil"/>
            </w:tcBorders>
            <w:noWrap/>
            <w:tcMar>
              <w:top w:w="10" w:type="dxa"/>
              <w:left w:w="10" w:type="dxa"/>
              <w:right w:w="10" w:type="dxa"/>
            </w:tcMar>
            <w:vAlign w:val="center"/>
          </w:tcPr>
          <w:p w14:paraId="301206D7">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0.00015</w:t>
            </w:r>
          </w:p>
        </w:tc>
        <w:tc>
          <w:tcPr>
            <w:tcW w:w="260" w:type="pct"/>
            <w:tcBorders>
              <w:tl2br w:val="nil"/>
              <w:tr2bl w:val="nil"/>
            </w:tcBorders>
            <w:noWrap/>
            <w:tcMar>
              <w:top w:w="10" w:type="dxa"/>
              <w:left w:w="10" w:type="dxa"/>
              <w:right w:w="10" w:type="dxa"/>
            </w:tcMar>
            <w:vAlign w:val="center"/>
          </w:tcPr>
          <w:p w14:paraId="45547990">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0.0021</w:t>
            </w:r>
          </w:p>
        </w:tc>
        <w:tc>
          <w:tcPr>
            <w:tcW w:w="260" w:type="pct"/>
            <w:tcBorders>
              <w:tl2br w:val="nil"/>
              <w:tr2bl w:val="nil"/>
            </w:tcBorders>
            <w:noWrap/>
            <w:tcMar>
              <w:top w:w="10" w:type="dxa"/>
              <w:left w:w="10" w:type="dxa"/>
              <w:right w:w="10" w:type="dxa"/>
            </w:tcMar>
            <w:vAlign w:val="center"/>
          </w:tcPr>
          <w:p w14:paraId="22250262">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0.0083</w:t>
            </w:r>
          </w:p>
        </w:tc>
        <w:tc>
          <w:tcPr>
            <w:tcW w:w="262" w:type="pct"/>
            <w:tcBorders>
              <w:tl2br w:val="nil"/>
              <w:tr2bl w:val="nil"/>
            </w:tcBorders>
            <w:noWrap/>
            <w:tcMar>
              <w:top w:w="10" w:type="dxa"/>
              <w:left w:w="10" w:type="dxa"/>
              <w:right w:w="10" w:type="dxa"/>
            </w:tcMar>
            <w:vAlign w:val="center"/>
          </w:tcPr>
          <w:p w14:paraId="6138C896">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0.0021</w:t>
            </w:r>
          </w:p>
        </w:tc>
      </w:tr>
      <w:tr w14:paraId="33E432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trPr>
        <w:tc>
          <w:tcPr>
            <w:tcW w:w="304" w:type="pct"/>
            <w:tcBorders>
              <w:tl2br w:val="nil"/>
              <w:tr2bl w:val="nil"/>
            </w:tcBorders>
            <w:noWrap/>
            <w:tcMar>
              <w:top w:w="10" w:type="dxa"/>
              <w:left w:w="10" w:type="dxa"/>
              <w:right w:w="10" w:type="dxa"/>
            </w:tcMar>
            <w:vAlign w:val="center"/>
          </w:tcPr>
          <w:p w14:paraId="556D6329">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GB3838-20022Ⅲ类水标准</w:t>
            </w:r>
          </w:p>
        </w:tc>
        <w:tc>
          <w:tcPr>
            <w:tcW w:w="260" w:type="pct"/>
            <w:tcBorders>
              <w:tl2br w:val="nil"/>
              <w:tr2bl w:val="nil"/>
            </w:tcBorders>
            <w:noWrap/>
            <w:tcMar>
              <w:top w:w="10" w:type="dxa"/>
              <w:left w:w="10" w:type="dxa"/>
              <w:right w:w="10" w:type="dxa"/>
            </w:tcMar>
            <w:vAlign w:val="center"/>
          </w:tcPr>
          <w:p w14:paraId="1740472C">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6~9</w:t>
            </w:r>
          </w:p>
        </w:tc>
        <w:tc>
          <w:tcPr>
            <w:tcW w:w="260" w:type="pct"/>
            <w:tcBorders>
              <w:tl2br w:val="nil"/>
              <w:tr2bl w:val="nil"/>
            </w:tcBorders>
            <w:noWrap/>
            <w:tcMar>
              <w:top w:w="10" w:type="dxa"/>
              <w:left w:w="10" w:type="dxa"/>
              <w:right w:w="10" w:type="dxa"/>
            </w:tcMar>
            <w:vAlign w:val="center"/>
          </w:tcPr>
          <w:p w14:paraId="00091E97">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≥5</w:t>
            </w:r>
          </w:p>
        </w:tc>
        <w:tc>
          <w:tcPr>
            <w:tcW w:w="260" w:type="pct"/>
            <w:tcBorders>
              <w:tl2br w:val="nil"/>
              <w:tr2bl w:val="nil"/>
            </w:tcBorders>
            <w:noWrap/>
            <w:tcMar>
              <w:top w:w="10" w:type="dxa"/>
              <w:left w:w="10" w:type="dxa"/>
              <w:right w:w="10" w:type="dxa"/>
            </w:tcMar>
            <w:vAlign w:val="center"/>
          </w:tcPr>
          <w:p w14:paraId="0531C07F">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≤6</w:t>
            </w:r>
          </w:p>
        </w:tc>
        <w:tc>
          <w:tcPr>
            <w:tcW w:w="260" w:type="pct"/>
            <w:tcBorders>
              <w:tl2br w:val="nil"/>
              <w:tr2bl w:val="nil"/>
            </w:tcBorders>
            <w:noWrap/>
            <w:tcMar>
              <w:top w:w="10" w:type="dxa"/>
              <w:left w:w="10" w:type="dxa"/>
              <w:right w:w="10" w:type="dxa"/>
            </w:tcMar>
            <w:vAlign w:val="center"/>
          </w:tcPr>
          <w:p w14:paraId="60B36E9B">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≤20</w:t>
            </w:r>
          </w:p>
        </w:tc>
        <w:tc>
          <w:tcPr>
            <w:tcW w:w="260" w:type="pct"/>
            <w:tcBorders>
              <w:tl2br w:val="nil"/>
              <w:tr2bl w:val="nil"/>
            </w:tcBorders>
            <w:noWrap/>
            <w:tcMar>
              <w:top w:w="10" w:type="dxa"/>
              <w:left w:w="10" w:type="dxa"/>
              <w:right w:w="10" w:type="dxa"/>
            </w:tcMar>
            <w:vAlign w:val="center"/>
          </w:tcPr>
          <w:p w14:paraId="655F74D1">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≤4</w:t>
            </w:r>
          </w:p>
        </w:tc>
        <w:tc>
          <w:tcPr>
            <w:tcW w:w="260" w:type="pct"/>
            <w:tcBorders>
              <w:tl2br w:val="nil"/>
              <w:tr2bl w:val="nil"/>
            </w:tcBorders>
            <w:noWrap/>
            <w:tcMar>
              <w:top w:w="10" w:type="dxa"/>
              <w:left w:w="10" w:type="dxa"/>
              <w:right w:w="10" w:type="dxa"/>
            </w:tcMar>
            <w:vAlign w:val="center"/>
          </w:tcPr>
          <w:p w14:paraId="582C62D2">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≤1.0</w:t>
            </w:r>
          </w:p>
        </w:tc>
        <w:tc>
          <w:tcPr>
            <w:tcW w:w="260" w:type="pct"/>
            <w:tcBorders>
              <w:tl2br w:val="nil"/>
              <w:tr2bl w:val="nil"/>
            </w:tcBorders>
            <w:noWrap/>
            <w:tcMar>
              <w:top w:w="10" w:type="dxa"/>
              <w:left w:w="10" w:type="dxa"/>
              <w:right w:w="10" w:type="dxa"/>
            </w:tcMar>
            <w:vAlign w:val="center"/>
          </w:tcPr>
          <w:p w14:paraId="6E3DA432">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≤0.2</w:t>
            </w:r>
          </w:p>
        </w:tc>
        <w:tc>
          <w:tcPr>
            <w:tcW w:w="260" w:type="pct"/>
            <w:tcBorders>
              <w:tl2br w:val="nil"/>
              <w:tr2bl w:val="nil"/>
            </w:tcBorders>
            <w:noWrap/>
            <w:tcMar>
              <w:top w:w="10" w:type="dxa"/>
              <w:left w:w="10" w:type="dxa"/>
              <w:right w:w="10" w:type="dxa"/>
            </w:tcMar>
            <w:vAlign w:val="center"/>
          </w:tcPr>
          <w:p w14:paraId="4DDA9F97">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≤1.0</w:t>
            </w:r>
          </w:p>
        </w:tc>
        <w:tc>
          <w:tcPr>
            <w:tcW w:w="260" w:type="pct"/>
            <w:tcBorders>
              <w:tl2br w:val="nil"/>
              <w:tr2bl w:val="nil"/>
            </w:tcBorders>
            <w:noWrap/>
            <w:tcMar>
              <w:top w:w="10" w:type="dxa"/>
              <w:left w:w="10" w:type="dxa"/>
              <w:right w:w="10" w:type="dxa"/>
            </w:tcMar>
            <w:vAlign w:val="center"/>
          </w:tcPr>
          <w:p w14:paraId="0C6EA99B">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≤1.0</w:t>
            </w:r>
          </w:p>
        </w:tc>
        <w:tc>
          <w:tcPr>
            <w:tcW w:w="260" w:type="pct"/>
            <w:tcBorders>
              <w:tl2br w:val="nil"/>
              <w:tr2bl w:val="nil"/>
            </w:tcBorders>
            <w:noWrap/>
            <w:tcMar>
              <w:top w:w="10" w:type="dxa"/>
              <w:left w:w="10" w:type="dxa"/>
              <w:right w:w="10" w:type="dxa"/>
            </w:tcMar>
            <w:vAlign w:val="center"/>
          </w:tcPr>
          <w:p w14:paraId="1D1001FF">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≤1.0</w:t>
            </w:r>
          </w:p>
        </w:tc>
        <w:tc>
          <w:tcPr>
            <w:tcW w:w="260" w:type="pct"/>
            <w:tcBorders>
              <w:tl2br w:val="nil"/>
              <w:tr2bl w:val="nil"/>
            </w:tcBorders>
            <w:noWrap/>
            <w:tcMar>
              <w:top w:w="10" w:type="dxa"/>
              <w:left w:w="10" w:type="dxa"/>
              <w:right w:w="10" w:type="dxa"/>
            </w:tcMar>
            <w:vAlign w:val="center"/>
          </w:tcPr>
          <w:p w14:paraId="5835508C">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≤0.005</w:t>
            </w:r>
          </w:p>
        </w:tc>
        <w:tc>
          <w:tcPr>
            <w:tcW w:w="260" w:type="pct"/>
            <w:tcBorders>
              <w:tl2br w:val="nil"/>
              <w:tr2bl w:val="nil"/>
            </w:tcBorders>
            <w:noWrap/>
            <w:tcMar>
              <w:top w:w="10" w:type="dxa"/>
              <w:left w:w="10" w:type="dxa"/>
              <w:right w:w="10" w:type="dxa"/>
            </w:tcMar>
            <w:vAlign w:val="center"/>
          </w:tcPr>
          <w:p w14:paraId="3D79E758">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≤0.05</w:t>
            </w:r>
          </w:p>
        </w:tc>
        <w:tc>
          <w:tcPr>
            <w:tcW w:w="260" w:type="pct"/>
            <w:tcBorders>
              <w:tl2br w:val="nil"/>
              <w:tr2bl w:val="nil"/>
            </w:tcBorders>
            <w:noWrap/>
            <w:tcMar>
              <w:top w:w="10" w:type="dxa"/>
              <w:left w:w="10" w:type="dxa"/>
              <w:right w:w="10" w:type="dxa"/>
            </w:tcMar>
            <w:vAlign w:val="center"/>
          </w:tcPr>
          <w:p w14:paraId="02516457">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≤0.05</w:t>
            </w:r>
          </w:p>
        </w:tc>
        <w:tc>
          <w:tcPr>
            <w:tcW w:w="260" w:type="pct"/>
            <w:tcBorders>
              <w:tl2br w:val="nil"/>
              <w:tr2bl w:val="nil"/>
            </w:tcBorders>
            <w:noWrap/>
            <w:tcMar>
              <w:top w:w="10" w:type="dxa"/>
              <w:left w:w="10" w:type="dxa"/>
              <w:right w:w="10" w:type="dxa"/>
            </w:tcMar>
            <w:vAlign w:val="center"/>
          </w:tcPr>
          <w:p w14:paraId="18E51E73">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≤0.2</w:t>
            </w:r>
          </w:p>
        </w:tc>
        <w:tc>
          <w:tcPr>
            <w:tcW w:w="260" w:type="pct"/>
            <w:tcBorders>
              <w:tl2br w:val="nil"/>
              <w:tr2bl w:val="nil"/>
            </w:tcBorders>
            <w:noWrap/>
            <w:tcMar>
              <w:top w:w="10" w:type="dxa"/>
              <w:left w:w="10" w:type="dxa"/>
              <w:right w:w="10" w:type="dxa"/>
            </w:tcMar>
            <w:vAlign w:val="center"/>
          </w:tcPr>
          <w:p w14:paraId="6BA376A0">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≤0.005</w:t>
            </w:r>
          </w:p>
        </w:tc>
        <w:tc>
          <w:tcPr>
            <w:tcW w:w="260" w:type="pct"/>
            <w:tcBorders>
              <w:tl2br w:val="nil"/>
              <w:tr2bl w:val="nil"/>
            </w:tcBorders>
            <w:noWrap/>
            <w:tcMar>
              <w:top w:w="10" w:type="dxa"/>
              <w:left w:w="10" w:type="dxa"/>
              <w:right w:w="10" w:type="dxa"/>
            </w:tcMar>
            <w:vAlign w:val="center"/>
          </w:tcPr>
          <w:p w14:paraId="226EF4A3">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≤0.05</w:t>
            </w:r>
          </w:p>
        </w:tc>
        <w:tc>
          <w:tcPr>
            <w:tcW w:w="260" w:type="pct"/>
            <w:tcBorders>
              <w:tl2br w:val="nil"/>
              <w:tr2bl w:val="nil"/>
            </w:tcBorders>
            <w:noWrap/>
            <w:tcMar>
              <w:top w:w="10" w:type="dxa"/>
              <w:left w:w="10" w:type="dxa"/>
              <w:right w:w="10" w:type="dxa"/>
            </w:tcMar>
            <w:vAlign w:val="center"/>
          </w:tcPr>
          <w:p w14:paraId="1AE04205">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≤0.2</w:t>
            </w:r>
          </w:p>
        </w:tc>
        <w:tc>
          <w:tcPr>
            <w:tcW w:w="262" w:type="pct"/>
            <w:tcBorders>
              <w:tl2br w:val="nil"/>
              <w:tr2bl w:val="nil"/>
            </w:tcBorders>
            <w:noWrap/>
            <w:tcMar>
              <w:top w:w="10" w:type="dxa"/>
              <w:left w:w="10" w:type="dxa"/>
              <w:right w:w="10" w:type="dxa"/>
            </w:tcMar>
            <w:vAlign w:val="center"/>
          </w:tcPr>
          <w:p w14:paraId="0E5119E2">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≤0.2</w:t>
            </w:r>
          </w:p>
        </w:tc>
      </w:tr>
      <w:tr w14:paraId="2E9698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trPr>
        <w:tc>
          <w:tcPr>
            <w:tcW w:w="304" w:type="pct"/>
            <w:tcBorders>
              <w:tl2br w:val="nil"/>
              <w:tr2bl w:val="nil"/>
            </w:tcBorders>
            <w:noWrap/>
            <w:tcMar>
              <w:top w:w="10" w:type="dxa"/>
              <w:left w:w="10" w:type="dxa"/>
              <w:right w:w="10" w:type="dxa"/>
            </w:tcMar>
            <w:vAlign w:val="center"/>
          </w:tcPr>
          <w:p w14:paraId="1513C4BC">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达标情况</w:t>
            </w:r>
          </w:p>
        </w:tc>
        <w:tc>
          <w:tcPr>
            <w:tcW w:w="260" w:type="pct"/>
            <w:tcBorders>
              <w:tl2br w:val="nil"/>
              <w:tr2bl w:val="nil"/>
            </w:tcBorders>
            <w:noWrap/>
            <w:tcMar>
              <w:top w:w="10" w:type="dxa"/>
              <w:left w:w="10" w:type="dxa"/>
              <w:right w:w="10" w:type="dxa"/>
            </w:tcMar>
            <w:vAlign w:val="center"/>
          </w:tcPr>
          <w:p w14:paraId="2D46DD80">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54C473A9">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1E25B376">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7DCBAADD">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7CC3AECD">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52224FBC">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62F4281E">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6D535CA2">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5F528DFF">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3CB8F167">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04547CAB">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62910368">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05216EFF">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19F290F7">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74994E83">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46ACD087">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0" w:type="pct"/>
            <w:tcBorders>
              <w:tl2br w:val="nil"/>
              <w:tr2bl w:val="nil"/>
            </w:tcBorders>
            <w:noWrap/>
            <w:tcMar>
              <w:top w:w="10" w:type="dxa"/>
              <w:left w:w="10" w:type="dxa"/>
              <w:right w:w="10" w:type="dxa"/>
            </w:tcMar>
            <w:vAlign w:val="center"/>
          </w:tcPr>
          <w:p w14:paraId="1943AD5A">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c>
          <w:tcPr>
            <w:tcW w:w="262" w:type="pct"/>
            <w:tcBorders>
              <w:tl2br w:val="nil"/>
              <w:tr2bl w:val="nil"/>
            </w:tcBorders>
            <w:noWrap/>
            <w:tcMar>
              <w:top w:w="10" w:type="dxa"/>
              <w:left w:w="10" w:type="dxa"/>
              <w:right w:w="10" w:type="dxa"/>
            </w:tcMar>
            <w:vAlign w:val="center"/>
          </w:tcPr>
          <w:p w14:paraId="4975B866">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达标</w:t>
            </w:r>
          </w:p>
        </w:tc>
      </w:tr>
    </w:tbl>
    <w:p w14:paraId="14662CAB">
      <w:pPr>
        <w:widowControl w:val="0"/>
        <w:spacing w:line="360" w:lineRule="auto"/>
        <w:ind w:firstLine="490" w:firstLineChars="200"/>
        <w:jc w:val="both"/>
        <w:rPr>
          <w:rFonts w:hint="default" w:ascii="Times New Roman" w:hAnsi="Times New Roman" w:eastAsia="宋体" w:cs="Times New Roman"/>
          <w:color w:val="auto"/>
          <w:kern w:val="2"/>
          <w:sz w:val="24"/>
          <w:szCs w:val="24"/>
          <w:lang w:val="en-US" w:eastAsia="zh-CN" w:bidi="ar-SA"/>
        </w:rPr>
        <w:sectPr>
          <w:pgSz w:w="16838" w:h="11906" w:orient="landscape"/>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AndChars" w:linePitch="336" w:charSpace="1062"/>
        </w:sectPr>
      </w:pPr>
      <w:r>
        <w:rPr>
          <w:rFonts w:hint="default" w:ascii="Times New Roman" w:hAnsi="Times New Roman" w:eastAsia="宋体" w:cs="Times New Roman"/>
          <w:color w:val="auto"/>
          <w:kern w:val="2"/>
          <w:sz w:val="24"/>
          <w:szCs w:val="24"/>
          <w:lang w:val="en-US" w:eastAsia="zh-CN" w:bidi="ar-SA"/>
        </w:rPr>
        <w:t>根据监测结果可以看出，小河底河化念水库国控断面2021年</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2023年连续三年水质浓度均能达到《地表水环境质量标准》（GB3838-2002）中Ⅲ类标准，连续三年（2021年</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2023年）年平均水质对比分析，水质变化幅度小，说明小河底河水质较为稳定。</w:t>
      </w:r>
    </w:p>
    <w:p w14:paraId="4A8F2684">
      <w:pPr>
        <w:pStyle w:val="6"/>
        <w:bidi w:val="0"/>
        <w:rPr>
          <w:rFonts w:hint="default" w:ascii="Times New Roman" w:hAnsi="Times New Roman" w:cs="Times New Roman"/>
        </w:rPr>
      </w:pPr>
      <w:bookmarkStart w:id="383" w:name="_Toc12115"/>
      <w:r>
        <w:rPr>
          <w:rFonts w:hint="default" w:ascii="Times New Roman" w:hAnsi="Times New Roman" w:cs="Times New Roman"/>
          <w:lang w:val="en-US" w:eastAsia="zh-CN"/>
        </w:rPr>
        <w:t>4</w:t>
      </w:r>
      <w:r>
        <w:rPr>
          <w:rFonts w:hint="default" w:ascii="Times New Roman" w:hAnsi="Times New Roman" w:cs="Times New Roman"/>
        </w:rPr>
        <w:t>.2.3地下水环境质量现状调查及评价</w:t>
      </w:r>
      <w:bookmarkEnd w:id="382"/>
      <w:bookmarkEnd w:id="383"/>
    </w:p>
    <w:p w14:paraId="485FA9EC">
      <w:pPr>
        <w:pStyle w:val="7"/>
        <w:spacing w:before="0" w:after="0"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.2.3.1 监测点位设置</w:t>
      </w:r>
    </w:p>
    <w:p w14:paraId="498370CC">
      <w:pPr>
        <w:pStyle w:val="63"/>
        <w:spacing w:line="360" w:lineRule="auto"/>
        <w:ind w:leftChars="0" w:firstLine="480"/>
        <w:rPr>
          <w:rFonts w:hint="default" w:ascii="Times New Roman" w:hAnsi="Times New Roman" w:cs="Times New Roman" w:eastAsiaTheme="minorEastAsia"/>
          <w:sz w:val="24"/>
          <w:szCs w:val="24"/>
          <w:lang w:val="en-US"/>
        </w:rPr>
      </w:pPr>
      <w:r>
        <w:rPr>
          <w:rFonts w:hint="default" w:ascii="Times New Roman" w:hAnsi="Times New Roman" w:cs="Times New Roman" w:eastAsiaTheme="minorEastAsia"/>
          <w:sz w:val="24"/>
          <w:szCs w:val="24"/>
        </w:rPr>
        <w:t>根据</w:t>
      </w:r>
      <w:r>
        <w:rPr>
          <w:rFonts w:hint="default" w:ascii="Times New Roman" w:hAnsi="Times New Roman" w:cs="Times New Roman" w:eastAsiaTheme="minorEastAsia"/>
          <w:sz w:val="24"/>
          <w:szCs w:val="24"/>
          <w:lang w:val="en-US"/>
        </w:rPr>
        <w:t>《环境影响评价技术导则 地下水环境》（HJ610-2016）中“8.3.3.3现状监测点的布设原则：三级评价项目潜水含水层水质监测点位不少于3个，可能受建设项目影响且具有饮用水开发利用价值的含水层1</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rPr>
        <w:t>2个，原则上建设项目场地上游及下游影响区的地下水水质监测点各不得少于1个。”</w:t>
      </w:r>
    </w:p>
    <w:p w14:paraId="5446CA54">
      <w:pPr>
        <w:spacing w:line="360" w:lineRule="auto"/>
        <w:ind w:firstLine="48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根据本项目废水污染特征及区域水文地质条件，结合评价区地下水流向，根据导则要求，项目所在地水文地质单元共设置地下水水质监测点3个。</w:t>
      </w:r>
      <w:r>
        <w:rPr>
          <w:rFonts w:hint="default" w:ascii="Times New Roman" w:hAnsi="Times New Roman" w:cs="Times New Roman" w:eastAsiaTheme="minorEastAsia"/>
          <w:color w:val="auto"/>
          <w:sz w:val="24"/>
          <w:szCs w:val="24"/>
          <w:lang w:val="en-US" w:eastAsia="zh-CN"/>
        </w:rPr>
        <w:t>监测布点图详见附图10。</w:t>
      </w:r>
    </w:p>
    <w:p w14:paraId="4D13E026">
      <w:pPr>
        <w:spacing w:line="360" w:lineRule="auto"/>
        <w:ind w:firstLine="48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监测点：设置3个监测点，在项目北侧</w:t>
      </w:r>
      <w:r>
        <w:rPr>
          <w:rFonts w:hint="default" w:ascii="Times New Roman" w:hAnsi="Times New Roman" w:cs="Times New Roman"/>
          <w:color w:val="auto"/>
          <w:sz w:val="24"/>
          <w:szCs w:val="24"/>
          <w:lang w:val="en-US" w:eastAsia="zh-CN"/>
        </w:rPr>
        <w:t>600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val="en-US" w:eastAsia="zh-CN"/>
        </w:rPr>
        <w:t>泉点</w:t>
      </w:r>
      <w:r>
        <w:rPr>
          <w:rFonts w:hint="default" w:ascii="Times New Roman" w:hAnsi="Times New Roman" w:eastAsia="宋体" w:cs="Times New Roman"/>
          <w:color w:val="auto"/>
          <w:sz w:val="24"/>
          <w:szCs w:val="24"/>
        </w:rPr>
        <w:t>（E</w:t>
      </w:r>
      <w:r>
        <w:rPr>
          <w:rFonts w:hint="default" w:ascii="Times New Roman" w:hAnsi="Times New Roman" w:eastAsia="宋体" w:cs="Times New Roman"/>
          <w:b w:val="0"/>
          <w:bCs/>
          <w:iCs/>
          <w:color w:val="auto"/>
          <w:kern w:val="2"/>
          <w:sz w:val="24"/>
          <w:szCs w:val="24"/>
        </w:rPr>
        <w:t>102.195176</w:t>
      </w:r>
      <w:r>
        <w:rPr>
          <w:rFonts w:hint="default" w:ascii="Times New Roman" w:hAnsi="Times New Roman" w:eastAsia="宋体" w:cs="Times New Roman"/>
          <w:color w:val="auto"/>
          <w:sz w:val="24"/>
          <w:szCs w:val="24"/>
        </w:rPr>
        <w:t>；N</w:t>
      </w:r>
      <w:r>
        <w:rPr>
          <w:rFonts w:hint="default" w:ascii="Times New Roman" w:hAnsi="Times New Roman" w:eastAsia="宋体" w:cs="Times New Roman"/>
          <w:b w:val="0"/>
          <w:bCs/>
          <w:iCs/>
          <w:color w:val="auto"/>
          <w:kern w:val="2"/>
          <w:sz w:val="24"/>
          <w:szCs w:val="24"/>
        </w:rPr>
        <w:t>23.963806</w:t>
      </w:r>
      <w:r>
        <w:rPr>
          <w:rFonts w:hint="default" w:ascii="Times New Roman" w:hAnsi="Times New Roman" w:eastAsia="宋体" w:cs="Times New Roman"/>
          <w:color w:val="auto"/>
          <w:sz w:val="24"/>
          <w:szCs w:val="24"/>
        </w:rPr>
        <w:t>）（位于项目区上游）、</w:t>
      </w:r>
      <w:r>
        <w:rPr>
          <w:rFonts w:hint="default" w:ascii="Times New Roman" w:hAnsi="Times New Roman" w:eastAsia="宋体" w:cs="Times New Roman"/>
          <w:color w:val="auto"/>
          <w:sz w:val="24"/>
          <w:szCs w:val="24"/>
          <w:lang w:val="en-US" w:eastAsia="zh-CN"/>
        </w:rPr>
        <w:t>项目区东</w:t>
      </w:r>
      <w:r>
        <w:rPr>
          <w:rFonts w:hint="default" w:ascii="Times New Roman" w:hAnsi="Times New Roman" w:cs="Times New Roman"/>
          <w:color w:val="auto"/>
          <w:sz w:val="24"/>
          <w:szCs w:val="24"/>
          <w:lang w:val="en-US" w:eastAsia="zh-CN"/>
        </w:rPr>
        <w:t>南</w:t>
      </w:r>
      <w:r>
        <w:rPr>
          <w:rFonts w:hint="default" w:ascii="Times New Roman" w:hAnsi="Times New Roman" w:eastAsia="宋体" w:cs="Times New Roman"/>
          <w:color w:val="auto"/>
          <w:sz w:val="24"/>
          <w:szCs w:val="24"/>
          <w:lang w:val="en-US" w:eastAsia="zh-CN"/>
        </w:rPr>
        <w:t>侧</w:t>
      </w:r>
      <w:r>
        <w:rPr>
          <w:rFonts w:hint="default" w:ascii="Times New Roman" w:hAnsi="Times New Roman" w:cs="Times New Roman"/>
          <w:color w:val="auto"/>
          <w:sz w:val="24"/>
          <w:szCs w:val="24"/>
          <w:lang w:val="en-US" w:eastAsia="zh-CN"/>
        </w:rPr>
        <w:t>约7</w:t>
      </w:r>
      <w:r>
        <w:rPr>
          <w:rFonts w:hint="default" w:ascii="Times New Roman" w:hAnsi="Times New Roman" w:eastAsia="宋体" w:cs="Times New Roman"/>
          <w:color w:val="auto"/>
          <w:sz w:val="24"/>
          <w:szCs w:val="24"/>
          <w:lang w:val="en-US" w:eastAsia="zh-CN"/>
        </w:rPr>
        <w:t>00m</w:t>
      </w:r>
      <w:r>
        <w:rPr>
          <w:rFonts w:hint="default" w:ascii="Times New Roman" w:hAnsi="Times New Roman" w:eastAsia="宋体" w:cs="Times New Roman"/>
          <w:color w:val="auto"/>
          <w:sz w:val="24"/>
          <w:szCs w:val="24"/>
        </w:rPr>
        <w:t>鲁奎山铁矿1</w:t>
      </w:r>
      <w:r>
        <w:rPr>
          <w:rFonts w:hint="default" w:ascii="Times New Roman" w:hAnsi="Times New Roman" w:eastAsia="宋体" w:cs="Times New Roman"/>
          <w:color w:val="auto"/>
          <w:sz w:val="24"/>
          <w:szCs w:val="24"/>
          <w:lang w:val="en-US" w:eastAsia="zh-CN"/>
        </w:rPr>
        <w:t>580</w:t>
      </w:r>
      <w:r>
        <w:rPr>
          <w:rFonts w:hint="default" w:ascii="Times New Roman" w:hAnsi="Times New Roman" w:eastAsia="宋体" w:cs="Times New Roman"/>
          <w:color w:val="auto"/>
          <w:sz w:val="24"/>
          <w:szCs w:val="24"/>
        </w:rPr>
        <w:t>m中段坑道地下水出水点（E</w:t>
      </w:r>
      <w:r>
        <w:rPr>
          <w:rFonts w:hint="default" w:ascii="Times New Roman" w:hAnsi="Times New Roman" w:eastAsia="宋体" w:cs="Times New Roman"/>
          <w:b w:val="0"/>
          <w:bCs/>
          <w:iCs/>
          <w:color w:val="auto"/>
          <w:kern w:val="2"/>
          <w:sz w:val="24"/>
          <w:szCs w:val="24"/>
        </w:rPr>
        <w:t>102.197832</w:t>
      </w:r>
      <w:r>
        <w:rPr>
          <w:rFonts w:hint="default" w:ascii="Times New Roman" w:hAnsi="Times New Roman" w:eastAsia="宋体" w:cs="Times New Roman"/>
          <w:color w:val="auto"/>
          <w:sz w:val="24"/>
          <w:szCs w:val="24"/>
        </w:rPr>
        <w:t>；N</w:t>
      </w:r>
      <w:r>
        <w:rPr>
          <w:rFonts w:hint="default" w:ascii="Times New Roman" w:hAnsi="Times New Roman" w:eastAsia="宋体" w:cs="Times New Roman"/>
          <w:b w:val="0"/>
          <w:bCs/>
          <w:iCs/>
          <w:color w:val="auto"/>
          <w:kern w:val="2"/>
          <w:sz w:val="24"/>
          <w:szCs w:val="24"/>
        </w:rPr>
        <w:t>23.957740</w:t>
      </w:r>
      <w:r>
        <w:rPr>
          <w:rFonts w:hint="default" w:ascii="Times New Roman" w:hAnsi="Times New Roman" w:eastAsia="宋体" w:cs="Times New Roman"/>
          <w:color w:val="auto"/>
          <w:sz w:val="24"/>
          <w:szCs w:val="24"/>
        </w:rPr>
        <w:t>）（位于项目区</w:t>
      </w:r>
      <w:r>
        <w:rPr>
          <w:rFonts w:hint="default" w:ascii="Times New Roman" w:hAnsi="Times New Roman" w:eastAsia="宋体" w:cs="Times New Roman"/>
          <w:color w:val="auto"/>
          <w:sz w:val="24"/>
          <w:szCs w:val="24"/>
          <w:lang w:val="en-US" w:eastAsia="zh-CN"/>
        </w:rPr>
        <w:t>侧</w:t>
      </w:r>
      <w:r>
        <w:rPr>
          <w:rFonts w:hint="default" w:ascii="Times New Roman" w:hAnsi="Times New Roman" w:eastAsia="宋体" w:cs="Times New Roman"/>
          <w:color w:val="auto"/>
          <w:sz w:val="24"/>
          <w:szCs w:val="24"/>
        </w:rPr>
        <w:t>游）、</w:t>
      </w:r>
      <w:r>
        <w:rPr>
          <w:rFonts w:hint="default" w:ascii="Times New Roman" w:hAnsi="Times New Roman" w:eastAsia="宋体" w:cs="Times New Roman"/>
          <w:b w:val="0"/>
          <w:bCs/>
          <w:color w:val="auto"/>
          <w:sz w:val="24"/>
          <w:szCs w:val="24"/>
        </w:rPr>
        <w:t>项目南侧</w:t>
      </w:r>
      <w:r>
        <w:rPr>
          <w:rFonts w:hint="default" w:ascii="Times New Roman" w:hAnsi="Times New Roman" w:eastAsia="宋体" w:cs="Times New Roman"/>
          <w:b w:val="0"/>
          <w:bCs/>
          <w:color w:val="auto"/>
          <w:sz w:val="24"/>
          <w:szCs w:val="24"/>
          <w:lang w:val="en-US" w:eastAsia="zh-CN"/>
        </w:rPr>
        <w:t>1000</w:t>
      </w:r>
      <w:r>
        <w:rPr>
          <w:rFonts w:hint="default" w:ascii="Times New Roman" w:hAnsi="Times New Roman" w:eastAsia="宋体" w:cs="Times New Roman"/>
          <w:b w:val="0"/>
          <w:bCs/>
          <w:color w:val="auto"/>
          <w:sz w:val="24"/>
          <w:szCs w:val="24"/>
        </w:rPr>
        <w:t>m鲁奎山西南侧泉水点</w:t>
      </w:r>
      <w:r>
        <w:rPr>
          <w:rFonts w:hint="default" w:ascii="Times New Roman" w:hAnsi="Times New Roman" w:eastAsia="宋体" w:cs="Times New Roman"/>
          <w:color w:val="auto"/>
          <w:sz w:val="24"/>
          <w:szCs w:val="24"/>
        </w:rPr>
        <w:t>（位于项目区</w:t>
      </w:r>
      <w:r>
        <w:rPr>
          <w:rFonts w:hint="default"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rPr>
        <w:t>游）</w:t>
      </w:r>
      <w:r>
        <w:rPr>
          <w:rFonts w:hint="default" w:ascii="Times New Roman" w:hAnsi="Times New Roman" w:eastAsia="宋体" w:cs="Times New Roman"/>
          <w:color w:val="auto"/>
          <w:sz w:val="24"/>
          <w:szCs w:val="24"/>
          <w:lang w:eastAsia="zh-CN"/>
        </w:rPr>
        <w:t>，三个监测点</w:t>
      </w:r>
      <w:r>
        <w:rPr>
          <w:rStyle w:val="34"/>
          <w:rFonts w:hint="default" w:ascii="Times New Roman" w:hAnsi="Times New Roman" w:eastAsia="宋体" w:cs="Times New Roman"/>
          <w:color w:val="auto"/>
          <w:sz w:val="24"/>
          <w:szCs w:val="24"/>
        </w:rPr>
        <w:t>与本项目处于同一个水文地质单元</w:t>
      </w:r>
      <w:r>
        <w:rPr>
          <w:rFonts w:hint="default" w:ascii="Times New Roman" w:hAnsi="Times New Roman" w:eastAsia="宋体" w:cs="Times New Roman"/>
          <w:color w:val="auto"/>
          <w:sz w:val="24"/>
          <w:szCs w:val="24"/>
        </w:rPr>
        <w:t>。</w:t>
      </w:r>
    </w:p>
    <w:p w14:paraId="19B37187">
      <w:pPr>
        <w:spacing w:line="360" w:lineRule="auto"/>
        <w:ind w:firstLine="490" w:firstLineChars="200"/>
        <w:rPr>
          <w:rFonts w:hint="default" w:ascii="Times New Roman" w:hAnsi="Times New Roman" w:cs="Times New Roman" w:eastAsiaTheme="minorEastAsia"/>
          <w:snapToGrid w:val="0"/>
          <w:sz w:val="24"/>
          <w:szCs w:val="24"/>
        </w:rPr>
      </w:pPr>
      <w:r>
        <w:rPr>
          <w:rFonts w:hint="default" w:ascii="Times New Roman" w:hAnsi="Times New Roman" w:cs="Times New Roman" w:eastAsiaTheme="minorEastAsia"/>
          <w:sz w:val="24"/>
          <w:szCs w:val="24"/>
        </w:rPr>
        <w:t>监测点位布设情况见下表。</w:t>
      </w:r>
    </w:p>
    <w:p w14:paraId="4B8C4435">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4.2.3</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1</w:t>
      </w:r>
      <w:r>
        <w:rPr>
          <w:rFonts w:hint="default" w:ascii="Times New Roman" w:hAnsi="Times New Roman" w:eastAsia="黑体" w:cs="Times New Roman"/>
          <w:b w:val="0"/>
          <w:bCs/>
          <w:sz w:val="21"/>
          <w:szCs w:val="21"/>
        </w:rPr>
        <w:t xml:space="preserve">  地下水现状监测点位表</w:t>
      </w:r>
    </w:p>
    <w:tbl>
      <w:tblPr>
        <w:tblStyle w:val="29"/>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689"/>
        <w:gridCol w:w="1462"/>
        <w:gridCol w:w="1113"/>
        <w:gridCol w:w="1120"/>
        <w:gridCol w:w="2296"/>
        <w:gridCol w:w="1583"/>
      </w:tblGrid>
      <w:tr w14:paraId="0F3E7D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548" w:type="pct"/>
            <w:vMerge w:val="restart"/>
            <w:tcBorders>
              <w:tl2br w:val="nil"/>
              <w:tr2bl w:val="nil"/>
            </w:tcBorders>
            <w:vAlign w:val="center"/>
          </w:tcPr>
          <w:p w14:paraId="6269C453">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监测内容</w:t>
            </w:r>
          </w:p>
        </w:tc>
        <w:tc>
          <w:tcPr>
            <w:tcW w:w="371" w:type="pct"/>
            <w:vMerge w:val="restart"/>
            <w:tcBorders>
              <w:tl2br w:val="nil"/>
              <w:tr2bl w:val="nil"/>
            </w:tcBorders>
            <w:vAlign w:val="center"/>
          </w:tcPr>
          <w:p w14:paraId="12C78316">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编号</w:t>
            </w:r>
          </w:p>
        </w:tc>
        <w:tc>
          <w:tcPr>
            <w:tcW w:w="787" w:type="pct"/>
            <w:vMerge w:val="restart"/>
            <w:tcBorders>
              <w:tl2br w:val="nil"/>
              <w:tr2bl w:val="nil"/>
            </w:tcBorders>
            <w:vAlign w:val="center"/>
          </w:tcPr>
          <w:p w14:paraId="7427BD5C">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监测点名称</w:t>
            </w:r>
          </w:p>
        </w:tc>
        <w:tc>
          <w:tcPr>
            <w:tcW w:w="1202" w:type="pct"/>
            <w:gridSpan w:val="2"/>
            <w:tcBorders>
              <w:tl2br w:val="nil"/>
              <w:tr2bl w:val="nil"/>
            </w:tcBorders>
            <w:vAlign w:val="center"/>
          </w:tcPr>
          <w:p w14:paraId="2C106EFE">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坐标</w:t>
            </w:r>
          </w:p>
        </w:tc>
        <w:tc>
          <w:tcPr>
            <w:tcW w:w="1236" w:type="pct"/>
            <w:vMerge w:val="restart"/>
            <w:tcBorders>
              <w:tl2br w:val="nil"/>
              <w:tr2bl w:val="nil"/>
            </w:tcBorders>
            <w:vAlign w:val="center"/>
          </w:tcPr>
          <w:p w14:paraId="77646D89">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位置与功能</w:t>
            </w:r>
          </w:p>
        </w:tc>
        <w:tc>
          <w:tcPr>
            <w:tcW w:w="852" w:type="pct"/>
            <w:vMerge w:val="restart"/>
            <w:tcBorders>
              <w:tl2br w:val="nil"/>
              <w:tr2bl w:val="nil"/>
            </w:tcBorders>
            <w:vAlign w:val="center"/>
          </w:tcPr>
          <w:p w14:paraId="5B4C76B3">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水位</w:t>
            </w:r>
          </w:p>
        </w:tc>
      </w:tr>
      <w:tr w14:paraId="0F84AC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548" w:type="pct"/>
            <w:vMerge w:val="continue"/>
            <w:tcBorders>
              <w:tl2br w:val="nil"/>
              <w:tr2bl w:val="nil"/>
            </w:tcBorders>
            <w:vAlign w:val="center"/>
          </w:tcPr>
          <w:p w14:paraId="16808E12">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p>
        </w:tc>
        <w:tc>
          <w:tcPr>
            <w:tcW w:w="371" w:type="pct"/>
            <w:vMerge w:val="continue"/>
            <w:tcBorders>
              <w:tl2br w:val="nil"/>
              <w:tr2bl w:val="nil"/>
            </w:tcBorders>
            <w:vAlign w:val="center"/>
          </w:tcPr>
          <w:p w14:paraId="19F1B65C">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p>
        </w:tc>
        <w:tc>
          <w:tcPr>
            <w:tcW w:w="787" w:type="pct"/>
            <w:vMerge w:val="continue"/>
            <w:tcBorders>
              <w:tl2br w:val="nil"/>
              <w:tr2bl w:val="nil"/>
            </w:tcBorders>
            <w:vAlign w:val="center"/>
          </w:tcPr>
          <w:p w14:paraId="429EAEBF">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p>
        </w:tc>
        <w:tc>
          <w:tcPr>
            <w:tcW w:w="599" w:type="pct"/>
            <w:tcBorders>
              <w:tl2br w:val="nil"/>
              <w:tr2bl w:val="nil"/>
            </w:tcBorders>
            <w:vAlign w:val="center"/>
          </w:tcPr>
          <w:p w14:paraId="3D70837D">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经度</w:t>
            </w:r>
          </w:p>
        </w:tc>
        <w:tc>
          <w:tcPr>
            <w:tcW w:w="602" w:type="pct"/>
            <w:tcBorders>
              <w:tl2br w:val="nil"/>
              <w:tr2bl w:val="nil"/>
            </w:tcBorders>
            <w:vAlign w:val="center"/>
          </w:tcPr>
          <w:p w14:paraId="5E28D003">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纬度</w:t>
            </w:r>
          </w:p>
        </w:tc>
        <w:tc>
          <w:tcPr>
            <w:tcW w:w="1236" w:type="pct"/>
            <w:vMerge w:val="continue"/>
            <w:tcBorders>
              <w:tl2br w:val="nil"/>
              <w:tr2bl w:val="nil"/>
            </w:tcBorders>
            <w:vAlign w:val="center"/>
          </w:tcPr>
          <w:p w14:paraId="12E92971">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p>
        </w:tc>
        <w:tc>
          <w:tcPr>
            <w:tcW w:w="852" w:type="pct"/>
            <w:vMerge w:val="continue"/>
            <w:tcBorders>
              <w:tl2br w:val="nil"/>
              <w:tr2bl w:val="nil"/>
            </w:tcBorders>
            <w:vAlign w:val="center"/>
          </w:tcPr>
          <w:p w14:paraId="321C806F">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p>
        </w:tc>
      </w:tr>
      <w:tr w14:paraId="257203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548" w:type="pct"/>
            <w:vMerge w:val="restart"/>
            <w:tcBorders>
              <w:tl2br w:val="nil"/>
              <w:tr2bl w:val="nil"/>
            </w:tcBorders>
            <w:vAlign w:val="center"/>
          </w:tcPr>
          <w:p w14:paraId="22A8DE37">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水质监测</w:t>
            </w:r>
          </w:p>
        </w:tc>
        <w:tc>
          <w:tcPr>
            <w:tcW w:w="371" w:type="pct"/>
            <w:tcBorders>
              <w:tl2br w:val="nil"/>
              <w:tr2bl w:val="nil"/>
            </w:tcBorders>
            <w:vAlign w:val="center"/>
          </w:tcPr>
          <w:p w14:paraId="59515B21">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1#</w:t>
            </w:r>
          </w:p>
        </w:tc>
        <w:tc>
          <w:tcPr>
            <w:tcW w:w="787" w:type="pct"/>
            <w:tcBorders>
              <w:tl2br w:val="nil"/>
              <w:tr2bl w:val="nil"/>
            </w:tcBorders>
            <w:vAlign w:val="center"/>
          </w:tcPr>
          <w:p w14:paraId="138E80E1">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lang w:val="en-US" w:eastAsia="zh-CN"/>
              </w:rPr>
              <w:t>项目</w:t>
            </w:r>
            <w:r>
              <w:rPr>
                <w:rFonts w:hint="default" w:ascii="Times New Roman" w:hAnsi="Times New Roman" w:cs="Times New Roman"/>
                <w:color w:val="auto"/>
                <w:sz w:val="18"/>
                <w:szCs w:val="18"/>
              </w:rPr>
              <w:t>北侧泉水点</w:t>
            </w:r>
          </w:p>
        </w:tc>
        <w:tc>
          <w:tcPr>
            <w:tcW w:w="599" w:type="pct"/>
            <w:tcBorders>
              <w:tl2br w:val="nil"/>
              <w:tr2bl w:val="nil"/>
            </w:tcBorders>
            <w:vAlign w:val="center"/>
          </w:tcPr>
          <w:p w14:paraId="72F75F98">
            <w:pPr>
              <w:pStyle w:val="61"/>
              <w:snapToGrid/>
              <w:spacing w:beforeLines="0" w:afterLines="0" w:line="240" w:lineRule="auto"/>
              <w:ind w:left="0" w:leftChars="0" w:firstLine="0" w:firstLineChars="0"/>
              <w:jc w:val="both"/>
              <w:rPr>
                <w:rFonts w:hint="default" w:ascii="Times New Roman" w:hAnsi="Times New Roman" w:eastAsia="宋体" w:cs="Times New Roman"/>
                <w:b w:val="0"/>
                <w:bCs/>
                <w:iCs/>
                <w:color w:val="auto"/>
                <w:kern w:val="2"/>
                <w:sz w:val="18"/>
                <w:szCs w:val="18"/>
                <w:lang w:eastAsia="zh-CN"/>
              </w:rPr>
            </w:pPr>
            <w:r>
              <w:rPr>
                <w:rFonts w:hint="default" w:ascii="Times New Roman" w:hAnsi="Times New Roman" w:eastAsia="宋体" w:cs="Times New Roman"/>
                <w:b w:val="0"/>
                <w:bCs/>
                <w:iCs/>
                <w:color w:val="auto"/>
                <w:kern w:val="2"/>
                <w:sz w:val="18"/>
                <w:szCs w:val="18"/>
                <w:lang w:eastAsia="zh-CN"/>
              </w:rPr>
              <w:t>102.195176</w:t>
            </w:r>
          </w:p>
        </w:tc>
        <w:tc>
          <w:tcPr>
            <w:tcW w:w="602" w:type="pct"/>
            <w:tcBorders>
              <w:tl2br w:val="nil"/>
              <w:tr2bl w:val="nil"/>
            </w:tcBorders>
            <w:vAlign w:val="center"/>
          </w:tcPr>
          <w:p w14:paraId="0D19E79E">
            <w:pPr>
              <w:pStyle w:val="61"/>
              <w:snapToGrid/>
              <w:spacing w:beforeLines="0" w:afterLines="0" w:line="240" w:lineRule="auto"/>
              <w:ind w:left="0" w:leftChars="0" w:firstLine="0" w:firstLineChars="0"/>
              <w:jc w:val="both"/>
              <w:rPr>
                <w:rFonts w:hint="default" w:ascii="Times New Roman" w:hAnsi="Times New Roman" w:cs="Times New Roman" w:eastAsiaTheme="minorEastAsia"/>
                <w:b w:val="0"/>
                <w:bCs/>
                <w:iCs/>
                <w:color w:val="auto"/>
                <w:kern w:val="2"/>
                <w:sz w:val="18"/>
                <w:szCs w:val="18"/>
              </w:rPr>
            </w:pPr>
            <w:r>
              <w:rPr>
                <w:rFonts w:hint="default" w:ascii="Times New Roman" w:hAnsi="Times New Roman" w:cs="Times New Roman" w:eastAsiaTheme="minorEastAsia"/>
                <w:b w:val="0"/>
                <w:bCs/>
                <w:iCs/>
                <w:color w:val="auto"/>
                <w:kern w:val="2"/>
                <w:sz w:val="18"/>
                <w:szCs w:val="18"/>
              </w:rPr>
              <w:t>23.963806</w:t>
            </w:r>
          </w:p>
        </w:tc>
        <w:tc>
          <w:tcPr>
            <w:tcW w:w="1236" w:type="pct"/>
            <w:tcBorders>
              <w:tl2br w:val="nil"/>
              <w:tr2bl w:val="nil"/>
            </w:tcBorders>
            <w:vAlign w:val="center"/>
          </w:tcPr>
          <w:p w14:paraId="10BB88B8">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项目北侧</w:t>
            </w:r>
            <w:r>
              <w:rPr>
                <w:rFonts w:hint="default" w:ascii="Times New Roman" w:hAnsi="Times New Roman" w:cs="Times New Roman" w:eastAsiaTheme="minorEastAsia"/>
                <w:color w:val="auto"/>
                <w:sz w:val="18"/>
                <w:szCs w:val="18"/>
                <w:lang w:val="en-US" w:eastAsia="zh-CN"/>
              </w:rPr>
              <w:t>600</w:t>
            </w:r>
            <w:r>
              <w:rPr>
                <w:rFonts w:hint="default" w:ascii="Times New Roman" w:hAnsi="Times New Roman" w:cs="Times New Roman" w:eastAsiaTheme="minorEastAsia"/>
                <w:color w:val="auto"/>
                <w:sz w:val="18"/>
                <w:szCs w:val="18"/>
              </w:rPr>
              <w:t>m；上游对照点</w:t>
            </w:r>
          </w:p>
        </w:tc>
        <w:tc>
          <w:tcPr>
            <w:tcW w:w="852" w:type="pct"/>
            <w:tcBorders>
              <w:tl2br w:val="nil"/>
              <w:tr2bl w:val="nil"/>
            </w:tcBorders>
            <w:vAlign w:val="center"/>
          </w:tcPr>
          <w:p w14:paraId="320CDC5D">
            <w:pPr>
              <w:pStyle w:val="17"/>
              <w:adjustRightInd w:val="0"/>
              <w:snapToGrid/>
              <w:spacing w:before="0" w:beforeAutospacing="0" w:after="0" w:afterAutospacing="0" w:line="240" w:lineRule="auto"/>
              <w:ind w:firstLine="0" w:firstLineChars="0"/>
              <w:jc w:val="center"/>
              <w:rPr>
                <w:rFonts w:hint="default" w:ascii="Times New Roman" w:hAnsi="Times New Roman" w:eastAsia="宋体" w:cs="Times New Roman"/>
                <w:color w:val="00B050"/>
                <w:sz w:val="18"/>
                <w:szCs w:val="18"/>
                <w:lang w:val="en-US" w:eastAsia="zh-CN"/>
              </w:rPr>
            </w:pP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1605</w:t>
            </w:r>
          </w:p>
        </w:tc>
      </w:tr>
      <w:tr w14:paraId="24411D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8" w:hRule="atLeast"/>
          <w:jc w:val="center"/>
        </w:trPr>
        <w:tc>
          <w:tcPr>
            <w:tcW w:w="548" w:type="pct"/>
            <w:vMerge w:val="continue"/>
            <w:tcBorders>
              <w:tl2br w:val="nil"/>
              <w:tr2bl w:val="nil"/>
            </w:tcBorders>
            <w:vAlign w:val="center"/>
          </w:tcPr>
          <w:p w14:paraId="7BAE5318">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p>
        </w:tc>
        <w:tc>
          <w:tcPr>
            <w:tcW w:w="371" w:type="pct"/>
            <w:tcBorders>
              <w:tl2br w:val="nil"/>
              <w:tr2bl w:val="nil"/>
            </w:tcBorders>
            <w:vAlign w:val="center"/>
          </w:tcPr>
          <w:p w14:paraId="29F23E73">
            <w:pPr>
              <w:pStyle w:val="17"/>
              <w:adjustRightInd w:val="0"/>
              <w:snapToGrid/>
              <w:spacing w:before="0" w:beforeAutospacing="0" w:after="0" w:afterAutospacing="0" w:line="240" w:lineRule="auto"/>
              <w:ind w:firstLine="0" w:firstLineChars="0"/>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2#</w:t>
            </w:r>
          </w:p>
        </w:tc>
        <w:tc>
          <w:tcPr>
            <w:tcW w:w="787" w:type="pct"/>
            <w:tcBorders>
              <w:tl2br w:val="nil"/>
              <w:tr2bl w:val="nil"/>
            </w:tcBorders>
            <w:vAlign w:val="center"/>
          </w:tcPr>
          <w:p w14:paraId="499E7842">
            <w:pPr>
              <w:pStyle w:val="17"/>
              <w:adjustRightInd w:val="0"/>
              <w:snapToGrid/>
              <w:spacing w:before="0" w:beforeAutospacing="0" w:after="0" w:afterAutospacing="0" w:line="240" w:lineRule="auto"/>
              <w:ind w:firstLine="0" w:firstLineChars="0"/>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鲁奎山铁矿1</w:t>
            </w:r>
            <w:r>
              <w:rPr>
                <w:rFonts w:hint="default" w:ascii="Times New Roman" w:hAnsi="Times New Roman" w:eastAsia="宋体" w:cs="Times New Roman"/>
                <w:b w:val="0"/>
                <w:bCs/>
                <w:color w:val="auto"/>
                <w:sz w:val="18"/>
                <w:szCs w:val="18"/>
                <w:lang w:val="en-US" w:eastAsia="zh-CN"/>
              </w:rPr>
              <w:t>580</w:t>
            </w:r>
            <w:r>
              <w:rPr>
                <w:rFonts w:hint="default" w:ascii="Times New Roman" w:hAnsi="Times New Roman" w:eastAsia="宋体" w:cs="Times New Roman"/>
                <w:b w:val="0"/>
                <w:bCs/>
                <w:color w:val="auto"/>
                <w:sz w:val="18"/>
                <w:szCs w:val="18"/>
              </w:rPr>
              <w:t>m中段坑道地下水出水点</w:t>
            </w:r>
          </w:p>
        </w:tc>
        <w:tc>
          <w:tcPr>
            <w:tcW w:w="599" w:type="pct"/>
            <w:tcBorders>
              <w:tl2br w:val="nil"/>
              <w:tr2bl w:val="nil"/>
            </w:tcBorders>
            <w:vAlign w:val="center"/>
          </w:tcPr>
          <w:p w14:paraId="7D2D8CDA">
            <w:pPr>
              <w:pStyle w:val="61"/>
              <w:snapToGrid/>
              <w:spacing w:beforeLines="0" w:afterLines="0" w:line="240" w:lineRule="auto"/>
              <w:ind w:left="0" w:leftChars="0" w:firstLine="0" w:firstLineChars="0"/>
              <w:jc w:val="both"/>
              <w:rPr>
                <w:rFonts w:hint="default" w:ascii="Times New Roman" w:hAnsi="Times New Roman" w:eastAsia="宋体" w:cs="Times New Roman"/>
                <w:b w:val="0"/>
                <w:bCs/>
                <w:iCs/>
                <w:color w:val="auto"/>
                <w:kern w:val="2"/>
                <w:sz w:val="18"/>
                <w:szCs w:val="18"/>
              </w:rPr>
            </w:pPr>
            <w:r>
              <w:rPr>
                <w:rFonts w:hint="default" w:ascii="Times New Roman" w:hAnsi="Times New Roman" w:eastAsia="宋体" w:cs="Times New Roman"/>
                <w:b w:val="0"/>
                <w:bCs/>
                <w:iCs/>
                <w:color w:val="auto"/>
                <w:kern w:val="2"/>
                <w:sz w:val="18"/>
                <w:szCs w:val="18"/>
              </w:rPr>
              <w:t>102.202848</w:t>
            </w:r>
          </w:p>
        </w:tc>
        <w:tc>
          <w:tcPr>
            <w:tcW w:w="602" w:type="pct"/>
            <w:tcBorders>
              <w:tl2br w:val="nil"/>
              <w:tr2bl w:val="nil"/>
            </w:tcBorders>
            <w:vAlign w:val="center"/>
          </w:tcPr>
          <w:p w14:paraId="2833B0A8">
            <w:pPr>
              <w:pStyle w:val="61"/>
              <w:snapToGrid/>
              <w:spacing w:beforeLines="0" w:afterLines="0" w:line="240" w:lineRule="auto"/>
              <w:ind w:left="0" w:leftChars="0" w:firstLine="0" w:firstLineChars="0"/>
              <w:jc w:val="both"/>
              <w:rPr>
                <w:rFonts w:hint="default" w:ascii="Times New Roman" w:hAnsi="Times New Roman" w:eastAsia="宋体" w:cs="Times New Roman"/>
                <w:b w:val="0"/>
                <w:bCs/>
                <w:iCs/>
                <w:color w:val="auto"/>
                <w:kern w:val="2"/>
                <w:sz w:val="18"/>
                <w:szCs w:val="18"/>
              </w:rPr>
            </w:pPr>
            <w:r>
              <w:rPr>
                <w:rFonts w:hint="default" w:ascii="Times New Roman" w:hAnsi="Times New Roman" w:eastAsia="宋体" w:cs="Times New Roman"/>
                <w:b w:val="0"/>
                <w:bCs/>
                <w:iCs/>
                <w:color w:val="auto"/>
                <w:kern w:val="2"/>
                <w:sz w:val="18"/>
                <w:szCs w:val="18"/>
              </w:rPr>
              <w:t>23.953516</w:t>
            </w:r>
          </w:p>
        </w:tc>
        <w:tc>
          <w:tcPr>
            <w:tcW w:w="1236" w:type="pct"/>
            <w:tcBorders>
              <w:tl2br w:val="nil"/>
              <w:tr2bl w:val="nil"/>
            </w:tcBorders>
            <w:vAlign w:val="center"/>
          </w:tcPr>
          <w:p w14:paraId="6530484A">
            <w:pPr>
              <w:pStyle w:val="17"/>
              <w:adjustRightInd w:val="0"/>
              <w:snapToGrid/>
              <w:spacing w:before="0" w:beforeAutospacing="0" w:after="0" w:afterAutospacing="0" w:line="240" w:lineRule="auto"/>
              <w:ind w:firstLine="0" w:firstLineChars="0"/>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项目</w:t>
            </w:r>
            <w:r>
              <w:rPr>
                <w:rFonts w:hint="default" w:ascii="Times New Roman" w:hAnsi="Times New Roman" w:eastAsia="宋体" w:cs="Times New Roman"/>
                <w:b w:val="0"/>
                <w:bCs/>
                <w:color w:val="auto"/>
                <w:sz w:val="18"/>
                <w:szCs w:val="18"/>
                <w:lang w:val="en-US" w:eastAsia="zh-CN"/>
              </w:rPr>
              <w:t>东</w:t>
            </w:r>
            <w:r>
              <w:rPr>
                <w:rFonts w:hint="default" w:ascii="Times New Roman" w:hAnsi="Times New Roman" w:cs="Times New Roman"/>
                <w:b w:val="0"/>
                <w:bCs/>
                <w:color w:val="auto"/>
                <w:sz w:val="18"/>
                <w:szCs w:val="18"/>
                <w:lang w:val="en-US" w:eastAsia="zh-CN"/>
              </w:rPr>
              <w:t>南</w:t>
            </w:r>
            <w:r>
              <w:rPr>
                <w:rFonts w:hint="default" w:ascii="Times New Roman" w:hAnsi="Times New Roman" w:eastAsia="宋体" w:cs="Times New Roman"/>
                <w:b w:val="0"/>
                <w:bCs/>
                <w:color w:val="auto"/>
                <w:sz w:val="18"/>
                <w:szCs w:val="18"/>
              </w:rPr>
              <w:t>侧</w:t>
            </w:r>
            <w:r>
              <w:rPr>
                <w:rFonts w:hint="default" w:ascii="Times New Roman" w:hAnsi="Times New Roman" w:cs="Times New Roman"/>
                <w:b w:val="0"/>
                <w:bCs/>
                <w:color w:val="auto"/>
                <w:sz w:val="18"/>
                <w:szCs w:val="18"/>
                <w:lang w:val="en-US" w:eastAsia="zh-CN"/>
              </w:rPr>
              <w:t>7</w:t>
            </w:r>
            <w:r>
              <w:rPr>
                <w:rFonts w:hint="default" w:ascii="Times New Roman" w:hAnsi="Times New Roman" w:eastAsia="宋体" w:cs="Times New Roman"/>
                <w:b w:val="0"/>
                <w:bCs/>
                <w:color w:val="auto"/>
                <w:sz w:val="18"/>
                <w:szCs w:val="18"/>
                <w:lang w:val="en-US" w:eastAsia="zh-CN"/>
              </w:rPr>
              <w:t>00</w:t>
            </w:r>
            <w:r>
              <w:rPr>
                <w:rFonts w:hint="default" w:ascii="Times New Roman" w:hAnsi="Times New Roman" w:eastAsia="宋体" w:cs="Times New Roman"/>
                <w:b w:val="0"/>
                <w:bCs/>
                <w:color w:val="auto"/>
                <w:sz w:val="18"/>
                <w:szCs w:val="18"/>
              </w:rPr>
              <w:t>m；</w:t>
            </w:r>
            <w:r>
              <w:rPr>
                <w:rFonts w:hint="default" w:ascii="Times New Roman" w:hAnsi="Times New Roman" w:eastAsia="宋体" w:cs="Times New Roman"/>
                <w:b w:val="0"/>
                <w:bCs/>
                <w:color w:val="auto"/>
                <w:sz w:val="18"/>
                <w:szCs w:val="18"/>
                <w:lang w:val="en-US" w:eastAsia="zh-CN"/>
              </w:rPr>
              <w:t>侧游</w:t>
            </w:r>
            <w:r>
              <w:rPr>
                <w:rFonts w:hint="default" w:ascii="Times New Roman" w:hAnsi="Times New Roman" w:eastAsia="宋体" w:cs="Times New Roman"/>
                <w:b w:val="0"/>
                <w:bCs/>
                <w:color w:val="auto"/>
                <w:sz w:val="18"/>
                <w:szCs w:val="18"/>
              </w:rPr>
              <w:t>关心点</w:t>
            </w:r>
          </w:p>
        </w:tc>
        <w:tc>
          <w:tcPr>
            <w:tcW w:w="852" w:type="pct"/>
            <w:tcBorders>
              <w:tl2br w:val="nil"/>
              <w:tr2bl w:val="nil"/>
            </w:tcBorders>
            <w:vAlign w:val="center"/>
          </w:tcPr>
          <w:p w14:paraId="66886C9C">
            <w:pPr>
              <w:pStyle w:val="17"/>
              <w:adjustRightInd w:val="0"/>
              <w:snapToGrid/>
              <w:spacing w:before="0" w:beforeAutospacing="0" w:after="0" w:afterAutospacing="0" w:line="240" w:lineRule="auto"/>
              <w:ind w:firstLine="0" w:firstLineChars="0"/>
              <w:jc w:val="center"/>
              <w:rPr>
                <w:rFonts w:hint="default" w:ascii="Times New Roman" w:hAnsi="Times New Roman" w:eastAsia="宋体" w:cs="Times New Roman"/>
                <w:b w:val="0"/>
                <w:bCs/>
                <w:color w:val="auto"/>
                <w:sz w:val="18"/>
                <w:szCs w:val="18"/>
                <w:lang w:val="en-US" w:eastAsia="zh-CN"/>
              </w:rPr>
            </w:pPr>
            <w:r>
              <w:rPr>
                <w:rFonts w:hint="default" w:ascii="Times New Roman" w:hAnsi="Times New Roman" w:cs="Times New Roman"/>
                <w:color w:val="auto"/>
                <w:sz w:val="18"/>
                <w:szCs w:val="18"/>
              </w:rPr>
              <w:t>+1580</w:t>
            </w:r>
          </w:p>
        </w:tc>
      </w:tr>
      <w:tr w14:paraId="76B54E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17" w:hRule="atLeast"/>
          <w:jc w:val="center"/>
        </w:trPr>
        <w:tc>
          <w:tcPr>
            <w:tcW w:w="548" w:type="pct"/>
            <w:vMerge w:val="continue"/>
            <w:tcBorders>
              <w:tl2br w:val="nil"/>
              <w:tr2bl w:val="nil"/>
            </w:tcBorders>
            <w:vAlign w:val="center"/>
          </w:tcPr>
          <w:p w14:paraId="0141C67B">
            <w:pPr>
              <w:pStyle w:val="17"/>
              <w:adjustRightInd w:val="0"/>
              <w:snapToGrid/>
              <w:spacing w:before="0" w:beforeAutospacing="0" w:after="0" w:afterAutospacing="0" w:line="240" w:lineRule="auto"/>
              <w:ind w:firstLine="0" w:firstLineChars="0"/>
              <w:jc w:val="center"/>
              <w:rPr>
                <w:rFonts w:hint="default" w:ascii="Times New Roman" w:hAnsi="Times New Roman" w:cs="Times New Roman" w:eastAsiaTheme="minorEastAsia"/>
                <w:color w:val="auto"/>
                <w:sz w:val="18"/>
                <w:szCs w:val="18"/>
              </w:rPr>
            </w:pPr>
          </w:p>
        </w:tc>
        <w:tc>
          <w:tcPr>
            <w:tcW w:w="371" w:type="pct"/>
            <w:tcBorders>
              <w:tl2br w:val="nil"/>
              <w:tr2bl w:val="nil"/>
            </w:tcBorders>
            <w:vAlign w:val="center"/>
          </w:tcPr>
          <w:p w14:paraId="60104074">
            <w:pPr>
              <w:pStyle w:val="17"/>
              <w:adjustRightInd w:val="0"/>
              <w:snapToGrid/>
              <w:spacing w:before="0" w:beforeAutospacing="0" w:after="0" w:afterAutospacing="0" w:line="240" w:lineRule="auto"/>
              <w:ind w:firstLine="0" w:firstLineChars="0"/>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3#</w:t>
            </w:r>
          </w:p>
        </w:tc>
        <w:tc>
          <w:tcPr>
            <w:tcW w:w="787" w:type="pct"/>
            <w:tcBorders>
              <w:tl2br w:val="nil"/>
              <w:tr2bl w:val="nil"/>
            </w:tcBorders>
            <w:vAlign w:val="center"/>
          </w:tcPr>
          <w:p w14:paraId="2098FF80">
            <w:pPr>
              <w:pStyle w:val="17"/>
              <w:adjustRightInd w:val="0"/>
              <w:snapToGrid/>
              <w:spacing w:before="0" w:beforeAutospacing="0" w:after="0" w:afterAutospacing="0" w:line="240" w:lineRule="auto"/>
              <w:ind w:firstLine="0" w:firstLineChars="0"/>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鲁奎山西南侧泉水点</w:t>
            </w:r>
          </w:p>
        </w:tc>
        <w:tc>
          <w:tcPr>
            <w:tcW w:w="599" w:type="pct"/>
            <w:tcBorders>
              <w:tl2br w:val="nil"/>
              <w:tr2bl w:val="nil"/>
            </w:tcBorders>
            <w:vAlign w:val="center"/>
          </w:tcPr>
          <w:p w14:paraId="57F1A352">
            <w:pPr>
              <w:pStyle w:val="47"/>
              <w:snapToGrid/>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102.198101</w:t>
            </w:r>
          </w:p>
        </w:tc>
        <w:tc>
          <w:tcPr>
            <w:tcW w:w="602" w:type="pct"/>
            <w:tcBorders>
              <w:tl2br w:val="nil"/>
              <w:tr2bl w:val="nil"/>
            </w:tcBorders>
            <w:vAlign w:val="center"/>
          </w:tcPr>
          <w:p w14:paraId="76396802">
            <w:pPr>
              <w:pStyle w:val="47"/>
              <w:snapToGrid/>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23.948170</w:t>
            </w:r>
          </w:p>
        </w:tc>
        <w:tc>
          <w:tcPr>
            <w:tcW w:w="1236" w:type="pct"/>
            <w:tcBorders>
              <w:tl2br w:val="nil"/>
              <w:tr2bl w:val="nil"/>
            </w:tcBorders>
            <w:vAlign w:val="center"/>
          </w:tcPr>
          <w:p w14:paraId="0EEDF33B">
            <w:pPr>
              <w:pStyle w:val="17"/>
              <w:adjustRightInd w:val="0"/>
              <w:snapToGrid/>
              <w:spacing w:before="0" w:beforeAutospacing="0" w:after="0" w:afterAutospacing="0" w:line="240" w:lineRule="auto"/>
              <w:ind w:firstLine="0" w:firstLineChars="0"/>
              <w:jc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项目南侧</w:t>
            </w:r>
            <w:r>
              <w:rPr>
                <w:rFonts w:hint="default" w:ascii="Times New Roman" w:hAnsi="Times New Roman" w:eastAsia="宋体" w:cs="Times New Roman"/>
                <w:b w:val="0"/>
                <w:bCs/>
                <w:color w:val="auto"/>
                <w:sz w:val="18"/>
                <w:szCs w:val="18"/>
                <w:lang w:val="en-US" w:eastAsia="zh-CN"/>
              </w:rPr>
              <w:t>1000</w:t>
            </w:r>
            <w:r>
              <w:rPr>
                <w:rFonts w:hint="default" w:ascii="Times New Roman" w:hAnsi="Times New Roman" w:eastAsia="宋体" w:cs="Times New Roman"/>
                <w:b w:val="0"/>
                <w:bCs/>
                <w:color w:val="auto"/>
                <w:sz w:val="18"/>
                <w:szCs w:val="18"/>
              </w:rPr>
              <w:t>m；下游关心点</w:t>
            </w:r>
          </w:p>
        </w:tc>
        <w:tc>
          <w:tcPr>
            <w:tcW w:w="852" w:type="pct"/>
            <w:tcBorders>
              <w:tl2br w:val="nil"/>
              <w:tr2bl w:val="nil"/>
            </w:tcBorders>
            <w:vAlign w:val="center"/>
          </w:tcPr>
          <w:p w14:paraId="0498EBB0">
            <w:pPr>
              <w:pStyle w:val="17"/>
              <w:adjustRightInd w:val="0"/>
              <w:snapToGrid/>
              <w:spacing w:before="0" w:beforeAutospacing="0" w:after="0" w:afterAutospacing="0" w:line="240" w:lineRule="auto"/>
              <w:ind w:firstLine="0" w:firstLineChars="0"/>
              <w:jc w:val="center"/>
              <w:rPr>
                <w:rFonts w:hint="default" w:ascii="Times New Roman" w:hAnsi="Times New Roman" w:eastAsia="宋体" w:cs="Times New Roman"/>
                <w:b w:val="0"/>
                <w:bCs/>
                <w:color w:val="auto"/>
                <w:sz w:val="18"/>
                <w:szCs w:val="18"/>
                <w:lang w:val="en-US" w:eastAsia="zh-CN"/>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424</w:t>
            </w:r>
          </w:p>
        </w:tc>
      </w:tr>
    </w:tbl>
    <w:p w14:paraId="78C2F231">
      <w:pPr>
        <w:pStyle w:val="7"/>
        <w:spacing w:before="0" w:after="0"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.2.3.2 监测项目</w:t>
      </w:r>
    </w:p>
    <w:p w14:paraId="7605CF14">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①八大离子：K</w:t>
      </w:r>
      <w:r>
        <w:rPr>
          <w:rFonts w:hint="default" w:ascii="Times New Roman" w:hAnsi="Times New Roman" w:cs="Times New Roman" w:eastAsiaTheme="minorEastAsia"/>
          <w:sz w:val="24"/>
          <w:szCs w:val="24"/>
          <w:vertAlign w:val="superscript"/>
        </w:rPr>
        <w:t>+</w:t>
      </w:r>
      <w:r>
        <w:rPr>
          <w:rFonts w:hint="default" w:ascii="Times New Roman" w:hAnsi="Times New Roman" w:cs="Times New Roman" w:eastAsiaTheme="minorEastAsia"/>
          <w:sz w:val="24"/>
          <w:szCs w:val="24"/>
        </w:rPr>
        <w:t>、Na</w:t>
      </w:r>
      <w:r>
        <w:rPr>
          <w:rFonts w:hint="default" w:ascii="Times New Roman" w:hAnsi="Times New Roman" w:cs="Times New Roman" w:eastAsiaTheme="minorEastAsia"/>
          <w:sz w:val="24"/>
          <w:szCs w:val="24"/>
          <w:vertAlign w:val="superscript"/>
        </w:rPr>
        <w:t>+</w:t>
      </w:r>
      <w:r>
        <w:rPr>
          <w:rFonts w:hint="default" w:ascii="Times New Roman" w:hAnsi="Times New Roman" w:cs="Times New Roman" w:eastAsiaTheme="minorEastAsia"/>
          <w:sz w:val="24"/>
          <w:szCs w:val="24"/>
        </w:rPr>
        <w:t>、Ca</w:t>
      </w:r>
      <w:r>
        <w:rPr>
          <w:rFonts w:hint="default" w:ascii="Times New Roman" w:hAnsi="Times New Roman" w:cs="Times New Roman" w:eastAsiaTheme="minorEastAsia"/>
          <w:sz w:val="24"/>
          <w:szCs w:val="24"/>
          <w:vertAlign w:val="superscript"/>
        </w:rPr>
        <w:t>2+</w:t>
      </w:r>
      <w:r>
        <w:rPr>
          <w:rFonts w:hint="default" w:ascii="Times New Roman" w:hAnsi="Times New Roman" w:cs="Times New Roman" w:eastAsiaTheme="minorEastAsia"/>
          <w:sz w:val="24"/>
          <w:szCs w:val="24"/>
        </w:rPr>
        <w:t>、Mg</w:t>
      </w:r>
      <w:r>
        <w:rPr>
          <w:rFonts w:hint="default" w:ascii="Times New Roman" w:hAnsi="Times New Roman" w:cs="Times New Roman" w:eastAsiaTheme="minorEastAsia"/>
          <w:sz w:val="24"/>
          <w:szCs w:val="24"/>
          <w:vertAlign w:val="superscript"/>
        </w:rPr>
        <w:t>2+</w:t>
      </w:r>
      <w:r>
        <w:rPr>
          <w:rFonts w:hint="default" w:ascii="Times New Roman" w:hAnsi="Times New Roman" w:cs="Times New Roman" w:eastAsiaTheme="minorEastAsia"/>
          <w:sz w:val="24"/>
          <w:szCs w:val="24"/>
        </w:rPr>
        <w:t>、CO</w:t>
      </w:r>
      <w:r>
        <w:rPr>
          <w:rFonts w:hint="default" w:ascii="Times New Roman" w:hAnsi="Times New Roman" w:cs="Times New Roman" w:eastAsiaTheme="minorEastAsia"/>
          <w:sz w:val="24"/>
          <w:szCs w:val="24"/>
          <w:vertAlign w:val="subscript"/>
        </w:rPr>
        <w:t>3</w:t>
      </w:r>
      <w:r>
        <w:rPr>
          <w:rFonts w:hint="default" w:ascii="Times New Roman" w:hAnsi="Times New Roman" w:cs="Times New Roman" w:eastAsiaTheme="minorEastAsia"/>
          <w:sz w:val="24"/>
          <w:szCs w:val="24"/>
          <w:vertAlign w:val="superscript"/>
        </w:rPr>
        <w:t>2-</w:t>
      </w:r>
      <w:r>
        <w:rPr>
          <w:rFonts w:hint="default" w:ascii="Times New Roman" w:hAnsi="Times New Roman" w:cs="Times New Roman" w:eastAsiaTheme="minorEastAsia"/>
          <w:sz w:val="24"/>
          <w:szCs w:val="24"/>
        </w:rPr>
        <w:t>、HCO</w:t>
      </w:r>
      <w:r>
        <w:rPr>
          <w:rFonts w:hint="default" w:ascii="Times New Roman" w:hAnsi="Times New Roman" w:cs="Times New Roman" w:eastAsiaTheme="minorEastAsia"/>
          <w:sz w:val="24"/>
          <w:szCs w:val="24"/>
          <w:vertAlign w:val="subscript"/>
        </w:rPr>
        <w:t>3</w:t>
      </w:r>
      <w:r>
        <w:rPr>
          <w:rFonts w:hint="default" w:ascii="Times New Roman" w:hAnsi="Times New Roman" w:cs="Times New Roman" w:eastAsiaTheme="minorEastAsia"/>
          <w:sz w:val="24"/>
          <w:szCs w:val="24"/>
          <w:vertAlign w:val="superscript"/>
        </w:rPr>
        <w:t>-</w:t>
      </w:r>
      <w:r>
        <w:rPr>
          <w:rFonts w:hint="default" w:ascii="Times New Roman" w:hAnsi="Times New Roman" w:cs="Times New Roman" w:eastAsiaTheme="minorEastAsia"/>
          <w:sz w:val="24"/>
          <w:szCs w:val="24"/>
        </w:rPr>
        <w:t>、Cl</w:t>
      </w:r>
      <w:r>
        <w:rPr>
          <w:rFonts w:hint="default" w:ascii="Times New Roman" w:hAnsi="Times New Roman" w:cs="Times New Roman" w:eastAsiaTheme="minorEastAsia"/>
          <w:sz w:val="24"/>
          <w:szCs w:val="24"/>
          <w:vertAlign w:val="superscript"/>
        </w:rPr>
        <w:t>-</w:t>
      </w:r>
      <w:r>
        <w:rPr>
          <w:rFonts w:hint="default" w:ascii="Times New Roman" w:hAnsi="Times New Roman" w:cs="Times New Roman" w:eastAsiaTheme="minorEastAsia"/>
          <w:sz w:val="24"/>
          <w:szCs w:val="24"/>
        </w:rPr>
        <w:t>、SO</w:t>
      </w:r>
      <w:r>
        <w:rPr>
          <w:rFonts w:hint="default" w:ascii="Times New Roman" w:hAnsi="Times New Roman" w:cs="Times New Roman" w:eastAsiaTheme="minorEastAsia"/>
          <w:sz w:val="24"/>
          <w:szCs w:val="24"/>
          <w:vertAlign w:val="subscript"/>
        </w:rPr>
        <w:t>4</w:t>
      </w:r>
      <w:r>
        <w:rPr>
          <w:rFonts w:hint="default" w:ascii="Times New Roman" w:hAnsi="Times New Roman" w:cs="Times New Roman" w:eastAsiaTheme="minorEastAsia"/>
          <w:sz w:val="24"/>
          <w:szCs w:val="24"/>
          <w:vertAlign w:val="superscript"/>
        </w:rPr>
        <w:t>2-</w:t>
      </w:r>
      <w:r>
        <w:rPr>
          <w:rFonts w:hint="default" w:ascii="Times New Roman" w:hAnsi="Times New Roman" w:cs="Times New Roman" w:eastAsiaTheme="minorEastAsia"/>
          <w:sz w:val="24"/>
          <w:szCs w:val="24"/>
        </w:rPr>
        <w:t>。</w:t>
      </w:r>
    </w:p>
    <w:p w14:paraId="697C1F39">
      <w:pPr>
        <w:pStyle w:val="39"/>
        <w:spacing w:line="360" w:lineRule="auto"/>
        <w:ind w:firstLine="48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sz w:val="24"/>
          <w:szCs w:val="24"/>
        </w:rPr>
        <w:t>②水质因子：pH、氨氮、耗氧量（COD</w:t>
      </w:r>
      <w:r>
        <w:rPr>
          <w:rFonts w:hint="default" w:ascii="Times New Roman" w:hAnsi="Times New Roman" w:cs="Times New Roman" w:eastAsiaTheme="minorEastAsia"/>
          <w:sz w:val="24"/>
          <w:szCs w:val="24"/>
          <w:vertAlign w:val="subscript"/>
        </w:rPr>
        <w:t>Mn</w:t>
      </w:r>
      <w:r>
        <w:rPr>
          <w:rFonts w:hint="default" w:ascii="Times New Roman" w:hAnsi="Times New Roman" w:cs="Times New Roman" w:eastAsiaTheme="minorEastAsia"/>
          <w:sz w:val="24"/>
          <w:szCs w:val="24"/>
        </w:rPr>
        <w:t>）、硝酸盐、亚硝酸盐、挥发性酚类、氰化物、砷、汞、铬</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六价</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color w:val="auto"/>
          <w:sz w:val="24"/>
          <w:szCs w:val="24"/>
        </w:rPr>
        <w:t>总硬度、铅、镉、铁、锰、溶解性总固体、高锰酸盐指数、硫酸盐、氯化物、总大肠菌群、细菌总数、氟化物。</w:t>
      </w:r>
      <w:r>
        <w:rPr>
          <w:rFonts w:hint="default" w:ascii="Times New Roman" w:hAnsi="Times New Roman" w:cs="Times New Roman" w:eastAsiaTheme="minorEastAsia"/>
          <w:color w:val="auto"/>
          <w:sz w:val="24"/>
          <w:szCs w:val="24"/>
          <w:lang w:val="en-US" w:eastAsia="zh-CN"/>
        </w:rPr>
        <w:t>镍、铊、石油类。</w:t>
      </w:r>
    </w:p>
    <w:p w14:paraId="6581ABDF">
      <w:pPr>
        <w:pStyle w:val="7"/>
        <w:spacing w:before="0" w:after="0" w:line="360" w:lineRule="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.2.3.3 监测时间和频率</w:t>
      </w:r>
    </w:p>
    <w:p w14:paraId="5F234E2B">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监测频次：采样方法及样品分析方法均按国家环保总局颁布的技术规范及有关规定执行。监测1天，每个监测点取1个混合样。采样日期为</w:t>
      </w:r>
      <w:r>
        <w:rPr>
          <w:rFonts w:hint="default" w:ascii="Times New Roman" w:hAnsi="Times New Roman" w:eastAsia="宋体" w:cs="Times New Roman"/>
          <w:color w:val="auto"/>
          <w:sz w:val="24"/>
          <w:szCs w:val="24"/>
          <w:lang w:val="en-US" w:eastAsia="zh-CN" w:bidi="ar-SA"/>
        </w:rPr>
        <w:t>2024年6月23日。</w:t>
      </w:r>
      <w:r>
        <w:rPr>
          <w:rFonts w:hint="default" w:ascii="Times New Roman" w:hAnsi="Times New Roman" w:cs="Times New Roman"/>
          <w:color w:val="auto"/>
          <w:sz w:val="24"/>
          <w:szCs w:val="24"/>
          <w:lang w:val="en-US" w:eastAsia="zh-CN" w:bidi="ar-SA"/>
        </w:rPr>
        <w:t>补充监测采样日期为</w:t>
      </w:r>
      <w:r>
        <w:rPr>
          <w:rFonts w:hint="default" w:ascii="Times New Roman" w:hAnsi="Times New Roman" w:eastAsia="宋体" w:cs="Times New Roman"/>
          <w:color w:val="auto"/>
          <w:sz w:val="24"/>
          <w:szCs w:val="24"/>
          <w:lang w:val="en-US" w:eastAsia="zh-CN" w:bidi="ar-SA"/>
        </w:rPr>
        <w:t>2024</w:t>
      </w:r>
      <w:r>
        <w:rPr>
          <w:rFonts w:hint="default" w:ascii="Times New Roman" w:hAnsi="Times New Roman" w:cs="Times New Roman"/>
          <w:color w:val="auto"/>
          <w:sz w:val="24"/>
          <w:szCs w:val="24"/>
          <w:lang w:val="en-US" w:eastAsia="zh-CN" w:bidi="ar-SA"/>
        </w:rPr>
        <w:t>年</w:t>
      </w:r>
      <w:r>
        <w:rPr>
          <w:rFonts w:hint="default" w:ascii="Times New Roman" w:hAnsi="Times New Roman" w:eastAsia="宋体" w:cs="Times New Roman"/>
          <w:color w:val="auto"/>
          <w:sz w:val="24"/>
          <w:szCs w:val="24"/>
          <w:lang w:val="en-US" w:eastAsia="zh-CN" w:bidi="ar-SA"/>
        </w:rPr>
        <w:t>10</w:t>
      </w:r>
      <w:r>
        <w:rPr>
          <w:rFonts w:hint="default" w:ascii="Times New Roman" w:hAnsi="Times New Roman" w:cs="Times New Roman"/>
          <w:color w:val="auto"/>
          <w:sz w:val="24"/>
          <w:szCs w:val="24"/>
          <w:lang w:val="en-US" w:eastAsia="zh-CN" w:bidi="ar-SA"/>
        </w:rPr>
        <w:t>月</w:t>
      </w:r>
      <w:r>
        <w:rPr>
          <w:rFonts w:hint="default" w:ascii="Times New Roman" w:hAnsi="Times New Roman" w:eastAsia="宋体" w:cs="Times New Roman"/>
          <w:color w:val="auto"/>
          <w:sz w:val="24"/>
          <w:szCs w:val="24"/>
          <w:lang w:val="en-US" w:eastAsia="zh-CN" w:bidi="ar-SA"/>
        </w:rPr>
        <w:t>18</w:t>
      </w:r>
      <w:r>
        <w:rPr>
          <w:rFonts w:hint="default" w:ascii="Times New Roman" w:hAnsi="Times New Roman" w:cs="Times New Roman"/>
          <w:color w:val="auto"/>
          <w:sz w:val="24"/>
          <w:szCs w:val="24"/>
          <w:lang w:val="en-US" w:eastAsia="zh-CN" w:bidi="ar-SA"/>
        </w:rPr>
        <w:t>日。</w:t>
      </w:r>
    </w:p>
    <w:p w14:paraId="1B972E1A">
      <w:pPr>
        <w:pStyle w:val="7"/>
        <w:spacing w:before="0" w:after="0" w:line="360" w:lineRule="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.2.3.4 监测结果</w:t>
      </w:r>
    </w:p>
    <w:p w14:paraId="7AB53006">
      <w:pPr>
        <w:pStyle w:val="39"/>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1、水质监测结果</w:t>
      </w:r>
    </w:p>
    <w:p w14:paraId="7D4247D6">
      <w:pPr>
        <w:pStyle w:val="39"/>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地下水水质监测结果见下表。</w:t>
      </w:r>
    </w:p>
    <w:p w14:paraId="18553351">
      <w:pPr>
        <w:spacing w:line="360" w:lineRule="auto"/>
        <w:jc w:val="center"/>
        <w:rPr>
          <w:rFonts w:hint="default" w:ascii="Times New Roman" w:hAnsi="Times New Roman" w:eastAsia="黑体" w:cs="Times New Roman"/>
          <w:b w:val="0"/>
          <w:bCs w:val="0"/>
          <w:color w:val="auto"/>
          <w:sz w:val="21"/>
          <w:szCs w:val="21"/>
        </w:rPr>
      </w:pPr>
      <w:r>
        <w:rPr>
          <w:rFonts w:hint="default" w:ascii="Times New Roman" w:hAnsi="Times New Roman" w:eastAsia="黑体" w:cs="Times New Roman"/>
          <w:b w:val="0"/>
          <w:bCs w:val="0"/>
          <w:color w:val="auto"/>
          <w:sz w:val="21"/>
          <w:szCs w:val="21"/>
        </w:rPr>
        <w:t>表4.2</w:t>
      </w:r>
      <w:r>
        <w:rPr>
          <w:rFonts w:hint="default" w:ascii="Times New Roman" w:hAnsi="Times New Roman" w:eastAsia="黑体" w:cs="Times New Roman"/>
          <w:b w:val="0"/>
          <w:bCs w:val="0"/>
          <w:color w:val="auto"/>
          <w:sz w:val="21"/>
          <w:szCs w:val="21"/>
          <w:lang w:val="en-US" w:eastAsia="zh-CN"/>
        </w:rPr>
        <w:t>.3</w:t>
      </w:r>
      <w:r>
        <w:rPr>
          <w:rFonts w:hint="default" w:ascii="Times New Roman" w:hAnsi="Times New Roman" w:eastAsia="黑体" w:cs="Times New Roman"/>
          <w:b w:val="0"/>
          <w:bCs w:val="0"/>
          <w:color w:val="auto"/>
          <w:sz w:val="21"/>
          <w:szCs w:val="21"/>
        </w:rPr>
        <w:t>-</w:t>
      </w:r>
      <w:r>
        <w:rPr>
          <w:rFonts w:hint="default" w:ascii="Times New Roman" w:hAnsi="Times New Roman" w:eastAsia="黑体" w:cs="Times New Roman"/>
          <w:b w:val="0"/>
          <w:bCs w:val="0"/>
          <w:color w:val="auto"/>
          <w:sz w:val="21"/>
          <w:szCs w:val="21"/>
          <w:lang w:val="en-US" w:eastAsia="zh-CN"/>
        </w:rPr>
        <w:t>2</w:t>
      </w:r>
      <w:r>
        <w:rPr>
          <w:rFonts w:hint="default" w:ascii="Times New Roman" w:hAnsi="Times New Roman" w:eastAsia="黑体" w:cs="Times New Roman"/>
          <w:b w:val="0"/>
          <w:bCs w:val="0"/>
          <w:color w:val="auto"/>
          <w:sz w:val="21"/>
          <w:szCs w:val="21"/>
        </w:rPr>
        <w:t xml:space="preserve">  地下水监测结果</w:t>
      </w:r>
    </w:p>
    <w:tbl>
      <w:tblPr>
        <w:tblStyle w:val="29"/>
        <w:tblW w:w="4996"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19"/>
        <w:gridCol w:w="1297"/>
        <w:gridCol w:w="1297"/>
        <w:gridCol w:w="1175"/>
        <w:gridCol w:w="1177"/>
        <w:gridCol w:w="1890"/>
        <w:gridCol w:w="826"/>
      </w:tblGrid>
      <w:tr w14:paraId="42A696D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0"/>
            <w:vAlign w:val="center"/>
          </w:tcPr>
          <w:p w14:paraId="0D22E38F">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项目</w:t>
            </w:r>
          </w:p>
        </w:tc>
        <w:tc>
          <w:tcPr>
            <w:tcW w:w="699" w:type="pct"/>
            <w:noWrap w:val="0"/>
            <w:vAlign w:val="center"/>
          </w:tcPr>
          <w:p w14:paraId="1F52BB49">
            <w:pPr>
              <w:widowControl/>
              <w:spacing w:line="240" w:lineRule="auto"/>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监测点</w:t>
            </w:r>
          </w:p>
        </w:tc>
        <w:tc>
          <w:tcPr>
            <w:tcW w:w="699" w:type="pct"/>
            <w:noWrap w:val="0"/>
            <w:vAlign w:val="center"/>
          </w:tcPr>
          <w:p w14:paraId="16AA1461">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监测点</w:t>
            </w:r>
          </w:p>
        </w:tc>
        <w:tc>
          <w:tcPr>
            <w:tcW w:w="633" w:type="pct"/>
            <w:noWrap w:val="0"/>
            <w:vAlign w:val="center"/>
          </w:tcPr>
          <w:p w14:paraId="45904F43">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监测点</w:t>
            </w:r>
          </w:p>
        </w:tc>
        <w:tc>
          <w:tcPr>
            <w:tcW w:w="634" w:type="pct"/>
            <w:noWrap w:val="0"/>
            <w:vAlign w:val="center"/>
          </w:tcPr>
          <w:p w14:paraId="26F5313D">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单位</w:t>
            </w:r>
          </w:p>
        </w:tc>
        <w:tc>
          <w:tcPr>
            <w:tcW w:w="1018" w:type="pct"/>
            <w:noWrap w:val="0"/>
            <w:vAlign w:val="center"/>
          </w:tcPr>
          <w:p w14:paraId="54F3885D">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标准值</w:t>
            </w:r>
          </w:p>
        </w:tc>
        <w:tc>
          <w:tcPr>
            <w:tcW w:w="441" w:type="pct"/>
            <w:noWrap w:val="0"/>
            <w:vAlign w:val="center"/>
          </w:tcPr>
          <w:p w14:paraId="5D031410">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达标情况</w:t>
            </w:r>
          </w:p>
        </w:tc>
      </w:tr>
      <w:tr w14:paraId="1B75E34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18C9164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pH</w:t>
            </w:r>
          </w:p>
        </w:tc>
        <w:tc>
          <w:tcPr>
            <w:tcW w:w="699" w:type="pct"/>
            <w:noWrap/>
            <w:vAlign w:val="center"/>
          </w:tcPr>
          <w:p w14:paraId="352B56A1">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7.82</w:t>
            </w:r>
          </w:p>
        </w:tc>
        <w:tc>
          <w:tcPr>
            <w:tcW w:w="699" w:type="pct"/>
            <w:noWrap/>
            <w:vAlign w:val="center"/>
          </w:tcPr>
          <w:p w14:paraId="32027B3F">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i w:val="0"/>
                <w:iCs w:val="0"/>
                <w:color w:val="000000"/>
                <w:sz w:val="18"/>
                <w:szCs w:val="18"/>
                <w:u w:val="none"/>
                <w:lang w:val="en-US" w:eastAsia="zh-CN" w:bidi="ar-SA"/>
              </w:rPr>
              <w:t>7.89</w:t>
            </w:r>
          </w:p>
        </w:tc>
        <w:tc>
          <w:tcPr>
            <w:tcW w:w="633" w:type="pct"/>
            <w:noWrap/>
            <w:vAlign w:val="center"/>
          </w:tcPr>
          <w:p w14:paraId="1007082C">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i w:val="0"/>
                <w:iCs w:val="0"/>
                <w:color w:val="000000"/>
                <w:sz w:val="18"/>
                <w:szCs w:val="18"/>
                <w:u w:val="none"/>
                <w:lang w:val="en-US" w:eastAsia="zh-CN" w:bidi="ar-SA"/>
              </w:rPr>
              <w:t>7.32</w:t>
            </w:r>
          </w:p>
        </w:tc>
        <w:tc>
          <w:tcPr>
            <w:tcW w:w="634" w:type="pct"/>
            <w:noWrap/>
            <w:vAlign w:val="center"/>
          </w:tcPr>
          <w:p w14:paraId="0FB46F7F">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无量纲</w:t>
            </w:r>
          </w:p>
        </w:tc>
        <w:tc>
          <w:tcPr>
            <w:tcW w:w="1018" w:type="pct"/>
            <w:noWrap/>
            <w:vAlign w:val="center"/>
          </w:tcPr>
          <w:p w14:paraId="761F0D93">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6.5-8.5</w:t>
            </w:r>
          </w:p>
        </w:tc>
        <w:tc>
          <w:tcPr>
            <w:tcW w:w="441" w:type="pct"/>
            <w:noWrap/>
            <w:vAlign w:val="center"/>
          </w:tcPr>
          <w:p w14:paraId="66F62499">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3738D95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610FD382">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K</w:t>
            </w:r>
            <w:r>
              <w:rPr>
                <w:rFonts w:hint="default" w:ascii="Times New Roman" w:hAnsi="Times New Roman" w:cs="Times New Roman"/>
                <w:color w:val="auto"/>
                <w:sz w:val="18"/>
                <w:szCs w:val="18"/>
                <w:highlight w:val="none"/>
                <w:vertAlign w:val="superscript"/>
              </w:rPr>
              <w:t>+</w:t>
            </w:r>
          </w:p>
        </w:tc>
        <w:tc>
          <w:tcPr>
            <w:tcW w:w="699" w:type="pct"/>
            <w:noWrap/>
            <w:vAlign w:val="center"/>
          </w:tcPr>
          <w:p w14:paraId="6CC7F65D">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8.54</w:t>
            </w:r>
          </w:p>
        </w:tc>
        <w:tc>
          <w:tcPr>
            <w:tcW w:w="699" w:type="pct"/>
            <w:noWrap/>
            <w:vAlign w:val="center"/>
          </w:tcPr>
          <w:p w14:paraId="31DB9725">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highlight w:val="none"/>
                <w:lang w:val="en-US" w:eastAsia="zh-CN"/>
              </w:rPr>
              <w:t>6.51</w:t>
            </w:r>
          </w:p>
        </w:tc>
        <w:tc>
          <w:tcPr>
            <w:tcW w:w="633" w:type="pct"/>
            <w:noWrap/>
            <w:vAlign w:val="center"/>
          </w:tcPr>
          <w:p w14:paraId="2855C673">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highlight w:val="none"/>
                <w:lang w:val="en-US" w:eastAsia="zh-CN"/>
              </w:rPr>
              <w:t>5.09</w:t>
            </w:r>
          </w:p>
        </w:tc>
        <w:tc>
          <w:tcPr>
            <w:tcW w:w="634" w:type="pct"/>
            <w:noWrap/>
            <w:vAlign w:val="center"/>
          </w:tcPr>
          <w:p w14:paraId="004C245E">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333DC337">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441" w:type="pct"/>
            <w:noWrap/>
            <w:vAlign w:val="center"/>
          </w:tcPr>
          <w:p w14:paraId="5DB67888">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r>
      <w:tr w14:paraId="3973ED9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6D66B4E0">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Na</w:t>
            </w:r>
            <w:r>
              <w:rPr>
                <w:rFonts w:hint="default" w:ascii="Times New Roman" w:hAnsi="Times New Roman" w:cs="Times New Roman"/>
                <w:color w:val="auto"/>
                <w:sz w:val="18"/>
                <w:szCs w:val="18"/>
                <w:highlight w:val="none"/>
                <w:vertAlign w:val="superscript"/>
              </w:rPr>
              <w:t>+</w:t>
            </w:r>
          </w:p>
        </w:tc>
        <w:tc>
          <w:tcPr>
            <w:tcW w:w="699" w:type="pct"/>
            <w:noWrap/>
            <w:vAlign w:val="center"/>
          </w:tcPr>
          <w:p w14:paraId="4720AA42">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32.4</w:t>
            </w:r>
          </w:p>
        </w:tc>
        <w:tc>
          <w:tcPr>
            <w:tcW w:w="699" w:type="pct"/>
            <w:noWrap/>
            <w:vAlign w:val="center"/>
          </w:tcPr>
          <w:p w14:paraId="15FF5BFD">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rPr>
              <w:t>14.0</w:t>
            </w:r>
          </w:p>
        </w:tc>
        <w:tc>
          <w:tcPr>
            <w:tcW w:w="633" w:type="pct"/>
            <w:noWrap/>
            <w:vAlign w:val="center"/>
          </w:tcPr>
          <w:p w14:paraId="0C9F60DF">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rPr>
              <w:t>23.2</w:t>
            </w:r>
          </w:p>
        </w:tc>
        <w:tc>
          <w:tcPr>
            <w:tcW w:w="634" w:type="pct"/>
            <w:noWrap/>
            <w:vAlign w:val="center"/>
          </w:tcPr>
          <w:p w14:paraId="4C99FE0B">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601C6E7C">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441" w:type="pct"/>
            <w:noWrap/>
            <w:vAlign w:val="center"/>
          </w:tcPr>
          <w:p w14:paraId="75268603">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r>
      <w:tr w14:paraId="611AD49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0CA373D8">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Ca</w:t>
            </w:r>
            <w:r>
              <w:rPr>
                <w:rFonts w:hint="default" w:ascii="Times New Roman" w:hAnsi="Times New Roman" w:cs="Times New Roman"/>
                <w:color w:val="auto"/>
                <w:sz w:val="18"/>
                <w:szCs w:val="18"/>
                <w:highlight w:val="none"/>
                <w:vertAlign w:val="superscript"/>
              </w:rPr>
              <w:t>2+</w:t>
            </w:r>
          </w:p>
        </w:tc>
        <w:tc>
          <w:tcPr>
            <w:tcW w:w="1297" w:type="dxa"/>
            <w:noWrap/>
            <w:vAlign w:val="center"/>
          </w:tcPr>
          <w:p w14:paraId="328D14AB">
            <w:pPr>
              <w:jc w:val="center"/>
              <w:textAlignment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15.9</w:t>
            </w:r>
          </w:p>
        </w:tc>
        <w:tc>
          <w:tcPr>
            <w:tcW w:w="699" w:type="pct"/>
            <w:noWrap/>
            <w:vAlign w:val="center"/>
          </w:tcPr>
          <w:p w14:paraId="12E288CA">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rPr>
              <w:t>40.6</w:t>
            </w:r>
          </w:p>
        </w:tc>
        <w:tc>
          <w:tcPr>
            <w:tcW w:w="633" w:type="pct"/>
            <w:noWrap/>
            <w:vAlign w:val="center"/>
          </w:tcPr>
          <w:p w14:paraId="2B82FCAF">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rPr>
              <w:t>34.8</w:t>
            </w:r>
          </w:p>
        </w:tc>
        <w:tc>
          <w:tcPr>
            <w:tcW w:w="634" w:type="pct"/>
            <w:noWrap/>
            <w:vAlign w:val="center"/>
          </w:tcPr>
          <w:p w14:paraId="6C08AAAE">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2A5B142B">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441" w:type="pct"/>
            <w:noWrap/>
            <w:vAlign w:val="center"/>
          </w:tcPr>
          <w:p w14:paraId="1F90A1A4">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r>
      <w:tr w14:paraId="03B6E9F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08A12850">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w:t>
            </w:r>
            <w:r>
              <w:rPr>
                <w:rFonts w:hint="default" w:ascii="Times New Roman" w:hAnsi="Times New Roman" w:cs="Times New Roman"/>
                <w:color w:val="auto"/>
                <w:sz w:val="18"/>
                <w:szCs w:val="18"/>
                <w:highlight w:val="none"/>
                <w:vertAlign w:val="superscript"/>
              </w:rPr>
              <w:t>2+</w:t>
            </w:r>
          </w:p>
        </w:tc>
        <w:tc>
          <w:tcPr>
            <w:tcW w:w="1297" w:type="dxa"/>
            <w:noWrap/>
            <w:vAlign w:val="center"/>
          </w:tcPr>
          <w:p w14:paraId="156F0206">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8.07</w:t>
            </w:r>
          </w:p>
        </w:tc>
        <w:tc>
          <w:tcPr>
            <w:tcW w:w="699" w:type="pct"/>
            <w:noWrap/>
            <w:vAlign w:val="center"/>
          </w:tcPr>
          <w:p w14:paraId="21AB3421">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highlight w:val="none"/>
                <w:lang w:val="en-US" w:eastAsia="zh-CN"/>
              </w:rPr>
              <w:t>9.86</w:t>
            </w:r>
          </w:p>
        </w:tc>
        <w:tc>
          <w:tcPr>
            <w:tcW w:w="633" w:type="pct"/>
            <w:noWrap/>
            <w:vAlign w:val="center"/>
          </w:tcPr>
          <w:p w14:paraId="29C80CF0">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highlight w:val="none"/>
                <w:lang w:val="en-US" w:eastAsia="zh-CN"/>
              </w:rPr>
              <w:t>8.12</w:t>
            </w:r>
          </w:p>
        </w:tc>
        <w:tc>
          <w:tcPr>
            <w:tcW w:w="634" w:type="pct"/>
            <w:noWrap/>
            <w:vAlign w:val="center"/>
          </w:tcPr>
          <w:p w14:paraId="68ABF2BA">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37CE1D56">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441" w:type="pct"/>
            <w:noWrap/>
            <w:vAlign w:val="center"/>
          </w:tcPr>
          <w:p w14:paraId="2CE0C524">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r>
      <w:tr w14:paraId="3D092A2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5E90DCAB">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CO</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vertAlign w:val="superscript"/>
              </w:rPr>
              <w:t>2-</w:t>
            </w:r>
          </w:p>
        </w:tc>
        <w:tc>
          <w:tcPr>
            <w:tcW w:w="1297" w:type="dxa"/>
            <w:noWrap/>
            <w:vAlign w:val="center"/>
          </w:tcPr>
          <w:p w14:paraId="4D1CA117">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5L</w:t>
            </w:r>
          </w:p>
        </w:tc>
        <w:tc>
          <w:tcPr>
            <w:tcW w:w="699" w:type="pct"/>
            <w:noWrap/>
            <w:vAlign w:val="center"/>
          </w:tcPr>
          <w:p w14:paraId="0FD88872">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5L</w:t>
            </w:r>
          </w:p>
        </w:tc>
        <w:tc>
          <w:tcPr>
            <w:tcW w:w="633" w:type="pct"/>
            <w:noWrap/>
            <w:vAlign w:val="center"/>
          </w:tcPr>
          <w:p w14:paraId="09030446">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5L</w:t>
            </w:r>
          </w:p>
        </w:tc>
        <w:tc>
          <w:tcPr>
            <w:tcW w:w="634" w:type="pct"/>
            <w:noWrap/>
            <w:vAlign w:val="center"/>
          </w:tcPr>
          <w:p w14:paraId="2B8A529C">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756F7E1A">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441" w:type="pct"/>
            <w:noWrap/>
            <w:vAlign w:val="center"/>
          </w:tcPr>
          <w:p w14:paraId="19F10761">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r>
      <w:tr w14:paraId="3A979EF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030A87CC">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HCO</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vertAlign w:val="superscript"/>
              </w:rPr>
              <w:t>-</w:t>
            </w:r>
          </w:p>
        </w:tc>
        <w:tc>
          <w:tcPr>
            <w:tcW w:w="1297" w:type="dxa"/>
            <w:noWrap/>
            <w:vAlign w:val="center"/>
          </w:tcPr>
          <w:p w14:paraId="0CB149A5">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122</w:t>
            </w:r>
          </w:p>
        </w:tc>
        <w:tc>
          <w:tcPr>
            <w:tcW w:w="699" w:type="pct"/>
            <w:noWrap/>
            <w:vAlign w:val="center"/>
          </w:tcPr>
          <w:p w14:paraId="320F88C4">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159</w:t>
            </w:r>
          </w:p>
        </w:tc>
        <w:tc>
          <w:tcPr>
            <w:tcW w:w="633" w:type="pct"/>
            <w:noWrap/>
            <w:vAlign w:val="center"/>
          </w:tcPr>
          <w:p w14:paraId="3F4F191C">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141</w:t>
            </w:r>
          </w:p>
        </w:tc>
        <w:tc>
          <w:tcPr>
            <w:tcW w:w="634" w:type="pct"/>
            <w:noWrap/>
            <w:vAlign w:val="center"/>
          </w:tcPr>
          <w:p w14:paraId="77E806AA">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0633FF8B">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441" w:type="pct"/>
            <w:noWrap/>
            <w:vAlign w:val="center"/>
          </w:tcPr>
          <w:p w14:paraId="615EA0D6">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r>
      <w:tr w14:paraId="5F3220F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3A12348A">
            <w:pPr>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highlight w:val="none"/>
              </w:rPr>
              <w:t>Cl</w:t>
            </w:r>
            <w:r>
              <w:rPr>
                <w:rFonts w:hint="default" w:ascii="Times New Roman" w:hAnsi="Times New Roman" w:cs="Times New Roman"/>
                <w:color w:val="auto"/>
                <w:sz w:val="18"/>
                <w:szCs w:val="18"/>
                <w:highlight w:val="none"/>
                <w:vertAlign w:val="superscript"/>
              </w:rPr>
              <w:t>-</w:t>
            </w:r>
          </w:p>
        </w:tc>
        <w:tc>
          <w:tcPr>
            <w:tcW w:w="1297" w:type="dxa"/>
            <w:noWrap/>
            <w:vAlign w:val="center"/>
          </w:tcPr>
          <w:p w14:paraId="4FAA9378">
            <w:pPr>
              <w:jc w:val="center"/>
              <w:textAlignment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22.8</w:t>
            </w:r>
          </w:p>
        </w:tc>
        <w:tc>
          <w:tcPr>
            <w:tcW w:w="699" w:type="pct"/>
            <w:noWrap/>
            <w:vAlign w:val="center"/>
          </w:tcPr>
          <w:p w14:paraId="4BEAD98D">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9.24</w:t>
            </w:r>
          </w:p>
        </w:tc>
        <w:tc>
          <w:tcPr>
            <w:tcW w:w="633" w:type="pct"/>
            <w:noWrap/>
            <w:vAlign w:val="center"/>
          </w:tcPr>
          <w:p w14:paraId="20817C22">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9.27</w:t>
            </w:r>
          </w:p>
        </w:tc>
        <w:tc>
          <w:tcPr>
            <w:tcW w:w="634" w:type="pct"/>
            <w:noWrap/>
            <w:vAlign w:val="center"/>
          </w:tcPr>
          <w:p w14:paraId="6A9B94BB">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09291124">
            <w:pPr>
              <w:widowControl/>
              <w:spacing w:line="240" w:lineRule="auto"/>
              <w:jc w:val="center"/>
              <w:textAlignment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441" w:type="pct"/>
            <w:noWrap/>
            <w:vAlign w:val="center"/>
          </w:tcPr>
          <w:p w14:paraId="166FF5B5">
            <w:pPr>
              <w:widowControl/>
              <w:spacing w:line="240" w:lineRule="auto"/>
              <w:jc w:val="center"/>
              <w:textAlignment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highlight w:val="none"/>
                <w:lang w:val="en-US" w:eastAsia="zh-CN"/>
              </w:rPr>
              <w:t>/</w:t>
            </w:r>
          </w:p>
        </w:tc>
      </w:tr>
      <w:tr w14:paraId="74ACD50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5EE292BB">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SO</w:t>
            </w:r>
            <w:r>
              <w:rPr>
                <w:rFonts w:hint="default" w:ascii="Times New Roman" w:hAnsi="Times New Roman" w:cs="Times New Roman"/>
                <w:color w:val="auto"/>
                <w:sz w:val="18"/>
                <w:szCs w:val="18"/>
                <w:highlight w:val="none"/>
                <w:vertAlign w:val="subscript"/>
              </w:rPr>
              <w:t>4</w:t>
            </w:r>
            <w:r>
              <w:rPr>
                <w:rFonts w:hint="default" w:ascii="Times New Roman" w:hAnsi="Times New Roman" w:cs="Times New Roman"/>
                <w:color w:val="auto"/>
                <w:sz w:val="18"/>
                <w:szCs w:val="18"/>
                <w:highlight w:val="none"/>
                <w:vertAlign w:val="superscript"/>
              </w:rPr>
              <w:t>2-</w:t>
            </w:r>
          </w:p>
        </w:tc>
        <w:tc>
          <w:tcPr>
            <w:tcW w:w="1297" w:type="dxa"/>
            <w:noWrap/>
            <w:vAlign w:val="center"/>
          </w:tcPr>
          <w:p w14:paraId="710A1538">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23.7</w:t>
            </w:r>
          </w:p>
        </w:tc>
        <w:tc>
          <w:tcPr>
            <w:tcW w:w="699" w:type="pct"/>
            <w:noWrap/>
            <w:vAlign w:val="center"/>
          </w:tcPr>
          <w:p w14:paraId="4E0C734F">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34.4</w:t>
            </w:r>
          </w:p>
        </w:tc>
        <w:tc>
          <w:tcPr>
            <w:tcW w:w="633" w:type="pct"/>
            <w:noWrap/>
            <w:vAlign w:val="center"/>
          </w:tcPr>
          <w:p w14:paraId="770E94A8">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52.0</w:t>
            </w:r>
          </w:p>
        </w:tc>
        <w:tc>
          <w:tcPr>
            <w:tcW w:w="634" w:type="pct"/>
            <w:noWrap/>
            <w:vAlign w:val="center"/>
          </w:tcPr>
          <w:p w14:paraId="209CB13B">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744E9E48">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441" w:type="pct"/>
            <w:noWrap/>
            <w:vAlign w:val="center"/>
          </w:tcPr>
          <w:p w14:paraId="4FC44ABA">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r>
      <w:tr w14:paraId="7118F1C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1804F6C9">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氨氮</w:t>
            </w:r>
          </w:p>
        </w:tc>
        <w:tc>
          <w:tcPr>
            <w:tcW w:w="699" w:type="pct"/>
            <w:noWrap/>
            <w:vAlign w:val="center"/>
          </w:tcPr>
          <w:p w14:paraId="5FDE92BB">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0.373</w:t>
            </w:r>
          </w:p>
        </w:tc>
        <w:tc>
          <w:tcPr>
            <w:tcW w:w="699" w:type="pct"/>
            <w:noWrap/>
            <w:vAlign w:val="center"/>
          </w:tcPr>
          <w:p w14:paraId="7FB890E3">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0.330</w:t>
            </w:r>
          </w:p>
        </w:tc>
        <w:tc>
          <w:tcPr>
            <w:tcW w:w="633" w:type="pct"/>
            <w:noWrap/>
            <w:vAlign w:val="center"/>
          </w:tcPr>
          <w:p w14:paraId="740E9F3F">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0.389</w:t>
            </w:r>
          </w:p>
        </w:tc>
        <w:tc>
          <w:tcPr>
            <w:tcW w:w="634" w:type="pct"/>
            <w:noWrap/>
            <w:vAlign w:val="center"/>
          </w:tcPr>
          <w:p w14:paraId="755722E8">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1B76AC12">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≤0</w:t>
            </w:r>
            <w:r>
              <w:rPr>
                <w:rFonts w:hint="default" w:ascii="Times New Roman" w:hAnsi="Times New Roman" w:cs="Times New Roman"/>
                <w:color w:val="auto"/>
                <w:kern w:val="0"/>
                <w:sz w:val="18"/>
                <w:szCs w:val="18"/>
                <w:highlight w:val="none"/>
                <w:lang w:val="en-US" w:eastAsia="zh-CN" w:bidi="ar"/>
              </w:rPr>
              <w:t>.5</w:t>
            </w:r>
          </w:p>
        </w:tc>
        <w:tc>
          <w:tcPr>
            <w:tcW w:w="441" w:type="pct"/>
            <w:noWrap/>
            <w:vAlign w:val="center"/>
          </w:tcPr>
          <w:p w14:paraId="2726BDFD">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192449B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41F33F5C">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硝酸盐氮</w:t>
            </w:r>
          </w:p>
        </w:tc>
        <w:tc>
          <w:tcPr>
            <w:tcW w:w="699" w:type="pct"/>
            <w:noWrap/>
            <w:vAlign w:val="center"/>
          </w:tcPr>
          <w:p w14:paraId="3073FFB1">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0.82</w:t>
            </w:r>
          </w:p>
        </w:tc>
        <w:tc>
          <w:tcPr>
            <w:tcW w:w="699" w:type="pct"/>
            <w:noWrap/>
            <w:vAlign w:val="center"/>
          </w:tcPr>
          <w:p w14:paraId="76C95C33">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3.38</w:t>
            </w:r>
          </w:p>
        </w:tc>
        <w:tc>
          <w:tcPr>
            <w:tcW w:w="633" w:type="pct"/>
            <w:noWrap/>
            <w:vAlign w:val="center"/>
          </w:tcPr>
          <w:p w14:paraId="6168CD62">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3.84</w:t>
            </w:r>
          </w:p>
        </w:tc>
        <w:tc>
          <w:tcPr>
            <w:tcW w:w="634" w:type="pct"/>
            <w:noWrap/>
            <w:vAlign w:val="center"/>
          </w:tcPr>
          <w:p w14:paraId="3E9B13AE">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31E449D3">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20</w:t>
            </w:r>
          </w:p>
        </w:tc>
        <w:tc>
          <w:tcPr>
            <w:tcW w:w="441" w:type="pct"/>
            <w:noWrap/>
            <w:vAlign w:val="center"/>
          </w:tcPr>
          <w:p w14:paraId="78D9F09A">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011CB28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5B353E99">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亚硝酸盐氮</w:t>
            </w:r>
          </w:p>
        </w:tc>
        <w:tc>
          <w:tcPr>
            <w:tcW w:w="699" w:type="pct"/>
            <w:noWrap/>
            <w:vAlign w:val="center"/>
          </w:tcPr>
          <w:p w14:paraId="6FFFA272">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0.003L</w:t>
            </w:r>
          </w:p>
        </w:tc>
        <w:tc>
          <w:tcPr>
            <w:tcW w:w="699" w:type="pct"/>
            <w:noWrap/>
            <w:vAlign w:val="center"/>
          </w:tcPr>
          <w:p w14:paraId="4F442ED0">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0.003</w:t>
            </w:r>
          </w:p>
        </w:tc>
        <w:tc>
          <w:tcPr>
            <w:tcW w:w="633" w:type="pct"/>
            <w:noWrap/>
            <w:vAlign w:val="center"/>
          </w:tcPr>
          <w:p w14:paraId="3EA7D423">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0.003L</w:t>
            </w:r>
          </w:p>
        </w:tc>
        <w:tc>
          <w:tcPr>
            <w:tcW w:w="634" w:type="pct"/>
            <w:noWrap/>
            <w:vAlign w:val="center"/>
          </w:tcPr>
          <w:p w14:paraId="29303A0E">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03325C30">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1.0</w:t>
            </w:r>
          </w:p>
        </w:tc>
        <w:tc>
          <w:tcPr>
            <w:tcW w:w="441" w:type="pct"/>
            <w:noWrap/>
            <w:vAlign w:val="center"/>
          </w:tcPr>
          <w:p w14:paraId="29318CA0">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599AADC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65BAB2C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挥发酚</w:t>
            </w:r>
          </w:p>
        </w:tc>
        <w:tc>
          <w:tcPr>
            <w:tcW w:w="699" w:type="pct"/>
            <w:noWrap/>
            <w:vAlign w:val="center"/>
          </w:tcPr>
          <w:p w14:paraId="65CB83E3">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0.0003L</w:t>
            </w:r>
          </w:p>
        </w:tc>
        <w:tc>
          <w:tcPr>
            <w:tcW w:w="699" w:type="pct"/>
            <w:noWrap/>
            <w:vAlign w:val="center"/>
          </w:tcPr>
          <w:p w14:paraId="572C50DD">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0.0003L</w:t>
            </w:r>
          </w:p>
        </w:tc>
        <w:tc>
          <w:tcPr>
            <w:tcW w:w="633" w:type="pct"/>
            <w:noWrap/>
            <w:vAlign w:val="center"/>
          </w:tcPr>
          <w:p w14:paraId="5AB727BD">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0.0003L</w:t>
            </w:r>
          </w:p>
        </w:tc>
        <w:tc>
          <w:tcPr>
            <w:tcW w:w="634" w:type="pct"/>
            <w:noWrap/>
            <w:vAlign w:val="center"/>
          </w:tcPr>
          <w:p w14:paraId="298B1AE4">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1418248D">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0.002</w:t>
            </w:r>
          </w:p>
        </w:tc>
        <w:tc>
          <w:tcPr>
            <w:tcW w:w="441" w:type="pct"/>
            <w:noWrap/>
            <w:vAlign w:val="center"/>
          </w:tcPr>
          <w:p w14:paraId="553A0CAE">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5CE32B3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5154E966">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氰化物</w:t>
            </w:r>
          </w:p>
        </w:tc>
        <w:tc>
          <w:tcPr>
            <w:tcW w:w="699" w:type="pct"/>
            <w:noWrap/>
            <w:vAlign w:val="center"/>
          </w:tcPr>
          <w:p w14:paraId="29E4B681">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0.004L</w:t>
            </w:r>
          </w:p>
        </w:tc>
        <w:tc>
          <w:tcPr>
            <w:tcW w:w="699" w:type="pct"/>
            <w:noWrap/>
            <w:vAlign w:val="center"/>
          </w:tcPr>
          <w:p w14:paraId="0DB9E96E">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0.004L</w:t>
            </w:r>
          </w:p>
        </w:tc>
        <w:tc>
          <w:tcPr>
            <w:tcW w:w="633" w:type="pct"/>
            <w:noWrap/>
            <w:vAlign w:val="center"/>
          </w:tcPr>
          <w:p w14:paraId="013BA481">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0.004L</w:t>
            </w:r>
          </w:p>
        </w:tc>
        <w:tc>
          <w:tcPr>
            <w:tcW w:w="634" w:type="pct"/>
            <w:noWrap/>
            <w:vAlign w:val="center"/>
          </w:tcPr>
          <w:p w14:paraId="17956CDE">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47FAAE34">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0.05</w:t>
            </w:r>
          </w:p>
        </w:tc>
        <w:tc>
          <w:tcPr>
            <w:tcW w:w="441" w:type="pct"/>
            <w:noWrap/>
            <w:vAlign w:val="center"/>
          </w:tcPr>
          <w:p w14:paraId="7A0278CC">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5216BD2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1499BE02">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铜</w:t>
            </w:r>
          </w:p>
        </w:tc>
        <w:tc>
          <w:tcPr>
            <w:tcW w:w="699" w:type="pct"/>
            <w:noWrap/>
            <w:vAlign w:val="center"/>
          </w:tcPr>
          <w:p w14:paraId="02040B5B">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0.05L</w:t>
            </w:r>
          </w:p>
        </w:tc>
        <w:tc>
          <w:tcPr>
            <w:tcW w:w="699" w:type="pct"/>
            <w:noWrap/>
            <w:vAlign w:val="center"/>
          </w:tcPr>
          <w:p w14:paraId="76BD72D8">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0.05L</w:t>
            </w:r>
          </w:p>
        </w:tc>
        <w:tc>
          <w:tcPr>
            <w:tcW w:w="633" w:type="pct"/>
            <w:noWrap/>
            <w:vAlign w:val="center"/>
          </w:tcPr>
          <w:p w14:paraId="2318225D">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0.05L</w:t>
            </w:r>
          </w:p>
        </w:tc>
        <w:tc>
          <w:tcPr>
            <w:tcW w:w="634" w:type="pct"/>
            <w:noWrap/>
            <w:vAlign w:val="center"/>
          </w:tcPr>
          <w:p w14:paraId="722DF4BF">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5D32E4AD">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1.0</w:t>
            </w:r>
          </w:p>
        </w:tc>
        <w:tc>
          <w:tcPr>
            <w:tcW w:w="441" w:type="pct"/>
            <w:noWrap/>
            <w:vAlign w:val="center"/>
          </w:tcPr>
          <w:p w14:paraId="23BCC6F5">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6B6B430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3B5683BF">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砷</w:t>
            </w:r>
          </w:p>
        </w:tc>
        <w:tc>
          <w:tcPr>
            <w:tcW w:w="699" w:type="pct"/>
            <w:noWrap/>
            <w:vAlign w:val="center"/>
          </w:tcPr>
          <w:p w14:paraId="0877D4A7">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0.0020</w:t>
            </w:r>
          </w:p>
        </w:tc>
        <w:tc>
          <w:tcPr>
            <w:tcW w:w="699" w:type="pct"/>
            <w:noWrap/>
            <w:vAlign w:val="center"/>
          </w:tcPr>
          <w:p w14:paraId="4B586FD1">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0.0025</w:t>
            </w:r>
          </w:p>
        </w:tc>
        <w:tc>
          <w:tcPr>
            <w:tcW w:w="633" w:type="pct"/>
            <w:noWrap/>
            <w:vAlign w:val="center"/>
          </w:tcPr>
          <w:p w14:paraId="7F8B1452">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0.0041</w:t>
            </w:r>
          </w:p>
        </w:tc>
        <w:tc>
          <w:tcPr>
            <w:tcW w:w="634" w:type="pct"/>
            <w:noWrap/>
            <w:vAlign w:val="center"/>
          </w:tcPr>
          <w:p w14:paraId="38E35FA0">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570C9058">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0.01</w:t>
            </w:r>
          </w:p>
        </w:tc>
        <w:tc>
          <w:tcPr>
            <w:tcW w:w="441" w:type="pct"/>
            <w:noWrap/>
            <w:vAlign w:val="center"/>
          </w:tcPr>
          <w:p w14:paraId="33C33790">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3B07494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7467FD62">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铅</w:t>
            </w:r>
          </w:p>
        </w:tc>
        <w:tc>
          <w:tcPr>
            <w:tcW w:w="699" w:type="pct"/>
            <w:noWrap/>
            <w:vAlign w:val="center"/>
          </w:tcPr>
          <w:p w14:paraId="04C08EB7">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0.001L</w:t>
            </w:r>
          </w:p>
        </w:tc>
        <w:tc>
          <w:tcPr>
            <w:tcW w:w="699" w:type="pct"/>
            <w:noWrap/>
            <w:vAlign w:val="center"/>
          </w:tcPr>
          <w:p w14:paraId="62EE3C36">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0.001L</w:t>
            </w:r>
          </w:p>
        </w:tc>
        <w:tc>
          <w:tcPr>
            <w:tcW w:w="633" w:type="pct"/>
            <w:noWrap/>
            <w:vAlign w:val="center"/>
          </w:tcPr>
          <w:p w14:paraId="5CB8AED9">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0.001L</w:t>
            </w:r>
          </w:p>
        </w:tc>
        <w:tc>
          <w:tcPr>
            <w:tcW w:w="634" w:type="pct"/>
            <w:noWrap/>
            <w:vAlign w:val="center"/>
          </w:tcPr>
          <w:p w14:paraId="44B33B3B">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72D2675D">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0.01</w:t>
            </w:r>
          </w:p>
        </w:tc>
        <w:tc>
          <w:tcPr>
            <w:tcW w:w="441" w:type="pct"/>
            <w:noWrap/>
            <w:vAlign w:val="center"/>
          </w:tcPr>
          <w:p w14:paraId="1C9C9DF2">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150FC08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2782DB6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汞</w:t>
            </w:r>
          </w:p>
        </w:tc>
        <w:tc>
          <w:tcPr>
            <w:tcW w:w="699" w:type="pct"/>
            <w:noWrap/>
            <w:vAlign w:val="center"/>
          </w:tcPr>
          <w:p w14:paraId="487D3588">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0.00004L</w:t>
            </w:r>
          </w:p>
        </w:tc>
        <w:tc>
          <w:tcPr>
            <w:tcW w:w="699" w:type="pct"/>
            <w:noWrap/>
            <w:vAlign w:val="center"/>
          </w:tcPr>
          <w:p w14:paraId="1984824D">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0.00004L</w:t>
            </w:r>
          </w:p>
        </w:tc>
        <w:tc>
          <w:tcPr>
            <w:tcW w:w="633" w:type="pct"/>
            <w:noWrap/>
            <w:vAlign w:val="center"/>
          </w:tcPr>
          <w:p w14:paraId="0EA77774">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0.00004L</w:t>
            </w:r>
          </w:p>
        </w:tc>
        <w:tc>
          <w:tcPr>
            <w:tcW w:w="634" w:type="pct"/>
            <w:noWrap/>
            <w:vAlign w:val="center"/>
          </w:tcPr>
          <w:p w14:paraId="2D9FA520">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19A51087">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0.001</w:t>
            </w:r>
          </w:p>
        </w:tc>
        <w:tc>
          <w:tcPr>
            <w:tcW w:w="441" w:type="pct"/>
            <w:noWrap/>
            <w:vAlign w:val="center"/>
          </w:tcPr>
          <w:p w14:paraId="4591453C">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2CA4AA9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044F7347">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六价铬</w:t>
            </w:r>
          </w:p>
        </w:tc>
        <w:tc>
          <w:tcPr>
            <w:tcW w:w="699" w:type="pct"/>
            <w:noWrap/>
            <w:vAlign w:val="center"/>
          </w:tcPr>
          <w:p w14:paraId="6E4DE20D">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0.004L</w:t>
            </w:r>
          </w:p>
        </w:tc>
        <w:tc>
          <w:tcPr>
            <w:tcW w:w="699" w:type="pct"/>
            <w:noWrap/>
            <w:vAlign w:val="center"/>
          </w:tcPr>
          <w:p w14:paraId="6FDB75E8">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0.004L</w:t>
            </w:r>
          </w:p>
        </w:tc>
        <w:tc>
          <w:tcPr>
            <w:tcW w:w="633" w:type="pct"/>
            <w:noWrap/>
            <w:vAlign w:val="center"/>
          </w:tcPr>
          <w:p w14:paraId="15D8EBFD">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0.004L</w:t>
            </w:r>
          </w:p>
        </w:tc>
        <w:tc>
          <w:tcPr>
            <w:tcW w:w="634" w:type="pct"/>
            <w:noWrap/>
            <w:vAlign w:val="center"/>
          </w:tcPr>
          <w:p w14:paraId="75E1EC20">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37FFF944">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0.05</w:t>
            </w:r>
          </w:p>
        </w:tc>
        <w:tc>
          <w:tcPr>
            <w:tcW w:w="441" w:type="pct"/>
            <w:noWrap/>
            <w:vAlign w:val="center"/>
          </w:tcPr>
          <w:p w14:paraId="2F66BB84">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00D5CE7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746AE7EC">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总硬度</w:t>
            </w:r>
          </w:p>
        </w:tc>
        <w:tc>
          <w:tcPr>
            <w:tcW w:w="699" w:type="pct"/>
            <w:noWrap/>
            <w:vAlign w:val="center"/>
          </w:tcPr>
          <w:p w14:paraId="27944E01">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176</w:t>
            </w:r>
          </w:p>
        </w:tc>
        <w:tc>
          <w:tcPr>
            <w:tcW w:w="699" w:type="pct"/>
            <w:noWrap/>
            <w:vAlign w:val="center"/>
          </w:tcPr>
          <w:p w14:paraId="61779B25">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203</w:t>
            </w:r>
          </w:p>
        </w:tc>
        <w:tc>
          <w:tcPr>
            <w:tcW w:w="633" w:type="pct"/>
            <w:noWrap/>
            <w:vAlign w:val="center"/>
          </w:tcPr>
          <w:p w14:paraId="137CFD0B">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228</w:t>
            </w:r>
          </w:p>
        </w:tc>
        <w:tc>
          <w:tcPr>
            <w:tcW w:w="634" w:type="pct"/>
            <w:noWrap/>
            <w:vAlign w:val="center"/>
          </w:tcPr>
          <w:p w14:paraId="6480FE08">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501E7677">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450</w:t>
            </w:r>
          </w:p>
        </w:tc>
        <w:tc>
          <w:tcPr>
            <w:tcW w:w="441" w:type="pct"/>
            <w:noWrap/>
            <w:vAlign w:val="center"/>
          </w:tcPr>
          <w:p w14:paraId="37231E9A">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1EFE396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0431FB4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氟化物</w:t>
            </w:r>
          </w:p>
        </w:tc>
        <w:tc>
          <w:tcPr>
            <w:tcW w:w="699" w:type="pct"/>
            <w:noWrap/>
            <w:vAlign w:val="center"/>
          </w:tcPr>
          <w:p w14:paraId="6956B57F">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0.65</w:t>
            </w:r>
          </w:p>
        </w:tc>
        <w:tc>
          <w:tcPr>
            <w:tcW w:w="699" w:type="pct"/>
            <w:noWrap/>
            <w:vAlign w:val="center"/>
          </w:tcPr>
          <w:p w14:paraId="2BBF9A28">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0.17</w:t>
            </w:r>
          </w:p>
        </w:tc>
        <w:tc>
          <w:tcPr>
            <w:tcW w:w="633" w:type="pct"/>
            <w:noWrap/>
            <w:vAlign w:val="center"/>
          </w:tcPr>
          <w:p w14:paraId="47F5AA87">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0.27</w:t>
            </w:r>
          </w:p>
        </w:tc>
        <w:tc>
          <w:tcPr>
            <w:tcW w:w="634" w:type="pct"/>
            <w:noWrap/>
            <w:vAlign w:val="center"/>
          </w:tcPr>
          <w:p w14:paraId="4DA60B1B">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696FB0B2">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1.0</w:t>
            </w:r>
          </w:p>
        </w:tc>
        <w:tc>
          <w:tcPr>
            <w:tcW w:w="441" w:type="pct"/>
            <w:noWrap/>
            <w:vAlign w:val="center"/>
          </w:tcPr>
          <w:p w14:paraId="57B585F1">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0912359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4DD004EC">
            <w:pPr>
              <w:spacing w:line="240" w:lineRule="auto"/>
              <w:jc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sz w:val="18"/>
                <w:szCs w:val="18"/>
                <w:highlight w:val="none"/>
              </w:rPr>
              <w:t>镉</w:t>
            </w:r>
          </w:p>
        </w:tc>
        <w:tc>
          <w:tcPr>
            <w:tcW w:w="699" w:type="pct"/>
            <w:noWrap/>
            <w:vAlign w:val="center"/>
          </w:tcPr>
          <w:p w14:paraId="48EC5B2A">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0.0001L</w:t>
            </w:r>
          </w:p>
        </w:tc>
        <w:tc>
          <w:tcPr>
            <w:tcW w:w="699" w:type="pct"/>
            <w:noWrap/>
            <w:vAlign w:val="center"/>
          </w:tcPr>
          <w:p w14:paraId="63627267">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0.0001L</w:t>
            </w:r>
          </w:p>
        </w:tc>
        <w:tc>
          <w:tcPr>
            <w:tcW w:w="633" w:type="pct"/>
            <w:noWrap/>
            <w:vAlign w:val="center"/>
          </w:tcPr>
          <w:p w14:paraId="37B11053">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0.0001L</w:t>
            </w:r>
          </w:p>
        </w:tc>
        <w:tc>
          <w:tcPr>
            <w:tcW w:w="634" w:type="pct"/>
            <w:noWrap/>
            <w:vAlign w:val="center"/>
          </w:tcPr>
          <w:p w14:paraId="5E83C8FF">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0782283E">
            <w:pPr>
              <w:widowControl/>
              <w:spacing w:line="240" w:lineRule="auto"/>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sz w:val="18"/>
                <w:szCs w:val="18"/>
                <w:highlight w:val="none"/>
                <w:lang w:val="en-US" w:eastAsia="zh-CN"/>
              </w:rPr>
              <w:t>0.005</w:t>
            </w:r>
          </w:p>
        </w:tc>
        <w:tc>
          <w:tcPr>
            <w:tcW w:w="441" w:type="pct"/>
            <w:noWrap/>
            <w:vAlign w:val="center"/>
          </w:tcPr>
          <w:p w14:paraId="0D1DA537">
            <w:pPr>
              <w:widowControl/>
              <w:spacing w:line="240" w:lineRule="auto"/>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达标</w:t>
            </w:r>
          </w:p>
        </w:tc>
      </w:tr>
      <w:tr w14:paraId="0FE43FE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734F46CD">
            <w:pPr>
              <w:spacing w:line="240" w:lineRule="auto"/>
              <w:jc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sz w:val="18"/>
                <w:szCs w:val="18"/>
                <w:highlight w:val="none"/>
              </w:rPr>
              <w:t>铁</w:t>
            </w:r>
          </w:p>
        </w:tc>
        <w:tc>
          <w:tcPr>
            <w:tcW w:w="699" w:type="pct"/>
            <w:noWrap/>
            <w:vAlign w:val="center"/>
          </w:tcPr>
          <w:p w14:paraId="79EF5A6C">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0.03L</w:t>
            </w:r>
          </w:p>
        </w:tc>
        <w:tc>
          <w:tcPr>
            <w:tcW w:w="699" w:type="pct"/>
            <w:noWrap/>
            <w:vAlign w:val="center"/>
          </w:tcPr>
          <w:p w14:paraId="1DD623E7">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0.03L</w:t>
            </w:r>
          </w:p>
        </w:tc>
        <w:tc>
          <w:tcPr>
            <w:tcW w:w="633" w:type="pct"/>
            <w:noWrap/>
            <w:vAlign w:val="center"/>
          </w:tcPr>
          <w:p w14:paraId="5772168B">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0.03L</w:t>
            </w:r>
          </w:p>
        </w:tc>
        <w:tc>
          <w:tcPr>
            <w:tcW w:w="634" w:type="pct"/>
            <w:noWrap/>
            <w:vAlign w:val="center"/>
          </w:tcPr>
          <w:p w14:paraId="7EE231C0">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57996C10">
            <w:pPr>
              <w:widowControl/>
              <w:spacing w:line="240" w:lineRule="auto"/>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0.3</w:t>
            </w:r>
          </w:p>
        </w:tc>
        <w:tc>
          <w:tcPr>
            <w:tcW w:w="441" w:type="pct"/>
            <w:noWrap/>
            <w:vAlign w:val="center"/>
          </w:tcPr>
          <w:p w14:paraId="4AB93B2B">
            <w:pPr>
              <w:widowControl/>
              <w:spacing w:line="240" w:lineRule="auto"/>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达标</w:t>
            </w:r>
          </w:p>
        </w:tc>
      </w:tr>
      <w:tr w14:paraId="078700D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0E16AD95">
            <w:pPr>
              <w:spacing w:line="240" w:lineRule="auto"/>
              <w:jc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sz w:val="18"/>
                <w:szCs w:val="18"/>
                <w:highlight w:val="none"/>
              </w:rPr>
              <w:t>锰</w:t>
            </w:r>
          </w:p>
        </w:tc>
        <w:tc>
          <w:tcPr>
            <w:tcW w:w="699" w:type="pct"/>
            <w:noWrap/>
            <w:vAlign w:val="center"/>
          </w:tcPr>
          <w:p w14:paraId="2A87E31A">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0.01L</w:t>
            </w:r>
          </w:p>
        </w:tc>
        <w:tc>
          <w:tcPr>
            <w:tcW w:w="699" w:type="pct"/>
            <w:noWrap/>
            <w:vAlign w:val="center"/>
          </w:tcPr>
          <w:p w14:paraId="73C00490">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0.01L</w:t>
            </w:r>
          </w:p>
        </w:tc>
        <w:tc>
          <w:tcPr>
            <w:tcW w:w="633" w:type="pct"/>
            <w:noWrap/>
            <w:vAlign w:val="center"/>
          </w:tcPr>
          <w:p w14:paraId="69A489E4">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0.01L</w:t>
            </w:r>
          </w:p>
        </w:tc>
        <w:tc>
          <w:tcPr>
            <w:tcW w:w="634" w:type="pct"/>
            <w:noWrap/>
            <w:vAlign w:val="center"/>
          </w:tcPr>
          <w:p w14:paraId="4254C1AA">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421E1B79">
            <w:pPr>
              <w:widowControl/>
              <w:spacing w:line="240" w:lineRule="auto"/>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0.1</w:t>
            </w:r>
          </w:p>
        </w:tc>
        <w:tc>
          <w:tcPr>
            <w:tcW w:w="441" w:type="pct"/>
            <w:noWrap/>
            <w:vAlign w:val="center"/>
          </w:tcPr>
          <w:p w14:paraId="32A83716">
            <w:pPr>
              <w:widowControl/>
              <w:spacing w:line="240" w:lineRule="auto"/>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达标</w:t>
            </w:r>
          </w:p>
        </w:tc>
      </w:tr>
      <w:tr w14:paraId="22A1D0B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5F2EC08F">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溶解性总固体</w:t>
            </w:r>
          </w:p>
        </w:tc>
        <w:tc>
          <w:tcPr>
            <w:tcW w:w="699" w:type="pct"/>
            <w:noWrap/>
            <w:vAlign w:val="center"/>
          </w:tcPr>
          <w:p w14:paraId="79DD452A">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286</w:t>
            </w:r>
          </w:p>
        </w:tc>
        <w:tc>
          <w:tcPr>
            <w:tcW w:w="699" w:type="pct"/>
            <w:noWrap/>
            <w:vAlign w:val="center"/>
          </w:tcPr>
          <w:p w14:paraId="205244E0">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271</w:t>
            </w:r>
          </w:p>
        </w:tc>
        <w:tc>
          <w:tcPr>
            <w:tcW w:w="633" w:type="pct"/>
            <w:noWrap/>
            <w:vAlign w:val="center"/>
          </w:tcPr>
          <w:p w14:paraId="5D2DE916">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326</w:t>
            </w:r>
          </w:p>
        </w:tc>
        <w:tc>
          <w:tcPr>
            <w:tcW w:w="634" w:type="pct"/>
            <w:noWrap/>
            <w:vAlign w:val="center"/>
          </w:tcPr>
          <w:p w14:paraId="712365F3">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7B553849">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1000</w:t>
            </w:r>
          </w:p>
        </w:tc>
        <w:tc>
          <w:tcPr>
            <w:tcW w:w="441" w:type="pct"/>
            <w:noWrap/>
            <w:vAlign w:val="center"/>
          </w:tcPr>
          <w:p w14:paraId="4F7C32AB">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72FF347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37A86CF1">
            <w:pPr>
              <w:spacing w:line="240" w:lineRule="auto"/>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耗氧量COD</w:t>
            </w:r>
            <w:r>
              <w:rPr>
                <w:rFonts w:hint="default" w:ascii="Times New Roman" w:hAnsi="Times New Roman" w:cs="Times New Roman"/>
                <w:color w:val="auto"/>
                <w:sz w:val="18"/>
                <w:szCs w:val="18"/>
                <w:highlight w:val="none"/>
                <w:vertAlign w:val="subscript"/>
                <w:lang w:val="en-US" w:eastAsia="zh-CN"/>
              </w:rPr>
              <w:t>MN</w:t>
            </w:r>
          </w:p>
        </w:tc>
        <w:tc>
          <w:tcPr>
            <w:tcW w:w="699" w:type="pct"/>
            <w:noWrap/>
            <w:vAlign w:val="center"/>
          </w:tcPr>
          <w:p w14:paraId="3487203B">
            <w:pPr>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z w:val="18"/>
                <w:szCs w:val="18"/>
                <w:highlight w:val="none"/>
                <w:lang w:val="en-US" w:eastAsia="zh-CN"/>
              </w:rPr>
              <w:t>2.59</w:t>
            </w:r>
          </w:p>
        </w:tc>
        <w:tc>
          <w:tcPr>
            <w:tcW w:w="699" w:type="pct"/>
            <w:noWrap/>
            <w:vAlign w:val="center"/>
          </w:tcPr>
          <w:p w14:paraId="3B0DB86D">
            <w:pPr>
              <w:spacing w:line="240" w:lineRule="auto"/>
              <w:jc w:val="center"/>
              <w:rPr>
                <w:rFonts w:hint="default" w:ascii="Times New Roman" w:hAnsi="Times New Roman" w:cs="Times New Roman"/>
                <w:sz w:val="18"/>
                <w:szCs w:val="18"/>
                <w:lang w:val="en-US" w:eastAsia="zh-CN" w:bidi="ar-SA"/>
              </w:rPr>
            </w:pPr>
            <w:r>
              <w:rPr>
                <w:rFonts w:hint="default" w:ascii="Times New Roman" w:hAnsi="Times New Roman" w:cs="Times New Roman"/>
                <w:sz w:val="18"/>
                <w:szCs w:val="18"/>
                <w:lang w:val="en-US" w:eastAsia="zh-CN" w:bidi="ar-SA"/>
              </w:rPr>
              <w:t>2.16</w:t>
            </w:r>
          </w:p>
        </w:tc>
        <w:tc>
          <w:tcPr>
            <w:tcW w:w="633" w:type="pct"/>
            <w:noWrap/>
            <w:vAlign w:val="center"/>
          </w:tcPr>
          <w:p w14:paraId="31D7584F">
            <w:pPr>
              <w:spacing w:line="240" w:lineRule="auto"/>
              <w:jc w:val="center"/>
              <w:rPr>
                <w:rFonts w:hint="default" w:ascii="Times New Roman" w:hAnsi="Times New Roman" w:cs="Times New Roman"/>
                <w:sz w:val="18"/>
                <w:szCs w:val="18"/>
                <w:lang w:val="en-US" w:eastAsia="zh-CN" w:bidi="ar-SA"/>
              </w:rPr>
            </w:pPr>
            <w:r>
              <w:rPr>
                <w:rFonts w:hint="default" w:ascii="Times New Roman" w:hAnsi="Times New Roman" w:cs="Times New Roman"/>
                <w:sz w:val="18"/>
                <w:szCs w:val="18"/>
                <w:lang w:val="en-US" w:eastAsia="zh-CN" w:bidi="ar-SA"/>
              </w:rPr>
              <w:t>2.25</w:t>
            </w:r>
          </w:p>
        </w:tc>
        <w:tc>
          <w:tcPr>
            <w:tcW w:w="634" w:type="pct"/>
            <w:noWrap/>
            <w:vAlign w:val="center"/>
          </w:tcPr>
          <w:p w14:paraId="67EB26A8">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1018" w:type="pct"/>
            <w:noWrap/>
            <w:vAlign w:val="center"/>
          </w:tcPr>
          <w:p w14:paraId="24EE76BA">
            <w:pPr>
              <w:widowControl/>
              <w:spacing w:line="240" w:lineRule="auto"/>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3.0</w:t>
            </w:r>
          </w:p>
        </w:tc>
        <w:tc>
          <w:tcPr>
            <w:tcW w:w="441" w:type="pct"/>
            <w:noWrap/>
            <w:vAlign w:val="center"/>
          </w:tcPr>
          <w:p w14:paraId="02D4CC86">
            <w:pPr>
              <w:widowControl/>
              <w:spacing w:line="240" w:lineRule="auto"/>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达标</w:t>
            </w:r>
          </w:p>
        </w:tc>
      </w:tr>
      <w:tr w14:paraId="7BBFA67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4F26FE1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硫酸盐</w:t>
            </w:r>
          </w:p>
        </w:tc>
        <w:tc>
          <w:tcPr>
            <w:tcW w:w="699" w:type="pct"/>
            <w:noWrap/>
            <w:vAlign w:val="center"/>
          </w:tcPr>
          <w:p w14:paraId="4A6E907E">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32</w:t>
            </w:r>
          </w:p>
        </w:tc>
        <w:tc>
          <w:tcPr>
            <w:tcW w:w="699" w:type="pct"/>
            <w:noWrap/>
            <w:vAlign w:val="center"/>
          </w:tcPr>
          <w:p w14:paraId="7BB953A9">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39</w:t>
            </w:r>
          </w:p>
        </w:tc>
        <w:tc>
          <w:tcPr>
            <w:tcW w:w="633" w:type="pct"/>
            <w:noWrap/>
            <w:vAlign w:val="center"/>
          </w:tcPr>
          <w:p w14:paraId="2AC8DD2B">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59</w:t>
            </w:r>
          </w:p>
        </w:tc>
        <w:tc>
          <w:tcPr>
            <w:tcW w:w="634" w:type="pct"/>
            <w:noWrap/>
            <w:vAlign w:val="center"/>
          </w:tcPr>
          <w:p w14:paraId="28BD9886">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无量纲</w:t>
            </w:r>
          </w:p>
        </w:tc>
        <w:tc>
          <w:tcPr>
            <w:tcW w:w="1018" w:type="pct"/>
            <w:noWrap/>
            <w:vAlign w:val="center"/>
          </w:tcPr>
          <w:p w14:paraId="60BFCDA0">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250</w:t>
            </w:r>
          </w:p>
        </w:tc>
        <w:tc>
          <w:tcPr>
            <w:tcW w:w="441" w:type="pct"/>
            <w:noWrap/>
            <w:vAlign w:val="center"/>
          </w:tcPr>
          <w:p w14:paraId="21D50F3D">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3A8D03F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0609E6F1">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氯化物</w:t>
            </w:r>
          </w:p>
        </w:tc>
        <w:tc>
          <w:tcPr>
            <w:tcW w:w="699" w:type="pct"/>
            <w:noWrap/>
            <w:vAlign w:val="center"/>
          </w:tcPr>
          <w:p w14:paraId="5C717E90">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26</w:t>
            </w:r>
          </w:p>
        </w:tc>
        <w:tc>
          <w:tcPr>
            <w:tcW w:w="699" w:type="pct"/>
            <w:noWrap/>
            <w:vAlign w:val="center"/>
          </w:tcPr>
          <w:p w14:paraId="5344174B">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13</w:t>
            </w:r>
          </w:p>
        </w:tc>
        <w:tc>
          <w:tcPr>
            <w:tcW w:w="633" w:type="pct"/>
            <w:noWrap/>
            <w:vAlign w:val="center"/>
          </w:tcPr>
          <w:p w14:paraId="2F070AC3">
            <w:pPr>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12</w:t>
            </w:r>
          </w:p>
        </w:tc>
        <w:tc>
          <w:tcPr>
            <w:tcW w:w="634" w:type="pct"/>
            <w:noWrap/>
            <w:vAlign w:val="center"/>
          </w:tcPr>
          <w:p w14:paraId="57024BFB">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1018" w:type="pct"/>
            <w:noWrap/>
            <w:vAlign w:val="center"/>
          </w:tcPr>
          <w:p w14:paraId="4A892D20">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250</w:t>
            </w:r>
          </w:p>
        </w:tc>
        <w:tc>
          <w:tcPr>
            <w:tcW w:w="441" w:type="pct"/>
            <w:noWrap/>
            <w:vAlign w:val="center"/>
          </w:tcPr>
          <w:p w14:paraId="1AC74174">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78D3C24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539B8D2B">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总大肠菌群</w:t>
            </w:r>
          </w:p>
        </w:tc>
        <w:tc>
          <w:tcPr>
            <w:tcW w:w="699" w:type="pct"/>
            <w:noWrap/>
            <w:vAlign w:val="center"/>
          </w:tcPr>
          <w:p w14:paraId="2656E038">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2</w:t>
            </w:r>
          </w:p>
        </w:tc>
        <w:tc>
          <w:tcPr>
            <w:tcW w:w="699" w:type="pct"/>
            <w:noWrap/>
            <w:vAlign w:val="center"/>
          </w:tcPr>
          <w:p w14:paraId="3D6953E3">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2</w:t>
            </w:r>
          </w:p>
        </w:tc>
        <w:tc>
          <w:tcPr>
            <w:tcW w:w="633" w:type="pct"/>
            <w:noWrap/>
            <w:vAlign w:val="center"/>
          </w:tcPr>
          <w:p w14:paraId="2FEC6D30">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2</w:t>
            </w:r>
          </w:p>
        </w:tc>
        <w:tc>
          <w:tcPr>
            <w:tcW w:w="634" w:type="pct"/>
            <w:noWrap/>
            <w:vAlign w:val="center"/>
          </w:tcPr>
          <w:p w14:paraId="57065AA6">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MPN/100mL</w:t>
            </w:r>
          </w:p>
        </w:tc>
        <w:tc>
          <w:tcPr>
            <w:tcW w:w="1018" w:type="pct"/>
            <w:noWrap/>
            <w:vAlign w:val="center"/>
          </w:tcPr>
          <w:p w14:paraId="1610420A">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3.0</w:t>
            </w:r>
          </w:p>
        </w:tc>
        <w:tc>
          <w:tcPr>
            <w:tcW w:w="441" w:type="pct"/>
            <w:noWrap/>
            <w:vAlign w:val="center"/>
          </w:tcPr>
          <w:p w14:paraId="3D358631">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3434FA4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09BD55BA">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细菌总数</w:t>
            </w:r>
          </w:p>
        </w:tc>
        <w:tc>
          <w:tcPr>
            <w:tcW w:w="699" w:type="pct"/>
            <w:noWrap/>
            <w:vAlign w:val="center"/>
          </w:tcPr>
          <w:p w14:paraId="1414600A">
            <w:pPr>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61</w:t>
            </w:r>
          </w:p>
        </w:tc>
        <w:tc>
          <w:tcPr>
            <w:tcW w:w="699" w:type="pct"/>
            <w:noWrap/>
            <w:vAlign w:val="center"/>
          </w:tcPr>
          <w:p w14:paraId="76AABE8D">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47</w:t>
            </w:r>
          </w:p>
        </w:tc>
        <w:tc>
          <w:tcPr>
            <w:tcW w:w="633" w:type="pct"/>
            <w:noWrap/>
            <w:vAlign w:val="center"/>
          </w:tcPr>
          <w:p w14:paraId="2B8C3B5F">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lang w:val="en-US" w:eastAsia="zh-CN" w:bidi="ar-SA"/>
              </w:rPr>
              <w:t>47</w:t>
            </w:r>
          </w:p>
        </w:tc>
        <w:tc>
          <w:tcPr>
            <w:tcW w:w="634" w:type="pct"/>
            <w:noWrap/>
            <w:vAlign w:val="center"/>
          </w:tcPr>
          <w:p w14:paraId="24C4E0F5">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CFU/mL</w:t>
            </w:r>
          </w:p>
        </w:tc>
        <w:tc>
          <w:tcPr>
            <w:tcW w:w="1018" w:type="pct"/>
            <w:noWrap/>
            <w:vAlign w:val="center"/>
          </w:tcPr>
          <w:p w14:paraId="18B7FD9C">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100</w:t>
            </w:r>
          </w:p>
        </w:tc>
        <w:tc>
          <w:tcPr>
            <w:tcW w:w="441" w:type="pct"/>
            <w:noWrap/>
            <w:vAlign w:val="center"/>
          </w:tcPr>
          <w:p w14:paraId="67A338C7">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达标</w:t>
            </w:r>
          </w:p>
        </w:tc>
      </w:tr>
      <w:tr w14:paraId="2FF8DB6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872" w:type="pct"/>
            <w:noWrap/>
            <w:vAlign w:val="center"/>
          </w:tcPr>
          <w:p w14:paraId="76CE82A1">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镍</w:t>
            </w:r>
          </w:p>
        </w:tc>
        <w:tc>
          <w:tcPr>
            <w:tcW w:w="699" w:type="pct"/>
            <w:noWrap/>
            <w:vAlign w:val="center"/>
          </w:tcPr>
          <w:p w14:paraId="69A39CBC">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0.05L</w:t>
            </w:r>
          </w:p>
        </w:tc>
        <w:tc>
          <w:tcPr>
            <w:tcW w:w="699" w:type="pct"/>
            <w:noWrap/>
            <w:vAlign w:val="center"/>
          </w:tcPr>
          <w:p w14:paraId="3E6EBCB3">
            <w:pPr>
              <w:spacing w:line="240" w:lineRule="auto"/>
              <w:jc w:val="center"/>
              <w:rPr>
                <w:rFonts w:hint="default" w:ascii="Times New Roman" w:hAnsi="Times New Roman" w:cs="Times New Roman"/>
                <w:color w:val="auto"/>
                <w:sz w:val="18"/>
                <w:szCs w:val="18"/>
                <w:lang w:val="en-US" w:eastAsia="zh-CN" w:bidi="ar-SA"/>
              </w:rPr>
            </w:pPr>
            <w:r>
              <w:rPr>
                <w:rFonts w:hint="default" w:ascii="Times New Roman" w:hAnsi="Times New Roman" w:cs="Times New Roman"/>
                <w:color w:val="auto"/>
                <w:sz w:val="18"/>
                <w:szCs w:val="18"/>
                <w:highlight w:val="none"/>
                <w:lang w:val="en-US" w:eastAsia="zh-CN"/>
              </w:rPr>
              <w:t>0.05L</w:t>
            </w:r>
          </w:p>
        </w:tc>
        <w:tc>
          <w:tcPr>
            <w:tcW w:w="633" w:type="pct"/>
            <w:noWrap/>
            <w:vAlign w:val="center"/>
          </w:tcPr>
          <w:p w14:paraId="2EE3827B">
            <w:pPr>
              <w:spacing w:line="240" w:lineRule="auto"/>
              <w:jc w:val="center"/>
              <w:rPr>
                <w:rFonts w:hint="default" w:ascii="Times New Roman" w:hAnsi="Times New Roman" w:cs="Times New Roman"/>
                <w:color w:val="auto"/>
                <w:sz w:val="18"/>
                <w:szCs w:val="18"/>
                <w:lang w:val="en-US" w:eastAsia="zh-CN" w:bidi="ar-SA"/>
              </w:rPr>
            </w:pPr>
            <w:r>
              <w:rPr>
                <w:rFonts w:hint="default" w:ascii="Times New Roman" w:hAnsi="Times New Roman" w:cs="Times New Roman"/>
                <w:color w:val="auto"/>
                <w:sz w:val="18"/>
                <w:szCs w:val="18"/>
                <w:highlight w:val="none"/>
                <w:lang w:val="en-US" w:eastAsia="zh-CN"/>
              </w:rPr>
              <w:t>0.05L</w:t>
            </w:r>
          </w:p>
        </w:tc>
        <w:tc>
          <w:tcPr>
            <w:tcW w:w="634" w:type="pct"/>
            <w:noWrap/>
            <w:vAlign w:val="center"/>
          </w:tcPr>
          <w:p w14:paraId="6F7B833A">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1018" w:type="pct"/>
            <w:noWrap/>
            <w:vAlign w:val="center"/>
          </w:tcPr>
          <w:p w14:paraId="08E474E7">
            <w:pPr>
              <w:widowControl/>
              <w:spacing w:line="240" w:lineRule="auto"/>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c>
          <w:tcPr>
            <w:tcW w:w="441" w:type="pct"/>
            <w:noWrap/>
            <w:vAlign w:val="center"/>
          </w:tcPr>
          <w:p w14:paraId="091EF4A5">
            <w:pPr>
              <w:widowControl/>
              <w:spacing w:line="240" w:lineRule="auto"/>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w:t>
            </w:r>
          </w:p>
        </w:tc>
      </w:tr>
      <w:tr w14:paraId="06EBC54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1CC2B747">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铊</w:t>
            </w:r>
          </w:p>
        </w:tc>
        <w:tc>
          <w:tcPr>
            <w:tcW w:w="699" w:type="pct"/>
            <w:noWrap/>
            <w:vAlign w:val="center"/>
          </w:tcPr>
          <w:p w14:paraId="2F7B325D">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2"/>
                <w:sz w:val="18"/>
                <w:szCs w:val="18"/>
                <w:highlight w:val="none"/>
              </w:rPr>
              <w:t>0.00001L</w:t>
            </w:r>
          </w:p>
        </w:tc>
        <w:tc>
          <w:tcPr>
            <w:tcW w:w="699" w:type="pct"/>
            <w:noWrap/>
            <w:vAlign w:val="center"/>
          </w:tcPr>
          <w:p w14:paraId="277E911F">
            <w:pPr>
              <w:spacing w:line="240" w:lineRule="auto"/>
              <w:jc w:val="center"/>
              <w:rPr>
                <w:rFonts w:hint="default" w:ascii="Times New Roman" w:hAnsi="Times New Roman" w:cs="Times New Roman"/>
                <w:color w:val="auto"/>
                <w:sz w:val="18"/>
                <w:szCs w:val="18"/>
                <w:lang w:val="en-US" w:eastAsia="zh-CN" w:bidi="ar-SA"/>
              </w:rPr>
            </w:pPr>
            <w:r>
              <w:rPr>
                <w:rFonts w:hint="default" w:ascii="Times New Roman" w:hAnsi="Times New Roman" w:cs="Times New Roman"/>
                <w:color w:val="auto"/>
                <w:kern w:val="2"/>
                <w:sz w:val="18"/>
                <w:szCs w:val="18"/>
                <w:highlight w:val="none"/>
              </w:rPr>
              <w:t>0.00001L</w:t>
            </w:r>
          </w:p>
        </w:tc>
        <w:tc>
          <w:tcPr>
            <w:tcW w:w="633" w:type="pct"/>
            <w:noWrap/>
            <w:vAlign w:val="center"/>
          </w:tcPr>
          <w:p w14:paraId="5F47BEF8">
            <w:pPr>
              <w:spacing w:line="240" w:lineRule="auto"/>
              <w:jc w:val="center"/>
              <w:rPr>
                <w:rFonts w:hint="default" w:ascii="Times New Roman" w:hAnsi="Times New Roman" w:cs="Times New Roman"/>
                <w:color w:val="auto"/>
                <w:sz w:val="18"/>
                <w:szCs w:val="18"/>
                <w:lang w:val="en-US" w:eastAsia="zh-CN" w:bidi="ar-SA"/>
              </w:rPr>
            </w:pPr>
            <w:r>
              <w:rPr>
                <w:rFonts w:hint="default" w:ascii="Times New Roman" w:hAnsi="Times New Roman" w:cs="Times New Roman"/>
                <w:color w:val="auto"/>
                <w:kern w:val="2"/>
                <w:sz w:val="18"/>
                <w:szCs w:val="18"/>
                <w:highlight w:val="none"/>
              </w:rPr>
              <w:t>0.00001L</w:t>
            </w:r>
          </w:p>
        </w:tc>
        <w:tc>
          <w:tcPr>
            <w:tcW w:w="634" w:type="pct"/>
            <w:noWrap/>
            <w:vAlign w:val="center"/>
          </w:tcPr>
          <w:p w14:paraId="42374F92">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1018" w:type="pct"/>
            <w:noWrap/>
            <w:vAlign w:val="center"/>
          </w:tcPr>
          <w:p w14:paraId="00E67A2C">
            <w:pPr>
              <w:widowControl/>
              <w:spacing w:line="240" w:lineRule="auto"/>
              <w:jc w:val="center"/>
              <w:textAlignment w:val="center"/>
              <w:rPr>
                <w:rFonts w:hint="default" w:ascii="Times New Roman" w:hAnsi="Times New Roman" w:cs="Times New Roman"/>
                <w:color w:val="auto"/>
                <w:kern w:val="0"/>
                <w:sz w:val="18"/>
                <w:szCs w:val="18"/>
                <w:highlight w:val="none"/>
                <w:lang w:val="en-US" w:bidi="ar"/>
              </w:rPr>
            </w:pPr>
            <w:r>
              <w:rPr>
                <w:rFonts w:hint="default" w:ascii="Times New Roman" w:hAnsi="Times New Roman" w:cs="Times New Roman"/>
                <w:color w:val="auto"/>
                <w:kern w:val="0"/>
                <w:sz w:val="18"/>
                <w:szCs w:val="18"/>
                <w:highlight w:val="none"/>
                <w:lang w:bidi="ar"/>
              </w:rPr>
              <w:t>≤</w:t>
            </w:r>
            <w:r>
              <w:rPr>
                <w:rFonts w:hint="default" w:ascii="Times New Roman" w:hAnsi="Times New Roman" w:cs="Times New Roman"/>
                <w:color w:val="auto"/>
                <w:kern w:val="0"/>
                <w:sz w:val="18"/>
                <w:szCs w:val="18"/>
                <w:highlight w:val="none"/>
                <w:lang w:val="en-US" w:eastAsia="zh-CN" w:bidi="ar"/>
              </w:rPr>
              <w:t>0.0001</w:t>
            </w:r>
          </w:p>
        </w:tc>
        <w:tc>
          <w:tcPr>
            <w:tcW w:w="441" w:type="pct"/>
            <w:noWrap/>
            <w:vAlign w:val="center"/>
          </w:tcPr>
          <w:p w14:paraId="4D8EBAEA">
            <w:pPr>
              <w:widowControl/>
              <w:spacing w:line="240" w:lineRule="auto"/>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达标</w:t>
            </w:r>
          </w:p>
        </w:tc>
      </w:tr>
      <w:tr w14:paraId="01AEF6E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2" w:type="pct"/>
            <w:noWrap/>
            <w:vAlign w:val="center"/>
          </w:tcPr>
          <w:p w14:paraId="7B2DF5BF">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石油类</w:t>
            </w:r>
          </w:p>
        </w:tc>
        <w:tc>
          <w:tcPr>
            <w:tcW w:w="699" w:type="pct"/>
            <w:noWrap/>
            <w:vAlign w:val="center"/>
          </w:tcPr>
          <w:p w14:paraId="6117D55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2"/>
                <w:sz w:val="18"/>
                <w:szCs w:val="18"/>
              </w:rPr>
              <w:t>0.01L</w:t>
            </w:r>
          </w:p>
        </w:tc>
        <w:tc>
          <w:tcPr>
            <w:tcW w:w="699" w:type="pct"/>
            <w:noWrap/>
            <w:vAlign w:val="center"/>
          </w:tcPr>
          <w:p w14:paraId="57BA141B">
            <w:pPr>
              <w:spacing w:line="240" w:lineRule="auto"/>
              <w:jc w:val="center"/>
              <w:rPr>
                <w:rFonts w:hint="default" w:ascii="Times New Roman" w:hAnsi="Times New Roman" w:cs="Times New Roman"/>
                <w:color w:val="auto"/>
                <w:sz w:val="18"/>
                <w:szCs w:val="18"/>
                <w:lang w:val="en-US" w:eastAsia="zh-CN" w:bidi="ar-SA"/>
              </w:rPr>
            </w:pPr>
            <w:r>
              <w:rPr>
                <w:rFonts w:hint="default" w:ascii="Times New Roman" w:hAnsi="Times New Roman" w:cs="Times New Roman"/>
                <w:color w:val="auto"/>
                <w:kern w:val="2"/>
                <w:sz w:val="18"/>
                <w:szCs w:val="18"/>
              </w:rPr>
              <w:t>0.01L</w:t>
            </w:r>
          </w:p>
        </w:tc>
        <w:tc>
          <w:tcPr>
            <w:tcW w:w="633" w:type="pct"/>
            <w:noWrap/>
            <w:vAlign w:val="center"/>
          </w:tcPr>
          <w:p w14:paraId="3A774126">
            <w:pPr>
              <w:spacing w:line="240" w:lineRule="auto"/>
              <w:jc w:val="center"/>
              <w:rPr>
                <w:rFonts w:hint="default" w:ascii="Times New Roman" w:hAnsi="Times New Roman" w:cs="Times New Roman"/>
                <w:color w:val="auto"/>
                <w:sz w:val="18"/>
                <w:szCs w:val="18"/>
                <w:lang w:val="en-US" w:eastAsia="zh-CN" w:bidi="ar-SA"/>
              </w:rPr>
            </w:pPr>
            <w:r>
              <w:rPr>
                <w:rFonts w:hint="default" w:ascii="Times New Roman" w:hAnsi="Times New Roman" w:cs="Times New Roman"/>
                <w:color w:val="auto"/>
                <w:kern w:val="2"/>
                <w:sz w:val="18"/>
                <w:szCs w:val="18"/>
              </w:rPr>
              <w:t>0.01L</w:t>
            </w:r>
          </w:p>
        </w:tc>
        <w:tc>
          <w:tcPr>
            <w:tcW w:w="634" w:type="pct"/>
            <w:noWrap/>
            <w:vAlign w:val="center"/>
          </w:tcPr>
          <w:p w14:paraId="33FE44E8">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1018" w:type="pct"/>
            <w:noWrap/>
            <w:vAlign w:val="center"/>
          </w:tcPr>
          <w:p w14:paraId="571565B4">
            <w:pPr>
              <w:widowControl/>
              <w:spacing w:line="240" w:lineRule="auto"/>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rPr>
              <w:t>≤</w:t>
            </w:r>
            <w:r>
              <w:rPr>
                <w:rFonts w:hint="default" w:ascii="Times New Roman" w:hAnsi="Times New Roman" w:cs="Times New Roman"/>
                <w:color w:val="auto"/>
                <w:kern w:val="0"/>
                <w:sz w:val="18"/>
                <w:szCs w:val="18"/>
                <w:lang w:val="en-US" w:eastAsia="zh-CN"/>
              </w:rPr>
              <w:t>0.05（参照地表水）</w:t>
            </w:r>
          </w:p>
        </w:tc>
        <w:tc>
          <w:tcPr>
            <w:tcW w:w="441" w:type="pct"/>
            <w:noWrap/>
            <w:vAlign w:val="center"/>
          </w:tcPr>
          <w:p w14:paraId="46212E6A">
            <w:pPr>
              <w:widowControl/>
              <w:spacing w:line="240" w:lineRule="auto"/>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达标</w:t>
            </w:r>
          </w:p>
        </w:tc>
      </w:tr>
      <w:tr w14:paraId="00B9447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000" w:type="pct"/>
            <w:gridSpan w:val="7"/>
            <w:noWrap/>
            <w:vAlign w:val="center"/>
          </w:tcPr>
          <w:p w14:paraId="32A71487">
            <w:pPr>
              <w:widowControl/>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注：“L”表示低于检测方法的检出限。</w:t>
            </w:r>
          </w:p>
        </w:tc>
      </w:tr>
    </w:tbl>
    <w:p w14:paraId="7876A6AF">
      <w:pPr>
        <w:pStyle w:val="7"/>
        <w:bidi w:val="0"/>
        <w:rPr>
          <w:rFonts w:hint="default" w:ascii="Times New Roman" w:hAnsi="Times New Roman" w:cs="Times New Roman"/>
        </w:rPr>
      </w:pPr>
      <w:r>
        <w:rPr>
          <w:rFonts w:hint="default" w:ascii="Times New Roman" w:hAnsi="Times New Roman" w:cs="Times New Roman"/>
          <w:lang w:val="en-US" w:eastAsia="zh-CN"/>
        </w:rPr>
        <w:t>4.2.3.5</w:t>
      </w:r>
      <w:r>
        <w:rPr>
          <w:rFonts w:hint="default" w:ascii="Times New Roman" w:hAnsi="Times New Roman" w:cs="Times New Roman"/>
        </w:rPr>
        <w:t>地下水环境质量现状评价</w:t>
      </w:r>
    </w:p>
    <w:p w14:paraId="52E4B083">
      <w:pPr>
        <w:spacing w:line="360" w:lineRule="auto"/>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根据</w:t>
      </w:r>
      <w:r>
        <w:rPr>
          <w:rFonts w:hint="default" w:ascii="Times New Roman" w:hAnsi="Times New Roman" w:eastAsia="宋体" w:cs="Times New Roman"/>
          <w:color w:val="auto"/>
          <w:lang w:val="en-US" w:bidi="zh-CN"/>
        </w:rPr>
        <w:t>上表</w:t>
      </w:r>
      <w:r>
        <w:rPr>
          <w:rFonts w:hint="default" w:ascii="Times New Roman" w:hAnsi="Times New Roman" w:eastAsia="宋体" w:cs="Times New Roman"/>
          <w:color w:val="auto"/>
          <w:lang w:bidi="zh-CN"/>
        </w:rPr>
        <w:t>，本项目对地下水监测点中的8项阴、阳离子（阳离子分别为Ca</w:t>
      </w:r>
      <w:r>
        <w:rPr>
          <w:rFonts w:hint="default" w:ascii="Times New Roman" w:hAnsi="Times New Roman" w:eastAsia="宋体" w:cs="Times New Roman"/>
          <w:color w:val="auto"/>
          <w:vertAlign w:val="superscript"/>
          <w:lang w:bidi="zh-CN"/>
        </w:rPr>
        <w:t>2+</w:t>
      </w:r>
      <w:r>
        <w:rPr>
          <w:rFonts w:hint="default" w:ascii="Times New Roman" w:hAnsi="Times New Roman" w:eastAsia="宋体" w:cs="Times New Roman"/>
          <w:color w:val="auto"/>
          <w:lang w:bidi="zh-CN"/>
        </w:rPr>
        <w:t>、Mg</w:t>
      </w:r>
      <w:r>
        <w:rPr>
          <w:rFonts w:hint="default" w:ascii="Times New Roman" w:hAnsi="Times New Roman" w:eastAsia="宋体" w:cs="Times New Roman"/>
          <w:color w:val="auto"/>
          <w:vertAlign w:val="superscript"/>
          <w:lang w:bidi="zh-CN"/>
        </w:rPr>
        <w:t>2+</w:t>
      </w:r>
      <w:r>
        <w:rPr>
          <w:rFonts w:hint="default" w:ascii="Times New Roman" w:hAnsi="Times New Roman" w:eastAsia="宋体" w:cs="Times New Roman"/>
          <w:color w:val="auto"/>
          <w:lang w:bidi="zh-CN"/>
        </w:rPr>
        <w:t>、Na</w:t>
      </w:r>
      <w:r>
        <w:rPr>
          <w:rFonts w:hint="default" w:ascii="Times New Roman" w:hAnsi="Times New Roman" w:eastAsia="宋体" w:cs="Times New Roman"/>
          <w:color w:val="auto"/>
          <w:vertAlign w:val="superscript"/>
          <w:lang w:bidi="zh-CN"/>
        </w:rPr>
        <w:t>+</w:t>
      </w:r>
      <w:r>
        <w:rPr>
          <w:rFonts w:hint="default" w:ascii="Times New Roman" w:hAnsi="Times New Roman" w:eastAsia="宋体" w:cs="Times New Roman"/>
          <w:color w:val="auto"/>
          <w:lang w:bidi="zh-CN"/>
        </w:rPr>
        <w:t>、K</w:t>
      </w:r>
      <w:r>
        <w:rPr>
          <w:rFonts w:hint="default" w:ascii="Times New Roman" w:hAnsi="Times New Roman" w:eastAsia="宋体" w:cs="Times New Roman"/>
          <w:color w:val="auto"/>
          <w:vertAlign w:val="superscript"/>
          <w:lang w:bidi="zh-CN"/>
        </w:rPr>
        <w:t>+</w:t>
      </w:r>
      <w:r>
        <w:rPr>
          <w:rFonts w:hint="default" w:ascii="Times New Roman" w:hAnsi="Times New Roman" w:eastAsia="宋体" w:cs="Times New Roman"/>
          <w:color w:val="auto"/>
          <w:lang w:bidi="zh-CN"/>
        </w:rPr>
        <w:t>，阴离子分别为CO</w:t>
      </w:r>
      <w:r>
        <w:rPr>
          <w:rFonts w:hint="default" w:ascii="Times New Roman" w:hAnsi="Times New Roman" w:eastAsia="宋体" w:cs="Times New Roman"/>
          <w:color w:val="auto"/>
          <w:vertAlign w:val="subscript"/>
          <w:lang w:bidi="zh-CN"/>
        </w:rPr>
        <w:t>3</w:t>
      </w:r>
      <w:r>
        <w:rPr>
          <w:rFonts w:hint="default" w:ascii="Times New Roman" w:hAnsi="Times New Roman" w:eastAsia="宋体" w:cs="Times New Roman"/>
          <w:color w:val="auto"/>
          <w:vertAlign w:val="superscript"/>
          <w:lang w:bidi="zh-CN"/>
        </w:rPr>
        <w:t>2-</w:t>
      </w:r>
      <w:r>
        <w:rPr>
          <w:rFonts w:hint="default" w:ascii="Times New Roman" w:hAnsi="Times New Roman" w:eastAsia="宋体" w:cs="Times New Roman"/>
          <w:color w:val="auto"/>
          <w:lang w:bidi="zh-CN"/>
        </w:rPr>
        <w:t>、HCO</w:t>
      </w:r>
      <w:r>
        <w:rPr>
          <w:rFonts w:hint="default" w:ascii="Times New Roman" w:hAnsi="Times New Roman" w:eastAsia="宋体" w:cs="Times New Roman"/>
          <w:color w:val="auto"/>
          <w:vertAlign w:val="subscript"/>
          <w:lang w:bidi="zh-CN"/>
        </w:rPr>
        <w:t>3</w:t>
      </w:r>
      <w:r>
        <w:rPr>
          <w:rFonts w:hint="default" w:ascii="Times New Roman" w:hAnsi="Times New Roman" w:eastAsia="宋体" w:cs="Times New Roman"/>
          <w:color w:val="auto"/>
          <w:vertAlign w:val="superscript"/>
          <w:lang w:bidi="zh-CN"/>
        </w:rPr>
        <w:t>-</w:t>
      </w:r>
      <w:r>
        <w:rPr>
          <w:rFonts w:hint="default" w:ascii="Times New Roman" w:hAnsi="Times New Roman" w:eastAsia="宋体" w:cs="Times New Roman"/>
          <w:color w:val="auto"/>
          <w:lang w:bidi="zh-CN"/>
        </w:rPr>
        <w:t>、SO</w:t>
      </w:r>
      <w:r>
        <w:rPr>
          <w:rFonts w:hint="default" w:ascii="Times New Roman" w:hAnsi="Times New Roman" w:eastAsia="宋体" w:cs="Times New Roman"/>
          <w:color w:val="auto"/>
          <w:vertAlign w:val="subscript"/>
          <w:lang w:bidi="zh-CN"/>
        </w:rPr>
        <w:t>4</w:t>
      </w:r>
      <w:r>
        <w:rPr>
          <w:rFonts w:hint="default" w:ascii="Times New Roman" w:hAnsi="Times New Roman" w:eastAsia="宋体" w:cs="Times New Roman"/>
          <w:color w:val="auto"/>
          <w:vertAlign w:val="superscript"/>
          <w:lang w:bidi="zh-CN"/>
        </w:rPr>
        <w:t>2-</w:t>
      </w:r>
      <w:r>
        <w:rPr>
          <w:rFonts w:hint="default" w:ascii="Times New Roman" w:hAnsi="Times New Roman" w:eastAsia="宋体" w:cs="Times New Roman"/>
          <w:color w:val="auto"/>
          <w:lang w:bidi="zh-CN"/>
        </w:rPr>
        <w:t>、Cl</w:t>
      </w:r>
      <w:r>
        <w:rPr>
          <w:rFonts w:hint="default" w:ascii="Times New Roman" w:hAnsi="Times New Roman" w:eastAsia="宋体" w:cs="Times New Roman"/>
          <w:color w:val="auto"/>
          <w:vertAlign w:val="superscript"/>
          <w:lang w:bidi="zh-CN"/>
        </w:rPr>
        <w:t>1-</w:t>
      </w:r>
      <w:r>
        <w:rPr>
          <w:rFonts w:hint="default" w:ascii="Times New Roman" w:hAnsi="Times New Roman" w:eastAsia="宋体" w:cs="Times New Roman"/>
          <w:color w:val="auto"/>
          <w:lang w:bidi="zh-CN"/>
        </w:rPr>
        <w:t>）进行了监测。八大离子有两个作用，一是查明地下水的化学类型，二是查验监测结果的准确性。监测完八大离子的质量浓度后，可按照阴阳离子平衡关系进行检验，现将监测结果的质量浓度除以分子量得出摩尔浓度，再乘以带电荷数，再根据以下公式计算误差，计算公式如下：</w:t>
      </w:r>
    </w:p>
    <w:p w14:paraId="3FD4388C">
      <w:pPr>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rPr>
        <w:drawing>
          <wp:inline distT="0" distB="0" distL="0" distR="0">
            <wp:extent cx="2304415" cy="702310"/>
            <wp:effectExtent l="0" t="0" r="63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304415" cy="702310"/>
                    </a:xfrm>
                    <a:prstGeom prst="rect">
                      <a:avLst/>
                    </a:prstGeom>
                    <a:noFill/>
                    <a:ln>
                      <a:noFill/>
                    </a:ln>
                  </pic:spPr>
                </pic:pic>
              </a:graphicData>
            </a:graphic>
          </wp:inline>
        </w:drawing>
      </w:r>
    </w:p>
    <w:p w14:paraId="2CAB2DD3">
      <w:pPr>
        <w:spacing w:line="360" w:lineRule="auto"/>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式中：E—相对误差，若Na</w:t>
      </w:r>
      <w:r>
        <w:rPr>
          <w:rFonts w:hint="default" w:ascii="Times New Roman" w:hAnsi="Times New Roman" w:eastAsia="宋体" w:cs="Times New Roman"/>
          <w:color w:val="auto"/>
          <w:vertAlign w:val="superscript"/>
          <w:lang w:bidi="zh-CN"/>
        </w:rPr>
        <w:t>+</w:t>
      </w:r>
      <w:r>
        <w:rPr>
          <w:rFonts w:hint="default" w:ascii="Times New Roman" w:hAnsi="Times New Roman" w:eastAsia="宋体" w:cs="Times New Roman"/>
          <w:color w:val="auto"/>
          <w:lang w:bidi="zh-CN"/>
        </w:rPr>
        <w:t>、K</w:t>
      </w:r>
      <w:r>
        <w:rPr>
          <w:rFonts w:hint="default" w:ascii="Times New Roman" w:hAnsi="Times New Roman" w:eastAsia="宋体" w:cs="Times New Roman"/>
          <w:color w:val="auto"/>
          <w:vertAlign w:val="superscript"/>
          <w:lang w:bidi="zh-CN"/>
        </w:rPr>
        <w:t>+</w:t>
      </w:r>
      <w:r>
        <w:rPr>
          <w:rFonts w:hint="default" w:ascii="Times New Roman" w:hAnsi="Times New Roman" w:eastAsia="宋体" w:cs="Times New Roman"/>
          <w:color w:val="auto"/>
          <w:lang w:bidi="zh-CN"/>
        </w:rPr>
        <w:t>为实测值，E应小于正负5%，否则监测结果失真，或地下水已明显受到污染。</w:t>
      </w:r>
    </w:p>
    <w:p w14:paraId="772E81DF">
      <w:pPr>
        <w:spacing w:line="360" w:lineRule="auto"/>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 xml:space="preserve">      m</w:t>
      </w:r>
      <w:r>
        <w:rPr>
          <w:rFonts w:hint="default" w:ascii="Times New Roman" w:hAnsi="Times New Roman" w:eastAsia="宋体" w:cs="Times New Roman"/>
          <w:color w:val="auto"/>
          <w:vertAlign w:val="subscript"/>
          <w:lang w:bidi="zh-CN"/>
        </w:rPr>
        <w:t>a</w:t>
      </w:r>
      <w:r>
        <w:rPr>
          <w:rFonts w:hint="default" w:ascii="Times New Roman" w:hAnsi="Times New Roman" w:eastAsia="宋体" w:cs="Times New Roman"/>
          <w:color w:val="auto"/>
          <w:lang w:bidi="zh-CN"/>
        </w:rPr>
        <w:t>、m</w:t>
      </w:r>
      <w:r>
        <w:rPr>
          <w:rFonts w:hint="default" w:ascii="Times New Roman" w:hAnsi="Times New Roman" w:eastAsia="宋体" w:cs="Times New Roman"/>
          <w:color w:val="auto"/>
          <w:vertAlign w:val="subscript"/>
          <w:lang w:bidi="zh-CN"/>
        </w:rPr>
        <w:t>c</w:t>
      </w:r>
      <w:r>
        <w:rPr>
          <w:rFonts w:hint="default" w:ascii="Times New Roman" w:hAnsi="Times New Roman" w:eastAsia="宋体" w:cs="Times New Roman"/>
          <w:color w:val="auto"/>
          <w:lang w:bidi="zh-CN"/>
        </w:rPr>
        <w:t>—分别是阴阳离子的毫克当量浓度（meq/L）。</w:t>
      </w:r>
    </w:p>
    <w:p w14:paraId="60AF872D">
      <w:pPr>
        <w:spacing w:line="360" w:lineRule="auto"/>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经计算，项目周边3个水质监测点位的八项离子E值计算结果见表</w:t>
      </w:r>
      <w:r>
        <w:rPr>
          <w:rFonts w:hint="default" w:ascii="Times New Roman" w:hAnsi="Times New Roman"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4</w:t>
      </w:r>
      <w:r>
        <w:rPr>
          <w:rFonts w:hint="default" w:ascii="Times New Roman" w:hAnsi="Times New Roman" w:eastAsia="宋体" w:cs="Times New Roman"/>
          <w:color w:val="auto"/>
          <w:lang w:bidi="zh-CN"/>
        </w:rPr>
        <w:t>。</w:t>
      </w:r>
    </w:p>
    <w:p w14:paraId="4C3ED30E">
      <w:pPr>
        <w:pStyle w:val="50"/>
        <w:jc w:val="center"/>
        <w:rPr>
          <w:rFonts w:hint="default" w:ascii="Times New Roman" w:hAnsi="Times New Roman" w:eastAsia="黑体" w:cs="Times New Roman"/>
          <w:color w:val="auto"/>
          <w:sz w:val="21"/>
          <w:szCs w:val="21"/>
          <w:lang w:bidi="zh-CN"/>
        </w:rPr>
      </w:pPr>
      <w:r>
        <w:rPr>
          <w:rFonts w:hint="default" w:ascii="Times New Roman" w:hAnsi="Times New Roman" w:eastAsia="黑体" w:cs="Times New Roman"/>
          <w:color w:val="auto"/>
          <w:sz w:val="21"/>
          <w:szCs w:val="21"/>
          <w:lang w:bidi="zh-CN"/>
        </w:rPr>
        <w:t>表</w:t>
      </w:r>
      <w:r>
        <w:rPr>
          <w:rFonts w:hint="default" w:ascii="Times New Roman" w:hAnsi="Times New Roman" w:eastAsia="黑体" w:cs="Times New Roman"/>
          <w:b w:val="0"/>
          <w:bCs w:val="0"/>
          <w:color w:val="auto"/>
          <w:sz w:val="21"/>
          <w:szCs w:val="21"/>
          <w:lang w:val="en-US" w:eastAsia="zh-CN"/>
        </w:rPr>
        <w:t>4.2.3-3</w:t>
      </w:r>
      <w:r>
        <w:rPr>
          <w:rFonts w:hint="default" w:ascii="Times New Roman" w:hAnsi="Times New Roman" w:eastAsia="黑体" w:cs="Times New Roman"/>
          <w:color w:val="auto"/>
          <w:sz w:val="21"/>
          <w:szCs w:val="21"/>
          <w:lang w:bidi="zh-CN"/>
        </w:rPr>
        <w:t xml:space="preserve">  地下水监测点位的E值计算结果表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28"/>
        <w:gridCol w:w="4660"/>
      </w:tblGrid>
      <w:tr w14:paraId="47C737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1" w:type="pct"/>
            <w:tcBorders>
              <w:tl2br w:val="nil"/>
              <w:tr2bl w:val="nil"/>
            </w:tcBorders>
            <w:shd w:val="clear" w:color="auto" w:fill="auto"/>
            <w:vAlign w:val="center"/>
          </w:tcPr>
          <w:p w14:paraId="58C22F98">
            <w:pPr>
              <w:spacing w:line="240" w:lineRule="auto"/>
              <w:ind w:firstLine="0" w:firstLineChars="0"/>
              <w:jc w:val="center"/>
              <w:rPr>
                <w:rFonts w:hint="default" w:ascii="Times New Roman" w:hAnsi="Times New Roman" w:eastAsia="宋体" w:cs="Times New Roman"/>
                <w:b/>
                <w:color w:val="auto"/>
                <w:sz w:val="18"/>
                <w:szCs w:val="18"/>
                <w:lang w:bidi="zh-CN"/>
              </w:rPr>
            </w:pPr>
            <w:r>
              <w:rPr>
                <w:rFonts w:hint="default" w:ascii="Times New Roman" w:hAnsi="Times New Roman" w:eastAsia="宋体" w:cs="Times New Roman"/>
                <w:b/>
                <w:color w:val="auto"/>
                <w:sz w:val="18"/>
                <w:szCs w:val="18"/>
                <w:lang w:bidi="zh-CN"/>
              </w:rPr>
              <w:t>监测点名称及编号</w:t>
            </w:r>
          </w:p>
        </w:tc>
        <w:tc>
          <w:tcPr>
            <w:tcW w:w="2508" w:type="pct"/>
            <w:tcBorders>
              <w:tl2br w:val="nil"/>
              <w:tr2bl w:val="nil"/>
            </w:tcBorders>
            <w:shd w:val="clear" w:color="auto" w:fill="auto"/>
            <w:vAlign w:val="center"/>
          </w:tcPr>
          <w:p w14:paraId="39AE7EAB">
            <w:pPr>
              <w:spacing w:line="240" w:lineRule="auto"/>
              <w:ind w:firstLine="0" w:firstLineChars="0"/>
              <w:jc w:val="center"/>
              <w:rPr>
                <w:rFonts w:hint="default" w:ascii="Times New Roman" w:hAnsi="Times New Roman" w:eastAsia="宋体" w:cs="Times New Roman"/>
                <w:b/>
                <w:color w:val="auto"/>
                <w:sz w:val="18"/>
                <w:szCs w:val="18"/>
                <w:lang w:bidi="zh-CN"/>
              </w:rPr>
            </w:pPr>
            <w:r>
              <w:rPr>
                <w:rFonts w:hint="default" w:ascii="Times New Roman" w:hAnsi="Times New Roman" w:eastAsia="宋体" w:cs="Times New Roman"/>
                <w:b/>
                <w:color w:val="auto"/>
                <w:sz w:val="18"/>
                <w:szCs w:val="18"/>
                <w:lang w:bidi="zh-CN"/>
              </w:rPr>
              <w:t>E值计算结果</w:t>
            </w:r>
          </w:p>
        </w:tc>
      </w:tr>
      <w:tr w14:paraId="4D0ECF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1" w:type="pct"/>
            <w:tcBorders>
              <w:tl2br w:val="nil"/>
              <w:tr2bl w:val="nil"/>
            </w:tcBorders>
            <w:shd w:val="clear" w:color="auto" w:fill="auto"/>
            <w:vAlign w:val="center"/>
          </w:tcPr>
          <w:p w14:paraId="5954F366">
            <w:pPr>
              <w:pStyle w:val="2"/>
              <w:keepNext w:val="0"/>
              <w:keepLines w:val="0"/>
              <w:pageBreakBefore w:val="0"/>
              <w:widowControl w:val="0"/>
              <w:kinsoku/>
              <w:wordWrap/>
              <w:overflowPunct/>
              <w:topLinePunct w:val="0"/>
              <w:autoSpaceDE w:val="0"/>
              <w:autoSpaceDN/>
              <w:bidi w:val="0"/>
              <w:adjustRightInd/>
              <w:snapToGrid/>
              <w:spacing w:before="0" w:line="240" w:lineRule="auto"/>
              <w:ind w:left="119" w:leftChars="0"/>
              <w:jc w:val="center"/>
              <w:textAlignment w:val="auto"/>
              <w:rPr>
                <w:rFonts w:hint="default" w:ascii="Times New Roman" w:hAnsi="Times New Roman" w:eastAsia="宋体" w:cs="Times New Roman"/>
                <w:color w:val="auto"/>
                <w:sz w:val="18"/>
                <w:szCs w:val="18"/>
                <w:lang w:bidi="zh-CN"/>
              </w:rPr>
            </w:pPr>
            <w:r>
              <w:rPr>
                <w:rFonts w:hint="default" w:ascii="Times New Roman" w:hAnsi="Times New Roman" w:eastAsia="宋体" w:cs="Times New Roman"/>
                <w:b w:val="0"/>
                <w:bCs w:val="0"/>
                <w:color w:val="auto"/>
                <w:sz w:val="18"/>
                <w:szCs w:val="18"/>
                <w:vertAlign w:val="baseline"/>
                <w:lang w:val="en-US" w:eastAsia="zh-CN"/>
              </w:rPr>
              <w:t>1</w:t>
            </w:r>
            <w:r>
              <w:rPr>
                <w:rFonts w:hint="default" w:ascii="Times New Roman" w:hAnsi="Times New Roman" w:cs="Times New Roman"/>
                <w:color w:val="auto"/>
                <w:sz w:val="18"/>
                <w:szCs w:val="18"/>
                <w:highlight w:val="none"/>
              </w:rPr>
              <w:t>#</w:t>
            </w:r>
          </w:p>
        </w:tc>
        <w:tc>
          <w:tcPr>
            <w:tcW w:w="2508" w:type="pct"/>
            <w:tcBorders>
              <w:tl2br w:val="nil"/>
              <w:tr2bl w:val="nil"/>
            </w:tcBorders>
            <w:shd w:val="clear" w:color="auto" w:fill="auto"/>
            <w:vAlign w:val="center"/>
          </w:tcPr>
          <w:p w14:paraId="676FDCEC">
            <w:pPr>
              <w:spacing w:line="240" w:lineRule="auto"/>
              <w:ind w:firstLine="0" w:firstLineChars="0"/>
              <w:jc w:val="center"/>
              <w:rPr>
                <w:rFonts w:hint="default" w:ascii="Times New Roman" w:hAnsi="Times New Roman" w:eastAsia="宋体" w:cs="Times New Roman"/>
                <w:color w:val="auto"/>
                <w:sz w:val="18"/>
                <w:szCs w:val="18"/>
                <w:lang w:val="en-US" w:bidi="zh-CN"/>
              </w:rPr>
            </w:pPr>
            <w:r>
              <w:rPr>
                <w:rFonts w:hint="default" w:ascii="Times New Roman" w:hAnsi="Times New Roman" w:eastAsia="宋体" w:cs="Times New Roman"/>
                <w:color w:val="auto"/>
                <w:sz w:val="18"/>
                <w:szCs w:val="18"/>
                <w:lang w:val="en-US" w:bidi="zh-CN"/>
              </w:rPr>
              <w:t>0.</w:t>
            </w:r>
            <w:r>
              <w:rPr>
                <w:rFonts w:hint="default" w:ascii="Times New Roman" w:hAnsi="Times New Roman" w:cs="Times New Roman"/>
                <w:color w:val="auto"/>
                <w:sz w:val="18"/>
                <w:szCs w:val="18"/>
                <w:lang w:val="en-US" w:bidi="zh-CN"/>
              </w:rPr>
              <w:t>7</w:t>
            </w:r>
          </w:p>
        </w:tc>
      </w:tr>
      <w:tr w14:paraId="12FA2A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1" w:type="pct"/>
            <w:tcBorders>
              <w:tl2br w:val="nil"/>
              <w:tr2bl w:val="nil"/>
            </w:tcBorders>
            <w:shd w:val="clear" w:color="auto" w:fill="auto"/>
            <w:vAlign w:val="center"/>
          </w:tcPr>
          <w:p w14:paraId="402A82BF">
            <w:pPr>
              <w:pStyle w:val="2"/>
              <w:keepNext w:val="0"/>
              <w:keepLines w:val="0"/>
              <w:pageBreakBefore w:val="0"/>
              <w:widowControl w:val="0"/>
              <w:kinsoku/>
              <w:wordWrap/>
              <w:overflowPunct/>
              <w:topLinePunct w:val="0"/>
              <w:autoSpaceDE w:val="0"/>
              <w:autoSpaceDN/>
              <w:bidi w:val="0"/>
              <w:adjustRightInd/>
              <w:snapToGrid/>
              <w:spacing w:before="0" w:line="240" w:lineRule="auto"/>
              <w:ind w:left="119" w:leftChars="0"/>
              <w:jc w:val="center"/>
              <w:textAlignment w:val="auto"/>
              <w:rPr>
                <w:rFonts w:hint="default" w:ascii="Times New Roman" w:hAnsi="Times New Roman" w:eastAsia="宋体" w:cs="Times New Roman"/>
                <w:color w:val="auto"/>
                <w:sz w:val="18"/>
                <w:szCs w:val="18"/>
                <w:lang w:bidi="zh-CN"/>
              </w:rPr>
            </w:pPr>
            <w:r>
              <w:rPr>
                <w:rFonts w:hint="default" w:ascii="Times New Roman" w:hAnsi="Times New Roman" w:eastAsia="宋体" w:cs="Times New Roman"/>
                <w:b w:val="0"/>
                <w:bCs w:val="0"/>
                <w:color w:val="000000"/>
                <w:sz w:val="18"/>
                <w:szCs w:val="18"/>
                <w:vertAlign w:val="baseline"/>
                <w:lang w:val="en-US" w:eastAsia="zh-CN"/>
              </w:rPr>
              <w:t>2</w:t>
            </w:r>
            <w:r>
              <w:rPr>
                <w:rFonts w:hint="default" w:ascii="Times New Roman" w:hAnsi="Times New Roman" w:cs="Times New Roman"/>
                <w:color w:val="auto"/>
                <w:sz w:val="18"/>
                <w:szCs w:val="18"/>
                <w:highlight w:val="none"/>
              </w:rPr>
              <w:t>#</w:t>
            </w:r>
          </w:p>
        </w:tc>
        <w:tc>
          <w:tcPr>
            <w:tcW w:w="2508" w:type="pct"/>
            <w:tcBorders>
              <w:tl2br w:val="nil"/>
              <w:tr2bl w:val="nil"/>
            </w:tcBorders>
            <w:shd w:val="clear" w:color="auto" w:fill="auto"/>
            <w:vAlign w:val="center"/>
          </w:tcPr>
          <w:p w14:paraId="0DC3DCA1">
            <w:pPr>
              <w:spacing w:line="240" w:lineRule="auto"/>
              <w:ind w:firstLine="0" w:firstLineChars="0"/>
              <w:jc w:val="center"/>
              <w:rPr>
                <w:rFonts w:hint="default" w:ascii="Times New Roman" w:hAnsi="Times New Roman" w:eastAsia="宋体" w:cs="Times New Roman"/>
                <w:color w:val="auto"/>
                <w:sz w:val="18"/>
                <w:szCs w:val="18"/>
                <w:lang w:val="en-US" w:bidi="zh-CN"/>
              </w:rPr>
            </w:pPr>
            <w:r>
              <w:rPr>
                <w:rFonts w:hint="default" w:ascii="Times New Roman" w:hAnsi="Times New Roman" w:eastAsia="宋体" w:cs="Times New Roman"/>
                <w:color w:val="auto"/>
                <w:sz w:val="18"/>
                <w:szCs w:val="18"/>
                <w:lang w:val="en-US" w:bidi="zh-CN"/>
              </w:rPr>
              <w:t>0.6</w:t>
            </w:r>
          </w:p>
        </w:tc>
      </w:tr>
      <w:tr w14:paraId="59156A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1" w:type="pct"/>
            <w:tcBorders>
              <w:tl2br w:val="nil"/>
              <w:tr2bl w:val="nil"/>
            </w:tcBorders>
            <w:shd w:val="clear" w:color="auto" w:fill="auto"/>
            <w:vAlign w:val="center"/>
          </w:tcPr>
          <w:p w14:paraId="2CFD3B54">
            <w:pPr>
              <w:pStyle w:val="2"/>
              <w:keepNext w:val="0"/>
              <w:keepLines w:val="0"/>
              <w:pageBreakBefore w:val="0"/>
              <w:widowControl w:val="0"/>
              <w:kinsoku/>
              <w:wordWrap/>
              <w:overflowPunct/>
              <w:topLinePunct w:val="0"/>
              <w:autoSpaceDE w:val="0"/>
              <w:autoSpaceDN/>
              <w:bidi w:val="0"/>
              <w:adjustRightInd/>
              <w:snapToGrid/>
              <w:spacing w:before="0" w:line="240" w:lineRule="auto"/>
              <w:ind w:left="119" w:leftChars="0"/>
              <w:jc w:val="center"/>
              <w:textAlignment w:val="auto"/>
              <w:rPr>
                <w:rFonts w:hint="default" w:ascii="Times New Roman" w:hAnsi="Times New Roman" w:eastAsia="宋体" w:cs="Times New Roman"/>
                <w:color w:val="auto"/>
                <w:sz w:val="18"/>
                <w:szCs w:val="18"/>
                <w:lang w:bidi="zh-CN"/>
              </w:rPr>
            </w:pPr>
            <w:r>
              <w:rPr>
                <w:rFonts w:hint="default" w:ascii="Times New Roman" w:hAnsi="Times New Roman" w:eastAsia="宋体" w:cs="Times New Roman"/>
                <w:b w:val="0"/>
                <w:bCs w:val="0"/>
                <w:color w:val="000000"/>
                <w:sz w:val="18"/>
                <w:szCs w:val="18"/>
                <w:vertAlign w:val="baseline"/>
                <w:lang w:val="en-US" w:eastAsia="zh-CN"/>
              </w:rPr>
              <w:t>3</w:t>
            </w:r>
            <w:r>
              <w:rPr>
                <w:rFonts w:hint="default" w:ascii="Times New Roman" w:hAnsi="Times New Roman" w:cs="Times New Roman"/>
                <w:color w:val="auto"/>
                <w:sz w:val="18"/>
                <w:szCs w:val="18"/>
                <w:highlight w:val="none"/>
              </w:rPr>
              <w:t>#</w:t>
            </w:r>
          </w:p>
        </w:tc>
        <w:tc>
          <w:tcPr>
            <w:tcW w:w="2508" w:type="pct"/>
            <w:tcBorders>
              <w:tl2br w:val="nil"/>
              <w:tr2bl w:val="nil"/>
            </w:tcBorders>
            <w:shd w:val="clear" w:color="auto" w:fill="auto"/>
            <w:vAlign w:val="center"/>
          </w:tcPr>
          <w:p w14:paraId="5AF44480">
            <w:pPr>
              <w:spacing w:line="240" w:lineRule="auto"/>
              <w:ind w:firstLine="0" w:firstLineChars="0"/>
              <w:jc w:val="center"/>
              <w:rPr>
                <w:rFonts w:hint="default" w:ascii="Times New Roman" w:hAnsi="Times New Roman" w:eastAsia="宋体" w:cs="Times New Roman"/>
                <w:color w:val="auto"/>
                <w:sz w:val="18"/>
                <w:szCs w:val="18"/>
                <w:lang w:val="en-US" w:bidi="zh-CN"/>
              </w:rPr>
            </w:pPr>
            <w:r>
              <w:rPr>
                <w:rFonts w:hint="default" w:ascii="Times New Roman" w:hAnsi="Times New Roman" w:eastAsia="宋体" w:cs="Times New Roman"/>
                <w:color w:val="auto"/>
                <w:sz w:val="18"/>
                <w:szCs w:val="18"/>
                <w:lang w:val="en-US" w:bidi="zh-CN"/>
              </w:rPr>
              <w:t>1.4</w:t>
            </w:r>
          </w:p>
        </w:tc>
      </w:tr>
    </w:tbl>
    <w:p w14:paraId="1D36BA83">
      <w:pPr>
        <w:keepNext w:val="0"/>
        <w:keepLines w:val="0"/>
        <w:pageBreakBefore w:val="0"/>
        <w:widowControl w:val="0"/>
        <w:kinsoku/>
        <w:wordWrap/>
        <w:overflowPunct/>
        <w:topLinePunct w:val="0"/>
        <w:autoSpaceDE/>
        <w:autoSpaceDN/>
        <w:bidi w:val="0"/>
        <w:adjustRightInd/>
        <w:snapToGrid/>
        <w:spacing w:before="157" w:beforeLines="50" w:line="360" w:lineRule="auto"/>
        <w:ind w:firstLine="49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lang w:bidi="zh-CN"/>
        </w:rPr>
        <w:t>根据表</w:t>
      </w:r>
      <w:r>
        <w:rPr>
          <w:rFonts w:hint="default" w:ascii="Times New Roman" w:hAnsi="Times New Roman" w:eastAsia="宋体" w:cs="Times New Roman"/>
          <w:b w:val="0"/>
          <w:bCs w:val="0"/>
          <w:color w:val="auto"/>
          <w:sz w:val="24"/>
          <w:szCs w:val="24"/>
          <w:lang w:val="en-US" w:eastAsia="zh-CN"/>
        </w:rPr>
        <w:t>4.2.3-2</w:t>
      </w:r>
      <w:r>
        <w:rPr>
          <w:rFonts w:hint="default" w:ascii="Times New Roman" w:hAnsi="Times New Roman" w:eastAsia="宋体" w:cs="Times New Roman"/>
          <w:color w:val="auto"/>
          <w:sz w:val="24"/>
          <w:szCs w:val="24"/>
          <w:lang w:bidi="zh-CN"/>
        </w:rPr>
        <w:t>、</w:t>
      </w:r>
      <w:r>
        <w:rPr>
          <w:rFonts w:hint="default" w:ascii="Times New Roman" w:hAnsi="Times New Roman" w:eastAsia="宋体" w:cs="Times New Roman"/>
          <w:b w:val="0"/>
          <w:bCs w:val="0"/>
          <w:color w:val="auto"/>
          <w:sz w:val="24"/>
          <w:szCs w:val="24"/>
          <w:lang w:val="en-US" w:eastAsia="zh-CN"/>
        </w:rPr>
        <w:t>4.2.3-3</w:t>
      </w:r>
      <w:r>
        <w:rPr>
          <w:rFonts w:hint="default" w:ascii="Times New Roman" w:hAnsi="Times New Roman" w:eastAsia="宋体" w:cs="Times New Roman"/>
          <w:color w:val="auto"/>
          <w:lang w:bidi="zh-CN"/>
        </w:rPr>
        <w:t>相关数据，表明项目所在区域地下水背景值未受到污染，</w:t>
      </w:r>
      <w:r>
        <w:rPr>
          <w:rFonts w:hint="default" w:ascii="Times New Roman" w:hAnsi="Times New Roman" w:cs="Times New Roman"/>
          <w:color w:val="auto"/>
          <w:sz w:val="24"/>
          <w:szCs w:val="24"/>
        </w:rPr>
        <w:t>各监测点位监测因子满足《地下水环境质量标准》（GB/T 14848-2017）中III类</w:t>
      </w:r>
      <w:r>
        <w:rPr>
          <w:rFonts w:hint="default" w:ascii="Times New Roman" w:hAnsi="Times New Roman" w:cs="Times New Roman"/>
          <w:color w:val="auto"/>
          <w:sz w:val="24"/>
          <w:lang w:val="en-US" w:eastAsia="zh-CN"/>
        </w:rPr>
        <w:t>水质</w:t>
      </w:r>
      <w:r>
        <w:rPr>
          <w:rFonts w:hint="default" w:ascii="Times New Roman" w:hAnsi="Times New Roman" w:cs="Times New Roman"/>
          <w:color w:val="auto"/>
          <w:sz w:val="24"/>
          <w:szCs w:val="24"/>
        </w:rPr>
        <w:t>标准。</w:t>
      </w:r>
    </w:p>
    <w:p w14:paraId="30B0252F">
      <w:pPr>
        <w:pStyle w:val="6"/>
        <w:bidi w:val="0"/>
        <w:rPr>
          <w:rFonts w:hint="default" w:ascii="Times New Roman" w:hAnsi="Times New Roman" w:cs="Times New Roman"/>
        </w:rPr>
      </w:pPr>
      <w:bookmarkStart w:id="384" w:name="_Toc26466"/>
      <w:bookmarkStart w:id="385" w:name="_Toc165816768"/>
      <w:r>
        <w:rPr>
          <w:rFonts w:hint="default" w:ascii="Times New Roman" w:hAnsi="Times New Roman" w:cs="Times New Roman"/>
          <w:lang w:val="en-US" w:eastAsia="zh-CN"/>
        </w:rPr>
        <w:t>4</w:t>
      </w:r>
      <w:r>
        <w:rPr>
          <w:rFonts w:hint="default" w:ascii="Times New Roman" w:hAnsi="Times New Roman" w:cs="Times New Roman"/>
        </w:rPr>
        <w:t>.2.4声环境质量现状调查及评价</w:t>
      </w:r>
      <w:bookmarkEnd w:id="384"/>
      <w:bookmarkEnd w:id="385"/>
    </w:p>
    <w:p w14:paraId="5D1B156F">
      <w:pPr>
        <w:pStyle w:val="7"/>
        <w:spacing w:before="0" w:after="0"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.2.4.1 监测点位</w:t>
      </w:r>
    </w:p>
    <w:p w14:paraId="2CE340FF">
      <w:pPr>
        <w:pStyle w:val="39"/>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根据声源的位置和周围环境特点，</w:t>
      </w:r>
      <w:r>
        <w:rPr>
          <w:rFonts w:hint="default" w:ascii="Times New Roman" w:hAnsi="Times New Roman" w:cs="Times New Roman" w:eastAsiaTheme="minorEastAsia"/>
          <w:bCs/>
          <w:sz w:val="24"/>
          <w:szCs w:val="24"/>
        </w:rPr>
        <w:t>分别在项目厂区厂界四周东、南、西、北面，各设1个监测点，共设</w:t>
      </w:r>
      <w:r>
        <w:rPr>
          <w:rFonts w:hint="default" w:ascii="Times New Roman" w:hAnsi="Times New Roman" w:cs="Times New Roman" w:eastAsiaTheme="minorEastAsia"/>
          <w:bCs/>
          <w:sz w:val="24"/>
          <w:szCs w:val="24"/>
          <w:lang w:val="en-US" w:eastAsia="zh-CN"/>
        </w:rPr>
        <w:t>4</w:t>
      </w:r>
      <w:r>
        <w:rPr>
          <w:rFonts w:hint="default" w:ascii="Times New Roman" w:hAnsi="Times New Roman" w:cs="Times New Roman" w:eastAsiaTheme="minorEastAsia"/>
          <w:bCs/>
          <w:sz w:val="24"/>
          <w:szCs w:val="24"/>
        </w:rPr>
        <w:t>个监测点。</w:t>
      </w:r>
    </w:p>
    <w:p w14:paraId="10548E7B">
      <w:pPr>
        <w:pStyle w:val="7"/>
        <w:spacing w:before="0" w:after="0"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.2.4.2 监测项目</w:t>
      </w:r>
    </w:p>
    <w:p w14:paraId="32EE2F05">
      <w:pPr>
        <w:adjustRightInd w:val="0"/>
        <w:snapToGrid w:val="0"/>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监测因子为昼间等效A声级</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L</w:t>
      </w:r>
      <w:r>
        <w:rPr>
          <w:rFonts w:hint="default" w:ascii="Times New Roman" w:hAnsi="Times New Roman" w:cs="Times New Roman" w:eastAsiaTheme="minorEastAsia"/>
          <w:sz w:val="24"/>
          <w:szCs w:val="24"/>
          <w:vertAlign w:val="subscript"/>
        </w:rPr>
        <w:t>d</w:t>
      </w:r>
      <w:r>
        <w:rPr>
          <w:rFonts w:hint="default" w:ascii="Times New Roman" w:hAnsi="Times New Roman" w:cs="Times New Roman" w:eastAsiaTheme="minorEastAsia"/>
          <w:sz w:val="24"/>
          <w:szCs w:val="24"/>
          <w:vertAlign w:val="baseline"/>
          <w:lang w:eastAsia="zh-CN"/>
        </w:rPr>
        <w:t>）</w:t>
      </w:r>
      <w:r>
        <w:rPr>
          <w:rFonts w:hint="default" w:ascii="Times New Roman" w:hAnsi="Times New Roman" w:cs="Times New Roman" w:eastAsiaTheme="minorEastAsia"/>
          <w:sz w:val="24"/>
          <w:szCs w:val="24"/>
        </w:rPr>
        <w:t>、夜间等效A声级</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L</w:t>
      </w:r>
      <w:r>
        <w:rPr>
          <w:rFonts w:hint="default" w:ascii="Times New Roman" w:hAnsi="Times New Roman" w:cs="Times New Roman" w:eastAsiaTheme="minorEastAsia"/>
          <w:sz w:val="24"/>
          <w:szCs w:val="24"/>
          <w:vertAlign w:val="subscript"/>
        </w:rPr>
        <w:t>n</w:t>
      </w:r>
      <w:r>
        <w:rPr>
          <w:rFonts w:hint="default" w:ascii="Times New Roman" w:hAnsi="Times New Roman" w:cs="Times New Roman" w:eastAsiaTheme="minorEastAsia"/>
          <w:sz w:val="24"/>
          <w:szCs w:val="24"/>
          <w:vertAlign w:val="baseline"/>
          <w:lang w:eastAsia="zh-CN"/>
        </w:rPr>
        <w:t>）</w:t>
      </w:r>
      <w:r>
        <w:rPr>
          <w:rFonts w:hint="default" w:ascii="Times New Roman" w:hAnsi="Times New Roman" w:cs="Times New Roman" w:eastAsiaTheme="minorEastAsia"/>
          <w:sz w:val="24"/>
          <w:szCs w:val="24"/>
        </w:rPr>
        <w:t>。</w:t>
      </w:r>
    </w:p>
    <w:p w14:paraId="740541AE">
      <w:pPr>
        <w:pStyle w:val="7"/>
        <w:spacing w:before="0" w:after="0"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.2.4.3 监测时间及频率</w:t>
      </w:r>
    </w:p>
    <w:p w14:paraId="75F76661">
      <w:pPr>
        <w:spacing w:line="360" w:lineRule="auto"/>
        <w:ind w:firstLine="48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sz w:val="24"/>
          <w:szCs w:val="24"/>
        </w:rPr>
        <w:t>连续监</w:t>
      </w:r>
      <w:r>
        <w:rPr>
          <w:rFonts w:hint="default" w:ascii="Times New Roman" w:hAnsi="Times New Roman" w:cs="Times New Roman" w:eastAsiaTheme="minorEastAsia"/>
          <w:color w:val="auto"/>
          <w:sz w:val="24"/>
          <w:szCs w:val="24"/>
        </w:rPr>
        <w:t>测2天，每天监测分昼间、夜间2个时段。</w:t>
      </w:r>
      <w:r>
        <w:rPr>
          <w:rFonts w:hint="default" w:ascii="Times New Roman" w:hAnsi="Times New Roman" w:cs="Times New Roman" w:eastAsiaTheme="minorEastAsia"/>
          <w:color w:val="auto"/>
          <w:sz w:val="24"/>
          <w:szCs w:val="24"/>
          <w:lang w:val="en-US" w:eastAsia="zh-CN"/>
        </w:rPr>
        <w:t>监测期间，本项目处于停运状态。</w:t>
      </w:r>
    </w:p>
    <w:p w14:paraId="6AD7866F">
      <w:pPr>
        <w:pStyle w:val="7"/>
        <w:spacing w:before="0" w:after="0" w:line="360" w:lineRule="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.2.4.4 监测结果及评价</w:t>
      </w:r>
    </w:p>
    <w:p w14:paraId="4A797771">
      <w:pPr>
        <w:spacing w:line="360" w:lineRule="auto"/>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监测结果见下表。</w:t>
      </w:r>
    </w:p>
    <w:p w14:paraId="63B369E4">
      <w:pPr>
        <w:spacing w:line="360" w:lineRule="auto"/>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4.2.4</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 xml:space="preserve">1 </w:t>
      </w:r>
      <w:r>
        <w:rPr>
          <w:rFonts w:hint="default" w:ascii="Times New Roman" w:hAnsi="Times New Roman" w:eastAsia="黑体" w:cs="Times New Roman"/>
          <w:b w:val="0"/>
          <w:bCs/>
          <w:sz w:val="21"/>
          <w:szCs w:val="21"/>
        </w:rPr>
        <w:t xml:space="preserve"> 项目声环境监测结果  单位：dB(A)</w:t>
      </w:r>
    </w:p>
    <w:tbl>
      <w:tblPr>
        <w:tblStyle w:val="29"/>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82"/>
        <w:gridCol w:w="1664"/>
        <w:gridCol w:w="2664"/>
        <w:gridCol w:w="1368"/>
        <w:gridCol w:w="1368"/>
        <w:gridCol w:w="842"/>
      </w:tblGrid>
      <w:tr w14:paraId="2B101B4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6" w:hRule="exact"/>
          <w:jc w:val="center"/>
        </w:trPr>
        <w:tc>
          <w:tcPr>
            <w:tcW w:w="744" w:type="pct"/>
            <w:tcBorders>
              <w:tl2br w:val="nil"/>
              <w:tr2bl w:val="nil"/>
            </w:tcBorders>
            <w:vAlign w:val="center"/>
          </w:tcPr>
          <w:p w14:paraId="2F8D301E">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日期</w:t>
            </w:r>
          </w:p>
        </w:tc>
        <w:tc>
          <w:tcPr>
            <w:tcW w:w="895" w:type="pct"/>
            <w:tcBorders>
              <w:tl2br w:val="nil"/>
              <w:tr2bl w:val="nil"/>
            </w:tcBorders>
            <w:vAlign w:val="center"/>
          </w:tcPr>
          <w:p w14:paraId="62EB5330">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监测点位</w:t>
            </w:r>
          </w:p>
        </w:tc>
        <w:tc>
          <w:tcPr>
            <w:tcW w:w="1433" w:type="pct"/>
            <w:tcBorders>
              <w:tl2br w:val="nil"/>
              <w:tr2bl w:val="nil"/>
            </w:tcBorders>
            <w:vAlign w:val="center"/>
          </w:tcPr>
          <w:p w14:paraId="0C1EE568">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时间</w:t>
            </w:r>
          </w:p>
        </w:tc>
        <w:tc>
          <w:tcPr>
            <w:tcW w:w="736" w:type="pct"/>
            <w:tcBorders>
              <w:tl2br w:val="nil"/>
              <w:tr2bl w:val="nil"/>
            </w:tcBorders>
            <w:vAlign w:val="center"/>
          </w:tcPr>
          <w:p w14:paraId="2A3F80B9">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噪声值/</w:t>
            </w:r>
          </w:p>
          <w:p w14:paraId="61C4E844">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dB（A）</w:t>
            </w:r>
          </w:p>
        </w:tc>
        <w:tc>
          <w:tcPr>
            <w:tcW w:w="736" w:type="pct"/>
            <w:tcBorders>
              <w:tl2br w:val="nil"/>
              <w:tr2bl w:val="nil"/>
            </w:tcBorders>
            <w:vAlign w:val="center"/>
          </w:tcPr>
          <w:p w14:paraId="0763F71E">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标准值/</w:t>
            </w:r>
          </w:p>
          <w:p w14:paraId="226988E6">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dB（A）</w:t>
            </w:r>
          </w:p>
        </w:tc>
        <w:tc>
          <w:tcPr>
            <w:tcW w:w="453" w:type="pct"/>
            <w:tcBorders>
              <w:tl2br w:val="nil"/>
              <w:tr2bl w:val="nil"/>
            </w:tcBorders>
            <w:vAlign w:val="center"/>
          </w:tcPr>
          <w:p w14:paraId="3B05EDCF">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达标情况</w:t>
            </w:r>
          </w:p>
        </w:tc>
      </w:tr>
      <w:tr w14:paraId="7B12FE7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3" w:hRule="exact"/>
          <w:jc w:val="center"/>
        </w:trPr>
        <w:tc>
          <w:tcPr>
            <w:tcW w:w="744" w:type="pct"/>
            <w:vMerge w:val="restart"/>
            <w:tcBorders>
              <w:tl2br w:val="nil"/>
              <w:tr2bl w:val="nil"/>
            </w:tcBorders>
            <w:vAlign w:val="center"/>
          </w:tcPr>
          <w:p w14:paraId="6D4E2799">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highlight w:val="none"/>
                <w:lang w:val="en-US" w:eastAsia="zh-CN"/>
              </w:rPr>
              <w:t>2024.06.24</w:t>
            </w:r>
          </w:p>
        </w:tc>
        <w:tc>
          <w:tcPr>
            <w:tcW w:w="895" w:type="pct"/>
            <w:vMerge w:val="restart"/>
            <w:tcBorders>
              <w:tl2br w:val="nil"/>
              <w:tr2bl w:val="nil"/>
            </w:tcBorders>
            <w:vAlign w:val="center"/>
          </w:tcPr>
          <w:p w14:paraId="0B2D05AD">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N1厂界东</w:t>
            </w:r>
          </w:p>
        </w:tc>
        <w:tc>
          <w:tcPr>
            <w:tcW w:w="1433" w:type="pct"/>
            <w:tcBorders>
              <w:tl2br w:val="nil"/>
              <w:tr2bl w:val="nil"/>
            </w:tcBorders>
          </w:tcPr>
          <w:p w14:paraId="60571EE0">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昼间（</w:t>
            </w:r>
            <w:r>
              <w:rPr>
                <w:rFonts w:hint="default" w:ascii="Times New Roman" w:hAnsi="Times New Roman" w:eastAsia="宋体" w:cs="Times New Roman"/>
                <w:b w:val="0"/>
                <w:bCs/>
                <w:i w:val="0"/>
                <w:iCs w:val="0"/>
                <w:color w:val="auto"/>
                <w:kern w:val="0"/>
                <w:sz w:val="18"/>
                <w:szCs w:val="18"/>
                <w:u w:val="none"/>
                <w:lang w:val="en-US" w:eastAsia="zh-CN" w:bidi="ar"/>
              </w:rPr>
              <w:t>08:25</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759AE34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58</w:t>
            </w:r>
          </w:p>
        </w:tc>
        <w:tc>
          <w:tcPr>
            <w:tcW w:w="736" w:type="pct"/>
            <w:tcBorders>
              <w:tl2br w:val="nil"/>
              <w:tr2bl w:val="nil"/>
            </w:tcBorders>
            <w:vAlign w:val="center"/>
          </w:tcPr>
          <w:p w14:paraId="05ACB237">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60</w:t>
            </w:r>
          </w:p>
        </w:tc>
        <w:tc>
          <w:tcPr>
            <w:tcW w:w="453" w:type="pct"/>
            <w:tcBorders>
              <w:tl2br w:val="nil"/>
              <w:tr2bl w:val="nil"/>
            </w:tcBorders>
            <w:vAlign w:val="center"/>
          </w:tcPr>
          <w:p w14:paraId="01EA3308">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62688E2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1" w:hRule="exact"/>
          <w:jc w:val="center"/>
        </w:trPr>
        <w:tc>
          <w:tcPr>
            <w:tcW w:w="744" w:type="pct"/>
            <w:vMerge w:val="continue"/>
            <w:tcBorders>
              <w:tl2br w:val="nil"/>
              <w:tr2bl w:val="nil"/>
            </w:tcBorders>
            <w:vAlign w:val="center"/>
          </w:tcPr>
          <w:p w14:paraId="1A8D8687">
            <w:pPr>
              <w:pStyle w:val="47"/>
              <w:spacing w:line="240" w:lineRule="auto"/>
              <w:rPr>
                <w:rFonts w:hint="default" w:ascii="Times New Roman" w:hAnsi="Times New Roman" w:eastAsia="宋体" w:cs="Times New Roman"/>
                <w:b w:val="0"/>
                <w:bCs/>
                <w:color w:val="auto"/>
                <w:sz w:val="18"/>
                <w:szCs w:val="18"/>
              </w:rPr>
            </w:pPr>
          </w:p>
        </w:tc>
        <w:tc>
          <w:tcPr>
            <w:tcW w:w="895" w:type="pct"/>
            <w:vMerge w:val="continue"/>
            <w:tcBorders>
              <w:tl2br w:val="nil"/>
              <w:tr2bl w:val="nil"/>
            </w:tcBorders>
            <w:vAlign w:val="center"/>
          </w:tcPr>
          <w:p w14:paraId="0B54AE75">
            <w:pPr>
              <w:pStyle w:val="47"/>
              <w:spacing w:line="240" w:lineRule="auto"/>
              <w:rPr>
                <w:rFonts w:hint="default" w:ascii="Times New Roman" w:hAnsi="Times New Roman" w:eastAsia="宋体" w:cs="Times New Roman"/>
                <w:b w:val="0"/>
                <w:bCs/>
                <w:color w:val="auto"/>
                <w:sz w:val="18"/>
                <w:szCs w:val="18"/>
              </w:rPr>
            </w:pPr>
          </w:p>
        </w:tc>
        <w:tc>
          <w:tcPr>
            <w:tcW w:w="1433" w:type="pct"/>
            <w:tcBorders>
              <w:tl2br w:val="nil"/>
              <w:tr2bl w:val="nil"/>
            </w:tcBorders>
          </w:tcPr>
          <w:p w14:paraId="0C694299">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夜间（</w:t>
            </w:r>
            <w:r>
              <w:rPr>
                <w:rFonts w:hint="default" w:ascii="Times New Roman" w:hAnsi="Times New Roman" w:eastAsia="宋体" w:cs="Times New Roman"/>
                <w:b w:val="0"/>
                <w:bCs/>
                <w:i w:val="0"/>
                <w:iCs w:val="0"/>
                <w:color w:val="auto"/>
                <w:kern w:val="0"/>
                <w:sz w:val="18"/>
                <w:szCs w:val="18"/>
                <w:u w:val="none"/>
                <w:lang w:val="en-US" w:eastAsia="zh-CN" w:bidi="ar"/>
              </w:rPr>
              <w:t>22:02</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1698570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47</w:t>
            </w:r>
          </w:p>
        </w:tc>
        <w:tc>
          <w:tcPr>
            <w:tcW w:w="736" w:type="pct"/>
            <w:tcBorders>
              <w:tl2br w:val="nil"/>
              <w:tr2bl w:val="nil"/>
            </w:tcBorders>
            <w:vAlign w:val="center"/>
          </w:tcPr>
          <w:p w14:paraId="70A1F629">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50</w:t>
            </w:r>
          </w:p>
        </w:tc>
        <w:tc>
          <w:tcPr>
            <w:tcW w:w="453" w:type="pct"/>
            <w:tcBorders>
              <w:tl2br w:val="nil"/>
              <w:tr2bl w:val="nil"/>
            </w:tcBorders>
            <w:vAlign w:val="center"/>
          </w:tcPr>
          <w:p w14:paraId="05266169">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5E7D11A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1" w:hRule="exact"/>
          <w:jc w:val="center"/>
        </w:trPr>
        <w:tc>
          <w:tcPr>
            <w:tcW w:w="744" w:type="pct"/>
            <w:vMerge w:val="continue"/>
            <w:tcBorders>
              <w:tl2br w:val="nil"/>
              <w:tr2bl w:val="nil"/>
            </w:tcBorders>
            <w:vAlign w:val="center"/>
          </w:tcPr>
          <w:p w14:paraId="4B8AE6B5">
            <w:pPr>
              <w:pStyle w:val="47"/>
              <w:spacing w:line="240" w:lineRule="auto"/>
              <w:rPr>
                <w:rFonts w:hint="default" w:ascii="Times New Roman" w:hAnsi="Times New Roman" w:eastAsia="宋体" w:cs="Times New Roman"/>
                <w:b w:val="0"/>
                <w:bCs/>
                <w:color w:val="auto"/>
                <w:sz w:val="18"/>
                <w:szCs w:val="18"/>
              </w:rPr>
            </w:pPr>
          </w:p>
        </w:tc>
        <w:tc>
          <w:tcPr>
            <w:tcW w:w="895" w:type="pct"/>
            <w:vMerge w:val="restart"/>
            <w:tcBorders>
              <w:tl2br w:val="nil"/>
              <w:tr2bl w:val="nil"/>
            </w:tcBorders>
            <w:vAlign w:val="center"/>
          </w:tcPr>
          <w:p w14:paraId="1D48A07A">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N2厂界南</w:t>
            </w:r>
          </w:p>
        </w:tc>
        <w:tc>
          <w:tcPr>
            <w:tcW w:w="1433" w:type="pct"/>
            <w:tcBorders>
              <w:tl2br w:val="nil"/>
              <w:tr2bl w:val="nil"/>
            </w:tcBorders>
          </w:tcPr>
          <w:p w14:paraId="794DF33D">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昼间（</w:t>
            </w:r>
            <w:r>
              <w:rPr>
                <w:rFonts w:hint="default" w:ascii="Times New Roman" w:hAnsi="Times New Roman" w:eastAsia="宋体" w:cs="Times New Roman"/>
                <w:b w:val="0"/>
                <w:bCs/>
                <w:i w:val="0"/>
                <w:iCs w:val="0"/>
                <w:color w:val="auto"/>
                <w:kern w:val="0"/>
                <w:sz w:val="18"/>
                <w:szCs w:val="18"/>
                <w:u w:val="none"/>
                <w:lang w:val="en-US" w:eastAsia="zh-CN" w:bidi="ar"/>
              </w:rPr>
              <w:t>08:56</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4A1143A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56</w:t>
            </w:r>
          </w:p>
        </w:tc>
        <w:tc>
          <w:tcPr>
            <w:tcW w:w="736" w:type="pct"/>
            <w:tcBorders>
              <w:tl2br w:val="nil"/>
              <w:tr2bl w:val="nil"/>
            </w:tcBorders>
            <w:vAlign w:val="center"/>
          </w:tcPr>
          <w:p w14:paraId="31C9D14C">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60</w:t>
            </w:r>
          </w:p>
        </w:tc>
        <w:tc>
          <w:tcPr>
            <w:tcW w:w="453" w:type="pct"/>
            <w:tcBorders>
              <w:tl2br w:val="nil"/>
              <w:tr2bl w:val="nil"/>
            </w:tcBorders>
            <w:vAlign w:val="center"/>
          </w:tcPr>
          <w:p w14:paraId="3892884B">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49067D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9" w:hRule="exact"/>
          <w:jc w:val="center"/>
        </w:trPr>
        <w:tc>
          <w:tcPr>
            <w:tcW w:w="744" w:type="pct"/>
            <w:vMerge w:val="continue"/>
            <w:tcBorders>
              <w:tl2br w:val="nil"/>
              <w:tr2bl w:val="nil"/>
            </w:tcBorders>
            <w:vAlign w:val="center"/>
          </w:tcPr>
          <w:p w14:paraId="20C99CA9">
            <w:pPr>
              <w:pStyle w:val="47"/>
              <w:spacing w:line="240" w:lineRule="auto"/>
              <w:rPr>
                <w:rFonts w:hint="default" w:ascii="Times New Roman" w:hAnsi="Times New Roman" w:eastAsia="宋体" w:cs="Times New Roman"/>
                <w:b w:val="0"/>
                <w:bCs/>
                <w:color w:val="auto"/>
                <w:sz w:val="18"/>
                <w:szCs w:val="18"/>
              </w:rPr>
            </w:pPr>
          </w:p>
        </w:tc>
        <w:tc>
          <w:tcPr>
            <w:tcW w:w="895" w:type="pct"/>
            <w:vMerge w:val="continue"/>
            <w:tcBorders>
              <w:tl2br w:val="nil"/>
              <w:tr2bl w:val="nil"/>
            </w:tcBorders>
            <w:vAlign w:val="center"/>
          </w:tcPr>
          <w:p w14:paraId="100E940D">
            <w:pPr>
              <w:pStyle w:val="47"/>
              <w:spacing w:line="240" w:lineRule="auto"/>
              <w:rPr>
                <w:rFonts w:hint="default" w:ascii="Times New Roman" w:hAnsi="Times New Roman" w:eastAsia="宋体" w:cs="Times New Roman"/>
                <w:b w:val="0"/>
                <w:bCs/>
                <w:color w:val="auto"/>
                <w:sz w:val="18"/>
                <w:szCs w:val="18"/>
              </w:rPr>
            </w:pPr>
          </w:p>
        </w:tc>
        <w:tc>
          <w:tcPr>
            <w:tcW w:w="1433" w:type="pct"/>
            <w:tcBorders>
              <w:tl2br w:val="nil"/>
              <w:tr2bl w:val="nil"/>
            </w:tcBorders>
          </w:tcPr>
          <w:p w14:paraId="22ED402E">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夜间（</w:t>
            </w:r>
            <w:r>
              <w:rPr>
                <w:rFonts w:hint="default" w:ascii="Times New Roman" w:hAnsi="Times New Roman" w:eastAsia="宋体" w:cs="Times New Roman"/>
                <w:b w:val="0"/>
                <w:bCs/>
                <w:i w:val="0"/>
                <w:iCs w:val="0"/>
                <w:color w:val="auto"/>
                <w:kern w:val="0"/>
                <w:sz w:val="18"/>
                <w:szCs w:val="18"/>
                <w:u w:val="none"/>
                <w:lang w:val="en-US" w:eastAsia="zh-CN" w:bidi="ar"/>
              </w:rPr>
              <w:t>22:31</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55D0876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45</w:t>
            </w:r>
          </w:p>
        </w:tc>
        <w:tc>
          <w:tcPr>
            <w:tcW w:w="736" w:type="pct"/>
            <w:tcBorders>
              <w:tl2br w:val="nil"/>
              <w:tr2bl w:val="nil"/>
            </w:tcBorders>
            <w:vAlign w:val="center"/>
          </w:tcPr>
          <w:p w14:paraId="62743AA4">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50</w:t>
            </w:r>
          </w:p>
        </w:tc>
        <w:tc>
          <w:tcPr>
            <w:tcW w:w="453" w:type="pct"/>
            <w:tcBorders>
              <w:tl2br w:val="nil"/>
              <w:tr2bl w:val="nil"/>
            </w:tcBorders>
            <w:vAlign w:val="center"/>
          </w:tcPr>
          <w:p w14:paraId="401EC3E1">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1B6D2B4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3" w:hRule="exact"/>
          <w:jc w:val="center"/>
        </w:trPr>
        <w:tc>
          <w:tcPr>
            <w:tcW w:w="744" w:type="pct"/>
            <w:vMerge w:val="continue"/>
            <w:tcBorders>
              <w:tl2br w:val="nil"/>
              <w:tr2bl w:val="nil"/>
            </w:tcBorders>
            <w:vAlign w:val="center"/>
          </w:tcPr>
          <w:p w14:paraId="10A289CF">
            <w:pPr>
              <w:pStyle w:val="47"/>
              <w:spacing w:line="240" w:lineRule="auto"/>
              <w:rPr>
                <w:rFonts w:hint="default" w:ascii="Times New Roman" w:hAnsi="Times New Roman" w:eastAsia="宋体" w:cs="Times New Roman"/>
                <w:b w:val="0"/>
                <w:bCs/>
                <w:color w:val="auto"/>
                <w:sz w:val="18"/>
                <w:szCs w:val="18"/>
              </w:rPr>
            </w:pPr>
          </w:p>
        </w:tc>
        <w:tc>
          <w:tcPr>
            <w:tcW w:w="895" w:type="pct"/>
            <w:vMerge w:val="restart"/>
            <w:tcBorders>
              <w:tl2br w:val="nil"/>
              <w:tr2bl w:val="nil"/>
            </w:tcBorders>
            <w:vAlign w:val="center"/>
          </w:tcPr>
          <w:p w14:paraId="084C293F">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N3厂界西</w:t>
            </w:r>
          </w:p>
        </w:tc>
        <w:tc>
          <w:tcPr>
            <w:tcW w:w="1433" w:type="pct"/>
            <w:tcBorders>
              <w:tl2br w:val="nil"/>
              <w:tr2bl w:val="nil"/>
            </w:tcBorders>
          </w:tcPr>
          <w:p w14:paraId="776CF77C">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昼间（</w:t>
            </w:r>
            <w:r>
              <w:rPr>
                <w:rFonts w:hint="default" w:ascii="Times New Roman" w:hAnsi="Times New Roman" w:eastAsia="宋体" w:cs="Times New Roman"/>
                <w:b w:val="0"/>
                <w:bCs/>
                <w:i w:val="0"/>
                <w:iCs w:val="0"/>
                <w:color w:val="auto"/>
                <w:kern w:val="0"/>
                <w:sz w:val="18"/>
                <w:szCs w:val="18"/>
                <w:u w:val="none"/>
                <w:lang w:val="en-US" w:eastAsia="zh-CN" w:bidi="ar"/>
              </w:rPr>
              <w:t>09:28</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7A2E0C0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59</w:t>
            </w:r>
          </w:p>
        </w:tc>
        <w:tc>
          <w:tcPr>
            <w:tcW w:w="736" w:type="pct"/>
            <w:tcBorders>
              <w:tl2br w:val="nil"/>
              <w:tr2bl w:val="nil"/>
            </w:tcBorders>
            <w:vAlign w:val="center"/>
          </w:tcPr>
          <w:p w14:paraId="2D285530">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60</w:t>
            </w:r>
          </w:p>
        </w:tc>
        <w:tc>
          <w:tcPr>
            <w:tcW w:w="453" w:type="pct"/>
            <w:tcBorders>
              <w:tl2br w:val="nil"/>
              <w:tr2bl w:val="nil"/>
            </w:tcBorders>
            <w:vAlign w:val="center"/>
          </w:tcPr>
          <w:p w14:paraId="493E9D16">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6E1CDF8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exact"/>
          <w:jc w:val="center"/>
        </w:trPr>
        <w:tc>
          <w:tcPr>
            <w:tcW w:w="744" w:type="pct"/>
            <w:vMerge w:val="continue"/>
            <w:tcBorders>
              <w:tl2br w:val="nil"/>
              <w:tr2bl w:val="nil"/>
            </w:tcBorders>
            <w:vAlign w:val="center"/>
          </w:tcPr>
          <w:p w14:paraId="258C1D58">
            <w:pPr>
              <w:pStyle w:val="47"/>
              <w:spacing w:line="240" w:lineRule="auto"/>
              <w:rPr>
                <w:rFonts w:hint="default" w:ascii="Times New Roman" w:hAnsi="Times New Roman" w:eastAsia="宋体" w:cs="Times New Roman"/>
                <w:b w:val="0"/>
                <w:bCs/>
                <w:color w:val="auto"/>
                <w:sz w:val="18"/>
                <w:szCs w:val="18"/>
              </w:rPr>
            </w:pPr>
          </w:p>
        </w:tc>
        <w:tc>
          <w:tcPr>
            <w:tcW w:w="895" w:type="pct"/>
            <w:vMerge w:val="continue"/>
            <w:tcBorders>
              <w:tl2br w:val="nil"/>
              <w:tr2bl w:val="nil"/>
            </w:tcBorders>
            <w:vAlign w:val="center"/>
          </w:tcPr>
          <w:p w14:paraId="1686EBC6">
            <w:pPr>
              <w:pStyle w:val="47"/>
              <w:spacing w:line="240" w:lineRule="auto"/>
              <w:rPr>
                <w:rFonts w:hint="default" w:ascii="Times New Roman" w:hAnsi="Times New Roman" w:eastAsia="宋体" w:cs="Times New Roman"/>
                <w:b w:val="0"/>
                <w:bCs/>
                <w:color w:val="auto"/>
                <w:sz w:val="18"/>
                <w:szCs w:val="18"/>
              </w:rPr>
            </w:pPr>
          </w:p>
        </w:tc>
        <w:tc>
          <w:tcPr>
            <w:tcW w:w="1433" w:type="pct"/>
            <w:tcBorders>
              <w:tl2br w:val="nil"/>
              <w:tr2bl w:val="nil"/>
            </w:tcBorders>
          </w:tcPr>
          <w:p w14:paraId="6C1AADF8">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夜间（</w:t>
            </w:r>
            <w:r>
              <w:rPr>
                <w:rFonts w:hint="default" w:ascii="Times New Roman" w:hAnsi="Times New Roman" w:eastAsia="宋体" w:cs="Times New Roman"/>
                <w:b w:val="0"/>
                <w:bCs/>
                <w:i w:val="0"/>
                <w:iCs w:val="0"/>
                <w:color w:val="auto"/>
                <w:kern w:val="0"/>
                <w:sz w:val="18"/>
                <w:szCs w:val="18"/>
                <w:u w:val="none"/>
                <w:lang w:val="en-US" w:eastAsia="zh-CN" w:bidi="ar"/>
              </w:rPr>
              <w:t>22:58</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2064C43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47</w:t>
            </w:r>
          </w:p>
        </w:tc>
        <w:tc>
          <w:tcPr>
            <w:tcW w:w="736" w:type="pct"/>
            <w:tcBorders>
              <w:tl2br w:val="nil"/>
              <w:tr2bl w:val="nil"/>
            </w:tcBorders>
            <w:vAlign w:val="center"/>
          </w:tcPr>
          <w:p w14:paraId="2FA9DA5C">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50</w:t>
            </w:r>
          </w:p>
        </w:tc>
        <w:tc>
          <w:tcPr>
            <w:tcW w:w="453" w:type="pct"/>
            <w:tcBorders>
              <w:tl2br w:val="nil"/>
              <w:tr2bl w:val="nil"/>
            </w:tcBorders>
            <w:vAlign w:val="center"/>
          </w:tcPr>
          <w:p w14:paraId="721F0684">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732E600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7" w:hRule="exact"/>
          <w:jc w:val="center"/>
        </w:trPr>
        <w:tc>
          <w:tcPr>
            <w:tcW w:w="744" w:type="pct"/>
            <w:vMerge w:val="continue"/>
            <w:tcBorders>
              <w:tl2br w:val="nil"/>
              <w:tr2bl w:val="nil"/>
            </w:tcBorders>
            <w:vAlign w:val="center"/>
          </w:tcPr>
          <w:p w14:paraId="2C41F4CE">
            <w:pPr>
              <w:pStyle w:val="47"/>
              <w:spacing w:line="240" w:lineRule="auto"/>
              <w:rPr>
                <w:rFonts w:hint="default" w:ascii="Times New Roman" w:hAnsi="Times New Roman" w:eastAsia="宋体" w:cs="Times New Roman"/>
                <w:b w:val="0"/>
                <w:bCs/>
                <w:color w:val="auto"/>
                <w:sz w:val="18"/>
                <w:szCs w:val="18"/>
              </w:rPr>
            </w:pPr>
          </w:p>
        </w:tc>
        <w:tc>
          <w:tcPr>
            <w:tcW w:w="895" w:type="pct"/>
            <w:vMerge w:val="restart"/>
            <w:tcBorders>
              <w:tl2br w:val="nil"/>
              <w:tr2bl w:val="nil"/>
            </w:tcBorders>
            <w:vAlign w:val="center"/>
          </w:tcPr>
          <w:p w14:paraId="45BF4FCA">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N4厂界北</w:t>
            </w:r>
          </w:p>
        </w:tc>
        <w:tc>
          <w:tcPr>
            <w:tcW w:w="1433" w:type="pct"/>
            <w:tcBorders>
              <w:tl2br w:val="nil"/>
              <w:tr2bl w:val="nil"/>
            </w:tcBorders>
          </w:tcPr>
          <w:p w14:paraId="4D1AB38A">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昼间（</w:t>
            </w:r>
            <w:r>
              <w:rPr>
                <w:rFonts w:hint="default" w:ascii="Times New Roman" w:hAnsi="Times New Roman" w:eastAsia="宋体" w:cs="Times New Roman"/>
                <w:b w:val="0"/>
                <w:bCs/>
                <w:i w:val="0"/>
                <w:iCs w:val="0"/>
                <w:color w:val="auto"/>
                <w:kern w:val="0"/>
                <w:sz w:val="18"/>
                <w:szCs w:val="18"/>
                <w:u w:val="none"/>
                <w:lang w:val="en-US" w:eastAsia="zh-CN" w:bidi="ar"/>
              </w:rPr>
              <w:t>10:05</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38C8A9B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57</w:t>
            </w:r>
          </w:p>
        </w:tc>
        <w:tc>
          <w:tcPr>
            <w:tcW w:w="736" w:type="pct"/>
            <w:tcBorders>
              <w:tl2br w:val="nil"/>
              <w:tr2bl w:val="nil"/>
            </w:tcBorders>
            <w:vAlign w:val="center"/>
          </w:tcPr>
          <w:p w14:paraId="508CB72B">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60</w:t>
            </w:r>
          </w:p>
        </w:tc>
        <w:tc>
          <w:tcPr>
            <w:tcW w:w="453" w:type="pct"/>
            <w:tcBorders>
              <w:tl2br w:val="nil"/>
              <w:tr2bl w:val="nil"/>
            </w:tcBorders>
            <w:vAlign w:val="center"/>
          </w:tcPr>
          <w:p w14:paraId="71651F40">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4A3C2A0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exact"/>
          <w:jc w:val="center"/>
        </w:trPr>
        <w:tc>
          <w:tcPr>
            <w:tcW w:w="744" w:type="pct"/>
            <w:vMerge w:val="continue"/>
            <w:tcBorders>
              <w:tl2br w:val="nil"/>
              <w:tr2bl w:val="nil"/>
            </w:tcBorders>
            <w:vAlign w:val="center"/>
          </w:tcPr>
          <w:p w14:paraId="24FED6A6">
            <w:pPr>
              <w:pStyle w:val="47"/>
              <w:spacing w:line="240" w:lineRule="auto"/>
              <w:rPr>
                <w:rFonts w:hint="default" w:ascii="Times New Roman" w:hAnsi="Times New Roman" w:eastAsia="宋体" w:cs="Times New Roman"/>
                <w:b w:val="0"/>
                <w:bCs/>
                <w:color w:val="auto"/>
                <w:sz w:val="18"/>
                <w:szCs w:val="18"/>
              </w:rPr>
            </w:pPr>
          </w:p>
        </w:tc>
        <w:tc>
          <w:tcPr>
            <w:tcW w:w="895" w:type="pct"/>
            <w:vMerge w:val="continue"/>
            <w:tcBorders>
              <w:tl2br w:val="nil"/>
              <w:tr2bl w:val="nil"/>
            </w:tcBorders>
            <w:vAlign w:val="center"/>
          </w:tcPr>
          <w:p w14:paraId="22B0E80D">
            <w:pPr>
              <w:pStyle w:val="47"/>
              <w:spacing w:line="240" w:lineRule="auto"/>
              <w:rPr>
                <w:rFonts w:hint="default" w:ascii="Times New Roman" w:hAnsi="Times New Roman" w:eastAsia="宋体" w:cs="Times New Roman"/>
                <w:b w:val="0"/>
                <w:bCs/>
                <w:color w:val="auto"/>
                <w:sz w:val="18"/>
                <w:szCs w:val="18"/>
              </w:rPr>
            </w:pPr>
          </w:p>
        </w:tc>
        <w:tc>
          <w:tcPr>
            <w:tcW w:w="1433" w:type="pct"/>
            <w:tcBorders>
              <w:tl2br w:val="nil"/>
              <w:tr2bl w:val="nil"/>
            </w:tcBorders>
          </w:tcPr>
          <w:p w14:paraId="691A81E4">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夜间（</w:t>
            </w:r>
            <w:r>
              <w:rPr>
                <w:rFonts w:hint="default" w:ascii="Times New Roman" w:hAnsi="Times New Roman" w:eastAsia="宋体" w:cs="Times New Roman"/>
                <w:b w:val="0"/>
                <w:bCs/>
                <w:i w:val="0"/>
                <w:iCs w:val="0"/>
                <w:color w:val="auto"/>
                <w:kern w:val="0"/>
                <w:sz w:val="18"/>
                <w:szCs w:val="18"/>
                <w:u w:val="none"/>
                <w:lang w:val="en-US" w:eastAsia="zh-CN" w:bidi="ar"/>
              </w:rPr>
              <w:t>23:32</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724D12E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46</w:t>
            </w:r>
          </w:p>
        </w:tc>
        <w:tc>
          <w:tcPr>
            <w:tcW w:w="736" w:type="pct"/>
            <w:tcBorders>
              <w:tl2br w:val="nil"/>
              <w:tr2bl w:val="nil"/>
            </w:tcBorders>
            <w:vAlign w:val="center"/>
          </w:tcPr>
          <w:p w14:paraId="67801883">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50</w:t>
            </w:r>
          </w:p>
        </w:tc>
        <w:tc>
          <w:tcPr>
            <w:tcW w:w="453" w:type="pct"/>
            <w:tcBorders>
              <w:tl2br w:val="nil"/>
              <w:tr2bl w:val="nil"/>
            </w:tcBorders>
            <w:vAlign w:val="center"/>
          </w:tcPr>
          <w:p w14:paraId="54D14629">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6229B85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5" w:hRule="exact"/>
          <w:jc w:val="center"/>
        </w:trPr>
        <w:tc>
          <w:tcPr>
            <w:tcW w:w="744" w:type="pct"/>
            <w:vMerge w:val="restart"/>
            <w:tcBorders>
              <w:tl2br w:val="nil"/>
              <w:tr2bl w:val="nil"/>
            </w:tcBorders>
            <w:vAlign w:val="center"/>
          </w:tcPr>
          <w:p w14:paraId="4BE01D97">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highlight w:val="none"/>
                <w:lang w:val="en-US" w:eastAsia="zh-CN"/>
              </w:rPr>
              <w:t>2024.06.25</w:t>
            </w:r>
          </w:p>
        </w:tc>
        <w:tc>
          <w:tcPr>
            <w:tcW w:w="895" w:type="pct"/>
            <w:vMerge w:val="restart"/>
            <w:tcBorders>
              <w:tl2br w:val="nil"/>
              <w:tr2bl w:val="nil"/>
            </w:tcBorders>
            <w:vAlign w:val="center"/>
          </w:tcPr>
          <w:p w14:paraId="3F21822E">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N1厂界东</w:t>
            </w:r>
          </w:p>
        </w:tc>
        <w:tc>
          <w:tcPr>
            <w:tcW w:w="1433" w:type="pct"/>
            <w:tcBorders>
              <w:tl2br w:val="nil"/>
              <w:tr2bl w:val="nil"/>
            </w:tcBorders>
          </w:tcPr>
          <w:p w14:paraId="7697DC6A">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昼间（</w:t>
            </w:r>
            <w:r>
              <w:rPr>
                <w:rFonts w:hint="default" w:ascii="Times New Roman" w:hAnsi="Times New Roman" w:eastAsia="宋体" w:cs="Times New Roman"/>
                <w:b w:val="0"/>
                <w:bCs/>
                <w:i w:val="0"/>
                <w:iCs w:val="0"/>
                <w:color w:val="auto"/>
                <w:kern w:val="0"/>
                <w:sz w:val="18"/>
                <w:szCs w:val="18"/>
                <w:u w:val="none"/>
                <w:lang w:val="en-US" w:eastAsia="zh-CN" w:bidi="ar"/>
              </w:rPr>
              <w:t>08:40</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74B0E14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57</w:t>
            </w:r>
          </w:p>
        </w:tc>
        <w:tc>
          <w:tcPr>
            <w:tcW w:w="736" w:type="pct"/>
            <w:tcBorders>
              <w:tl2br w:val="nil"/>
              <w:tr2bl w:val="nil"/>
            </w:tcBorders>
            <w:vAlign w:val="center"/>
          </w:tcPr>
          <w:p w14:paraId="34CEF8AE">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60</w:t>
            </w:r>
          </w:p>
        </w:tc>
        <w:tc>
          <w:tcPr>
            <w:tcW w:w="453" w:type="pct"/>
            <w:tcBorders>
              <w:tl2br w:val="nil"/>
              <w:tr2bl w:val="nil"/>
            </w:tcBorders>
            <w:vAlign w:val="center"/>
          </w:tcPr>
          <w:p w14:paraId="7AC3B73C">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2F4F82A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9" w:hRule="exact"/>
          <w:jc w:val="center"/>
        </w:trPr>
        <w:tc>
          <w:tcPr>
            <w:tcW w:w="744" w:type="pct"/>
            <w:vMerge w:val="continue"/>
            <w:tcBorders>
              <w:tl2br w:val="nil"/>
              <w:tr2bl w:val="nil"/>
            </w:tcBorders>
            <w:vAlign w:val="center"/>
          </w:tcPr>
          <w:p w14:paraId="249EAABA">
            <w:pPr>
              <w:pStyle w:val="47"/>
              <w:spacing w:line="240" w:lineRule="auto"/>
              <w:rPr>
                <w:rFonts w:hint="default" w:ascii="Times New Roman" w:hAnsi="Times New Roman" w:eastAsia="宋体" w:cs="Times New Roman"/>
                <w:b w:val="0"/>
                <w:bCs/>
                <w:color w:val="auto"/>
                <w:sz w:val="18"/>
                <w:szCs w:val="18"/>
              </w:rPr>
            </w:pPr>
          </w:p>
        </w:tc>
        <w:tc>
          <w:tcPr>
            <w:tcW w:w="895" w:type="pct"/>
            <w:vMerge w:val="continue"/>
            <w:tcBorders>
              <w:tl2br w:val="nil"/>
              <w:tr2bl w:val="nil"/>
            </w:tcBorders>
            <w:vAlign w:val="center"/>
          </w:tcPr>
          <w:p w14:paraId="4D525D94">
            <w:pPr>
              <w:pStyle w:val="47"/>
              <w:spacing w:line="240" w:lineRule="auto"/>
              <w:rPr>
                <w:rFonts w:hint="default" w:ascii="Times New Roman" w:hAnsi="Times New Roman" w:eastAsia="宋体" w:cs="Times New Roman"/>
                <w:b w:val="0"/>
                <w:bCs/>
                <w:color w:val="auto"/>
                <w:sz w:val="18"/>
                <w:szCs w:val="18"/>
              </w:rPr>
            </w:pPr>
          </w:p>
        </w:tc>
        <w:tc>
          <w:tcPr>
            <w:tcW w:w="1433" w:type="pct"/>
            <w:tcBorders>
              <w:tl2br w:val="nil"/>
              <w:tr2bl w:val="nil"/>
            </w:tcBorders>
          </w:tcPr>
          <w:p w14:paraId="6C0CB2C0">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夜间（</w:t>
            </w:r>
            <w:r>
              <w:rPr>
                <w:rFonts w:hint="default" w:ascii="Times New Roman" w:hAnsi="Times New Roman" w:eastAsia="宋体" w:cs="Times New Roman"/>
                <w:b w:val="0"/>
                <w:bCs/>
                <w:i w:val="0"/>
                <w:iCs w:val="0"/>
                <w:color w:val="auto"/>
                <w:kern w:val="0"/>
                <w:sz w:val="18"/>
                <w:szCs w:val="18"/>
                <w:u w:val="none"/>
                <w:lang w:val="en-US" w:eastAsia="zh-CN" w:bidi="ar"/>
              </w:rPr>
              <w:t>22:00</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15819EE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48</w:t>
            </w:r>
          </w:p>
        </w:tc>
        <w:tc>
          <w:tcPr>
            <w:tcW w:w="736" w:type="pct"/>
            <w:tcBorders>
              <w:tl2br w:val="nil"/>
              <w:tr2bl w:val="nil"/>
            </w:tcBorders>
            <w:vAlign w:val="center"/>
          </w:tcPr>
          <w:p w14:paraId="2E9B1A5E">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50</w:t>
            </w:r>
          </w:p>
        </w:tc>
        <w:tc>
          <w:tcPr>
            <w:tcW w:w="453" w:type="pct"/>
            <w:tcBorders>
              <w:tl2br w:val="nil"/>
              <w:tr2bl w:val="nil"/>
            </w:tcBorders>
            <w:vAlign w:val="center"/>
          </w:tcPr>
          <w:p w14:paraId="4027DE85">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1183092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5" w:hRule="exact"/>
          <w:jc w:val="center"/>
        </w:trPr>
        <w:tc>
          <w:tcPr>
            <w:tcW w:w="744" w:type="pct"/>
            <w:vMerge w:val="continue"/>
            <w:tcBorders>
              <w:tl2br w:val="nil"/>
              <w:tr2bl w:val="nil"/>
            </w:tcBorders>
            <w:vAlign w:val="center"/>
          </w:tcPr>
          <w:p w14:paraId="384840D6">
            <w:pPr>
              <w:pStyle w:val="47"/>
              <w:spacing w:line="240" w:lineRule="auto"/>
              <w:rPr>
                <w:rFonts w:hint="default" w:ascii="Times New Roman" w:hAnsi="Times New Roman" w:eastAsia="宋体" w:cs="Times New Roman"/>
                <w:b w:val="0"/>
                <w:bCs/>
                <w:color w:val="auto"/>
                <w:sz w:val="18"/>
                <w:szCs w:val="18"/>
              </w:rPr>
            </w:pPr>
          </w:p>
        </w:tc>
        <w:tc>
          <w:tcPr>
            <w:tcW w:w="895" w:type="pct"/>
            <w:vMerge w:val="restart"/>
            <w:tcBorders>
              <w:tl2br w:val="nil"/>
              <w:tr2bl w:val="nil"/>
            </w:tcBorders>
            <w:vAlign w:val="center"/>
          </w:tcPr>
          <w:p w14:paraId="06D1D51A">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N2厂界南</w:t>
            </w:r>
          </w:p>
        </w:tc>
        <w:tc>
          <w:tcPr>
            <w:tcW w:w="1433" w:type="pct"/>
            <w:tcBorders>
              <w:tl2br w:val="nil"/>
              <w:tr2bl w:val="nil"/>
            </w:tcBorders>
          </w:tcPr>
          <w:p w14:paraId="7D4421A6">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昼间（</w:t>
            </w:r>
            <w:r>
              <w:rPr>
                <w:rFonts w:hint="default" w:ascii="Times New Roman" w:hAnsi="Times New Roman" w:eastAsia="宋体" w:cs="Times New Roman"/>
                <w:b w:val="0"/>
                <w:bCs/>
                <w:i w:val="0"/>
                <w:iCs w:val="0"/>
                <w:color w:val="auto"/>
                <w:kern w:val="0"/>
                <w:sz w:val="18"/>
                <w:szCs w:val="18"/>
                <w:u w:val="none"/>
                <w:lang w:val="en-US" w:eastAsia="zh-CN" w:bidi="ar"/>
              </w:rPr>
              <w:t>09:18</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0F7C9D2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57</w:t>
            </w:r>
          </w:p>
        </w:tc>
        <w:tc>
          <w:tcPr>
            <w:tcW w:w="736" w:type="pct"/>
            <w:tcBorders>
              <w:tl2br w:val="nil"/>
              <w:tr2bl w:val="nil"/>
            </w:tcBorders>
            <w:vAlign w:val="center"/>
          </w:tcPr>
          <w:p w14:paraId="37D0A545">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60</w:t>
            </w:r>
          </w:p>
        </w:tc>
        <w:tc>
          <w:tcPr>
            <w:tcW w:w="453" w:type="pct"/>
            <w:tcBorders>
              <w:tl2br w:val="nil"/>
              <w:tr2bl w:val="nil"/>
            </w:tcBorders>
            <w:vAlign w:val="center"/>
          </w:tcPr>
          <w:p w14:paraId="1678157D">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1BAA999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8" w:hRule="exact"/>
          <w:jc w:val="center"/>
        </w:trPr>
        <w:tc>
          <w:tcPr>
            <w:tcW w:w="744" w:type="pct"/>
            <w:vMerge w:val="continue"/>
            <w:tcBorders>
              <w:tl2br w:val="nil"/>
              <w:tr2bl w:val="nil"/>
            </w:tcBorders>
            <w:vAlign w:val="center"/>
          </w:tcPr>
          <w:p w14:paraId="0B644BCC">
            <w:pPr>
              <w:pStyle w:val="47"/>
              <w:spacing w:line="240" w:lineRule="auto"/>
              <w:rPr>
                <w:rFonts w:hint="default" w:ascii="Times New Roman" w:hAnsi="Times New Roman" w:eastAsia="宋体" w:cs="Times New Roman"/>
                <w:b w:val="0"/>
                <w:bCs/>
                <w:color w:val="auto"/>
                <w:sz w:val="18"/>
                <w:szCs w:val="18"/>
              </w:rPr>
            </w:pPr>
          </w:p>
        </w:tc>
        <w:tc>
          <w:tcPr>
            <w:tcW w:w="895" w:type="pct"/>
            <w:vMerge w:val="continue"/>
            <w:tcBorders>
              <w:tl2br w:val="nil"/>
              <w:tr2bl w:val="nil"/>
            </w:tcBorders>
            <w:vAlign w:val="center"/>
          </w:tcPr>
          <w:p w14:paraId="279CC271">
            <w:pPr>
              <w:pStyle w:val="47"/>
              <w:spacing w:line="240" w:lineRule="auto"/>
              <w:rPr>
                <w:rFonts w:hint="default" w:ascii="Times New Roman" w:hAnsi="Times New Roman" w:eastAsia="宋体" w:cs="Times New Roman"/>
                <w:b w:val="0"/>
                <w:bCs/>
                <w:color w:val="auto"/>
                <w:sz w:val="18"/>
                <w:szCs w:val="18"/>
              </w:rPr>
            </w:pPr>
          </w:p>
        </w:tc>
        <w:tc>
          <w:tcPr>
            <w:tcW w:w="1433" w:type="pct"/>
            <w:tcBorders>
              <w:tl2br w:val="nil"/>
              <w:tr2bl w:val="nil"/>
            </w:tcBorders>
          </w:tcPr>
          <w:p w14:paraId="475D52B8">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夜间（</w:t>
            </w:r>
            <w:r>
              <w:rPr>
                <w:rFonts w:hint="default" w:ascii="Times New Roman" w:hAnsi="Times New Roman" w:eastAsia="宋体" w:cs="Times New Roman"/>
                <w:b w:val="0"/>
                <w:bCs/>
                <w:i w:val="0"/>
                <w:iCs w:val="0"/>
                <w:color w:val="auto"/>
                <w:kern w:val="0"/>
                <w:sz w:val="18"/>
                <w:szCs w:val="18"/>
                <w:u w:val="none"/>
                <w:lang w:val="en-US" w:eastAsia="zh-CN" w:bidi="ar"/>
              </w:rPr>
              <w:t>22:33</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1D1C7AB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46</w:t>
            </w:r>
          </w:p>
        </w:tc>
        <w:tc>
          <w:tcPr>
            <w:tcW w:w="736" w:type="pct"/>
            <w:tcBorders>
              <w:tl2br w:val="nil"/>
              <w:tr2bl w:val="nil"/>
            </w:tcBorders>
            <w:vAlign w:val="center"/>
          </w:tcPr>
          <w:p w14:paraId="390F567F">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50</w:t>
            </w:r>
          </w:p>
        </w:tc>
        <w:tc>
          <w:tcPr>
            <w:tcW w:w="453" w:type="pct"/>
            <w:tcBorders>
              <w:tl2br w:val="nil"/>
              <w:tr2bl w:val="nil"/>
            </w:tcBorders>
            <w:vAlign w:val="center"/>
          </w:tcPr>
          <w:p w14:paraId="3512AE0C">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0EAAB28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8" w:hRule="exact"/>
          <w:jc w:val="center"/>
        </w:trPr>
        <w:tc>
          <w:tcPr>
            <w:tcW w:w="744" w:type="pct"/>
            <w:vMerge w:val="continue"/>
            <w:tcBorders>
              <w:tl2br w:val="nil"/>
              <w:tr2bl w:val="nil"/>
            </w:tcBorders>
            <w:vAlign w:val="center"/>
          </w:tcPr>
          <w:p w14:paraId="48D2E33C">
            <w:pPr>
              <w:pStyle w:val="47"/>
              <w:spacing w:line="240" w:lineRule="auto"/>
              <w:rPr>
                <w:rFonts w:hint="default" w:ascii="Times New Roman" w:hAnsi="Times New Roman" w:eastAsia="宋体" w:cs="Times New Roman"/>
                <w:b w:val="0"/>
                <w:bCs/>
                <w:color w:val="auto"/>
                <w:sz w:val="18"/>
                <w:szCs w:val="18"/>
              </w:rPr>
            </w:pPr>
          </w:p>
        </w:tc>
        <w:tc>
          <w:tcPr>
            <w:tcW w:w="895" w:type="pct"/>
            <w:vMerge w:val="restart"/>
            <w:tcBorders>
              <w:tl2br w:val="nil"/>
              <w:tr2bl w:val="nil"/>
            </w:tcBorders>
            <w:vAlign w:val="center"/>
          </w:tcPr>
          <w:p w14:paraId="6506FA17">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N3厂界西</w:t>
            </w:r>
          </w:p>
        </w:tc>
        <w:tc>
          <w:tcPr>
            <w:tcW w:w="1433" w:type="pct"/>
            <w:tcBorders>
              <w:tl2br w:val="nil"/>
              <w:tr2bl w:val="nil"/>
            </w:tcBorders>
          </w:tcPr>
          <w:p w14:paraId="706E0950">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昼间（</w:t>
            </w:r>
            <w:r>
              <w:rPr>
                <w:rFonts w:hint="default" w:ascii="Times New Roman" w:hAnsi="Times New Roman" w:eastAsia="宋体" w:cs="Times New Roman"/>
                <w:b w:val="0"/>
                <w:bCs/>
                <w:i w:val="0"/>
                <w:iCs w:val="0"/>
                <w:color w:val="auto"/>
                <w:kern w:val="0"/>
                <w:sz w:val="18"/>
                <w:szCs w:val="18"/>
                <w:u w:val="none"/>
                <w:lang w:val="en-US" w:eastAsia="zh-CN" w:bidi="ar"/>
              </w:rPr>
              <w:t>09:46</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5BB86C5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59</w:t>
            </w:r>
          </w:p>
        </w:tc>
        <w:tc>
          <w:tcPr>
            <w:tcW w:w="736" w:type="pct"/>
            <w:tcBorders>
              <w:tl2br w:val="nil"/>
              <w:tr2bl w:val="nil"/>
            </w:tcBorders>
            <w:vAlign w:val="center"/>
          </w:tcPr>
          <w:p w14:paraId="4E585B99">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60</w:t>
            </w:r>
          </w:p>
        </w:tc>
        <w:tc>
          <w:tcPr>
            <w:tcW w:w="453" w:type="pct"/>
            <w:tcBorders>
              <w:tl2br w:val="nil"/>
              <w:tr2bl w:val="nil"/>
            </w:tcBorders>
            <w:vAlign w:val="center"/>
          </w:tcPr>
          <w:p w14:paraId="5AAA2108">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0B2C8E3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exact"/>
          <w:jc w:val="center"/>
        </w:trPr>
        <w:tc>
          <w:tcPr>
            <w:tcW w:w="744" w:type="pct"/>
            <w:vMerge w:val="continue"/>
            <w:tcBorders>
              <w:tl2br w:val="nil"/>
              <w:tr2bl w:val="nil"/>
            </w:tcBorders>
            <w:vAlign w:val="center"/>
          </w:tcPr>
          <w:p w14:paraId="39560C87">
            <w:pPr>
              <w:pStyle w:val="47"/>
              <w:spacing w:line="240" w:lineRule="auto"/>
              <w:rPr>
                <w:rFonts w:hint="default" w:ascii="Times New Roman" w:hAnsi="Times New Roman" w:eastAsia="宋体" w:cs="Times New Roman"/>
                <w:b w:val="0"/>
                <w:bCs/>
                <w:color w:val="auto"/>
                <w:sz w:val="18"/>
                <w:szCs w:val="18"/>
              </w:rPr>
            </w:pPr>
          </w:p>
        </w:tc>
        <w:tc>
          <w:tcPr>
            <w:tcW w:w="895" w:type="pct"/>
            <w:vMerge w:val="continue"/>
            <w:tcBorders>
              <w:tl2br w:val="nil"/>
              <w:tr2bl w:val="nil"/>
            </w:tcBorders>
            <w:vAlign w:val="center"/>
          </w:tcPr>
          <w:p w14:paraId="68D9A099">
            <w:pPr>
              <w:pStyle w:val="47"/>
              <w:spacing w:line="240" w:lineRule="auto"/>
              <w:rPr>
                <w:rFonts w:hint="default" w:ascii="Times New Roman" w:hAnsi="Times New Roman" w:eastAsia="宋体" w:cs="Times New Roman"/>
                <w:b w:val="0"/>
                <w:bCs/>
                <w:color w:val="auto"/>
                <w:sz w:val="18"/>
                <w:szCs w:val="18"/>
              </w:rPr>
            </w:pPr>
          </w:p>
        </w:tc>
        <w:tc>
          <w:tcPr>
            <w:tcW w:w="1433" w:type="pct"/>
            <w:tcBorders>
              <w:tl2br w:val="nil"/>
              <w:tr2bl w:val="nil"/>
            </w:tcBorders>
          </w:tcPr>
          <w:p w14:paraId="1BDBED29">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夜间（</w:t>
            </w:r>
            <w:r>
              <w:rPr>
                <w:rFonts w:hint="default" w:ascii="Times New Roman" w:hAnsi="Times New Roman" w:eastAsia="宋体" w:cs="Times New Roman"/>
                <w:b w:val="0"/>
                <w:bCs/>
                <w:i w:val="0"/>
                <w:iCs w:val="0"/>
                <w:color w:val="auto"/>
                <w:kern w:val="0"/>
                <w:sz w:val="18"/>
                <w:szCs w:val="18"/>
                <w:u w:val="none"/>
                <w:lang w:val="en-US" w:eastAsia="zh-CN" w:bidi="ar"/>
              </w:rPr>
              <w:t>23:08</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283D6EF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48</w:t>
            </w:r>
          </w:p>
        </w:tc>
        <w:tc>
          <w:tcPr>
            <w:tcW w:w="736" w:type="pct"/>
            <w:tcBorders>
              <w:tl2br w:val="nil"/>
              <w:tr2bl w:val="nil"/>
            </w:tcBorders>
            <w:vAlign w:val="center"/>
          </w:tcPr>
          <w:p w14:paraId="6EE9B53B">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50</w:t>
            </w:r>
          </w:p>
        </w:tc>
        <w:tc>
          <w:tcPr>
            <w:tcW w:w="453" w:type="pct"/>
            <w:tcBorders>
              <w:tl2br w:val="nil"/>
              <w:tr2bl w:val="nil"/>
            </w:tcBorders>
            <w:vAlign w:val="center"/>
          </w:tcPr>
          <w:p w14:paraId="1E5E486C">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0EB5B03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6" w:hRule="exact"/>
          <w:jc w:val="center"/>
        </w:trPr>
        <w:tc>
          <w:tcPr>
            <w:tcW w:w="744" w:type="pct"/>
            <w:vMerge w:val="continue"/>
            <w:tcBorders>
              <w:tl2br w:val="nil"/>
              <w:tr2bl w:val="nil"/>
            </w:tcBorders>
            <w:vAlign w:val="center"/>
          </w:tcPr>
          <w:p w14:paraId="54325A1B">
            <w:pPr>
              <w:pStyle w:val="47"/>
              <w:spacing w:line="240" w:lineRule="auto"/>
              <w:rPr>
                <w:rFonts w:hint="default" w:ascii="Times New Roman" w:hAnsi="Times New Roman" w:eastAsia="宋体" w:cs="Times New Roman"/>
                <w:b w:val="0"/>
                <w:bCs/>
                <w:color w:val="auto"/>
                <w:sz w:val="18"/>
                <w:szCs w:val="18"/>
              </w:rPr>
            </w:pPr>
          </w:p>
        </w:tc>
        <w:tc>
          <w:tcPr>
            <w:tcW w:w="895" w:type="pct"/>
            <w:vMerge w:val="restart"/>
            <w:tcBorders>
              <w:tl2br w:val="nil"/>
              <w:tr2bl w:val="nil"/>
            </w:tcBorders>
            <w:vAlign w:val="center"/>
          </w:tcPr>
          <w:p w14:paraId="29DAAEDB">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N4厂界北</w:t>
            </w:r>
          </w:p>
        </w:tc>
        <w:tc>
          <w:tcPr>
            <w:tcW w:w="1433" w:type="pct"/>
            <w:tcBorders>
              <w:tl2br w:val="nil"/>
              <w:tr2bl w:val="nil"/>
            </w:tcBorders>
          </w:tcPr>
          <w:p w14:paraId="0D1EB90C">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昼间（</w:t>
            </w:r>
            <w:r>
              <w:rPr>
                <w:rFonts w:hint="default" w:ascii="Times New Roman" w:hAnsi="Times New Roman" w:eastAsia="宋体" w:cs="Times New Roman"/>
                <w:b w:val="0"/>
                <w:bCs/>
                <w:i w:val="0"/>
                <w:iCs w:val="0"/>
                <w:color w:val="auto"/>
                <w:kern w:val="0"/>
                <w:sz w:val="18"/>
                <w:szCs w:val="18"/>
                <w:u w:val="none"/>
                <w:lang w:val="en-US" w:eastAsia="zh-CN" w:bidi="ar"/>
              </w:rPr>
              <w:t>10:22</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7170A6A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56</w:t>
            </w:r>
          </w:p>
        </w:tc>
        <w:tc>
          <w:tcPr>
            <w:tcW w:w="736" w:type="pct"/>
            <w:tcBorders>
              <w:tl2br w:val="nil"/>
              <w:tr2bl w:val="nil"/>
            </w:tcBorders>
            <w:vAlign w:val="center"/>
          </w:tcPr>
          <w:p w14:paraId="6E0940C0">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60</w:t>
            </w:r>
          </w:p>
        </w:tc>
        <w:tc>
          <w:tcPr>
            <w:tcW w:w="453" w:type="pct"/>
            <w:tcBorders>
              <w:tl2br w:val="nil"/>
              <w:tr2bl w:val="nil"/>
            </w:tcBorders>
            <w:vAlign w:val="center"/>
          </w:tcPr>
          <w:p w14:paraId="2AC863D9">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r w14:paraId="724CDD7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exact"/>
          <w:jc w:val="center"/>
        </w:trPr>
        <w:tc>
          <w:tcPr>
            <w:tcW w:w="744" w:type="pct"/>
            <w:vMerge w:val="continue"/>
            <w:tcBorders>
              <w:tl2br w:val="nil"/>
              <w:tr2bl w:val="nil"/>
            </w:tcBorders>
            <w:vAlign w:val="center"/>
          </w:tcPr>
          <w:p w14:paraId="1F039FAD">
            <w:pPr>
              <w:pStyle w:val="47"/>
              <w:spacing w:line="240" w:lineRule="auto"/>
              <w:rPr>
                <w:rFonts w:hint="default" w:ascii="Times New Roman" w:hAnsi="Times New Roman" w:eastAsia="宋体" w:cs="Times New Roman"/>
                <w:b w:val="0"/>
                <w:bCs/>
                <w:color w:val="auto"/>
                <w:sz w:val="18"/>
                <w:szCs w:val="18"/>
              </w:rPr>
            </w:pPr>
          </w:p>
        </w:tc>
        <w:tc>
          <w:tcPr>
            <w:tcW w:w="895" w:type="pct"/>
            <w:vMerge w:val="continue"/>
            <w:tcBorders>
              <w:tl2br w:val="nil"/>
              <w:tr2bl w:val="nil"/>
            </w:tcBorders>
            <w:vAlign w:val="center"/>
          </w:tcPr>
          <w:p w14:paraId="1FDCA3DC">
            <w:pPr>
              <w:pStyle w:val="47"/>
              <w:spacing w:line="240" w:lineRule="auto"/>
              <w:rPr>
                <w:rFonts w:hint="default" w:ascii="Times New Roman" w:hAnsi="Times New Roman" w:eastAsia="宋体" w:cs="Times New Roman"/>
                <w:b w:val="0"/>
                <w:bCs/>
                <w:color w:val="auto"/>
                <w:sz w:val="18"/>
                <w:szCs w:val="18"/>
              </w:rPr>
            </w:pPr>
          </w:p>
        </w:tc>
        <w:tc>
          <w:tcPr>
            <w:tcW w:w="1433" w:type="pct"/>
            <w:tcBorders>
              <w:tl2br w:val="nil"/>
              <w:tr2bl w:val="nil"/>
            </w:tcBorders>
          </w:tcPr>
          <w:p w14:paraId="3CF1B624">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夜间（</w:t>
            </w:r>
            <w:r>
              <w:rPr>
                <w:rFonts w:hint="default" w:ascii="Times New Roman" w:hAnsi="Times New Roman" w:eastAsia="宋体" w:cs="Times New Roman"/>
                <w:b w:val="0"/>
                <w:bCs/>
                <w:i w:val="0"/>
                <w:iCs w:val="0"/>
                <w:color w:val="auto"/>
                <w:kern w:val="0"/>
                <w:sz w:val="18"/>
                <w:szCs w:val="18"/>
                <w:u w:val="none"/>
                <w:lang w:val="en-US" w:eastAsia="zh-CN" w:bidi="ar"/>
              </w:rPr>
              <w:t>23:35</w:t>
            </w:r>
            <w:r>
              <w:rPr>
                <w:rFonts w:hint="default" w:ascii="Times New Roman" w:hAnsi="Times New Roman" w:eastAsia="宋体" w:cs="Times New Roman"/>
                <w:b w:val="0"/>
                <w:bCs/>
                <w:color w:val="auto"/>
                <w:sz w:val="18"/>
                <w:szCs w:val="18"/>
              </w:rPr>
              <w:t>）</w:t>
            </w:r>
          </w:p>
        </w:tc>
        <w:tc>
          <w:tcPr>
            <w:tcW w:w="1254" w:type="dxa"/>
            <w:tcBorders>
              <w:tl2br w:val="nil"/>
              <w:tr2bl w:val="nil"/>
            </w:tcBorders>
            <w:vAlign w:val="center"/>
          </w:tcPr>
          <w:p w14:paraId="671B4A7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i w:val="0"/>
                <w:iCs w:val="0"/>
                <w:color w:val="auto"/>
                <w:kern w:val="0"/>
                <w:sz w:val="18"/>
                <w:szCs w:val="18"/>
                <w:u w:val="none"/>
                <w:lang w:val="en-US" w:eastAsia="zh-CN" w:bidi="ar"/>
              </w:rPr>
              <w:t>47</w:t>
            </w:r>
          </w:p>
        </w:tc>
        <w:tc>
          <w:tcPr>
            <w:tcW w:w="736" w:type="pct"/>
            <w:tcBorders>
              <w:tl2br w:val="nil"/>
              <w:tr2bl w:val="nil"/>
            </w:tcBorders>
            <w:vAlign w:val="center"/>
          </w:tcPr>
          <w:p w14:paraId="39C69102">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50</w:t>
            </w:r>
          </w:p>
        </w:tc>
        <w:tc>
          <w:tcPr>
            <w:tcW w:w="453" w:type="pct"/>
            <w:tcBorders>
              <w:tl2br w:val="nil"/>
              <w:tr2bl w:val="nil"/>
            </w:tcBorders>
            <w:vAlign w:val="center"/>
          </w:tcPr>
          <w:p w14:paraId="08E91E57">
            <w:pPr>
              <w:pStyle w:val="47"/>
              <w:spacing w:line="240" w:lineRule="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达标</w:t>
            </w:r>
          </w:p>
        </w:tc>
      </w:tr>
    </w:tbl>
    <w:p w14:paraId="0FE595C8">
      <w:pPr>
        <w:pStyle w:val="17"/>
        <w:spacing w:line="360" w:lineRule="auto"/>
        <w:ind w:firstLine="480"/>
        <w:rPr>
          <w:rFonts w:hint="default" w:ascii="Times New Roman" w:hAnsi="Times New Roman" w:eastAsia="宋体" w:cs="Times New Roman"/>
          <w:color w:val="auto"/>
          <w:sz w:val="24"/>
          <w:lang w:eastAsia="zh-CN"/>
        </w:rPr>
      </w:pPr>
      <w:bookmarkStart w:id="386" w:name="_Toc165816769"/>
      <w:r>
        <w:rPr>
          <w:rFonts w:hint="default" w:ascii="Times New Roman" w:hAnsi="Times New Roman" w:cs="Times New Roman"/>
          <w:color w:val="auto"/>
          <w:sz w:val="24"/>
        </w:rPr>
        <w:t>从本次监测结果来看，</w:t>
      </w:r>
      <w:r>
        <w:rPr>
          <w:rFonts w:hint="default" w:ascii="Times New Roman" w:hAnsi="Times New Roman" w:cs="Times New Roman"/>
          <w:color w:val="auto"/>
          <w:sz w:val="24"/>
          <w:lang w:val="en-US" w:eastAsia="zh-CN"/>
        </w:rPr>
        <w:t>项目厂界4</w:t>
      </w:r>
      <w:r>
        <w:rPr>
          <w:rFonts w:hint="default" w:ascii="Times New Roman" w:hAnsi="Times New Roman" w:cs="Times New Roman"/>
          <w:color w:val="auto"/>
          <w:sz w:val="24"/>
        </w:rPr>
        <w:t>个监测点监测值均达到《声环境质量标准》（GB3096-2008）中2类标准</w:t>
      </w:r>
      <w:r>
        <w:rPr>
          <w:rFonts w:hint="default" w:ascii="Times New Roman" w:hAnsi="Times New Roman" w:cs="Times New Roman"/>
          <w:color w:val="auto"/>
          <w:sz w:val="24"/>
          <w:lang w:eastAsia="zh-CN"/>
        </w:rPr>
        <w:t>。</w:t>
      </w:r>
    </w:p>
    <w:p w14:paraId="40287D3D">
      <w:pPr>
        <w:pStyle w:val="6"/>
        <w:bidi w:val="0"/>
        <w:rPr>
          <w:rFonts w:hint="default" w:ascii="Times New Roman" w:hAnsi="Times New Roman" w:cs="Times New Roman"/>
        </w:rPr>
      </w:pPr>
      <w:bookmarkStart w:id="387" w:name="_Toc25456"/>
      <w:r>
        <w:rPr>
          <w:rFonts w:hint="default" w:ascii="Times New Roman" w:hAnsi="Times New Roman" w:cs="Times New Roman"/>
          <w:lang w:val="en-US" w:eastAsia="zh-CN"/>
        </w:rPr>
        <w:t>4</w:t>
      </w:r>
      <w:r>
        <w:rPr>
          <w:rFonts w:hint="default" w:ascii="Times New Roman" w:hAnsi="Times New Roman" w:cs="Times New Roman"/>
        </w:rPr>
        <w:t>.2.5土壤环境质量现状调查及评价</w:t>
      </w:r>
      <w:bookmarkEnd w:id="386"/>
      <w:bookmarkEnd w:id="387"/>
    </w:p>
    <w:p w14:paraId="4C561886">
      <w:pPr>
        <w:pStyle w:val="7"/>
        <w:spacing w:before="0" w:after="0"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.2.5.1 监测点位</w:t>
      </w:r>
    </w:p>
    <w:p w14:paraId="5BF0667B">
      <w:pPr>
        <w:spacing w:line="360" w:lineRule="auto"/>
        <w:ind w:firstLine="48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项目土壤环境评价等级为</w:t>
      </w:r>
      <w:r>
        <w:rPr>
          <w:rFonts w:hint="default" w:ascii="Times New Roman" w:hAnsi="Times New Roman" w:cs="Times New Roman" w:eastAsiaTheme="minorEastAsia"/>
          <w:sz w:val="24"/>
          <w:szCs w:val="24"/>
          <w:lang w:val="en-US" w:eastAsia="zh-CN"/>
        </w:rPr>
        <w:t>一</w:t>
      </w:r>
      <w:r>
        <w:rPr>
          <w:rFonts w:hint="default" w:ascii="Times New Roman" w:hAnsi="Times New Roman" w:cs="Times New Roman" w:eastAsiaTheme="minorEastAsia"/>
          <w:sz w:val="24"/>
          <w:szCs w:val="24"/>
        </w:rPr>
        <w:t xml:space="preserve">级，根据《环境影响评价技术导则 土壤环境（试行）》 </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HJ 964-2018</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中现状监测</w:t>
      </w:r>
      <w:r>
        <w:rPr>
          <w:rFonts w:hint="default" w:ascii="Times New Roman" w:hAnsi="Times New Roman" w:cs="Times New Roman" w:eastAsiaTheme="minorEastAsia"/>
          <w:sz w:val="24"/>
          <w:szCs w:val="24"/>
          <w:lang w:val="en-US" w:eastAsia="zh-CN"/>
        </w:rPr>
        <w:t>一</w:t>
      </w:r>
      <w:r>
        <w:rPr>
          <w:rFonts w:hint="default" w:ascii="Times New Roman" w:hAnsi="Times New Roman" w:cs="Times New Roman" w:eastAsiaTheme="minorEastAsia"/>
          <w:sz w:val="24"/>
          <w:szCs w:val="24"/>
        </w:rPr>
        <w:t>级评价的布点</w:t>
      </w:r>
      <w:r>
        <w:rPr>
          <w:rFonts w:hint="default" w:ascii="Times New Roman" w:hAnsi="Times New Roman" w:cs="Times New Roman" w:eastAsiaTheme="minorEastAsia"/>
          <w:color w:val="auto"/>
          <w:sz w:val="24"/>
          <w:szCs w:val="24"/>
        </w:rPr>
        <w:t>要求，本次评价在项目占地范围内布置</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个柱状样，</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个表层样，占地范围外布置</w:t>
      </w: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个表层样。</w:t>
      </w:r>
      <w:r>
        <w:rPr>
          <w:rFonts w:hint="default" w:ascii="Times New Roman" w:hAnsi="Times New Roman" w:cs="Times New Roman" w:eastAsiaTheme="minorEastAsia"/>
          <w:color w:val="auto"/>
          <w:sz w:val="24"/>
          <w:szCs w:val="24"/>
          <w:lang w:val="en-US" w:eastAsia="zh-CN"/>
        </w:rPr>
        <w:t>监测点位图详见附图11。</w:t>
      </w:r>
    </w:p>
    <w:p w14:paraId="50A9D6B3">
      <w:pPr>
        <w:pStyle w:val="7"/>
        <w:spacing w:before="0" w:after="0"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.2.5.2 监测因子</w:t>
      </w:r>
    </w:p>
    <w:p w14:paraId="5F784B2A">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项目区内</w:t>
      </w:r>
      <w:r>
        <w:rPr>
          <w:rFonts w:hint="default" w:ascii="Times New Roman" w:hAnsi="Times New Roman" w:cs="Times New Roman"/>
          <w:color w:val="auto"/>
          <w:sz w:val="24"/>
          <w:szCs w:val="24"/>
          <w:highlight w:val="none"/>
          <w:lang w:val="en-US" w:eastAsia="zh-CN"/>
        </w:rPr>
        <w:t>及项目区外建设用地</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kern w:val="0"/>
          <w:sz w:val="24"/>
          <w:szCs w:val="24"/>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茚并[1,2,3-cd]芘、二苯芘[a,h]蒽、萘</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铁、锰、石油烃。</w:t>
      </w:r>
    </w:p>
    <w:p w14:paraId="36319C3D">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项目区外</w:t>
      </w:r>
      <w:r>
        <w:rPr>
          <w:rFonts w:hint="default" w:ascii="Times New Roman" w:hAnsi="Times New Roman" w:cs="Times New Roman"/>
          <w:color w:val="auto"/>
          <w:sz w:val="24"/>
          <w:szCs w:val="24"/>
          <w:highlight w:val="none"/>
          <w:lang w:val="en-US" w:eastAsia="zh-CN"/>
        </w:rPr>
        <w:t>农用地</w:t>
      </w:r>
      <w:r>
        <w:rPr>
          <w:rFonts w:hint="default" w:ascii="Times New Roman" w:hAnsi="Times New Roman" w:cs="Times New Roman"/>
          <w:color w:val="auto"/>
          <w:sz w:val="24"/>
          <w:szCs w:val="24"/>
          <w:highlight w:val="none"/>
        </w:rPr>
        <w:t>监测点位：镉、汞、砷、铅、总铬、铜、镍、锌</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kern w:val="0"/>
          <w:sz w:val="24"/>
          <w:szCs w:val="24"/>
          <w:lang w:val="en-US" w:eastAsia="zh-CN"/>
        </w:rPr>
        <w:t>铁、锰、石油烃</w:t>
      </w:r>
      <w:r>
        <w:rPr>
          <w:rFonts w:hint="default" w:ascii="Times New Roman" w:hAnsi="Times New Roman" w:cs="Times New Roman"/>
          <w:color w:val="auto"/>
          <w:sz w:val="24"/>
          <w:szCs w:val="24"/>
          <w:highlight w:val="none"/>
        </w:rPr>
        <w:t>。</w:t>
      </w:r>
    </w:p>
    <w:p w14:paraId="4A9A74D7">
      <w:pPr>
        <w:pStyle w:val="17"/>
        <w:keepNext w:val="0"/>
        <w:keepLines w:val="0"/>
        <w:pageBreakBefore w:val="0"/>
        <w:widowControl w:val="0"/>
        <w:kinsoku/>
        <w:wordWrap/>
        <w:overflowPunct/>
        <w:topLinePunct w:val="0"/>
        <w:autoSpaceDE/>
        <w:autoSpaceDN/>
        <w:bidi w:val="0"/>
        <w:adjustRightInd/>
        <w:snapToGrid/>
        <w:spacing w:beforeLines="0" w:line="360" w:lineRule="auto"/>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土壤理化性质：pH、阳离子交换量、氧化还原电位、饱和导水率、土壤容重、孔隙度。</w:t>
      </w:r>
    </w:p>
    <w:p w14:paraId="414FB737">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其中：云南浩辰环保科技有限公司承担砷、镉、六价铬、铜、铅、汞、镍、pH、阳离子交换量、氧化还原电位、饱和导水率、土壤容重、孔隙度的监测。</w:t>
      </w:r>
    </w:p>
    <w:p w14:paraId="22C4A9E5">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江西志科检测技术有限公司承担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茚并[1,2,3-cd]芘、二苯芘[a,h]蒽、萘。</w:t>
      </w:r>
    </w:p>
    <w:p w14:paraId="6E114A8B">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监测时间与频率：</w:t>
      </w:r>
      <w:r>
        <w:rPr>
          <w:rFonts w:hint="default" w:ascii="Times New Roman" w:hAnsi="Times New Roman" w:cs="Times New Roman"/>
          <w:highlight w:val="none"/>
          <w:lang w:val="en-US" w:eastAsia="zh-CN"/>
        </w:rPr>
        <w:t>2024.06.20</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取样一次。补充监测时间为2024.10.17~10.18。</w:t>
      </w:r>
    </w:p>
    <w:p w14:paraId="5F160E81">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采样及分析方法：按《土壤环境质量标准》（GB36600</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2018）的要求进行采样及分析。</w:t>
      </w:r>
    </w:p>
    <w:p w14:paraId="6D85CB6F">
      <w:pPr>
        <w:pStyle w:val="7"/>
        <w:bidi w:val="0"/>
        <w:rPr>
          <w:rFonts w:hint="default" w:ascii="Times New Roman" w:hAnsi="Times New Roman" w:cs="Times New Roman"/>
          <w:lang w:val="en-US" w:eastAsia="zh-CN"/>
        </w:rPr>
      </w:pPr>
      <w:r>
        <w:rPr>
          <w:rFonts w:hint="default" w:ascii="Times New Roman" w:hAnsi="Times New Roman" w:cs="Times New Roman"/>
          <w:lang w:val="en-US" w:eastAsia="zh-CN"/>
        </w:rPr>
        <w:t>4.2.5.3监测结果</w:t>
      </w:r>
    </w:p>
    <w:p w14:paraId="14291BD0">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监测数据见</w:t>
      </w:r>
      <w:r>
        <w:rPr>
          <w:rFonts w:hint="default"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eastAsia="zh-CN"/>
        </w:rPr>
        <w:t>。</w:t>
      </w:r>
    </w:p>
    <w:p w14:paraId="3FFA8752">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eastAsia="宋体" w:cs="Times New Roman"/>
          <w:color w:val="auto"/>
          <w:sz w:val="24"/>
          <w:szCs w:val="24"/>
          <w:highlight w:val="none"/>
          <w:lang w:eastAsia="zh-CN"/>
        </w:rPr>
      </w:pPr>
    </w:p>
    <w:p w14:paraId="62528BED">
      <w:pPr>
        <w:pStyle w:val="2"/>
        <w:rPr>
          <w:rFonts w:hint="default" w:ascii="Times New Roman" w:hAnsi="Times New Roman" w:cs="Times New Roman"/>
          <w:color w:val="auto"/>
          <w:sz w:val="24"/>
          <w:szCs w:val="24"/>
          <w:highlight w:val="none"/>
        </w:rPr>
      </w:pPr>
    </w:p>
    <w:p w14:paraId="430C169F">
      <w:pPr>
        <w:pStyle w:val="2"/>
        <w:rPr>
          <w:rFonts w:hint="default" w:ascii="Times New Roman" w:hAnsi="Times New Roman" w:cs="Times New Roman"/>
          <w:color w:val="auto"/>
          <w:sz w:val="24"/>
          <w:szCs w:val="24"/>
          <w:highlight w:val="none"/>
        </w:rPr>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AndChars" w:linePitch="336" w:charSpace="1062"/>
        </w:sectPr>
      </w:pPr>
    </w:p>
    <w:p w14:paraId="25A3E0A2">
      <w:pPr>
        <w:adjustRightInd w:val="0"/>
        <w:snapToGrid w:val="0"/>
        <w:spacing w:beforeLines="0" w:line="360" w:lineRule="auto"/>
        <w:ind w:firstLine="422" w:firstLineChars="200"/>
        <w:jc w:val="center"/>
        <w:rPr>
          <w:rFonts w:hint="default" w:ascii="Times New Roman" w:hAnsi="Times New Roman" w:cs="Times New Roman"/>
          <w:color w:val="auto"/>
          <w:lang w:val="en-US" w:eastAsia="zh-CN"/>
        </w:rPr>
      </w:pPr>
      <w:r>
        <w:rPr>
          <w:rFonts w:hint="default" w:ascii="Times New Roman" w:hAnsi="Times New Roman" w:eastAsia="黑体" w:cs="Times New Roman"/>
          <w:color w:val="auto"/>
          <w:spacing w:val="-2"/>
          <w:kern w:val="2"/>
          <w:sz w:val="21"/>
          <w:szCs w:val="22"/>
          <w:lang w:val="en-US" w:eastAsia="zh-CN"/>
        </w:rPr>
        <w:t>表4.2.5-1  土壤理化性质</w:t>
      </w:r>
    </w:p>
    <w:tbl>
      <w:tblPr>
        <w:tblStyle w:val="29"/>
        <w:tblW w:w="5301" w:type="pct"/>
        <w:jc w:val="center"/>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212"/>
        <w:gridCol w:w="1819"/>
        <w:gridCol w:w="1972"/>
        <w:gridCol w:w="2284"/>
        <w:gridCol w:w="2224"/>
        <w:gridCol w:w="2200"/>
        <w:gridCol w:w="2266"/>
      </w:tblGrid>
      <w:tr w14:paraId="7B0DBD88">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tcMar>
              <w:top w:w="15" w:type="dxa"/>
              <w:left w:w="15" w:type="dxa"/>
              <w:bottom w:w="15" w:type="dxa"/>
              <w:right w:w="15" w:type="dxa"/>
            </w:tcMar>
            <w:vAlign w:val="center"/>
          </w:tcPr>
          <w:p w14:paraId="75D3ABF6">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分析项目</w:t>
            </w:r>
          </w:p>
        </w:tc>
        <w:tc>
          <w:tcPr>
            <w:tcW w:w="607" w:type="pct"/>
            <w:tcBorders>
              <w:tl2br w:val="nil"/>
              <w:tr2bl w:val="nil"/>
            </w:tcBorders>
            <w:noWrap w:val="0"/>
            <w:vAlign w:val="center"/>
          </w:tcPr>
          <w:p w14:paraId="2BCFD54E">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场地</w:t>
            </w:r>
            <w:r>
              <w:rPr>
                <w:rFonts w:hint="default" w:ascii="Times New Roman" w:hAnsi="Times New Roman" w:eastAsia="宋体" w:cs="Times New Roman"/>
                <w:color w:val="auto"/>
                <w:sz w:val="18"/>
                <w:szCs w:val="18"/>
              </w:rPr>
              <w:t>内1#柱状样</w:t>
            </w:r>
          </w:p>
        </w:tc>
        <w:tc>
          <w:tcPr>
            <w:tcW w:w="658" w:type="pct"/>
            <w:tcBorders>
              <w:tl2br w:val="nil"/>
              <w:tr2bl w:val="nil"/>
            </w:tcBorders>
            <w:noWrap w:val="0"/>
            <w:vAlign w:val="center"/>
          </w:tcPr>
          <w:p w14:paraId="0879CC70">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场地</w:t>
            </w:r>
            <w:r>
              <w:rPr>
                <w:rFonts w:hint="default" w:ascii="Times New Roman" w:hAnsi="Times New Roman" w:eastAsia="宋体" w:cs="Times New Roman"/>
                <w:color w:val="auto"/>
                <w:sz w:val="18"/>
                <w:szCs w:val="18"/>
              </w:rPr>
              <w:t>内2#柱状样</w:t>
            </w:r>
          </w:p>
        </w:tc>
        <w:tc>
          <w:tcPr>
            <w:tcW w:w="762" w:type="pct"/>
            <w:tcBorders>
              <w:tl2br w:val="nil"/>
              <w:tr2bl w:val="nil"/>
            </w:tcBorders>
            <w:noWrap w:val="0"/>
            <w:vAlign w:val="center"/>
          </w:tcPr>
          <w:p w14:paraId="62B6E09D">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场地</w:t>
            </w:r>
            <w:r>
              <w:rPr>
                <w:rFonts w:hint="default" w:ascii="Times New Roman" w:hAnsi="Times New Roman" w:eastAsia="宋体" w:cs="Times New Roman"/>
                <w:color w:val="auto"/>
                <w:kern w:val="2"/>
                <w:sz w:val="18"/>
                <w:szCs w:val="18"/>
              </w:rPr>
              <w:t>内3</w:t>
            </w:r>
            <w:r>
              <w:rPr>
                <w:rFonts w:hint="default" w:ascii="Times New Roman" w:hAnsi="Times New Roman" w:eastAsia="宋体" w:cs="Times New Roman"/>
                <w:color w:val="auto"/>
                <w:kern w:val="2"/>
                <w:sz w:val="18"/>
                <w:szCs w:val="18"/>
                <w:vertAlign w:val="superscript"/>
              </w:rPr>
              <w:t>#</w:t>
            </w:r>
            <w:r>
              <w:rPr>
                <w:rFonts w:hint="default" w:ascii="Times New Roman" w:hAnsi="Times New Roman" w:eastAsia="宋体" w:cs="Times New Roman"/>
                <w:color w:val="auto"/>
                <w:kern w:val="2"/>
                <w:sz w:val="18"/>
                <w:szCs w:val="18"/>
              </w:rPr>
              <w:t>柱状样</w:t>
            </w:r>
          </w:p>
        </w:tc>
        <w:tc>
          <w:tcPr>
            <w:tcW w:w="742" w:type="pct"/>
            <w:tcBorders>
              <w:tl2br w:val="nil"/>
              <w:tr2bl w:val="nil"/>
            </w:tcBorders>
            <w:noWrap w:val="0"/>
            <w:vAlign w:val="center"/>
          </w:tcPr>
          <w:p w14:paraId="29BD866A">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场地</w:t>
            </w:r>
            <w:r>
              <w:rPr>
                <w:rFonts w:hint="default" w:ascii="Times New Roman" w:hAnsi="Times New Roman" w:eastAsia="宋体" w:cs="Times New Roman"/>
                <w:color w:val="auto"/>
                <w:sz w:val="18"/>
                <w:szCs w:val="18"/>
              </w:rPr>
              <w:t>内4#柱状样</w:t>
            </w:r>
          </w:p>
        </w:tc>
        <w:tc>
          <w:tcPr>
            <w:tcW w:w="734" w:type="pct"/>
            <w:tcBorders>
              <w:tl2br w:val="nil"/>
              <w:tr2bl w:val="nil"/>
            </w:tcBorders>
            <w:noWrap w:val="0"/>
            <w:vAlign w:val="center"/>
          </w:tcPr>
          <w:p w14:paraId="7E4878AA">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场地</w:t>
            </w:r>
            <w:r>
              <w:rPr>
                <w:rFonts w:hint="default" w:ascii="Times New Roman" w:hAnsi="Times New Roman" w:eastAsia="宋体" w:cs="Times New Roman"/>
                <w:color w:val="auto"/>
                <w:sz w:val="18"/>
                <w:szCs w:val="18"/>
              </w:rPr>
              <w:t>内5#柱状样</w:t>
            </w:r>
          </w:p>
        </w:tc>
        <w:tc>
          <w:tcPr>
            <w:tcW w:w="755" w:type="pct"/>
            <w:tcBorders>
              <w:tl2br w:val="nil"/>
              <w:tr2bl w:val="nil"/>
            </w:tcBorders>
            <w:noWrap w:val="0"/>
            <w:vAlign w:val="center"/>
          </w:tcPr>
          <w:p w14:paraId="2135DE72">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场地</w:t>
            </w:r>
            <w:r>
              <w:rPr>
                <w:rFonts w:hint="default" w:ascii="Times New Roman" w:hAnsi="Times New Roman" w:eastAsia="宋体" w:cs="Times New Roman"/>
                <w:color w:val="auto"/>
                <w:sz w:val="18"/>
                <w:szCs w:val="18"/>
              </w:rPr>
              <w:t>内1#表层样</w:t>
            </w:r>
          </w:p>
        </w:tc>
      </w:tr>
      <w:tr w14:paraId="35C68632">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tcMar>
              <w:top w:w="15" w:type="dxa"/>
              <w:left w:w="15" w:type="dxa"/>
              <w:bottom w:w="15" w:type="dxa"/>
              <w:right w:w="15" w:type="dxa"/>
            </w:tcMar>
            <w:vAlign w:val="center"/>
          </w:tcPr>
          <w:p w14:paraId="035C7A98">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阳离子交换量cmol/kg（﹢）</w:t>
            </w:r>
          </w:p>
        </w:tc>
        <w:tc>
          <w:tcPr>
            <w:tcW w:w="607" w:type="pct"/>
            <w:tcBorders>
              <w:tl2br w:val="nil"/>
              <w:tr2bl w:val="nil"/>
            </w:tcBorders>
            <w:noWrap w:val="0"/>
            <w:vAlign w:val="center"/>
          </w:tcPr>
          <w:p w14:paraId="26E6E126">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7.6</w:t>
            </w:r>
          </w:p>
        </w:tc>
        <w:tc>
          <w:tcPr>
            <w:tcW w:w="658" w:type="pct"/>
            <w:tcBorders>
              <w:tl2br w:val="nil"/>
              <w:tr2bl w:val="nil"/>
            </w:tcBorders>
            <w:noWrap w:val="0"/>
            <w:vAlign w:val="center"/>
          </w:tcPr>
          <w:p w14:paraId="55676E10">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9.2</w:t>
            </w:r>
          </w:p>
        </w:tc>
        <w:tc>
          <w:tcPr>
            <w:tcW w:w="762" w:type="pct"/>
            <w:tcBorders>
              <w:tl2br w:val="nil"/>
              <w:tr2bl w:val="nil"/>
            </w:tcBorders>
            <w:noWrap w:val="0"/>
            <w:vAlign w:val="center"/>
          </w:tcPr>
          <w:p w14:paraId="416E4D71">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4.0</w:t>
            </w:r>
          </w:p>
        </w:tc>
        <w:tc>
          <w:tcPr>
            <w:tcW w:w="742" w:type="pct"/>
            <w:tcBorders>
              <w:tl2br w:val="nil"/>
              <w:tr2bl w:val="nil"/>
            </w:tcBorders>
            <w:noWrap w:val="0"/>
            <w:vAlign w:val="center"/>
          </w:tcPr>
          <w:p w14:paraId="53313DCF">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12.1</w:t>
            </w:r>
          </w:p>
        </w:tc>
        <w:tc>
          <w:tcPr>
            <w:tcW w:w="734" w:type="pct"/>
            <w:tcBorders>
              <w:tl2br w:val="nil"/>
              <w:tr2bl w:val="nil"/>
            </w:tcBorders>
            <w:noWrap w:val="0"/>
            <w:vAlign w:val="center"/>
          </w:tcPr>
          <w:p w14:paraId="2C526BD9">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9.9</w:t>
            </w:r>
          </w:p>
        </w:tc>
        <w:tc>
          <w:tcPr>
            <w:tcW w:w="755" w:type="pct"/>
            <w:tcBorders>
              <w:tl2br w:val="nil"/>
              <w:tr2bl w:val="nil"/>
            </w:tcBorders>
            <w:noWrap w:val="0"/>
            <w:vAlign w:val="center"/>
          </w:tcPr>
          <w:p w14:paraId="15C4F63B">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12.0</w:t>
            </w:r>
          </w:p>
        </w:tc>
      </w:tr>
      <w:tr w14:paraId="5D1D66D3">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tcMar>
              <w:top w:w="15" w:type="dxa"/>
              <w:left w:w="15" w:type="dxa"/>
              <w:bottom w:w="15" w:type="dxa"/>
              <w:right w:w="15" w:type="dxa"/>
            </w:tcMar>
            <w:vAlign w:val="center"/>
          </w:tcPr>
          <w:p w14:paraId="216EDBD7">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氧化还原电位mV</w:t>
            </w:r>
          </w:p>
        </w:tc>
        <w:tc>
          <w:tcPr>
            <w:tcW w:w="607" w:type="pct"/>
            <w:tcBorders>
              <w:tl2br w:val="nil"/>
              <w:tr2bl w:val="nil"/>
            </w:tcBorders>
            <w:noWrap w:val="0"/>
            <w:vAlign w:val="center"/>
          </w:tcPr>
          <w:p w14:paraId="7495EB6A">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468</w:t>
            </w:r>
          </w:p>
        </w:tc>
        <w:tc>
          <w:tcPr>
            <w:tcW w:w="658" w:type="pct"/>
            <w:tcBorders>
              <w:tl2br w:val="nil"/>
              <w:tr2bl w:val="nil"/>
            </w:tcBorders>
            <w:noWrap w:val="0"/>
            <w:vAlign w:val="center"/>
          </w:tcPr>
          <w:p w14:paraId="5BE0AD8C">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396</w:t>
            </w:r>
          </w:p>
        </w:tc>
        <w:tc>
          <w:tcPr>
            <w:tcW w:w="762" w:type="pct"/>
            <w:tcBorders>
              <w:tl2br w:val="nil"/>
              <w:tr2bl w:val="nil"/>
            </w:tcBorders>
            <w:noWrap w:val="0"/>
            <w:vAlign w:val="center"/>
          </w:tcPr>
          <w:p w14:paraId="0A971E6D">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543</w:t>
            </w:r>
          </w:p>
        </w:tc>
        <w:tc>
          <w:tcPr>
            <w:tcW w:w="742" w:type="pct"/>
            <w:tcBorders>
              <w:tl2br w:val="nil"/>
              <w:tr2bl w:val="nil"/>
            </w:tcBorders>
            <w:noWrap w:val="0"/>
            <w:vAlign w:val="center"/>
          </w:tcPr>
          <w:p w14:paraId="5D00B836">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490</w:t>
            </w:r>
          </w:p>
        </w:tc>
        <w:tc>
          <w:tcPr>
            <w:tcW w:w="734" w:type="pct"/>
            <w:tcBorders>
              <w:tl2br w:val="nil"/>
              <w:tr2bl w:val="nil"/>
            </w:tcBorders>
            <w:noWrap w:val="0"/>
            <w:vAlign w:val="center"/>
          </w:tcPr>
          <w:p w14:paraId="2E744A16">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527</w:t>
            </w:r>
          </w:p>
        </w:tc>
        <w:tc>
          <w:tcPr>
            <w:tcW w:w="755" w:type="pct"/>
            <w:tcBorders>
              <w:tl2br w:val="nil"/>
              <w:tr2bl w:val="nil"/>
            </w:tcBorders>
            <w:noWrap w:val="0"/>
            <w:vAlign w:val="center"/>
          </w:tcPr>
          <w:p w14:paraId="108C0463">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444</w:t>
            </w:r>
          </w:p>
        </w:tc>
      </w:tr>
      <w:tr w14:paraId="1E8E2054">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tcMar>
              <w:top w:w="15" w:type="dxa"/>
              <w:left w:w="15" w:type="dxa"/>
              <w:bottom w:w="15" w:type="dxa"/>
              <w:right w:w="15" w:type="dxa"/>
            </w:tcMar>
            <w:vAlign w:val="center"/>
          </w:tcPr>
          <w:p w14:paraId="3DD8138D">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渗滤率</w:t>
            </w:r>
          </w:p>
          <w:p w14:paraId="19630A43">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mm/min</w:t>
            </w:r>
          </w:p>
        </w:tc>
        <w:tc>
          <w:tcPr>
            <w:tcW w:w="607" w:type="pct"/>
            <w:tcBorders>
              <w:tl2br w:val="nil"/>
              <w:tr2bl w:val="nil"/>
            </w:tcBorders>
            <w:noWrap w:val="0"/>
            <w:vAlign w:val="center"/>
          </w:tcPr>
          <w:p w14:paraId="6D310C1B">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2.60</w:t>
            </w:r>
          </w:p>
        </w:tc>
        <w:tc>
          <w:tcPr>
            <w:tcW w:w="658" w:type="pct"/>
            <w:tcBorders>
              <w:tl2br w:val="nil"/>
              <w:tr2bl w:val="nil"/>
            </w:tcBorders>
            <w:noWrap w:val="0"/>
            <w:vAlign w:val="center"/>
          </w:tcPr>
          <w:p w14:paraId="5E115AB7">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2.71</w:t>
            </w:r>
          </w:p>
        </w:tc>
        <w:tc>
          <w:tcPr>
            <w:tcW w:w="762" w:type="pct"/>
            <w:tcBorders>
              <w:tl2br w:val="nil"/>
              <w:tr2bl w:val="nil"/>
            </w:tcBorders>
            <w:noWrap w:val="0"/>
            <w:vAlign w:val="center"/>
          </w:tcPr>
          <w:p w14:paraId="29BBED24">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2.37</w:t>
            </w:r>
          </w:p>
        </w:tc>
        <w:tc>
          <w:tcPr>
            <w:tcW w:w="742" w:type="pct"/>
            <w:tcBorders>
              <w:tl2br w:val="nil"/>
              <w:tr2bl w:val="nil"/>
            </w:tcBorders>
            <w:noWrap w:val="0"/>
            <w:vAlign w:val="center"/>
          </w:tcPr>
          <w:p w14:paraId="3878703F">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2.15</w:t>
            </w:r>
          </w:p>
        </w:tc>
        <w:tc>
          <w:tcPr>
            <w:tcW w:w="734" w:type="pct"/>
            <w:tcBorders>
              <w:tl2br w:val="nil"/>
              <w:tr2bl w:val="nil"/>
            </w:tcBorders>
            <w:noWrap w:val="0"/>
            <w:vAlign w:val="center"/>
          </w:tcPr>
          <w:p w14:paraId="55540150">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2.48</w:t>
            </w:r>
          </w:p>
        </w:tc>
        <w:tc>
          <w:tcPr>
            <w:tcW w:w="755" w:type="pct"/>
            <w:tcBorders>
              <w:tl2br w:val="nil"/>
              <w:tr2bl w:val="nil"/>
            </w:tcBorders>
            <w:noWrap w:val="0"/>
            <w:vAlign w:val="center"/>
          </w:tcPr>
          <w:p w14:paraId="486D71D3">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3.16</w:t>
            </w:r>
          </w:p>
        </w:tc>
      </w:tr>
      <w:tr w14:paraId="6481D5E9">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tcMar>
              <w:top w:w="15" w:type="dxa"/>
              <w:left w:w="15" w:type="dxa"/>
              <w:bottom w:w="15" w:type="dxa"/>
              <w:right w:w="15" w:type="dxa"/>
            </w:tcMar>
            <w:vAlign w:val="center"/>
          </w:tcPr>
          <w:p w14:paraId="72B8AAD6">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土壤容重g/cm</w:t>
            </w:r>
            <w:r>
              <w:rPr>
                <w:rFonts w:hint="default" w:ascii="Times New Roman" w:hAnsi="Times New Roman" w:eastAsia="宋体" w:cs="Times New Roman"/>
                <w:color w:val="auto"/>
                <w:sz w:val="18"/>
                <w:szCs w:val="18"/>
                <w:vertAlign w:val="superscript"/>
              </w:rPr>
              <w:t>3</w:t>
            </w:r>
          </w:p>
        </w:tc>
        <w:tc>
          <w:tcPr>
            <w:tcW w:w="607" w:type="pct"/>
            <w:tcBorders>
              <w:tl2br w:val="nil"/>
              <w:tr2bl w:val="nil"/>
            </w:tcBorders>
            <w:noWrap w:val="0"/>
            <w:vAlign w:val="center"/>
          </w:tcPr>
          <w:p w14:paraId="4ABBFF1F">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1.30</w:t>
            </w:r>
          </w:p>
        </w:tc>
        <w:tc>
          <w:tcPr>
            <w:tcW w:w="658" w:type="pct"/>
            <w:tcBorders>
              <w:tl2br w:val="nil"/>
              <w:tr2bl w:val="nil"/>
            </w:tcBorders>
            <w:noWrap w:val="0"/>
            <w:vAlign w:val="center"/>
          </w:tcPr>
          <w:p w14:paraId="6EEB2751">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1.24</w:t>
            </w:r>
          </w:p>
        </w:tc>
        <w:tc>
          <w:tcPr>
            <w:tcW w:w="762" w:type="pct"/>
            <w:tcBorders>
              <w:tl2br w:val="nil"/>
              <w:tr2bl w:val="nil"/>
            </w:tcBorders>
            <w:noWrap w:val="0"/>
            <w:vAlign w:val="center"/>
          </w:tcPr>
          <w:p w14:paraId="4A410476">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1.23</w:t>
            </w:r>
          </w:p>
        </w:tc>
        <w:tc>
          <w:tcPr>
            <w:tcW w:w="742" w:type="pct"/>
            <w:tcBorders>
              <w:tl2br w:val="nil"/>
              <w:tr2bl w:val="nil"/>
            </w:tcBorders>
            <w:noWrap w:val="0"/>
            <w:vAlign w:val="center"/>
          </w:tcPr>
          <w:p w14:paraId="39EC8282">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1.11</w:t>
            </w:r>
          </w:p>
        </w:tc>
        <w:tc>
          <w:tcPr>
            <w:tcW w:w="734" w:type="pct"/>
            <w:tcBorders>
              <w:tl2br w:val="nil"/>
              <w:tr2bl w:val="nil"/>
            </w:tcBorders>
            <w:noWrap w:val="0"/>
            <w:vAlign w:val="center"/>
          </w:tcPr>
          <w:p w14:paraId="4E7CE9B2">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1.04</w:t>
            </w:r>
          </w:p>
        </w:tc>
        <w:tc>
          <w:tcPr>
            <w:tcW w:w="755" w:type="pct"/>
            <w:tcBorders>
              <w:tl2br w:val="nil"/>
              <w:tr2bl w:val="nil"/>
            </w:tcBorders>
            <w:noWrap w:val="0"/>
            <w:vAlign w:val="center"/>
          </w:tcPr>
          <w:p w14:paraId="2D7B4570">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1.00</w:t>
            </w:r>
          </w:p>
        </w:tc>
      </w:tr>
      <w:tr w14:paraId="15F126E4">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tcMar>
              <w:top w:w="15" w:type="dxa"/>
              <w:left w:w="15" w:type="dxa"/>
              <w:bottom w:w="15" w:type="dxa"/>
              <w:right w:w="15" w:type="dxa"/>
            </w:tcMar>
            <w:vAlign w:val="center"/>
          </w:tcPr>
          <w:p w14:paraId="59517A3E">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总</w:t>
            </w:r>
            <w:r>
              <w:rPr>
                <w:rFonts w:hint="default" w:ascii="Times New Roman" w:hAnsi="Times New Roman" w:eastAsia="宋体" w:cs="Times New Roman"/>
                <w:color w:val="auto"/>
                <w:sz w:val="18"/>
                <w:szCs w:val="18"/>
              </w:rPr>
              <w:t>孔隙度%</w:t>
            </w:r>
          </w:p>
        </w:tc>
        <w:tc>
          <w:tcPr>
            <w:tcW w:w="607" w:type="pct"/>
            <w:tcBorders>
              <w:tl2br w:val="nil"/>
              <w:tr2bl w:val="nil"/>
            </w:tcBorders>
            <w:noWrap w:val="0"/>
            <w:vAlign w:val="center"/>
          </w:tcPr>
          <w:p w14:paraId="5F4BECCC">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55.3</w:t>
            </w:r>
          </w:p>
        </w:tc>
        <w:tc>
          <w:tcPr>
            <w:tcW w:w="658" w:type="pct"/>
            <w:tcBorders>
              <w:tl2br w:val="nil"/>
              <w:tr2bl w:val="nil"/>
            </w:tcBorders>
            <w:noWrap w:val="0"/>
            <w:vAlign w:val="center"/>
          </w:tcPr>
          <w:p w14:paraId="2CF372CA">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53.5</w:t>
            </w:r>
          </w:p>
        </w:tc>
        <w:tc>
          <w:tcPr>
            <w:tcW w:w="762" w:type="pct"/>
            <w:tcBorders>
              <w:tl2br w:val="nil"/>
              <w:tr2bl w:val="nil"/>
            </w:tcBorders>
            <w:noWrap w:val="0"/>
            <w:vAlign w:val="center"/>
          </w:tcPr>
          <w:p w14:paraId="7A18181E">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48.5</w:t>
            </w:r>
          </w:p>
        </w:tc>
        <w:tc>
          <w:tcPr>
            <w:tcW w:w="742" w:type="pct"/>
            <w:tcBorders>
              <w:tl2br w:val="nil"/>
              <w:tr2bl w:val="nil"/>
            </w:tcBorders>
            <w:noWrap w:val="0"/>
            <w:vAlign w:val="center"/>
          </w:tcPr>
          <w:p w14:paraId="0E893E82">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57.0</w:t>
            </w:r>
          </w:p>
        </w:tc>
        <w:tc>
          <w:tcPr>
            <w:tcW w:w="734" w:type="pct"/>
            <w:tcBorders>
              <w:tl2br w:val="nil"/>
              <w:tr2bl w:val="nil"/>
            </w:tcBorders>
            <w:noWrap w:val="0"/>
            <w:vAlign w:val="center"/>
          </w:tcPr>
          <w:p w14:paraId="6BC9E06D">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52.3</w:t>
            </w:r>
          </w:p>
        </w:tc>
        <w:tc>
          <w:tcPr>
            <w:tcW w:w="755" w:type="pct"/>
            <w:tcBorders>
              <w:tl2br w:val="nil"/>
              <w:tr2bl w:val="nil"/>
            </w:tcBorders>
            <w:noWrap w:val="0"/>
            <w:vAlign w:val="center"/>
          </w:tcPr>
          <w:p w14:paraId="403FEC74">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kern w:val="2"/>
                <w:sz w:val="18"/>
                <w:szCs w:val="18"/>
                <w:highlight w:val="none"/>
                <w:lang w:val="en-US" w:eastAsia="zh-CN"/>
              </w:rPr>
              <w:t>52.9</w:t>
            </w:r>
          </w:p>
        </w:tc>
      </w:tr>
      <w:tr w14:paraId="64828AE9">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tcMar>
              <w:top w:w="15" w:type="dxa"/>
              <w:left w:w="15" w:type="dxa"/>
              <w:bottom w:w="15" w:type="dxa"/>
              <w:right w:w="15" w:type="dxa"/>
            </w:tcMar>
            <w:vAlign w:val="center"/>
          </w:tcPr>
          <w:p w14:paraId="0BA5734C">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分析项目</w:t>
            </w:r>
          </w:p>
        </w:tc>
        <w:tc>
          <w:tcPr>
            <w:tcW w:w="607" w:type="pct"/>
            <w:tcBorders>
              <w:tl2br w:val="nil"/>
              <w:tr2bl w:val="nil"/>
            </w:tcBorders>
            <w:noWrap w:val="0"/>
            <w:vAlign w:val="center"/>
          </w:tcPr>
          <w:p w14:paraId="0412FF0C">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场地</w:t>
            </w:r>
            <w:r>
              <w:rPr>
                <w:rFonts w:hint="default" w:ascii="Times New Roman" w:hAnsi="Times New Roman" w:eastAsia="宋体" w:cs="Times New Roman"/>
                <w:color w:val="auto"/>
                <w:sz w:val="18"/>
                <w:szCs w:val="18"/>
              </w:rPr>
              <w:t>内</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#表层样</w:t>
            </w:r>
          </w:p>
        </w:tc>
        <w:tc>
          <w:tcPr>
            <w:tcW w:w="658" w:type="pct"/>
            <w:tcBorders>
              <w:tl2br w:val="nil"/>
              <w:tr2bl w:val="nil"/>
            </w:tcBorders>
            <w:noWrap w:val="0"/>
            <w:vAlign w:val="center"/>
          </w:tcPr>
          <w:p w14:paraId="7D1B475A">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场地外1</w:t>
            </w:r>
            <w:r>
              <w:rPr>
                <w:rFonts w:hint="default" w:ascii="Times New Roman" w:hAnsi="Times New Roman" w:eastAsia="宋体" w:cs="Times New Roman"/>
                <w:color w:val="auto"/>
                <w:sz w:val="18"/>
                <w:szCs w:val="18"/>
              </w:rPr>
              <w:t>#表层样</w:t>
            </w:r>
          </w:p>
        </w:tc>
        <w:tc>
          <w:tcPr>
            <w:tcW w:w="762" w:type="pct"/>
            <w:tcBorders>
              <w:tl2br w:val="nil"/>
              <w:tr2bl w:val="nil"/>
            </w:tcBorders>
            <w:noWrap w:val="0"/>
            <w:vAlign w:val="center"/>
          </w:tcPr>
          <w:p w14:paraId="3112FA05">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场地</w:t>
            </w:r>
            <w:r>
              <w:rPr>
                <w:rFonts w:hint="default" w:ascii="Times New Roman" w:hAnsi="Times New Roman" w:eastAsia="宋体" w:cs="Times New Roman"/>
                <w:color w:val="auto"/>
                <w:sz w:val="18"/>
                <w:szCs w:val="18"/>
              </w:rPr>
              <w:t>外</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#表层样</w:t>
            </w:r>
          </w:p>
        </w:tc>
        <w:tc>
          <w:tcPr>
            <w:tcW w:w="742" w:type="pct"/>
            <w:tcBorders>
              <w:tl2br w:val="nil"/>
              <w:tr2bl w:val="nil"/>
            </w:tcBorders>
            <w:noWrap w:val="0"/>
            <w:vAlign w:val="center"/>
          </w:tcPr>
          <w:p w14:paraId="5348D6EF">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场地</w:t>
            </w:r>
            <w:r>
              <w:rPr>
                <w:rFonts w:hint="default" w:ascii="Times New Roman" w:hAnsi="Times New Roman" w:eastAsia="宋体" w:cs="Times New Roman"/>
                <w:color w:val="auto"/>
                <w:sz w:val="18"/>
                <w:szCs w:val="18"/>
              </w:rPr>
              <w:t>外</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#表层样</w:t>
            </w:r>
          </w:p>
        </w:tc>
        <w:tc>
          <w:tcPr>
            <w:tcW w:w="1490" w:type="pct"/>
            <w:gridSpan w:val="2"/>
            <w:tcBorders>
              <w:tl2br w:val="nil"/>
              <w:tr2bl w:val="nil"/>
            </w:tcBorders>
            <w:noWrap w:val="0"/>
            <w:vAlign w:val="center"/>
          </w:tcPr>
          <w:p w14:paraId="4AB48528">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场地</w:t>
            </w:r>
            <w:r>
              <w:rPr>
                <w:rFonts w:hint="default" w:ascii="Times New Roman" w:hAnsi="Times New Roman" w:eastAsia="宋体" w:cs="Times New Roman"/>
                <w:color w:val="auto"/>
                <w:sz w:val="18"/>
                <w:szCs w:val="18"/>
              </w:rPr>
              <w:t>外</w:t>
            </w:r>
            <w:r>
              <w:rPr>
                <w:rFonts w:hint="default" w:ascii="Times New Roman" w:hAnsi="Times New Roman" w:eastAsia="宋体" w:cs="Times New Roman"/>
                <w:color w:val="auto"/>
                <w:sz w:val="18"/>
                <w:szCs w:val="18"/>
                <w:lang w:val="en-US" w:eastAsia="zh-CN"/>
              </w:rPr>
              <w:t>4</w:t>
            </w:r>
            <w:r>
              <w:rPr>
                <w:rFonts w:hint="default" w:ascii="Times New Roman" w:hAnsi="Times New Roman" w:eastAsia="宋体" w:cs="Times New Roman"/>
                <w:color w:val="auto"/>
                <w:sz w:val="18"/>
                <w:szCs w:val="18"/>
              </w:rPr>
              <w:t>#表层样</w:t>
            </w:r>
          </w:p>
        </w:tc>
      </w:tr>
      <w:tr w14:paraId="6E784DE8">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tcMar>
              <w:top w:w="15" w:type="dxa"/>
              <w:left w:w="15" w:type="dxa"/>
              <w:bottom w:w="15" w:type="dxa"/>
              <w:right w:w="15" w:type="dxa"/>
            </w:tcMar>
            <w:vAlign w:val="center"/>
          </w:tcPr>
          <w:p w14:paraId="615B5238">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阳离子交换量cmol/kg（﹢）</w:t>
            </w:r>
          </w:p>
        </w:tc>
        <w:tc>
          <w:tcPr>
            <w:tcW w:w="607" w:type="pct"/>
            <w:tcBorders>
              <w:tl2br w:val="nil"/>
              <w:tr2bl w:val="nil"/>
            </w:tcBorders>
            <w:noWrap w:val="0"/>
            <w:vAlign w:val="center"/>
          </w:tcPr>
          <w:p w14:paraId="3C276AF1">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5.4</w:t>
            </w:r>
          </w:p>
        </w:tc>
        <w:tc>
          <w:tcPr>
            <w:tcW w:w="658" w:type="pct"/>
            <w:tcBorders>
              <w:tl2br w:val="nil"/>
              <w:tr2bl w:val="nil"/>
            </w:tcBorders>
            <w:noWrap w:val="0"/>
            <w:vAlign w:val="center"/>
          </w:tcPr>
          <w:p w14:paraId="3C70442E">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6.9</w:t>
            </w:r>
          </w:p>
        </w:tc>
        <w:tc>
          <w:tcPr>
            <w:tcW w:w="762" w:type="pct"/>
            <w:tcBorders>
              <w:tl2br w:val="nil"/>
              <w:tr2bl w:val="nil"/>
            </w:tcBorders>
            <w:noWrap w:val="0"/>
            <w:vAlign w:val="center"/>
          </w:tcPr>
          <w:p w14:paraId="6AF8EE8B">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8.1</w:t>
            </w:r>
          </w:p>
        </w:tc>
        <w:tc>
          <w:tcPr>
            <w:tcW w:w="742" w:type="pct"/>
            <w:tcBorders>
              <w:tl2br w:val="nil"/>
              <w:tr2bl w:val="nil"/>
            </w:tcBorders>
            <w:noWrap w:val="0"/>
            <w:vAlign w:val="center"/>
          </w:tcPr>
          <w:p w14:paraId="2058F46E">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3.3</w:t>
            </w:r>
          </w:p>
        </w:tc>
        <w:tc>
          <w:tcPr>
            <w:tcW w:w="1490" w:type="pct"/>
            <w:gridSpan w:val="2"/>
            <w:tcBorders>
              <w:tl2br w:val="nil"/>
              <w:tr2bl w:val="nil"/>
            </w:tcBorders>
            <w:noWrap w:val="0"/>
            <w:vAlign w:val="center"/>
          </w:tcPr>
          <w:p w14:paraId="15900D99">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20.5</w:t>
            </w:r>
          </w:p>
        </w:tc>
      </w:tr>
      <w:tr w14:paraId="6358F555">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tcMar>
              <w:top w:w="15" w:type="dxa"/>
              <w:left w:w="15" w:type="dxa"/>
              <w:bottom w:w="15" w:type="dxa"/>
              <w:right w:w="15" w:type="dxa"/>
            </w:tcMar>
            <w:vAlign w:val="center"/>
          </w:tcPr>
          <w:p w14:paraId="2E75C2FF">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氧化还原电位mV</w:t>
            </w:r>
          </w:p>
        </w:tc>
        <w:tc>
          <w:tcPr>
            <w:tcW w:w="607" w:type="pct"/>
            <w:tcBorders>
              <w:tl2br w:val="nil"/>
              <w:tr2bl w:val="nil"/>
            </w:tcBorders>
            <w:noWrap w:val="0"/>
            <w:vAlign w:val="center"/>
          </w:tcPr>
          <w:p w14:paraId="0F5D46B6">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413</w:t>
            </w:r>
          </w:p>
        </w:tc>
        <w:tc>
          <w:tcPr>
            <w:tcW w:w="658" w:type="pct"/>
            <w:tcBorders>
              <w:tl2br w:val="nil"/>
              <w:tr2bl w:val="nil"/>
            </w:tcBorders>
            <w:noWrap w:val="0"/>
            <w:vAlign w:val="center"/>
          </w:tcPr>
          <w:p w14:paraId="42292662">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545</w:t>
            </w:r>
          </w:p>
        </w:tc>
        <w:tc>
          <w:tcPr>
            <w:tcW w:w="762" w:type="pct"/>
            <w:tcBorders>
              <w:tl2br w:val="nil"/>
              <w:tr2bl w:val="nil"/>
            </w:tcBorders>
            <w:noWrap w:val="0"/>
            <w:vAlign w:val="center"/>
          </w:tcPr>
          <w:p w14:paraId="0EDF4D8B">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518</w:t>
            </w:r>
          </w:p>
        </w:tc>
        <w:tc>
          <w:tcPr>
            <w:tcW w:w="742" w:type="pct"/>
            <w:tcBorders>
              <w:tl2br w:val="nil"/>
              <w:tr2bl w:val="nil"/>
            </w:tcBorders>
            <w:noWrap w:val="0"/>
            <w:vAlign w:val="center"/>
          </w:tcPr>
          <w:p w14:paraId="301A9BFB">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931</w:t>
            </w:r>
          </w:p>
        </w:tc>
        <w:tc>
          <w:tcPr>
            <w:tcW w:w="1490" w:type="pct"/>
            <w:gridSpan w:val="2"/>
            <w:tcBorders>
              <w:tl2br w:val="nil"/>
              <w:tr2bl w:val="nil"/>
            </w:tcBorders>
            <w:noWrap w:val="0"/>
            <w:vAlign w:val="center"/>
          </w:tcPr>
          <w:p w14:paraId="783E9635">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980</w:t>
            </w:r>
          </w:p>
        </w:tc>
      </w:tr>
      <w:tr w14:paraId="1497D474">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tcMar>
              <w:top w:w="15" w:type="dxa"/>
              <w:left w:w="15" w:type="dxa"/>
              <w:bottom w:w="15" w:type="dxa"/>
              <w:right w:w="15" w:type="dxa"/>
            </w:tcMar>
            <w:vAlign w:val="center"/>
          </w:tcPr>
          <w:p w14:paraId="5E80EEA4">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渗滤率</w:t>
            </w:r>
          </w:p>
          <w:p w14:paraId="69CC132F">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mm/min</w:t>
            </w:r>
          </w:p>
        </w:tc>
        <w:tc>
          <w:tcPr>
            <w:tcW w:w="607" w:type="pct"/>
            <w:tcBorders>
              <w:tl2br w:val="nil"/>
              <w:tr2bl w:val="nil"/>
            </w:tcBorders>
            <w:noWrap w:val="0"/>
            <w:vAlign w:val="center"/>
          </w:tcPr>
          <w:p w14:paraId="7B0BFF27">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2.71</w:t>
            </w:r>
          </w:p>
        </w:tc>
        <w:tc>
          <w:tcPr>
            <w:tcW w:w="658" w:type="pct"/>
            <w:tcBorders>
              <w:tl2br w:val="nil"/>
              <w:tr2bl w:val="nil"/>
            </w:tcBorders>
            <w:noWrap w:val="0"/>
            <w:vAlign w:val="center"/>
          </w:tcPr>
          <w:p w14:paraId="40F89557">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2.82</w:t>
            </w:r>
          </w:p>
        </w:tc>
        <w:tc>
          <w:tcPr>
            <w:tcW w:w="762" w:type="pct"/>
            <w:tcBorders>
              <w:tl2br w:val="nil"/>
              <w:tr2bl w:val="nil"/>
            </w:tcBorders>
            <w:noWrap w:val="0"/>
            <w:vAlign w:val="center"/>
          </w:tcPr>
          <w:p w14:paraId="5F747D08">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2.03</w:t>
            </w:r>
          </w:p>
        </w:tc>
        <w:tc>
          <w:tcPr>
            <w:tcW w:w="742" w:type="pct"/>
            <w:tcBorders>
              <w:tl2br w:val="nil"/>
              <w:tr2bl w:val="nil"/>
            </w:tcBorders>
            <w:noWrap w:val="0"/>
            <w:vAlign w:val="center"/>
          </w:tcPr>
          <w:p w14:paraId="364B7B73">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1.92</w:t>
            </w:r>
          </w:p>
        </w:tc>
        <w:tc>
          <w:tcPr>
            <w:tcW w:w="1490" w:type="pct"/>
            <w:gridSpan w:val="2"/>
            <w:tcBorders>
              <w:tl2br w:val="nil"/>
              <w:tr2bl w:val="nil"/>
            </w:tcBorders>
            <w:noWrap w:val="0"/>
            <w:vAlign w:val="center"/>
          </w:tcPr>
          <w:p w14:paraId="33E6E6EC">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2.26</w:t>
            </w:r>
          </w:p>
        </w:tc>
      </w:tr>
      <w:tr w14:paraId="5563E05C">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tcMar>
              <w:top w:w="15" w:type="dxa"/>
              <w:left w:w="15" w:type="dxa"/>
              <w:bottom w:w="15" w:type="dxa"/>
              <w:right w:w="15" w:type="dxa"/>
            </w:tcMar>
            <w:vAlign w:val="center"/>
          </w:tcPr>
          <w:p w14:paraId="45095E22">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土壤容重g/cm</w:t>
            </w:r>
            <w:r>
              <w:rPr>
                <w:rFonts w:hint="default" w:ascii="Times New Roman" w:hAnsi="Times New Roman" w:eastAsia="宋体" w:cs="Times New Roman"/>
                <w:color w:val="auto"/>
                <w:sz w:val="18"/>
                <w:szCs w:val="18"/>
                <w:vertAlign w:val="superscript"/>
              </w:rPr>
              <w:t>3</w:t>
            </w:r>
          </w:p>
        </w:tc>
        <w:tc>
          <w:tcPr>
            <w:tcW w:w="607" w:type="pct"/>
            <w:tcBorders>
              <w:tl2br w:val="nil"/>
              <w:tr2bl w:val="nil"/>
            </w:tcBorders>
            <w:noWrap w:val="0"/>
            <w:vAlign w:val="center"/>
          </w:tcPr>
          <w:p w14:paraId="5F2996B6">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1.27</w:t>
            </w:r>
          </w:p>
        </w:tc>
        <w:tc>
          <w:tcPr>
            <w:tcW w:w="658" w:type="pct"/>
            <w:tcBorders>
              <w:tl2br w:val="nil"/>
              <w:tr2bl w:val="nil"/>
            </w:tcBorders>
            <w:noWrap w:val="0"/>
            <w:vAlign w:val="center"/>
          </w:tcPr>
          <w:p w14:paraId="1FC6900C">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1.17</w:t>
            </w:r>
          </w:p>
        </w:tc>
        <w:tc>
          <w:tcPr>
            <w:tcW w:w="762" w:type="pct"/>
            <w:tcBorders>
              <w:tl2br w:val="nil"/>
              <w:tr2bl w:val="nil"/>
            </w:tcBorders>
            <w:noWrap w:val="0"/>
            <w:vAlign w:val="center"/>
          </w:tcPr>
          <w:p w14:paraId="471127D1">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1.43</w:t>
            </w:r>
          </w:p>
        </w:tc>
        <w:tc>
          <w:tcPr>
            <w:tcW w:w="742" w:type="pct"/>
            <w:tcBorders>
              <w:tl2br w:val="nil"/>
              <w:tr2bl w:val="nil"/>
            </w:tcBorders>
            <w:noWrap w:val="0"/>
            <w:vAlign w:val="center"/>
          </w:tcPr>
          <w:p w14:paraId="27E9E670">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1.12</w:t>
            </w:r>
          </w:p>
        </w:tc>
        <w:tc>
          <w:tcPr>
            <w:tcW w:w="1490" w:type="pct"/>
            <w:gridSpan w:val="2"/>
            <w:tcBorders>
              <w:tl2br w:val="nil"/>
              <w:tr2bl w:val="nil"/>
            </w:tcBorders>
            <w:noWrap w:val="0"/>
            <w:vAlign w:val="center"/>
          </w:tcPr>
          <w:p w14:paraId="257777E1">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1.22</w:t>
            </w:r>
          </w:p>
        </w:tc>
      </w:tr>
      <w:tr w14:paraId="5140FA26">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38" w:type="pct"/>
            <w:tcBorders>
              <w:tl2br w:val="nil"/>
              <w:tr2bl w:val="nil"/>
            </w:tcBorders>
            <w:noWrap w:val="0"/>
            <w:tcMar>
              <w:top w:w="15" w:type="dxa"/>
              <w:left w:w="15" w:type="dxa"/>
              <w:bottom w:w="15" w:type="dxa"/>
              <w:right w:w="15" w:type="dxa"/>
            </w:tcMar>
            <w:vAlign w:val="center"/>
          </w:tcPr>
          <w:p w14:paraId="6BAEEA58">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总</w:t>
            </w:r>
            <w:r>
              <w:rPr>
                <w:rFonts w:hint="default" w:ascii="Times New Roman" w:hAnsi="Times New Roman" w:eastAsia="宋体" w:cs="Times New Roman"/>
                <w:color w:val="auto"/>
                <w:sz w:val="18"/>
                <w:szCs w:val="18"/>
              </w:rPr>
              <w:t>孔隙度%</w:t>
            </w:r>
          </w:p>
        </w:tc>
        <w:tc>
          <w:tcPr>
            <w:tcW w:w="607" w:type="pct"/>
            <w:tcBorders>
              <w:tl2br w:val="nil"/>
              <w:tr2bl w:val="nil"/>
            </w:tcBorders>
            <w:noWrap w:val="0"/>
            <w:vAlign w:val="center"/>
          </w:tcPr>
          <w:p w14:paraId="09BCDD7F">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2"/>
                <w:sz w:val="18"/>
                <w:szCs w:val="18"/>
                <w:highlight w:val="none"/>
                <w:lang w:val="en-US" w:eastAsia="zh-CN"/>
              </w:rPr>
              <w:t>53.4</w:t>
            </w:r>
          </w:p>
        </w:tc>
        <w:tc>
          <w:tcPr>
            <w:tcW w:w="658" w:type="pct"/>
            <w:tcBorders>
              <w:tl2br w:val="nil"/>
              <w:tr2bl w:val="nil"/>
            </w:tcBorders>
            <w:noWrap w:val="0"/>
            <w:vAlign w:val="center"/>
          </w:tcPr>
          <w:p w14:paraId="05CF8772">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55.1</w:t>
            </w:r>
          </w:p>
        </w:tc>
        <w:tc>
          <w:tcPr>
            <w:tcW w:w="762" w:type="pct"/>
            <w:tcBorders>
              <w:tl2br w:val="nil"/>
              <w:tr2bl w:val="nil"/>
            </w:tcBorders>
            <w:noWrap w:val="0"/>
            <w:vAlign w:val="center"/>
          </w:tcPr>
          <w:p w14:paraId="4234A1DE">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41.8</w:t>
            </w:r>
          </w:p>
        </w:tc>
        <w:tc>
          <w:tcPr>
            <w:tcW w:w="742" w:type="pct"/>
            <w:tcBorders>
              <w:tl2br w:val="nil"/>
              <w:tr2bl w:val="nil"/>
            </w:tcBorders>
            <w:noWrap w:val="0"/>
            <w:vAlign w:val="center"/>
          </w:tcPr>
          <w:p w14:paraId="42668E8D">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50.7</w:t>
            </w:r>
          </w:p>
        </w:tc>
        <w:tc>
          <w:tcPr>
            <w:tcW w:w="1490" w:type="pct"/>
            <w:gridSpan w:val="2"/>
            <w:tcBorders>
              <w:tl2br w:val="nil"/>
              <w:tr2bl w:val="nil"/>
            </w:tcBorders>
            <w:noWrap w:val="0"/>
            <w:vAlign w:val="center"/>
          </w:tcPr>
          <w:p w14:paraId="38FD584E">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kern w:val="2"/>
                <w:sz w:val="18"/>
                <w:szCs w:val="18"/>
                <w:highlight w:val="none"/>
                <w:lang w:val="en-US" w:eastAsia="zh-CN"/>
              </w:rPr>
              <w:t>48.1</w:t>
            </w:r>
          </w:p>
        </w:tc>
      </w:tr>
    </w:tbl>
    <w:p w14:paraId="40ED64F4">
      <w:pPr>
        <w:adjustRightInd w:val="0"/>
        <w:snapToGrid w:val="0"/>
        <w:jc w:val="center"/>
        <w:rPr>
          <w:rFonts w:hint="default" w:ascii="Times New Roman" w:hAnsi="Times New Roman" w:eastAsia="黑体" w:cs="Times New Roman"/>
          <w:sz w:val="21"/>
          <w:szCs w:val="21"/>
        </w:rPr>
      </w:pPr>
    </w:p>
    <w:p w14:paraId="533F54F9">
      <w:pPr>
        <w:adjustRightInd w:val="0"/>
        <w:snapToGrid w:val="0"/>
        <w:jc w:val="center"/>
        <w:rPr>
          <w:rFonts w:hint="default" w:ascii="Times New Roman" w:hAnsi="Times New Roman" w:eastAsia="黑体" w:cs="Times New Roman"/>
          <w:sz w:val="21"/>
          <w:szCs w:val="21"/>
        </w:rPr>
      </w:pPr>
    </w:p>
    <w:p w14:paraId="094A41BB">
      <w:pPr>
        <w:adjustRightInd w:val="0"/>
        <w:snapToGrid w:val="0"/>
        <w:jc w:val="center"/>
        <w:rPr>
          <w:rFonts w:hint="default" w:ascii="Times New Roman" w:hAnsi="Times New Roman" w:eastAsia="黑体" w:cs="Times New Roman"/>
          <w:sz w:val="21"/>
          <w:szCs w:val="21"/>
        </w:rPr>
      </w:pPr>
    </w:p>
    <w:p w14:paraId="4555191A">
      <w:pPr>
        <w:adjustRightInd w:val="0"/>
        <w:snapToGrid w:val="0"/>
        <w:jc w:val="center"/>
        <w:rPr>
          <w:rFonts w:hint="default" w:ascii="Times New Roman" w:hAnsi="Times New Roman" w:eastAsia="黑体" w:cs="Times New Roman"/>
          <w:sz w:val="21"/>
          <w:szCs w:val="21"/>
        </w:rPr>
      </w:pPr>
    </w:p>
    <w:p w14:paraId="2F2DAA93">
      <w:pPr>
        <w:adjustRightInd w:val="0"/>
        <w:snapToGrid w:val="0"/>
        <w:jc w:val="center"/>
        <w:rPr>
          <w:rFonts w:hint="default" w:ascii="Times New Roman" w:hAnsi="Times New Roman" w:eastAsia="黑体" w:cs="Times New Roman"/>
          <w:sz w:val="21"/>
          <w:szCs w:val="21"/>
        </w:rPr>
      </w:pPr>
    </w:p>
    <w:p w14:paraId="4C3C0F28">
      <w:pPr>
        <w:adjustRightInd w:val="0"/>
        <w:snapToGrid w:val="0"/>
        <w:jc w:val="center"/>
        <w:rPr>
          <w:rFonts w:hint="default" w:ascii="Times New Roman" w:hAnsi="Times New Roman" w:eastAsia="黑体" w:cs="Times New Roman"/>
          <w:sz w:val="21"/>
          <w:szCs w:val="21"/>
        </w:rPr>
      </w:pPr>
    </w:p>
    <w:p w14:paraId="0AE0CAF6">
      <w:pPr>
        <w:adjustRightInd w:val="0"/>
        <w:snapToGrid w:val="0"/>
        <w:jc w:val="center"/>
        <w:rPr>
          <w:rFonts w:hint="default" w:ascii="Times New Roman" w:hAnsi="Times New Roman" w:eastAsia="黑体" w:cs="Times New Roman"/>
          <w:sz w:val="21"/>
          <w:szCs w:val="21"/>
        </w:rPr>
      </w:pPr>
    </w:p>
    <w:p w14:paraId="0322535F">
      <w:pPr>
        <w:adjustRightInd w:val="0"/>
        <w:snapToGrid w:val="0"/>
        <w:jc w:val="center"/>
        <w:rPr>
          <w:rFonts w:hint="default" w:ascii="Times New Roman" w:hAnsi="Times New Roman" w:eastAsia="黑体" w:cs="Times New Roman"/>
          <w:sz w:val="21"/>
          <w:szCs w:val="21"/>
        </w:rPr>
      </w:pPr>
    </w:p>
    <w:p w14:paraId="3E357540">
      <w:pPr>
        <w:adjustRightInd w:val="0"/>
        <w:snapToGrid w:val="0"/>
        <w:jc w:val="center"/>
        <w:rPr>
          <w:rFonts w:hint="default" w:ascii="Times New Roman" w:hAnsi="Times New Roman" w:eastAsia="黑体" w:cs="Times New Roman"/>
          <w:sz w:val="21"/>
          <w:szCs w:val="21"/>
        </w:rPr>
      </w:pPr>
    </w:p>
    <w:p w14:paraId="29AAD1A6">
      <w:pPr>
        <w:adjustRightInd w:val="0"/>
        <w:snapToGrid w:val="0"/>
        <w:jc w:val="center"/>
        <w:rPr>
          <w:rFonts w:hint="default" w:ascii="Times New Roman" w:hAnsi="Times New Roman" w:eastAsia="黑体" w:cs="Times New Roman"/>
          <w:sz w:val="21"/>
          <w:szCs w:val="21"/>
        </w:rPr>
      </w:pPr>
    </w:p>
    <w:p w14:paraId="2CD5366F">
      <w:pPr>
        <w:adjustRightInd w:val="0"/>
        <w:snapToGrid w:val="0"/>
        <w:jc w:val="center"/>
        <w:rPr>
          <w:rFonts w:hint="default" w:ascii="Times New Roman" w:hAnsi="Times New Roman" w:eastAsia="黑体" w:cs="Times New Roman"/>
          <w:sz w:val="21"/>
          <w:szCs w:val="21"/>
        </w:rPr>
      </w:pPr>
    </w:p>
    <w:p w14:paraId="55959EA6">
      <w:pPr>
        <w:adjustRightInd w:val="0"/>
        <w:snapToGrid w:val="0"/>
        <w:jc w:val="center"/>
        <w:rPr>
          <w:rFonts w:hint="default" w:ascii="Times New Roman" w:hAnsi="Times New Roman" w:eastAsia="黑体" w:cs="Times New Roman"/>
          <w:sz w:val="21"/>
          <w:szCs w:val="21"/>
        </w:rPr>
      </w:pPr>
    </w:p>
    <w:p w14:paraId="7E755E07">
      <w:pPr>
        <w:adjustRightInd w:val="0"/>
        <w:snapToGrid w:val="0"/>
        <w:jc w:val="center"/>
        <w:rPr>
          <w:rFonts w:hint="default" w:ascii="Times New Roman" w:hAnsi="Times New Roman" w:eastAsia="黑体" w:cs="Times New Roman"/>
          <w:sz w:val="21"/>
          <w:szCs w:val="21"/>
        </w:rPr>
      </w:pPr>
    </w:p>
    <w:p w14:paraId="3A67276C">
      <w:pPr>
        <w:adjustRightInd w:val="0"/>
        <w:snapToGrid w:val="0"/>
        <w:jc w:val="center"/>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rPr>
        <w:t>表</w:t>
      </w:r>
      <w:r>
        <w:rPr>
          <w:rFonts w:hint="default" w:ascii="Times New Roman" w:hAnsi="Times New Roman" w:eastAsia="黑体" w:cs="Times New Roman"/>
          <w:sz w:val="21"/>
          <w:szCs w:val="21"/>
          <w:lang w:val="en-US" w:eastAsia="zh-CN"/>
        </w:rPr>
        <w:t>4.2.5-2</w:t>
      </w:r>
      <w:r>
        <w:rPr>
          <w:rFonts w:hint="default" w:ascii="Times New Roman" w:hAnsi="Times New Roman" w:eastAsia="黑体" w:cs="Times New Roman"/>
          <w:sz w:val="21"/>
          <w:szCs w:val="21"/>
        </w:rPr>
        <w:t xml:space="preserve">  </w:t>
      </w:r>
      <w:r>
        <w:rPr>
          <w:rFonts w:hint="default" w:ascii="Times New Roman" w:hAnsi="Times New Roman" w:eastAsia="黑体" w:cs="Times New Roman"/>
          <w:sz w:val="21"/>
          <w:szCs w:val="21"/>
          <w:lang w:val="en-US" w:eastAsia="zh-CN"/>
        </w:rPr>
        <w:t>土壤剖面调查表</w:t>
      </w:r>
    </w:p>
    <w:tbl>
      <w:tblPr>
        <w:tblStyle w:val="29"/>
        <w:tblW w:w="0" w:type="auto"/>
        <w:tblInd w:w="0" w:type="dxa"/>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2018"/>
        <w:gridCol w:w="5205"/>
        <w:gridCol w:w="3906"/>
        <w:gridCol w:w="3067"/>
      </w:tblGrid>
      <w:tr w14:paraId="75617F1F">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c>
          <w:tcPr>
            <w:tcW w:w="2018" w:type="dxa"/>
            <w:tcBorders>
              <w:tl2br w:val="nil"/>
              <w:tr2bl w:val="nil"/>
            </w:tcBorders>
            <w:noWrap w:val="0"/>
            <w:vAlign w:val="center"/>
          </w:tcPr>
          <w:p w14:paraId="43AFA76A">
            <w:pPr>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点号</w:t>
            </w:r>
          </w:p>
        </w:tc>
        <w:tc>
          <w:tcPr>
            <w:tcW w:w="5205" w:type="dxa"/>
            <w:tcBorders>
              <w:tl2br w:val="nil"/>
              <w:tr2bl w:val="nil"/>
            </w:tcBorders>
            <w:noWrap w:val="0"/>
            <w:vAlign w:val="center"/>
          </w:tcPr>
          <w:p w14:paraId="1254388B">
            <w:pPr>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景观照片</w:t>
            </w:r>
          </w:p>
        </w:tc>
        <w:tc>
          <w:tcPr>
            <w:tcW w:w="3906" w:type="dxa"/>
            <w:tcBorders>
              <w:tl2br w:val="nil"/>
              <w:tr2bl w:val="nil"/>
            </w:tcBorders>
            <w:noWrap w:val="0"/>
            <w:vAlign w:val="center"/>
          </w:tcPr>
          <w:p w14:paraId="20BB39F4">
            <w:pPr>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土壤剖面照片</w:t>
            </w:r>
          </w:p>
        </w:tc>
        <w:tc>
          <w:tcPr>
            <w:tcW w:w="3067" w:type="dxa"/>
            <w:tcBorders>
              <w:tl2br w:val="nil"/>
              <w:tr2bl w:val="nil"/>
            </w:tcBorders>
            <w:noWrap w:val="0"/>
            <w:vAlign w:val="center"/>
          </w:tcPr>
          <w:p w14:paraId="592B5477">
            <w:pPr>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层次</w:t>
            </w:r>
          </w:p>
        </w:tc>
      </w:tr>
      <w:tr w14:paraId="76F8045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c>
          <w:tcPr>
            <w:tcW w:w="2018" w:type="dxa"/>
            <w:tcBorders>
              <w:tl2br w:val="nil"/>
              <w:tr2bl w:val="nil"/>
            </w:tcBorders>
            <w:noWrap w:val="0"/>
            <w:vAlign w:val="center"/>
          </w:tcPr>
          <w:p w14:paraId="651E6AFC">
            <w:pPr>
              <w:adjustRightInd w:val="0"/>
              <w:snapToGrid w:val="0"/>
              <w:jc w:val="center"/>
              <w:rPr>
                <w:rFonts w:hint="default" w:ascii="Times New Roman" w:hAnsi="Times New Roman" w:cs="Times New Roman"/>
                <w:spacing w:val="14"/>
                <w:kern w:val="0"/>
                <w:sz w:val="24"/>
              </w:rPr>
            </w:pPr>
            <w:r>
              <w:rPr>
                <w:rFonts w:hint="default" w:ascii="Times New Roman" w:hAnsi="Times New Roman" w:cs="Times New Roman"/>
                <w:kern w:val="0"/>
                <w:sz w:val="18"/>
                <w:szCs w:val="18"/>
                <w:lang w:val="en-US" w:eastAsia="zh-CN"/>
              </w:rPr>
              <w:t>占地范围</w:t>
            </w:r>
            <w:r>
              <w:rPr>
                <w:rFonts w:hint="default" w:ascii="Times New Roman" w:hAnsi="Times New Roman" w:cs="Times New Roman"/>
                <w:kern w:val="0"/>
                <w:sz w:val="18"/>
                <w:szCs w:val="18"/>
              </w:rPr>
              <w:t>内</w:t>
            </w:r>
            <w:r>
              <w:rPr>
                <w:rFonts w:hint="default" w:ascii="Times New Roman" w:hAnsi="Times New Roman" w:cs="Times New Roman"/>
                <w:kern w:val="0"/>
                <w:sz w:val="18"/>
                <w:szCs w:val="18"/>
                <w:lang w:val="en-US" w:eastAsia="zh-CN"/>
              </w:rPr>
              <w:t>2</w:t>
            </w:r>
            <w:r>
              <w:rPr>
                <w:rFonts w:hint="default" w:ascii="Times New Roman" w:hAnsi="Times New Roman" w:cs="Times New Roman"/>
                <w:kern w:val="0"/>
                <w:sz w:val="18"/>
                <w:szCs w:val="18"/>
              </w:rPr>
              <w:t>#点位</w:t>
            </w:r>
          </w:p>
        </w:tc>
        <w:tc>
          <w:tcPr>
            <w:tcW w:w="5205" w:type="dxa"/>
            <w:tcBorders>
              <w:tl2br w:val="nil"/>
              <w:tr2bl w:val="nil"/>
            </w:tcBorders>
            <w:noWrap w:val="0"/>
            <w:vAlign w:val="center"/>
          </w:tcPr>
          <w:p w14:paraId="36EF8C05">
            <w:pPr>
              <w:spacing w:line="360" w:lineRule="auto"/>
              <w:jc w:val="center"/>
              <w:rPr>
                <w:rFonts w:hint="default" w:ascii="Times New Roman" w:hAnsi="Times New Roman" w:eastAsia="宋体" w:cs="Times New Roman"/>
                <w:spacing w:val="14"/>
                <w:kern w:val="0"/>
                <w:sz w:val="24"/>
                <w:lang w:eastAsia="zh-CN"/>
              </w:rPr>
            </w:pPr>
            <w:r>
              <w:rPr>
                <w:rFonts w:hint="default" w:ascii="Times New Roman" w:hAnsi="Times New Roman" w:eastAsia="宋体" w:cs="Times New Roman"/>
                <w:spacing w:val="14"/>
                <w:kern w:val="0"/>
                <w:sz w:val="24"/>
                <w:lang w:eastAsia="zh-CN"/>
              </w:rPr>
              <w:drawing>
                <wp:inline distT="0" distB="0" distL="114300" distR="114300">
                  <wp:extent cx="2226310" cy="2969260"/>
                  <wp:effectExtent l="0" t="0" r="2540" b="2540"/>
                  <wp:docPr id="10" name="图片 10" descr="土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土壤2.。。。"/>
                          <pic:cNvPicPr>
                            <a:picLocks noChangeAspect="1"/>
                          </pic:cNvPicPr>
                        </pic:nvPicPr>
                        <pic:blipFill>
                          <a:blip r:embed="rId27"/>
                          <a:stretch>
                            <a:fillRect/>
                          </a:stretch>
                        </pic:blipFill>
                        <pic:spPr>
                          <a:xfrm>
                            <a:off x="0" y="0"/>
                            <a:ext cx="2226310" cy="2969260"/>
                          </a:xfrm>
                          <a:prstGeom prst="rect">
                            <a:avLst/>
                          </a:prstGeom>
                        </pic:spPr>
                      </pic:pic>
                    </a:graphicData>
                  </a:graphic>
                </wp:inline>
              </w:drawing>
            </w:r>
          </w:p>
        </w:tc>
        <w:tc>
          <w:tcPr>
            <w:tcW w:w="3906" w:type="dxa"/>
            <w:tcBorders>
              <w:tl2br w:val="nil"/>
              <w:tr2bl w:val="nil"/>
            </w:tcBorders>
            <w:noWrap w:val="0"/>
            <w:vAlign w:val="center"/>
          </w:tcPr>
          <w:p w14:paraId="63CD8CAA">
            <w:pPr>
              <w:spacing w:line="360" w:lineRule="auto"/>
              <w:jc w:val="center"/>
              <w:rPr>
                <w:rFonts w:hint="default" w:ascii="Times New Roman" w:hAnsi="Times New Roman" w:eastAsia="宋体" w:cs="Times New Roman"/>
                <w:spacing w:val="14"/>
                <w:kern w:val="0"/>
                <w:sz w:val="24"/>
                <w:lang w:eastAsia="zh-CN"/>
              </w:rPr>
            </w:pPr>
            <w:r>
              <w:rPr>
                <w:rFonts w:hint="default" w:ascii="Times New Roman" w:hAnsi="Times New Roman" w:eastAsia="宋体" w:cs="Times New Roman"/>
                <w:spacing w:val="14"/>
                <w:kern w:val="0"/>
                <w:sz w:val="24"/>
                <w:lang w:eastAsia="zh-CN"/>
              </w:rPr>
              <w:drawing>
                <wp:inline distT="0" distB="0" distL="114300" distR="114300">
                  <wp:extent cx="2118360" cy="2825115"/>
                  <wp:effectExtent l="0" t="0" r="15240" b="13335"/>
                  <wp:docPr id="2" name="图片 2" descr="土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土壤2"/>
                          <pic:cNvPicPr>
                            <a:picLocks noChangeAspect="1"/>
                          </pic:cNvPicPr>
                        </pic:nvPicPr>
                        <pic:blipFill>
                          <a:blip r:embed="rId28"/>
                          <a:stretch>
                            <a:fillRect/>
                          </a:stretch>
                        </pic:blipFill>
                        <pic:spPr>
                          <a:xfrm>
                            <a:off x="0" y="0"/>
                            <a:ext cx="2118360" cy="2825115"/>
                          </a:xfrm>
                          <a:prstGeom prst="rect">
                            <a:avLst/>
                          </a:prstGeom>
                        </pic:spPr>
                      </pic:pic>
                    </a:graphicData>
                  </a:graphic>
                </wp:inline>
              </w:drawing>
            </w:r>
          </w:p>
        </w:tc>
        <w:tc>
          <w:tcPr>
            <w:tcW w:w="3067" w:type="dxa"/>
            <w:tcBorders>
              <w:tl2br w:val="nil"/>
              <w:tr2bl w:val="nil"/>
            </w:tcBorders>
            <w:noWrap w:val="0"/>
            <w:vAlign w:val="center"/>
          </w:tcPr>
          <w:p w14:paraId="0A766A0E">
            <w:pPr>
              <w:adjustRightInd w:val="0"/>
              <w:snapToGrid w:val="0"/>
              <w:jc w:val="center"/>
              <w:rPr>
                <w:rFonts w:hint="default" w:ascii="Times New Roman" w:hAnsi="Times New Roman" w:cs="Times New Roman"/>
                <w:spacing w:val="14"/>
                <w:kern w:val="0"/>
                <w:sz w:val="24"/>
              </w:rPr>
            </w:pPr>
            <w:r>
              <w:rPr>
                <w:rFonts w:hint="default" w:ascii="Times New Roman" w:hAnsi="Times New Roman" w:cs="Times New Roman"/>
                <w:kern w:val="0"/>
                <w:sz w:val="18"/>
                <w:szCs w:val="18"/>
              </w:rPr>
              <w:t>上层为砂粒状态，</w:t>
            </w:r>
            <w:r>
              <w:rPr>
                <w:rFonts w:hint="default" w:ascii="Times New Roman" w:hAnsi="Times New Roman" w:cs="Times New Roman"/>
                <w:kern w:val="0"/>
                <w:sz w:val="18"/>
                <w:szCs w:val="18"/>
                <w:lang w:val="en-US" w:eastAsia="zh-CN"/>
              </w:rPr>
              <w:t>红色</w:t>
            </w:r>
            <w:r>
              <w:rPr>
                <w:rFonts w:hint="default" w:ascii="Times New Roman" w:hAnsi="Times New Roman" w:cs="Times New Roman"/>
                <w:kern w:val="0"/>
                <w:sz w:val="18"/>
                <w:szCs w:val="18"/>
              </w:rPr>
              <w:t>；中层为粘土，赤红色，结构为可塑状；下层为粘土，赤红色，结构为可塑状。</w:t>
            </w:r>
          </w:p>
        </w:tc>
      </w:tr>
    </w:tbl>
    <w:p w14:paraId="051A4CCC">
      <w:pPr>
        <w:pStyle w:val="2"/>
        <w:rPr>
          <w:rFonts w:hint="default" w:ascii="Times New Roman" w:hAnsi="Times New Roman" w:cs="Times New Roman"/>
        </w:rPr>
        <w:sectPr>
          <w:pgSz w:w="16838" w:h="11906" w:orient="landscape"/>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AndChars" w:linePitch="336" w:charSpace="1062"/>
        </w:sectPr>
      </w:pPr>
    </w:p>
    <w:p w14:paraId="159BABD7">
      <w:pPr>
        <w:rPr>
          <w:rFonts w:hint="default" w:ascii="Times New Roman" w:hAnsi="Times New Roman" w:cs="Times New Roman"/>
        </w:rPr>
      </w:pPr>
    </w:p>
    <w:p w14:paraId="258FE292">
      <w:pPr>
        <w:adjustRightInd w:val="0"/>
        <w:snapToGrid w:val="0"/>
        <w:spacing w:beforeLines="0" w:line="360" w:lineRule="auto"/>
        <w:ind w:firstLine="422" w:firstLineChars="200"/>
        <w:jc w:val="center"/>
        <w:rPr>
          <w:rFonts w:hint="default" w:ascii="Times New Roman" w:hAnsi="Times New Roman" w:eastAsia="黑体" w:cs="Times New Roman"/>
          <w:color w:val="auto"/>
          <w:spacing w:val="-2"/>
          <w:kern w:val="2"/>
          <w:sz w:val="21"/>
          <w:szCs w:val="22"/>
          <w:lang w:val="en-US" w:eastAsia="zh-CN"/>
        </w:rPr>
      </w:pPr>
      <w:bookmarkStart w:id="388" w:name="_Toc165816770"/>
      <w:r>
        <w:rPr>
          <w:rFonts w:hint="default" w:ascii="Times New Roman" w:hAnsi="Times New Roman" w:eastAsia="黑体" w:cs="Times New Roman"/>
          <w:color w:val="auto"/>
          <w:spacing w:val="-2"/>
          <w:kern w:val="2"/>
          <w:sz w:val="21"/>
          <w:szCs w:val="22"/>
          <w:lang w:val="en-US" w:eastAsia="zh-CN"/>
        </w:rPr>
        <w:t>表4.2.5-3  建设用地土壤监测结果   单位：mg/kg</w:t>
      </w:r>
    </w:p>
    <w:tbl>
      <w:tblPr>
        <w:tblStyle w:val="29"/>
        <w:tblW w:w="4996"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43"/>
        <w:gridCol w:w="984"/>
        <w:gridCol w:w="1001"/>
        <w:gridCol w:w="1026"/>
        <w:gridCol w:w="1009"/>
        <w:gridCol w:w="1009"/>
        <w:gridCol w:w="1026"/>
        <w:gridCol w:w="1055"/>
        <w:gridCol w:w="1026"/>
        <w:gridCol w:w="1134"/>
        <w:gridCol w:w="1147"/>
        <w:gridCol w:w="1046"/>
        <w:gridCol w:w="1104"/>
      </w:tblGrid>
      <w:tr w14:paraId="2AAF2A4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vMerge w:val="restart"/>
            <w:tcBorders>
              <w:tl2br w:val="nil"/>
              <w:tr2bl w:val="nil"/>
            </w:tcBorders>
            <w:noWrap w:val="0"/>
            <w:vAlign w:val="center"/>
          </w:tcPr>
          <w:p w14:paraId="11D253C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检测因子</w:t>
            </w:r>
          </w:p>
        </w:tc>
        <w:tc>
          <w:tcPr>
            <w:tcW w:w="3262" w:type="pct"/>
            <w:gridSpan w:val="9"/>
            <w:tcBorders>
              <w:tl2br w:val="nil"/>
              <w:tr2bl w:val="nil"/>
            </w:tcBorders>
            <w:noWrap w:val="0"/>
            <w:vAlign w:val="center"/>
          </w:tcPr>
          <w:p w14:paraId="1704AB93">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占地范围内</w:t>
            </w:r>
          </w:p>
        </w:tc>
        <w:tc>
          <w:tcPr>
            <w:tcW w:w="403" w:type="pct"/>
            <w:vMerge w:val="restart"/>
            <w:tcBorders>
              <w:tl2br w:val="nil"/>
              <w:tr2bl w:val="nil"/>
            </w:tcBorders>
            <w:noWrap w:val="0"/>
            <w:vAlign w:val="center"/>
          </w:tcPr>
          <w:p w14:paraId="2605CB25">
            <w:pPr>
              <w:pStyle w:val="17"/>
              <w:spacing w:line="240" w:lineRule="auto"/>
              <w:ind w:left="0" w:leftChars="0" w:firstLine="0" w:firstLineChars="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风险筛选值</w:t>
            </w:r>
          </w:p>
        </w:tc>
        <w:tc>
          <w:tcPr>
            <w:tcW w:w="368" w:type="pct"/>
            <w:vMerge w:val="restart"/>
            <w:tcBorders>
              <w:tl2br w:val="nil"/>
              <w:tr2bl w:val="nil"/>
            </w:tcBorders>
            <w:noWrap w:val="0"/>
            <w:vAlign w:val="center"/>
          </w:tcPr>
          <w:p w14:paraId="22E43DA3">
            <w:pPr>
              <w:pStyle w:val="17"/>
              <w:spacing w:line="240" w:lineRule="auto"/>
              <w:ind w:left="0" w:leftChars="0" w:firstLine="0" w:firstLineChars="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管</w:t>
            </w:r>
            <w:r>
              <w:rPr>
                <w:rFonts w:hint="default" w:ascii="Times New Roman" w:hAnsi="Times New Roman" w:cs="Times New Roman"/>
                <w:color w:val="auto"/>
                <w:sz w:val="18"/>
                <w:szCs w:val="18"/>
                <w:lang w:val="en-US" w:eastAsia="zh-CN"/>
              </w:rPr>
              <w:t>制</w:t>
            </w:r>
            <w:r>
              <w:rPr>
                <w:rFonts w:hint="default" w:ascii="Times New Roman" w:hAnsi="Times New Roman" w:cs="Times New Roman"/>
                <w:color w:val="auto"/>
                <w:sz w:val="18"/>
                <w:szCs w:val="18"/>
              </w:rPr>
              <w:t>值</w:t>
            </w:r>
          </w:p>
        </w:tc>
        <w:tc>
          <w:tcPr>
            <w:tcW w:w="388" w:type="pct"/>
            <w:vMerge w:val="restart"/>
            <w:tcBorders>
              <w:tl2br w:val="nil"/>
              <w:tr2bl w:val="nil"/>
            </w:tcBorders>
            <w:noWrap w:val="0"/>
            <w:vAlign w:val="center"/>
          </w:tcPr>
          <w:p w14:paraId="4E42F8EF">
            <w:pPr>
              <w:pStyle w:val="17"/>
              <w:spacing w:line="240" w:lineRule="auto"/>
              <w:ind w:left="0" w:leftChars="0" w:firstLine="0" w:firstLineChars="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评价结果</w:t>
            </w:r>
          </w:p>
        </w:tc>
      </w:tr>
      <w:tr w14:paraId="2031841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vMerge w:val="continue"/>
            <w:tcBorders>
              <w:tl2br w:val="nil"/>
              <w:tr2bl w:val="nil"/>
            </w:tcBorders>
            <w:noWrap w:val="0"/>
            <w:vAlign w:val="center"/>
          </w:tcPr>
          <w:p w14:paraId="3CED8D60">
            <w:pPr>
              <w:spacing w:line="240" w:lineRule="auto"/>
              <w:jc w:val="center"/>
              <w:rPr>
                <w:rFonts w:hint="default" w:ascii="Times New Roman" w:hAnsi="Times New Roman" w:cs="Times New Roman"/>
                <w:color w:val="auto"/>
                <w:sz w:val="18"/>
                <w:szCs w:val="18"/>
              </w:rPr>
            </w:pPr>
          </w:p>
        </w:tc>
        <w:tc>
          <w:tcPr>
            <w:tcW w:w="346" w:type="pct"/>
            <w:tcBorders>
              <w:tl2br w:val="nil"/>
              <w:tr2bl w:val="nil"/>
            </w:tcBorders>
            <w:noWrap w:val="0"/>
            <w:vAlign w:val="center"/>
          </w:tcPr>
          <w:p w14:paraId="2D3E665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TR01-1-1</w:t>
            </w:r>
          </w:p>
        </w:tc>
        <w:tc>
          <w:tcPr>
            <w:tcW w:w="352" w:type="pct"/>
            <w:tcBorders>
              <w:tl2br w:val="nil"/>
              <w:tr2bl w:val="nil"/>
            </w:tcBorders>
            <w:noWrap w:val="0"/>
            <w:vAlign w:val="center"/>
          </w:tcPr>
          <w:p w14:paraId="5CD622B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TR01-1-2</w:t>
            </w:r>
          </w:p>
        </w:tc>
        <w:tc>
          <w:tcPr>
            <w:tcW w:w="361" w:type="pct"/>
            <w:tcBorders>
              <w:tl2br w:val="nil"/>
              <w:tr2bl w:val="nil"/>
            </w:tcBorders>
            <w:noWrap w:val="0"/>
            <w:vAlign w:val="center"/>
          </w:tcPr>
          <w:p w14:paraId="28AE78B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TR01-1-3</w:t>
            </w:r>
          </w:p>
        </w:tc>
        <w:tc>
          <w:tcPr>
            <w:tcW w:w="355" w:type="pct"/>
            <w:tcBorders>
              <w:tl2br w:val="nil"/>
              <w:tr2bl w:val="nil"/>
            </w:tcBorders>
            <w:noWrap w:val="0"/>
            <w:vAlign w:val="center"/>
          </w:tcPr>
          <w:p w14:paraId="200D444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TR02-1-1</w:t>
            </w:r>
          </w:p>
        </w:tc>
        <w:tc>
          <w:tcPr>
            <w:tcW w:w="355" w:type="pct"/>
            <w:tcBorders>
              <w:tl2br w:val="nil"/>
              <w:tr2bl w:val="nil"/>
            </w:tcBorders>
            <w:noWrap w:val="0"/>
            <w:vAlign w:val="center"/>
          </w:tcPr>
          <w:p w14:paraId="1EF04CA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TR02-1-2</w:t>
            </w:r>
          </w:p>
        </w:tc>
        <w:tc>
          <w:tcPr>
            <w:tcW w:w="361" w:type="pct"/>
            <w:tcBorders>
              <w:tl2br w:val="nil"/>
              <w:tr2bl w:val="nil"/>
            </w:tcBorders>
            <w:noWrap w:val="0"/>
            <w:vAlign w:val="center"/>
          </w:tcPr>
          <w:p w14:paraId="058C8E3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TR02-1-3</w:t>
            </w:r>
          </w:p>
        </w:tc>
        <w:tc>
          <w:tcPr>
            <w:tcW w:w="371" w:type="pct"/>
            <w:tcBorders>
              <w:tl2br w:val="nil"/>
              <w:tr2bl w:val="nil"/>
            </w:tcBorders>
            <w:noWrap w:val="0"/>
            <w:vAlign w:val="center"/>
          </w:tcPr>
          <w:p w14:paraId="0AE61C1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TR03-1-1</w:t>
            </w:r>
          </w:p>
        </w:tc>
        <w:tc>
          <w:tcPr>
            <w:tcW w:w="361" w:type="pct"/>
            <w:tcBorders>
              <w:tl2br w:val="nil"/>
              <w:tr2bl w:val="nil"/>
            </w:tcBorders>
            <w:noWrap w:val="0"/>
            <w:vAlign w:val="center"/>
          </w:tcPr>
          <w:p w14:paraId="2678472C">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TR03-1-2</w:t>
            </w:r>
          </w:p>
        </w:tc>
        <w:tc>
          <w:tcPr>
            <w:tcW w:w="399" w:type="pct"/>
            <w:tcBorders>
              <w:tl2br w:val="nil"/>
              <w:tr2bl w:val="nil"/>
            </w:tcBorders>
            <w:noWrap w:val="0"/>
            <w:vAlign w:val="center"/>
          </w:tcPr>
          <w:p w14:paraId="52906049">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TR03-1-3</w:t>
            </w:r>
          </w:p>
        </w:tc>
        <w:tc>
          <w:tcPr>
            <w:tcW w:w="403" w:type="pct"/>
            <w:vMerge w:val="continue"/>
            <w:tcBorders>
              <w:tl2br w:val="nil"/>
              <w:tr2bl w:val="nil"/>
            </w:tcBorders>
            <w:noWrap w:val="0"/>
            <w:vAlign w:val="center"/>
          </w:tcPr>
          <w:p w14:paraId="356B7C75">
            <w:pPr>
              <w:pStyle w:val="17"/>
              <w:spacing w:line="240" w:lineRule="auto"/>
              <w:jc w:val="center"/>
              <w:rPr>
                <w:rFonts w:hint="default" w:ascii="Times New Roman" w:hAnsi="Times New Roman" w:cs="Times New Roman"/>
                <w:color w:val="auto"/>
                <w:sz w:val="18"/>
                <w:szCs w:val="18"/>
              </w:rPr>
            </w:pPr>
          </w:p>
        </w:tc>
        <w:tc>
          <w:tcPr>
            <w:tcW w:w="368" w:type="pct"/>
            <w:vMerge w:val="continue"/>
            <w:tcBorders>
              <w:tl2br w:val="nil"/>
              <w:tr2bl w:val="nil"/>
            </w:tcBorders>
            <w:noWrap w:val="0"/>
            <w:vAlign w:val="center"/>
          </w:tcPr>
          <w:p w14:paraId="3D81F9A0">
            <w:pPr>
              <w:pStyle w:val="17"/>
              <w:spacing w:line="240" w:lineRule="auto"/>
              <w:jc w:val="center"/>
              <w:rPr>
                <w:rFonts w:hint="default" w:ascii="Times New Roman" w:hAnsi="Times New Roman" w:cs="Times New Roman"/>
                <w:color w:val="auto"/>
                <w:sz w:val="18"/>
                <w:szCs w:val="18"/>
              </w:rPr>
            </w:pPr>
          </w:p>
        </w:tc>
        <w:tc>
          <w:tcPr>
            <w:tcW w:w="388" w:type="pct"/>
            <w:vMerge w:val="continue"/>
            <w:tcBorders>
              <w:tl2br w:val="nil"/>
              <w:tr2bl w:val="nil"/>
            </w:tcBorders>
            <w:noWrap w:val="0"/>
            <w:vAlign w:val="center"/>
          </w:tcPr>
          <w:p w14:paraId="6D019A96">
            <w:pPr>
              <w:pStyle w:val="17"/>
              <w:spacing w:line="240" w:lineRule="auto"/>
              <w:jc w:val="center"/>
              <w:rPr>
                <w:rFonts w:hint="default" w:ascii="Times New Roman" w:hAnsi="Times New Roman" w:cs="Times New Roman"/>
                <w:color w:val="auto"/>
                <w:sz w:val="18"/>
                <w:szCs w:val="18"/>
              </w:rPr>
            </w:pPr>
          </w:p>
        </w:tc>
      </w:tr>
      <w:tr w14:paraId="37DC532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2285AF6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sz w:val="18"/>
                <w:szCs w:val="18"/>
                <w:highlight w:val="none"/>
              </w:rPr>
              <w:t>pH</w:t>
            </w:r>
            <w:r>
              <w:rPr>
                <w:rFonts w:hint="default" w:ascii="Times New Roman" w:hAnsi="Times New Roman" w:cs="Times New Roman"/>
                <w:sz w:val="18"/>
                <w:szCs w:val="18"/>
                <w:highlight w:val="none"/>
                <w:lang w:eastAsia="zh-CN"/>
              </w:rPr>
              <w:t>（无量纲）</w:t>
            </w:r>
          </w:p>
        </w:tc>
        <w:tc>
          <w:tcPr>
            <w:tcW w:w="346" w:type="pct"/>
            <w:tcBorders>
              <w:tl2br w:val="nil"/>
              <w:tr2bl w:val="nil"/>
            </w:tcBorders>
            <w:noWrap w:val="0"/>
            <w:vAlign w:val="center"/>
          </w:tcPr>
          <w:p w14:paraId="614E5797">
            <w:pPr>
              <w:keepNext w:val="0"/>
              <w:keepLines w:val="0"/>
              <w:widowControl/>
              <w:suppressLineNumbers w:val="0"/>
              <w:spacing w:line="240" w:lineRule="auto"/>
              <w:jc w:val="center"/>
              <w:textAlignment w:val="center"/>
              <w:rPr>
                <w:rFonts w:hint="default" w:ascii="Times New Roman" w:hAnsi="Times New Roman" w:cs="Times New Roman"/>
                <w:color w:val="auto"/>
                <w:kern w:val="2"/>
                <w:sz w:val="18"/>
                <w:szCs w:val="18"/>
                <w:lang w:val="en-US"/>
              </w:rPr>
            </w:pPr>
            <w:r>
              <w:rPr>
                <w:rFonts w:hint="default" w:ascii="Times New Roman" w:hAnsi="Times New Roman" w:cs="Times New Roman"/>
                <w:i w:val="0"/>
                <w:iCs w:val="0"/>
                <w:color w:val="000000"/>
                <w:kern w:val="0"/>
                <w:sz w:val="18"/>
                <w:szCs w:val="18"/>
                <w:u w:val="none"/>
                <w:lang w:val="en-US" w:eastAsia="zh-CN" w:bidi="ar"/>
              </w:rPr>
              <w:t>5.96</w:t>
            </w:r>
          </w:p>
        </w:tc>
        <w:tc>
          <w:tcPr>
            <w:tcW w:w="352" w:type="pct"/>
            <w:tcBorders>
              <w:tl2br w:val="nil"/>
              <w:tr2bl w:val="nil"/>
            </w:tcBorders>
            <w:noWrap w:val="0"/>
            <w:vAlign w:val="center"/>
          </w:tcPr>
          <w:p w14:paraId="06C291C2">
            <w:pPr>
              <w:keepNext w:val="0"/>
              <w:keepLines w:val="0"/>
              <w:widowControl/>
              <w:suppressLineNumbers w:val="0"/>
              <w:spacing w:line="240" w:lineRule="auto"/>
              <w:jc w:val="center"/>
              <w:textAlignment w:val="center"/>
              <w:rPr>
                <w:rFonts w:hint="default" w:ascii="Times New Roman" w:hAnsi="Times New Roman" w:cs="Times New Roman"/>
                <w:color w:val="auto"/>
                <w:kern w:val="2"/>
                <w:sz w:val="18"/>
                <w:szCs w:val="18"/>
              </w:rPr>
            </w:pPr>
            <w:r>
              <w:rPr>
                <w:rFonts w:hint="default" w:ascii="Times New Roman" w:hAnsi="Times New Roman" w:eastAsia="宋体" w:cs="Times New Roman"/>
                <w:i w:val="0"/>
                <w:iCs w:val="0"/>
                <w:color w:val="000000"/>
                <w:kern w:val="0"/>
                <w:sz w:val="18"/>
                <w:szCs w:val="18"/>
                <w:u w:val="none"/>
                <w:lang w:val="en-US" w:eastAsia="zh-CN" w:bidi="ar"/>
              </w:rPr>
              <w:t>6.65</w:t>
            </w:r>
          </w:p>
        </w:tc>
        <w:tc>
          <w:tcPr>
            <w:tcW w:w="361" w:type="pct"/>
            <w:tcBorders>
              <w:tl2br w:val="nil"/>
              <w:tr2bl w:val="nil"/>
            </w:tcBorders>
            <w:noWrap w:val="0"/>
            <w:vAlign w:val="center"/>
          </w:tcPr>
          <w:p w14:paraId="2DAB6411">
            <w:pPr>
              <w:keepNext w:val="0"/>
              <w:keepLines w:val="0"/>
              <w:widowControl/>
              <w:suppressLineNumbers w:val="0"/>
              <w:spacing w:line="240" w:lineRule="auto"/>
              <w:jc w:val="center"/>
              <w:textAlignment w:val="center"/>
              <w:rPr>
                <w:rFonts w:hint="default" w:ascii="Times New Roman" w:hAnsi="Times New Roman" w:cs="Times New Roman"/>
                <w:color w:val="auto"/>
                <w:kern w:val="2"/>
                <w:sz w:val="18"/>
                <w:szCs w:val="18"/>
              </w:rPr>
            </w:pPr>
            <w:r>
              <w:rPr>
                <w:rFonts w:hint="default" w:ascii="Times New Roman" w:hAnsi="Times New Roman" w:eastAsia="宋体" w:cs="Times New Roman"/>
                <w:i w:val="0"/>
                <w:iCs w:val="0"/>
                <w:color w:val="000000"/>
                <w:kern w:val="0"/>
                <w:sz w:val="18"/>
                <w:szCs w:val="18"/>
                <w:u w:val="none"/>
                <w:lang w:val="en-US" w:eastAsia="zh-CN" w:bidi="ar"/>
              </w:rPr>
              <w:t>6.18</w:t>
            </w:r>
          </w:p>
        </w:tc>
        <w:tc>
          <w:tcPr>
            <w:tcW w:w="355" w:type="pct"/>
            <w:tcBorders>
              <w:tl2br w:val="nil"/>
              <w:tr2bl w:val="nil"/>
            </w:tcBorders>
            <w:noWrap w:val="0"/>
            <w:vAlign w:val="center"/>
          </w:tcPr>
          <w:p w14:paraId="1A9D754E">
            <w:pPr>
              <w:keepNext w:val="0"/>
              <w:keepLines w:val="0"/>
              <w:widowControl/>
              <w:suppressLineNumbers w:val="0"/>
              <w:spacing w:line="240" w:lineRule="auto"/>
              <w:jc w:val="center"/>
              <w:textAlignment w:val="center"/>
              <w:rPr>
                <w:rFonts w:hint="default" w:ascii="Times New Roman" w:hAnsi="Times New Roman" w:cs="Times New Roman"/>
                <w:color w:val="auto"/>
                <w:kern w:val="2"/>
                <w:sz w:val="18"/>
                <w:szCs w:val="18"/>
              </w:rPr>
            </w:pPr>
            <w:r>
              <w:rPr>
                <w:rFonts w:hint="default" w:ascii="Times New Roman" w:hAnsi="Times New Roman" w:eastAsia="宋体" w:cs="Times New Roman"/>
                <w:i w:val="0"/>
                <w:iCs w:val="0"/>
                <w:color w:val="000000"/>
                <w:kern w:val="0"/>
                <w:sz w:val="18"/>
                <w:szCs w:val="18"/>
                <w:u w:val="none"/>
                <w:lang w:val="en-US" w:eastAsia="zh-CN" w:bidi="ar"/>
              </w:rPr>
              <w:t>6.94</w:t>
            </w:r>
          </w:p>
        </w:tc>
        <w:tc>
          <w:tcPr>
            <w:tcW w:w="355" w:type="pct"/>
            <w:tcBorders>
              <w:tl2br w:val="nil"/>
              <w:tr2bl w:val="nil"/>
            </w:tcBorders>
            <w:noWrap w:val="0"/>
            <w:vAlign w:val="center"/>
          </w:tcPr>
          <w:p w14:paraId="1A681E9E">
            <w:pPr>
              <w:keepNext w:val="0"/>
              <w:keepLines w:val="0"/>
              <w:widowControl/>
              <w:suppressLineNumbers w:val="0"/>
              <w:spacing w:line="240" w:lineRule="auto"/>
              <w:jc w:val="center"/>
              <w:textAlignment w:val="center"/>
              <w:rPr>
                <w:rFonts w:hint="default" w:ascii="Times New Roman" w:hAnsi="Times New Roman" w:cs="Times New Roman"/>
                <w:color w:val="auto"/>
                <w:kern w:val="2"/>
                <w:sz w:val="18"/>
                <w:szCs w:val="18"/>
              </w:rPr>
            </w:pPr>
            <w:r>
              <w:rPr>
                <w:rFonts w:hint="default" w:ascii="Times New Roman" w:hAnsi="Times New Roman" w:eastAsia="宋体" w:cs="Times New Roman"/>
                <w:i w:val="0"/>
                <w:iCs w:val="0"/>
                <w:color w:val="000000"/>
                <w:kern w:val="0"/>
                <w:sz w:val="18"/>
                <w:szCs w:val="18"/>
                <w:u w:val="none"/>
                <w:lang w:val="en-US" w:eastAsia="zh-CN" w:bidi="ar"/>
              </w:rPr>
              <w:t>6.69</w:t>
            </w:r>
          </w:p>
        </w:tc>
        <w:tc>
          <w:tcPr>
            <w:tcW w:w="361" w:type="pct"/>
            <w:tcBorders>
              <w:tl2br w:val="nil"/>
              <w:tr2bl w:val="nil"/>
            </w:tcBorders>
            <w:noWrap w:val="0"/>
            <w:vAlign w:val="center"/>
          </w:tcPr>
          <w:p w14:paraId="609361CC">
            <w:pPr>
              <w:keepNext w:val="0"/>
              <w:keepLines w:val="0"/>
              <w:widowControl/>
              <w:suppressLineNumbers w:val="0"/>
              <w:spacing w:line="240" w:lineRule="auto"/>
              <w:jc w:val="center"/>
              <w:textAlignment w:val="center"/>
              <w:rPr>
                <w:rFonts w:hint="default" w:ascii="Times New Roman" w:hAnsi="Times New Roman" w:cs="Times New Roman"/>
                <w:color w:val="auto"/>
                <w:kern w:val="2"/>
                <w:sz w:val="18"/>
                <w:szCs w:val="18"/>
              </w:rPr>
            </w:pPr>
            <w:r>
              <w:rPr>
                <w:rFonts w:hint="default" w:ascii="Times New Roman" w:hAnsi="Times New Roman" w:eastAsia="宋体" w:cs="Times New Roman"/>
                <w:i w:val="0"/>
                <w:iCs w:val="0"/>
                <w:color w:val="000000"/>
                <w:kern w:val="0"/>
                <w:sz w:val="18"/>
                <w:szCs w:val="18"/>
                <w:u w:val="none"/>
                <w:lang w:val="en-US" w:eastAsia="zh-CN" w:bidi="ar"/>
              </w:rPr>
              <w:t>6.24</w:t>
            </w:r>
          </w:p>
        </w:tc>
        <w:tc>
          <w:tcPr>
            <w:tcW w:w="371" w:type="pct"/>
            <w:tcBorders>
              <w:tl2br w:val="nil"/>
              <w:tr2bl w:val="nil"/>
            </w:tcBorders>
            <w:noWrap w:val="0"/>
            <w:vAlign w:val="center"/>
          </w:tcPr>
          <w:p w14:paraId="1080D80F">
            <w:pPr>
              <w:keepNext w:val="0"/>
              <w:keepLines w:val="0"/>
              <w:widowControl/>
              <w:suppressLineNumbers w:val="0"/>
              <w:spacing w:line="240" w:lineRule="auto"/>
              <w:jc w:val="center"/>
              <w:textAlignment w:val="center"/>
              <w:rPr>
                <w:rFonts w:hint="default" w:ascii="Times New Roman" w:hAnsi="Times New Roman" w:cs="Times New Roman"/>
                <w:color w:val="auto"/>
                <w:kern w:val="2"/>
                <w:sz w:val="18"/>
                <w:szCs w:val="18"/>
              </w:rPr>
            </w:pPr>
            <w:r>
              <w:rPr>
                <w:rFonts w:hint="default" w:ascii="Times New Roman" w:hAnsi="Times New Roman" w:eastAsia="宋体" w:cs="Times New Roman"/>
                <w:i w:val="0"/>
                <w:iCs w:val="0"/>
                <w:color w:val="000000"/>
                <w:kern w:val="0"/>
                <w:sz w:val="18"/>
                <w:szCs w:val="18"/>
                <w:u w:val="none"/>
                <w:lang w:val="en-US" w:eastAsia="zh-CN" w:bidi="ar"/>
              </w:rPr>
              <w:t>6.32</w:t>
            </w:r>
          </w:p>
        </w:tc>
        <w:tc>
          <w:tcPr>
            <w:tcW w:w="361" w:type="pct"/>
            <w:tcBorders>
              <w:tl2br w:val="nil"/>
              <w:tr2bl w:val="nil"/>
            </w:tcBorders>
            <w:noWrap w:val="0"/>
            <w:vAlign w:val="center"/>
          </w:tcPr>
          <w:p w14:paraId="2F17C2D8">
            <w:pPr>
              <w:keepNext w:val="0"/>
              <w:keepLines w:val="0"/>
              <w:widowControl/>
              <w:suppressLineNumbers w:val="0"/>
              <w:spacing w:line="240" w:lineRule="auto"/>
              <w:jc w:val="center"/>
              <w:textAlignment w:val="center"/>
              <w:rPr>
                <w:rFonts w:hint="default" w:ascii="Times New Roman" w:hAnsi="Times New Roman" w:cs="Times New Roman"/>
                <w:color w:val="auto"/>
                <w:kern w:val="2"/>
                <w:sz w:val="18"/>
                <w:szCs w:val="18"/>
                <w:lang w:val="en-US"/>
              </w:rPr>
            </w:pPr>
            <w:r>
              <w:rPr>
                <w:rFonts w:hint="default" w:ascii="Times New Roman" w:hAnsi="Times New Roman" w:cs="Times New Roman"/>
                <w:i w:val="0"/>
                <w:iCs w:val="0"/>
                <w:color w:val="000000"/>
                <w:kern w:val="0"/>
                <w:sz w:val="18"/>
                <w:szCs w:val="18"/>
                <w:u w:val="none"/>
                <w:lang w:val="en-US" w:eastAsia="zh-CN" w:bidi="ar"/>
              </w:rPr>
              <w:t>5.82</w:t>
            </w:r>
          </w:p>
        </w:tc>
        <w:tc>
          <w:tcPr>
            <w:tcW w:w="399" w:type="pct"/>
            <w:tcBorders>
              <w:tl2br w:val="nil"/>
              <w:tr2bl w:val="nil"/>
            </w:tcBorders>
            <w:noWrap w:val="0"/>
            <w:vAlign w:val="center"/>
          </w:tcPr>
          <w:p w14:paraId="14B3952B">
            <w:pPr>
              <w:keepNext w:val="0"/>
              <w:keepLines w:val="0"/>
              <w:widowControl/>
              <w:suppressLineNumbers w:val="0"/>
              <w:spacing w:line="240" w:lineRule="auto"/>
              <w:jc w:val="center"/>
              <w:textAlignment w:val="center"/>
              <w:rPr>
                <w:rFonts w:hint="default" w:ascii="Times New Roman" w:hAnsi="Times New Roman" w:cs="Times New Roman"/>
                <w:color w:val="auto"/>
                <w:kern w:val="2"/>
                <w:sz w:val="18"/>
                <w:szCs w:val="18"/>
                <w:lang w:val="en-US"/>
              </w:rPr>
            </w:pPr>
            <w:r>
              <w:rPr>
                <w:rFonts w:hint="default" w:ascii="Times New Roman" w:hAnsi="Times New Roman" w:cs="Times New Roman"/>
                <w:i w:val="0"/>
                <w:iCs w:val="0"/>
                <w:color w:val="000000"/>
                <w:kern w:val="0"/>
                <w:sz w:val="18"/>
                <w:szCs w:val="18"/>
                <w:u w:val="none"/>
                <w:lang w:val="en-US" w:eastAsia="zh-CN" w:bidi="ar"/>
              </w:rPr>
              <w:t>5.79</w:t>
            </w:r>
          </w:p>
        </w:tc>
        <w:tc>
          <w:tcPr>
            <w:tcW w:w="403" w:type="pct"/>
            <w:tcBorders>
              <w:tl2br w:val="nil"/>
              <w:tr2bl w:val="nil"/>
            </w:tcBorders>
            <w:noWrap w:val="0"/>
            <w:vAlign w:val="center"/>
          </w:tcPr>
          <w:p w14:paraId="4A955590">
            <w:pPr>
              <w:pStyle w:val="17"/>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368" w:type="pct"/>
            <w:tcBorders>
              <w:tl2br w:val="nil"/>
              <w:tr2bl w:val="nil"/>
            </w:tcBorders>
            <w:noWrap w:val="0"/>
            <w:vAlign w:val="center"/>
          </w:tcPr>
          <w:p w14:paraId="2C967065">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388" w:type="pct"/>
            <w:tcBorders>
              <w:tl2br w:val="nil"/>
              <w:tr2bl w:val="nil"/>
            </w:tcBorders>
            <w:noWrap w:val="0"/>
            <w:vAlign w:val="center"/>
          </w:tcPr>
          <w:p w14:paraId="247FCDFE">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r>
      <w:tr w14:paraId="7727D0D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272BC0D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六价铬</w:t>
            </w:r>
          </w:p>
        </w:tc>
        <w:tc>
          <w:tcPr>
            <w:tcW w:w="346" w:type="pct"/>
            <w:tcBorders>
              <w:tl2br w:val="nil"/>
              <w:tr2bl w:val="nil"/>
            </w:tcBorders>
            <w:noWrap w:val="0"/>
            <w:vAlign w:val="center"/>
          </w:tcPr>
          <w:p w14:paraId="65D621F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rPr>
              <w:t>0.5L</w:t>
            </w:r>
          </w:p>
        </w:tc>
        <w:tc>
          <w:tcPr>
            <w:tcW w:w="352" w:type="pct"/>
            <w:tcBorders>
              <w:tl2br w:val="nil"/>
              <w:tr2bl w:val="nil"/>
            </w:tcBorders>
            <w:noWrap w:val="0"/>
            <w:vAlign w:val="center"/>
          </w:tcPr>
          <w:p w14:paraId="7BA59C3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rPr>
              <w:t>0.5L</w:t>
            </w:r>
          </w:p>
        </w:tc>
        <w:tc>
          <w:tcPr>
            <w:tcW w:w="361" w:type="pct"/>
            <w:tcBorders>
              <w:tl2br w:val="nil"/>
              <w:tr2bl w:val="nil"/>
            </w:tcBorders>
            <w:noWrap w:val="0"/>
            <w:vAlign w:val="center"/>
          </w:tcPr>
          <w:p w14:paraId="614310C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rPr>
              <w:t>0.5L</w:t>
            </w:r>
          </w:p>
        </w:tc>
        <w:tc>
          <w:tcPr>
            <w:tcW w:w="355" w:type="pct"/>
            <w:tcBorders>
              <w:tl2br w:val="nil"/>
              <w:tr2bl w:val="nil"/>
            </w:tcBorders>
            <w:noWrap w:val="0"/>
            <w:vAlign w:val="center"/>
          </w:tcPr>
          <w:p w14:paraId="3DC5C50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rPr>
              <w:t>0.5L</w:t>
            </w:r>
          </w:p>
        </w:tc>
        <w:tc>
          <w:tcPr>
            <w:tcW w:w="355" w:type="pct"/>
            <w:tcBorders>
              <w:tl2br w:val="nil"/>
              <w:tr2bl w:val="nil"/>
            </w:tcBorders>
            <w:noWrap w:val="0"/>
            <w:vAlign w:val="center"/>
          </w:tcPr>
          <w:p w14:paraId="0650B4D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rPr>
              <w:t>0.5L</w:t>
            </w:r>
          </w:p>
        </w:tc>
        <w:tc>
          <w:tcPr>
            <w:tcW w:w="361" w:type="pct"/>
            <w:tcBorders>
              <w:tl2br w:val="nil"/>
              <w:tr2bl w:val="nil"/>
            </w:tcBorders>
            <w:noWrap w:val="0"/>
            <w:vAlign w:val="center"/>
          </w:tcPr>
          <w:p w14:paraId="0D89733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rPr>
              <w:t>0.5L</w:t>
            </w:r>
          </w:p>
        </w:tc>
        <w:tc>
          <w:tcPr>
            <w:tcW w:w="371" w:type="pct"/>
            <w:tcBorders>
              <w:tl2br w:val="nil"/>
              <w:tr2bl w:val="nil"/>
            </w:tcBorders>
            <w:noWrap w:val="0"/>
            <w:vAlign w:val="center"/>
          </w:tcPr>
          <w:p w14:paraId="76F1548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rPr>
              <w:t>0.5L</w:t>
            </w:r>
          </w:p>
        </w:tc>
        <w:tc>
          <w:tcPr>
            <w:tcW w:w="361" w:type="pct"/>
            <w:tcBorders>
              <w:tl2br w:val="nil"/>
              <w:tr2bl w:val="nil"/>
            </w:tcBorders>
            <w:noWrap w:val="0"/>
            <w:vAlign w:val="center"/>
          </w:tcPr>
          <w:p w14:paraId="101BC5F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rPr>
              <w:t>0.5L</w:t>
            </w:r>
          </w:p>
        </w:tc>
        <w:tc>
          <w:tcPr>
            <w:tcW w:w="399" w:type="pct"/>
            <w:tcBorders>
              <w:tl2br w:val="nil"/>
              <w:tr2bl w:val="nil"/>
            </w:tcBorders>
            <w:noWrap w:val="0"/>
            <w:vAlign w:val="center"/>
          </w:tcPr>
          <w:p w14:paraId="25F223C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rPr>
              <w:t>0.5L</w:t>
            </w:r>
          </w:p>
        </w:tc>
        <w:tc>
          <w:tcPr>
            <w:tcW w:w="403" w:type="pct"/>
            <w:tcBorders>
              <w:tl2br w:val="nil"/>
              <w:tr2bl w:val="nil"/>
            </w:tcBorders>
            <w:noWrap w:val="0"/>
            <w:vAlign w:val="center"/>
          </w:tcPr>
          <w:p w14:paraId="0E5A51BA">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5.7</w:t>
            </w:r>
          </w:p>
        </w:tc>
        <w:tc>
          <w:tcPr>
            <w:tcW w:w="368" w:type="pct"/>
            <w:tcBorders>
              <w:tl2br w:val="nil"/>
              <w:tr2bl w:val="nil"/>
            </w:tcBorders>
            <w:noWrap w:val="0"/>
            <w:vAlign w:val="center"/>
          </w:tcPr>
          <w:p w14:paraId="12FDA05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78</w:t>
            </w:r>
          </w:p>
        </w:tc>
        <w:tc>
          <w:tcPr>
            <w:tcW w:w="388" w:type="pct"/>
            <w:tcBorders>
              <w:tl2br w:val="nil"/>
              <w:tr2bl w:val="nil"/>
            </w:tcBorders>
            <w:noWrap w:val="0"/>
            <w:vAlign w:val="center"/>
          </w:tcPr>
          <w:p w14:paraId="121F672A">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18E6BFC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14DFD98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镉</w:t>
            </w:r>
          </w:p>
        </w:tc>
        <w:tc>
          <w:tcPr>
            <w:tcW w:w="346" w:type="pct"/>
            <w:tcBorders>
              <w:tl2br w:val="nil"/>
              <w:tr2bl w:val="nil"/>
            </w:tcBorders>
            <w:noWrap w:val="0"/>
            <w:vAlign w:val="center"/>
          </w:tcPr>
          <w:p w14:paraId="057FCB5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0.15</w:t>
            </w:r>
          </w:p>
        </w:tc>
        <w:tc>
          <w:tcPr>
            <w:tcW w:w="352" w:type="pct"/>
            <w:tcBorders>
              <w:tl2br w:val="nil"/>
              <w:tr2bl w:val="nil"/>
            </w:tcBorders>
            <w:noWrap w:val="0"/>
            <w:vAlign w:val="center"/>
          </w:tcPr>
          <w:p w14:paraId="525CFC0E">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0.17</w:t>
            </w:r>
          </w:p>
        </w:tc>
        <w:tc>
          <w:tcPr>
            <w:tcW w:w="361" w:type="pct"/>
            <w:tcBorders>
              <w:tl2br w:val="nil"/>
              <w:tr2bl w:val="nil"/>
            </w:tcBorders>
            <w:noWrap w:val="0"/>
            <w:vAlign w:val="center"/>
          </w:tcPr>
          <w:p w14:paraId="3FD2FD53">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0.06</w:t>
            </w:r>
          </w:p>
        </w:tc>
        <w:tc>
          <w:tcPr>
            <w:tcW w:w="355" w:type="pct"/>
            <w:tcBorders>
              <w:tl2br w:val="nil"/>
              <w:tr2bl w:val="nil"/>
            </w:tcBorders>
            <w:noWrap w:val="0"/>
            <w:vAlign w:val="center"/>
          </w:tcPr>
          <w:p w14:paraId="393CE476">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355" w:type="pct"/>
            <w:tcBorders>
              <w:tl2br w:val="nil"/>
              <w:tr2bl w:val="nil"/>
            </w:tcBorders>
            <w:noWrap w:val="0"/>
            <w:vAlign w:val="center"/>
          </w:tcPr>
          <w:p w14:paraId="2AB4C3F1">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361" w:type="pct"/>
            <w:tcBorders>
              <w:tl2br w:val="nil"/>
              <w:tr2bl w:val="nil"/>
            </w:tcBorders>
            <w:noWrap w:val="0"/>
            <w:vAlign w:val="center"/>
          </w:tcPr>
          <w:p w14:paraId="76787383">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371" w:type="pct"/>
            <w:tcBorders>
              <w:tl2br w:val="nil"/>
              <w:tr2bl w:val="nil"/>
            </w:tcBorders>
            <w:noWrap w:val="0"/>
            <w:vAlign w:val="center"/>
          </w:tcPr>
          <w:p w14:paraId="74D4C898">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0.01L</w:t>
            </w:r>
          </w:p>
        </w:tc>
        <w:tc>
          <w:tcPr>
            <w:tcW w:w="361" w:type="pct"/>
            <w:tcBorders>
              <w:tl2br w:val="nil"/>
              <w:tr2bl w:val="nil"/>
            </w:tcBorders>
            <w:noWrap w:val="0"/>
            <w:vAlign w:val="center"/>
          </w:tcPr>
          <w:p w14:paraId="107F8823">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0.06</w:t>
            </w:r>
          </w:p>
        </w:tc>
        <w:tc>
          <w:tcPr>
            <w:tcW w:w="399" w:type="pct"/>
            <w:tcBorders>
              <w:tl2br w:val="nil"/>
              <w:tr2bl w:val="nil"/>
            </w:tcBorders>
            <w:noWrap w:val="0"/>
            <w:vAlign w:val="center"/>
          </w:tcPr>
          <w:p w14:paraId="332E802D">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403" w:type="pct"/>
            <w:tcBorders>
              <w:tl2br w:val="nil"/>
              <w:tr2bl w:val="nil"/>
            </w:tcBorders>
            <w:noWrap w:val="0"/>
            <w:vAlign w:val="center"/>
          </w:tcPr>
          <w:p w14:paraId="583724B3">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368" w:type="pct"/>
            <w:tcBorders>
              <w:tl2br w:val="nil"/>
              <w:tr2bl w:val="nil"/>
            </w:tcBorders>
            <w:noWrap w:val="0"/>
            <w:vAlign w:val="center"/>
          </w:tcPr>
          <w:p w14:paraId="6780C84B">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172</w:t>
            </w:r>
          </w:p>
        </w:tc>
        <w:tc>
          <w:tcPr>
            <w:tcW w:w="388" w:type="pct"/>
            <w:tcBorders>
              <w:tl2br w:val="nil"/>
              <w:tr2bl w:val="nil"/>
            </w:tcBorders>
            <w:noWrap w:val="0"/>
            <w:vAlign w:val="center"/>
          </w:tcPr>
          <w:p w14:paraId="4340FA0E">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877A32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1AA7033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汞</w:t>
            </w:r>
          </w:p>
        </w:tc>
        <w:tc>
          <w:tcPr>
            <w:tcW w:w="346" w:type="pct"/>
            <w:tcBorders>
              <w:tl2br w:val="nil"/>
              <w:tr2bl w:val="nil"/>
            </w:tcBorders>
            <w:noWrap w:val="0"/>
            <w:vAlign w:val="center"/>
          </w:tcPr>
          <w:p w14:paraId="187F4943">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0.038</w:t>
            </w:r>
          </w:p>
        </w:tc>
        <w:tc>
          <w:tcPr>
            <w:tcW w:w="352" w:type="pct"/>
            <w:tcBorders>
              <w:tl2br w:val="nil"/>
              <w:tr2bl w:val="nil"/>
            </w:tcBorders>
            <w:noWrap w:val="0"/>
            <w:vAlign w:val="center"/>
          </w:tcPr>
          <w:p w14:paraId="748C3AE6">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0.024</w:t>
            </w:r>
          </w:p>
        </w:tc>
        <w:tc>
          <w:tcPr>
            <w:tcW w:w="361" w:type="pct"/>
            <w:tcBorders>
              <w:tl2br w:val="nil"/>
              <w:tr2bl w:val="nil"/>
            </w:tcBorders>
            <w:noWrap w:val="0"/>
            <w:vAlign w:val="center"/>
          </w:tcPr>
          <w:p w14:paraId="79C77342">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0.011</w:t>
            </w:r>
          </w:p>
        </w:tc>
        <w:tc>
          <w:tcPr>
            <w:tcW w:w="355" w:type="pct"/>
            <w:tcBorders>
              <w:tl2br w:val="nil"/>
              <w:tr2bl w:val="nil"/>
            </w:tcBorders>
            <w:noWrap w:val="0"/>
            <w:vAlign w:val="center"/>
          </w:tcPr>
          <w:p w14:paraId="2A03EED1">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0.025</w:t>
            </w:r>
          </w:p>
        </w:tc>
        <w:tc>
          <w:tcPr>
            <w:tcW w:w="355" w:type="pct"/>
            <w:tcBorders>
              <w:tl2br w:val="nil"/>
              <w:tr2bl w:val="nil"/>
            </w:tcBorders>
            <w:noWrap w:val="0"/>
            <w:vAlign w:val="center"/>
          </w:tcPr>
          <w:p w14:paraId="40BBEA4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0.018</w:t>
            </w:r>
          </w:p>
        </w:tc>
        <w:tc>
          <w:tcPr>
            <w:tcW w:w="361" w:type="pct"/>
            <w:tcBorders>
              <w:tl2br w:val="nil"/>
              <w:tr2bl w:val="nil"/>
            </w:tcBorders>
            <w:noWrap w:val="0"/>
            <w:vAlign w:val="center"/>
          </w:tcPr>
          <w:p w14:paraId="64E72AE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0.018</w:t>
            </w:r>
          </w:p>
        </w:tc>
        <w:tc>
          <w:tcPr>
            <w:tcW w:w="371" w:type="pct"/>
            <w:tcBorders>
              <w:tl2br w:val="nil"/>
              <w:tr2bl w:val="nil"/>
            </w:tcBorders>
            <w:noWrap w:val="0"/>
            <w:vAlign w:val="center"/>
          </w:tcPr>
          <w:p w14:paraId="42960F83">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0.028</w:t>
            </w:r>
          </w:p>
        </w:tc>
        <w:tc>
          <w:tcPr>
            <w:tcW w:w="361" w:type="pct"/>
            <w:tcBorders>
              <w:tl2br w:val="nil"/>
              <w:tr2bl w:val="nil"/>
            </w:tcBorders>
            <w:noWrap w:val="0"/>
            <w:vAlign w:val="center"/>
          </w:tcPr>
          <w:p w14:paraId="21FB5AB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0.015</w:t>
            </w:r>
          </w:p>
        </w:tc>
        <w:tc>
          <w:tcPr>
            <w:tcW w:w="399" w:type="pct"/>
            <w:tcBorders>
              <w:tl2br w:val="nil"/>
              <w:tr2bl w:val="nil"/>
            </w:tcBorders>
            <w:noWrap w:val="0"/>
            <w:vAlign w:val="center"/>
          </w:tcPr>
          <w:p w14:paraId="0439C8D7">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0.013</w:t>
            </w:r>
          </w:p>
        </w:tc>
        <w:tc>
          <w:tcPr>
            <w:tcW w:w="403" w:type="pct"/>
            <w:tcBorders>
              <w:tl2br w:val="nil"/>
              <w:tr2bl w:val="nil"/>
            </w:tcBorders>
            <w:noWrap w:val="0"/>
            <w:vAlign w:val="center"/>
          </w:tcPr>
          <w:p w14:paraId="3675F1E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38</w:t>
            </w:r>
          </w:p>
        </w:tc>
        <w:tc>
          <w:tcPr>
            <w:tcW w:w="368" w:type="pct"/>
            <w:tcBorders>
              <w:tl2br w:val="nil"/>
              <w:tr2bl w:val="nil"/>
            </w:tcBorders>
            <w:noWrap w:val="0"/>
            <w:vAlign w:val="center"/>
          </w:tcPr>
          <w:p w14:paraId="1AB03C0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82</w:t>
            </w:r>
          </w:p>
        </w:tc>
        <w:tc>
          <w:tcPr>
            <w:tcW w:w="388" w:type="pct"/>
            <w:tcBorders>
              <w:tl2br w:val="nil"/>
              <w:tr2bl w:val="nil"/>
            </w:tcBorders>
            <w:noWrap w:val="0"/>
            <w:vAlign w:val="center"/>
          </w:tcPr>
          <w:p w14:paraId="6F1BC279">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6AA6EC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59D19B1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砷</w:t>
            </w:r>
          </w:p>
        </w:tc>
        <w:tc>
          <w:tcPr>
            <w:tcW w:w="346" w:type="pct"/>
            <w:tcBorders>
              <w:tl2br w:val="nil"/>
              <w:tr2bl w:val="nil"/>
            </w:tcBorders>
            <w:noWrap w:val="0"/>
            <w:vAlign w:val="center"/>
          </w:tcPr>
          <w:p w14:paraId="40999E6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7.83</w:t>
            </w:r>
          </w:p>
        </w:tc>
        <w:tc>
          <w:tcPr>
            <w:tcW w:w="352" w:type="pct"/>
            <w:tcBorders>
              <w:tl2br w:val="nil"/>
              <w:tr2bl w:val="nil"/>
            </w:tcBorders>
            <w:noWrap w:val="0"/>
            <w:vAlign w:val="center"/>
          </w:tcPr>
          <w:p w14:paraId="49958B13">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8.09</w:t>
            </w:r>
          </w:p>
        </w:tc>
        <w:tc>
          <w:tcPr>
            <w:tcW w:w="361" w:type="pct"/>
            <w:tcBorders>
              <w:tl2br w:val="nil"/>
              <w:tr2bl w:val="nil"/>
            </w:tcBorders>
            <w:noWrap w:val="0"/>
            <w:vAlign w:val="center"/>
          </w:tcPr>
          <w:p w14:paraId="6442A3AF">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5.77</w:t>
            </w:r>
          </w:p>
        </w:tc>
        <w:tc>
          <w:tcPr>
            <w:tcW w:w="355" w:type="pct"/>
            <w:tcBorders>
              <w:tl2br w:val="nil"/>
              <w:tr2bl w:val="nil"/>
            </w:tcBorders>
            <w:noWrap w:val="0"/>
            <w:vAlign w:val="center"/>
          </w:tcPr>
          <w:p w14:paraId="188AF611">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4.96</w:t>
            </w:r>
          </w:p>
        </w:tc>
        <w:tc>
          <w:tcPr>
            <w:tcW w:w="355" w:type="pct"/>
            <w:tcBorders>
              <w:tl2br w:val="nil"/>
              <w:tr2bl w:val="nil"/>
            </w:tcBorders>
            <w:noWrap w:val="0"/>
            <w:vAlign w:val="center"/>
          </w:tcPr>
          <w:p w14:paraId="250AFDC2">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5.05</w:t>
            </w:r>
          </w:p>
        </w:tc>
        <w:tc>
          <w:tcPr>
            <w:tcW w:w="361" w:type="pct"/>
            <w:tcBorders>
              <w:tl2br w:val="nil"/>
              <w:tr2bl w:val="nil"/>
            </w:tcBorders>
            <w:noWrap w:val="0"/>
            <w:vAlign w:val="center"/>
          </w:tcPr>
          <w:p w14:paraId="2F9139C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5.92</w:t>
            </w:r>
          </w:p>
        </w:tc>
        <w:tc>
          <w:tcPr>
            <w:tcW w:w="371" w:type="pct"/>
            <w:tcBorders>
              <w:tl2br w:val="nil"/>
              <w:tr2bl w:val="nil"/>
            </w:tcBorders>
            <w:noWrap w:val="0"/>
            <w:vAlign w:val="center"/>
          </w:tcPr>
          <w:p w14:paraId="12BB2A34">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6.16</w:t>
            </w:r>
          </w:p>
        </w:tc>
        <w:tc>
          <w:tcPr>
            <w:tcW w:w="361" w:type="pct"/>
            <w:tcBorders>
              <w:tl2br w:val="nil"/>
              <w:tr2bl w:val="nil"/>
            </w:tcBorders>
            <w:noWrap w:val="0"/>
            <w:vAlign w:val="center"/>
          </w:tcPr>
          <w:p w14:paraId="4177816F">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3.65</w:t>
            </w:r>
          </w:p>
        </w:tc>
        <w:tc>
          <w:tcPr>
            <w:tcW w:w="399" w:type="pct"/>
            <w:tcBorders>
              <w:tl2br w:val="nil"/>
              <w:tr2bl w:val="nil"/>
            </w:tcBorders>
            <w:noWrap w:val="0"/>
            <w:vAlign w:val="center"/>
          </w:tcPr>
          <w:p w14:paraId="08274024">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403" w:type="pct"/>
            <w:tcBorders>
              <w:tl2br w:val="nil"/>
              <w:tr2bl w:val="nil"/>
            </w:tcBorders>
            <w:noWrap w:val="0"/>
            <w:vAlign w:val="center"/>
          </w:tcPr>
          <w:p w14:paraId="54F834F0">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368" w:type="pct"/>
            <w:tcBorders>
              <w:tl2br w:val="nil"/>
              <w:tr2bl w:val="nil"/>
            </w:tcBorders>
            <w:noWrap w:val="0"/>
            <w:vAlign w:val="center"/>
          </w:tcPr>
          <w:p w14:paraId="50863FBA">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140</w:t>
            </w:r>
          </w:p>
        </w:tc>
        <w:tc>
          <w:tcPr>
            <w:tcW w:w="388" w:type="pct"/>
            <w:tcBorders>
              <w:tl2br w:val="nil"/>
              <w:tr2bl w:val="nil"/>
            </w:tcBorders>
            <w:noWrap w:val="0"/>
            <w:vAlign w:val="center"/>
          </w:tcPr>
          <w:p w14:paraId="45630D5F">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5A5AE11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78E8F3D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铅</w:t>
            </w:r>
          </w:p>
        </w:tc>
        <w:tc>
          <w:tcPr>
            <w:tcW w:w="346" w:type="pct"/>
            <w:tcBorders>
              <w:tl2br w:val="nil"/>
              <w:tr2bl w:val="nil"/>
            </w:tcBorders>
            <w:noWrap w:val="0"/>
            <w:vAlign w:val="center"/>
          </w:tcPr>
          <w:p w14:paraId="5B6BA7DD">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352" w:type="pct"/>
            <w:tcBorders>
              <w:tl2br w:val="nil"/>
              <w:tr2bl w:val="nil"/>
            </w:tcBorders>
            <w:noWrap w:val="0"/>
            <w:vAlign w:val="center"/>
          </w:tcPr>
          <w:p w14:paraId="5C7C5DA5">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361" w:type="pct"/>
            <w:tcBorders>
              <w:tl2br w:val="nil"/>
              <w:tr2bl w:val="nil"/>
            </w:tcBorders>
            <w:noWrap w:val="0"/>
            <w:vAlign w:val="center"/>
          </w:tcPr>
          <w:p w14:paraId="457CBAF3">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355" w:type="pct"/>
            <w:tcBorders>
              <w:tl2br w:val="nil"/>
              <w:tr2bl w:val="nil"/>
            </w:tcBorders>
            <w:noWrap w:val="0"/>
            <w:vAlign w:val="center"/>
          </w:tcPr>
          <w:p w14:paraId="32526183">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355" w:type="pct"/>
            <w:tcBorders>
              <w:tl2br w:val="nil"/>
              <w:tr2bl w:val="nil"/>
            </w:tcBorders>
            <w:noWrap w:val="0"/>
            <w:vAlign w:val="center"/>
          </w:tcPr>
          <w:p w14:paraId="09E94748">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361" w:type="pct"/>
            <w:tcBorders>
              <w:tl2br w:val="nil"/>
              <w:tr2bl w:val="nil"/>
            </w:tcBorders>
            <w:noWrap w:val="0"/>
            <w:vAlign w:val="center"/>
          </w:tcPr>
          <w:p w14:paraId="158480DF">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371" w:type="pct"/>
            <w:tcBorders>
              <w:tl2br w:val="nil"/>
              <w:tr2bl w:val="nil"/>
            </w:tcBorders>
            <w:noWrap w:val="0"/>
            <w:vAlign w:val="center"/>
          </w:tcPr>
          <w:p w14:paraId="21617E32">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5.8</w:t>
            </w:r>
          </w:p>
        </w:tc>
        <w:tc>
          <w:tcPr>
            <w:tcW w:w="361" w:type="pct"/>
            <w:tcBorders>
              <w:tl2br w:val="nil"/>
              <w:tr2bl w:val="nil"/>
            </w:tcBorders>
            <w:noWrap w:val="0"/>
            <w:vAlign w:val="center"/>
          </w:tcPr>
          <w:p w14:paraId="39887123">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0.9</w:t>
            </w:r>
          </w:p>
        </w:tc>
        <w:tc>
          <w:tcPr>
            <w:tcW w:w="399" w:type="pct"/>
            <w:tcBorders>
              <w:tl2br w:val="nil"/>
              <w:tr2bl w:val="nil"/>
            </w:tcBorders>
            <w:noWrap w:val="0"/>
            <w:vAlign w:val="center"/>
          </w:tcPr>
          <w:p w14:paraId="13F7E4F6">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0.6</w:t>
            </w:r>
          </w:p>
        </w:tc>
        <w:tc>
          <w:tcPr>
            <w:tcW w:w="403" w:type="pct"/>
            <w:tcBorders>
              <w:tl2br w:val="nil"/>
              <w:tr2bl w:val="nil"/>
            </w:tcBorders>
            <w:noWrap w:val="0"/>
            <w:vAlign w:val="center"/>
          </w:tcPr>
          <w:p w14:paraId="72857033">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800</w:t>
            </w:r>
          </w:p>
        </w:tc>
        <w:tc>
          <w:tcPr>
            <w:tcW w:w="368" w:type="pct"/>
            <w:tcBorders>
              <w:tl2br w:val="nil"/>
              <w:tr2bl w:val="nil"/>
            </w:tcBorders>
            <w:noWrap w:val="0"/>
            <w:vAlign w:val="center"/>
          </w:tcPr>
          <w:p w14:paraId="69060DF0">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2500</w:t>
            </w:r>
          </w:p>
        </w:tc>
        <w:tc>
          <w:tcPr>
            <w:tcW w:w="388" w:type="pct"/>
            <w:tcBorders>
              <w:tl2br w:val="nil"/>
              <w:tr2bl w:val="nil"/>
            </w:tcBorders>
            <w:noWrap w:val="0"/>
            <w:vAlign w:val="center"/>
          </w:tcPr>
          <w:p w14:paraId="22DB3A2E">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78750B0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113A3BA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铜</w:t>
            </w:r>
          </w:p>
        </w:tc>
        <w:tc>
          <w:tcPr>
            <w:tcW w:w="346" w:type="pct"/>
            <w:tcBorders>
              <w:tl2br w:val="nil"/>
              <w:tr2bl w:val="nil"/>
            </w:tcBorders>
            <w:noWrap w:val="0"/>
            <w:vAlign w:val="center"/>
          </w:tcPr>
          <w:p w14:paraId="3091FA41">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57</w:t>
            </w:r>
          </w:p>
        </w:tc>
        <w:tc>
          <w:tcPr>
            <w:tcW w:w="352" w:type="pct"/>
            <w:tcBorders>
              <w:tl2br w:val="nil"/>
              <w:tr2bl w:val="nil"/>
            </w:tcBorders>
            <w:noWrap w:val="0"/>
            <w:vAlign w:val="center"/>
          </w:tcPr>
          <w:p w14:paraId="658C88C1">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361" w:type="pct"/>
            <w:tcBorders>
              <w:tl2br w:val="nil"/>
              <w:tr2bl w:val="nil"/>
            </w:tcBorders>
            <w:noWrap w:val="0"/>
            <w:vAlign w:val="center"/>
          </w:tcPr>
          <w:p w14:paraId="35DF3E9C">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355" w:type="pct"/>
            <w:tcBorders>
              <w:tl2br w:val="nil"/>
              <w:tr2bl w:val="nil"/>
            </w:tcBorders>
            <w:noWrap w:val="0"/>
            <w:vAlign w:val="center"/>
          </w:tcPr>
          <w:p w14:paraId="73353A2F">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355" w:type="pct"/>
            <w:tcBorders>
              <w:tl2br w:val="nil"/>
              <w:tr2bl w:val="nil"/>
            </w:tcBorders>
            <w:noWrap w:val="0"/>
            <w:vAlign w:val="center"/>
          </w:tcPr>
          <w:p w14:paraId="79EE9DAE">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361" w:type="pct"/>
            <w:tcBorders>
              <w:tl2br w:val="nil"/>
              <w:tr2bl w:val="nil"/>
            </w:tcBorders>
            <w:noWrap w:val="0"/>
            <w:vAlign w:val="center"/>
          </w:tcPr>
          <w:p w14:paraId="3CADDF71">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371" w:type="pct"/>
            <w:tcBorders>
              <w:tl2br w:val="nil"/>
              <w:tr2bl w:val="nil"/>
            </w:tcBorders>
            <w:noWrap w:val="0"/>
            <w:vAlign w:val="center"/>
          </w:tcPr>
          <w:p w14:paraId="56E9B83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361" w:type="pct"/>
            <w:tcBorders>
              <w:tl2br w:val="nil"/>
              <w:tr2bl w:val="nil"/>
            </w:tcBorders>
            <w:noWrap w:val="0"/>
            <w:vAlign w:val="center"/>
          </w:tcPr>
          <w:p w14:paraId="2F4AB35C">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399" w:type="pct"/>
            <w:tcBorders>
              <w:tl2br w:val="nil"/>
              <w:tr2bl w:val="nil"/>
            </w:tcBorders>
            <w:noWrap w:val="0"/>
            <w:vAlign w:val="center"/>
          </w:tcPr>
          <w:p w14:paraId="63664098">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403" w:type="pct"/>
            <w:tcBorders>
              <w:tl2br w:val="nil"/>
              <w:tr2bl w:val="nil"/>
            </w:tcBorders>
            <w:noWrap w:val="0"/>
            <w:vAlign w:val="center"/>
          </w:tcPr>
          <w:p w14:paraId="43A490A8">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18000</w:t>
            </w:r>
          </w:p>
        </w:tc>
        <w:tc>
          <w:tcPr>
            <w:tcW w:w="368" w:type="pct"/>
            <w:tcBorders>
              <w:tl2br w:val="nil"/>
              <w:tr2bl w:val="nil"/>
            </w:tcBorders>
            <w:noWrap w:val="0"/>
            <w:vAlign w:val="center"/>
          </w:tcPr>
          <w:p w14:paraId="36C9171E">
            <w:pPr>
              <w:pStyle w:val="17"/>
              <w:spacing w:line="240" w:lineRule="auto"/>
              <w:ind w:left="0" w:leftChars="0" w:firstLine="0" w:firstLineChars="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36000</w:t>
            </w:r>
          </w:p>
        </w:tc>
        <w:tc>
          <w:tcPr>
            <w:tcW w:w="388" w:type="pct"/>
            <w:tcBorders>
              <w:tl2br w:val="nil"/>
              <w:tr2bl w:val="nil"/>
            </w:tcBorders>
            <w:noWrap w:val="0"/>
            <w:vAlign w:val="center"/>
          </w:tcPr>
          <w:p w14:paraId="497B43FE">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69839D4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334AA27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镍</w:t>
            </w:r>
          </w:p>
        </w:tc>
        <w:tc>
          <w:tcPr>
            <w:tcW w:w="346" w:type="pct"/>
            <w:tcBorders>
              <w:tl2br w:val="nil"/>
              <w:tr2bl w:val="nil"/>
            </w:tcBorders>
            <w:noWrap w:val="0"/>
            <w:vAlign w:val="center"/>
          </w:tcPr>
          <w:p w14:paraId="52F973EC">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352" w:type="pct"/>
            <w:tcBorders>
              <w:tl2br w:val="nil"/>
              <w:tr2bl w:val="nil"/>
            </w:tcBorders>
            <w:noWrap w:val="0"/>
            <w:vAlign w:val="center"/>
          </w:tcPr>
          <w:p w14:paraId="761FDBA2">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361" w:type="pct"/>
            <w:tcBorders>
              <w:tl2br w:val="nil"/>
              <w:tr2bl w:val="nil"/>
            </w:tcBorders>
            <w:noWrap w:val="0"/>
            <w:vAlign w:val="center"/>
          </w:tcPr>
          <w:p w14:paraId="277936E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355" w:type="pct"/>
            <w:tcBorders>
              <w:tl2br w:val="nil"/>
              <w:tr2bl w:val="nil"/>
            </w:tcBorders>
            <w:noWrap w:val="0"/>
            <w:vAlign w:val="center"/>
          </w:tcPr>
          <w:p w14:paraId="623A194F">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5" w:type="pct"/>
            <w:tcBorders>
              <w:tl2br w:val="nil"/>
              <w:tr2bl w:val="nil"/>
            </w:tcBorders>
            <w:noWrap w:val="0"/>
            <w:vAlign w:val="center"/>
          </w:tcPr>
          <w:p w14:paraId="0BB0F29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361" w:type="pct"/>
            <w:tcBorders>
              <w:tl2br w:val="nil"/>
              <w:tr2bl w:val="nil"/>
            </w:tcBorders>
            <w:noWrap w:val="0"/>
            <w:vAlign w:val="center"/>
          </w:tcPr>
          <w:p w14:paraId="10DEAB3D">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371" w:type="pct"/>
            <w:tcBorders>
              <w:tl2br w:val="nil"/>
              <w:tr2bl w:val="nil"/>
            </w:tcBorders>
            <w:noWrap w:val="0"/>
            <w:vAlign w:val="center"/>
          </w:tcPr>
          <w:p w14:paraId="0FC91F1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361" w:type="pct"/>
            <w:tcBorders>
              <w:tl2br w:val="nil"/>
              <w:tr2bl w:val="nil"/>
            </w:tcBorders>
            <w:noWrap w:val="0"/>
            <w:vAlign w:val="center"/>
          </w:tcPr>
          <w:p w14:paraId="5BF5887D">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399" w:type="pct"/>
            <w:tcBorders>
              <w:tl2br w:val="nil"/>
              <w:tr2bl w:val="nil"/>
            </w:tcBorders>
            <w:noWrap w:val="0"/>
            <w:vAlign w:val="center"/>
          </w:tcPr>
          <w:p w14:paraId="50B61FA2">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403" w:type="pct"/>
            <w:tcBorders>
              <w:tl2br w:val="nil"/>
              <w:tr2bl w:val="nil"/>
            </w:tcBorders>
            <w:noWrap w:val="0"/>
            <w:vAlign w:val="center"/>
          </w:tcPr>
          <w:p w14:paraId="111ED8B3">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900</w:t>
            </w:r>
          </w:p>
        </w:tc>
        <w:tc>
          <w:tcPr>
            <w:tcW w:w="368" w:type="pct"/>
            <w:tcBorders>
              <w:tl2br w:val="nil"/>
              <w:tr2bl w:val="nil"/>
            </w:tcBorders>
            <w:noWrap w:val="0"/>
            <w:vAlign w:val="center"/>
          </w:tcPr>
          <w:p w14:paraId="21B8F3AC">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2000</w:t>
            </w:r>
          </w:p>
        </w:tc>
        <w:tc>
          <w:tcPr>
            <w:tcW w:w="388" w:type="pct"/>
            <w:tcBorders>
              <w:tl2br w:val="nil"/>
              <w:tr2bl w:val="nil"/>
            </w:tcBorders>
            <w:noWrap w:val="0"/>
            <w:vAlign w:val="center"/>
          </w:tcPr>
          <w:p w14:paraId="0525D45D">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50F2641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0EB6EA6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铁</w:t>
            </w:r>
          </w:p>
        </w:tc>
        <w:tc>
          <w:tcPr>
            <w:tcW w:w="346" w:type="pct"/>
            <w:tcBorders>
              <w:tl2br w:val="nil"/>
              <w:tr2bl w:val="nil"/>
            </w:tcBorders>
            <w:noWrap w:val="0"/>
            <w:vAlign w:val="center"/>
          </w:tcPr>
          <w:p w14:paraId="28C3C58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72.6</w:t>
            </w:r>
          </w:p>
        </w:tc>
        <w:tc>
          <w:tcPr>
            <w:tcW w:w="352" w:type="pct"/>
            <w:tcBorders>
              <w:tl2br w:val="nil"/>
              <w:tr2bl w:val="nil"/>
            </w:tcBorders>
            <w:noWrap w:val="0"/>
            <w:vAlign w:val="center"/>
          </w:tcPr>
          <w:p w14:paraId="09044C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61.2</w:t>
            </w:r>
          </w:p>
        </w:tc>
        <w:tc>
          <w:tcPr>
            <w:tcW w:w="361" w:type="pct"/>
            <w:tcBorders>
              <w:tl2br w:val="nil"/>
              <w:tr2bl w:val="nil"/>
            </w:tcBorders>
            <w:noWrap w:val="0"/>
            <w:vAlign w:val="center"/>
          </w:tcPr>
          <w:p w14:paraId="2355859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34.7</w:t>
            </w:r>
          </w:p>
        </w:tc>
        <w:tc>
          <w:tcPr>
            <w:tcW w:w="355" w:type="pct"/>
            <w:tcBorders>
              <w:tl2br w:val="nil"/>
              <w:tr2bl w:val="nil"/>
            </w:tcBorders>
            <w:noWrap w:val="0"/>
            <w:vAlign w:val="center"/>
          </w:tcPr>
          <w:p w14:paraId="6244B39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21.9</w:t>
            </w:r>
          </w:p>
        </w:tc>
        <w:tc>
          <w:tcPr>
            <w:tcW w:w="355" w:type="pct"/>
            <w:tcBorders>
              <w:tl2br w:val="nil"/>
              <w:tr2bl w:val="nil"/>
            </w:tcBorders>
            <w:noWrap w:val="0"/>
            <w:vAlign w:val="center"/>
          </w:tcPr>
          <w:p w14:paraId="0926BA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19.9</w:t>
            </w:r>
          </w:p>
        </w:tc>
        <w:tc>
          <w:tcPr>
            <w:tcW w:w="361" w:type="pct"/>
            <w:tcBorders>
              <w:tl2br w:val="nil"/>
              <w:tr2bl w:val="nil"/>
            </w:tcBorders>
            <w:noWrap w:val="0"/>
            <w:vAlign w:val="center"/>
          </w:tcPr>
          <w:p w14:paraId="41E076C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25.5</w:t>
            </w:r>
          </w:p>
        </w:tc>
        <w:tc>
          <w:tcPr>
            <w:tcW w:w="371" w:type="pct"/>
            <w:tcBorders>
              <w:tl2br w:val="nil"/>
              <w:tr2bl w:val="nil"/>
            </w:tcBorders>
            <w:noWrap w:val="0"/>
            <w:vAlign w:val="center"/>
          </w:tcPr>
          <w:p w14:paraId="11C53BF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19.9</w:t>
            </w:r>
          </w:p>
        </w:tc>
        <w:tc>
          <w:tcPr>
            <w:tcW w:w="361" w:type="pct"/>
            <w:tcBorders>
              <w:tl2br w:val="nil"/>
              <w:tr2bl w:val="nil"/>
            </w:tcBorders>
            <w:noWrap w:val="0"/>
            <w:vAlign w:val="center"/>
          </w:tcPr>
          <w:p w14:paraId="243517D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23.2</w:t>
            </w:r>
          </w:p>
        </w:tc>
        <w:tc>
          <w:tcPr>
            <w:tcW w:w="399" w:type="pct"/>
            <w:tcBorders>
              <w:tl2br w:val="nil"/>
              <w:tr2bl w:val="nil"/>
            </w:tcBorders>
            <w:noWrap w:val="0"/>
            <w:vAlign w:val="center"/>
          </w:tcPr>
          <w:p w14:paraId="26DE2F9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29.0</w:t>
            </w:r>
          </w:p>
        </w:tc>
        <w:tc>
          <w:tcPr>
            <w:tcW w:w="403" w:type="pct"/>
            <w:tcBorders>
              <w:tl2br w:val="nil"/>
              <w:tr2bl w:val="nil"/>
            </w:tcBorders>
            <w:noWrap w:val="0"/>
            <w:vAlign w:val="center"/>
          </w:tcPr>
          <w:p w14:paraId="1C3A0A5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368" w:type="pct"/>
            <w:tcBorders>
              <w:tl2br w:val="nil"/>
              <w:tr2bl w:val="nil"/>
            </w:tcBorders>
            <w:noWrap w:val="0"/>
            <w:vAlign w:val="center"/>
          </w:tcPr>
          <w:p w14:paraId="2FCFEFE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388" w:type="pct"/>
            <w:tcBorders>
              <w:tl2br w:val="nil"/>
              <w:tr2bl w:val="nil"/>
            </w:tcBorders>
            <w:noWrap w:val="0"/>
            <w:vAlign w:val="center"/>
          </w:tcPr>
          <w:p w14:paraId="4B491BE0">
            <w:pPr>
              <w:adjustRightInd w:val="0"/>
              <w:snapToGrid w:val="0"/>
              <w:spacing w:line="240" w:lineRule="auto"/>
              <w:jc w:val="center"/>
              <w:rPr>
                <w:rFonts w:hint="default" w:ascii="Times New Roman" w:hAnsi="Times New Roman" w:cs="Times New Roman"/>
                <w:color w:val="auto"/>
                <w:sz w:val="18"/>
                <w:szCs w:val="18"/>
              </w:rPr>
            </w:pPr>
          </w:p>
        </w:tc>
      </w:tr>
      <w:tr w14:paraId="4DE98DC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5DF8384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锰</w:t>
            </w:r>
          </w:p>
        </w:tc>
        <w:tc>
          <w:tcPr>
            <w:tcW w:w="346" w:type="pct"/>
            <w:tcBorders>
              <w:tl2br w:val="nil"/>
              <w:tr2bl w:val="nil"/>
            </w:tcBorders>
            <w:noWrap w:val="0"/>
            <w:vAlign w:val="center"/>
          </w:tcPr>
          <w:p w14:paraId="4C7CCF5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93.3</w:t>
            </w:r>
          </w:p>
        </w:tc>
        <w:tc>
          <w:tcPr>
            <w:tcW w:w="352" w:type="pct"/>
            <w:tcBorders>
              <w:tl2br w:val="nil"/>
              <w:tr2bl w:val="nil"/>
            </w:tcBorders>
            <w:noWrap w:val="0"/>
            <w:vAlign w:val="center"/>
          </w:tcPr>
          <w:p w14:paraId="62D69EC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101</w:t>
            </w:r>
          </w:p>
        </w:tc>
        <w:tc>
          <w:tcPr>
            <w:tcW w:w="361" w:type="pct"/>
            <w:tcBorders>
              <w:tl2br w:val="nil"/>
              <w:tr2bl w:val="nil"/>
            </w:tcBorders>
            <w:noWrap w:val="0"/>
            <w:vAlign w:val="center"/>
          </w:tcPr>
          <w:p w14:paraId="1B4A052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112</w:t>
            </w:r>
          </w:p>
        </w:tc>
        <w:tc>
          <w:tcPr>
            <w:tcW w:w="355" w:type="pct"/>
            <w:tcBorders>
              <w:tl2br w:val="nil"/>
              <w:tr2bl w:val="nil"/>
            </w:tcBorders>
            <w:noWrap w:val="0"/>
            <w:vAlign w:val="center"/>
          </w:tcPr>
          <w:p w14:paraId="198D519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76.4</w:t>
            </w:r>
          </w:p>
        </w:tc>
        <w:tc>
          <w:tcPr>
            <w:tcW w:w="355" w:type="pct"/>
            <w:tcBorders>
              <w:tl2br w:val="nil"/>
              <w:tr2bl w:val="nil"/>
            </w:tcBorders>
            <w:noWrap w:val="0"/>
            <w:vAlign w:val="center"/>
          </w:tcPr>
          <w:p w14:paraId="2A9A3F7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65.2</w:t>
            </w:r>
          </w:p>
        </w:tc>
        <w:tc>
          <w:tcPr>
            <w:tcW w:w="361" w:type="pct"/>
            <w:tcBorders>
              <w:tl2br w:val="nil"/>
              <w:tr2bl w:val="nil"/>
            </w:tcBorders>
            <w:noWrap w:val="0"/>
            <w:vAlign w:val="center"/>
          </w:tcPr>
          <w:p w14:paraId="49285B2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82.2</w:t>
            </w:r>
          </w:p>
        </w:tc>
        <w:tc>
          <w:tcPr>
            <w:tcW w:w="371" w:type="pct"/>
            <w:tcBorders>
              <w:tl2br w:val="nil"/>
              <w:tr2bl w:val="nil"/>
            </w:tcBorders>
            <w:noWrap w:val="0"/>
            <w:vAlign w:val="center"/>
          </w:tcPr>
          <w:p w14:paraId="28CA43B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600</w:t>
            </w:r>
          </w:p>
        </w:tc>
        <w:tc>
          <w:tcPr>
            <w:tcW w:w="361" w:type="pct"/>
            <w:tcBorders>
              <w:tl2br w:val="nil"/>
              <w:tr2bl w:val="nil"/>
            </w:tcBorders>
            <w:noWrap w:val="0"/>
            <w:vAlign w:val="center"/>
          </w:tcPr>
          <w:p w14:paraId="1FE94DC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627</w:t>
            </w:r>
          </w:p>
        </w:tc>
        <w:tc>
          <w:tcPr>
            <w:tcW w:w="399" w:type="pct"/>
            <w:tcBorders>
              <w:tl2br w:val="nil"/>
              <w:tr2bl w:val="nil"/>
            </w:tcBorders>
            <w:noWrap w:val="0"/>
            <w:vAlign w:val="center"/>
          </w:tcPr>
          <w:p w14:paraId="1159831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596</w:t>
            </w:r>
          </w:p>
        </w:tc>
        <w:tc>
          <w:tcPr>
            <w:tcW w:w="403" w:type="pct"/>
            <w:tcBorders>
              <w:tl2br w:val="nil"/>
              <w:tr2bl w:val="nil"/>
            </w:tcBorders>
            <w:noWrap w:val="0"/>
            <w:vAlign w:val="center"/>
          </w:tcPr>
          <w:p w14:paraId="1C5EDA8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368" w:type="pct"/>
            <w:tcBorders>
              <w:tl2br w:val="nil"/>
              <w:tr2bl w:val="nil"/>
            </w:tcBorders>
            <w:noWrap w:val="0"/>
            <w:vAlign w:val="center"/>
          </w:tcPr>
          <w:p w14:paraId="744A3FC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388" w:type="pct"/>
            <w:tcBorders>
              <w:tl2br w:val="nil"/>
              <w:tr2bl w:val="nil"/>
            </w:tcBorders>
            <w:noWrap w:val="0"/>
            <w:vAlign w:val="center"/>
          </w:tcPr>
          <w:p w14:paraId="29BDA1E3">
            <w:pPr>
              <w:adjustRightInd w:val="0"/>
              <w:snapToGrid w:val="0"/>
              <w:spacing w:line="240" w:lineRule="auto"/>
              <w:jc w:val="center"/>
              <w:rPr>
                <w:rFonts w:hint="default" w:ascii="Times New Roman" w:hAnsi="Times New Roman" w:cs="Times New Roman"/>
                <w:color w:val="auto"/>
                <w:sz w:val="18"/>
                <w:szCs w:val="18"/>
              </w:rPr>
            </w:pPr>
          </w:p>
        </w:tc>
      </w:tr>
      <w:tr w14:paraId="6763B53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4138575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石油烃</w:t>
            </w:r>
          </w:p>
        </w:tc>
        <w:tc>
          <w:tcPr>
            <w:tcW w:w="346" w:type="pct"/>
            <w:tcBorders>
              <w:tl2br w:val="nil"/>
              <w:tr2bl w:val="nil"/>
            </w:tcBorders>
            <w:noWrap w:val="0"/>
            <w:vAlign w:val="center"/>
          </w:tcPr>
          <w:p w14:paraId="31DBE41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67</w:t>
            </w:r>
          </w:p>
        </w:tc>
        <w:tc>
          <w:tcPr>
            <w:tcW w:w="352" w:type="pct"/>
            <w:tcBorders>
              <w:tl2br w:val="nil"/>
              <w:tr2bl w:val="nil"/>
            </w:tcBorders>
            <w:noWrap w:val="0"/>
            <w:vAlign w:val="center"/>
          </w:tcPr>
          <w:p w14:paraId="664BBFE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143</w:t>
            </w:r>
          </w:p>
        </w:tc>
        <w:tc>
          <w:tcPr>
            <w:tcW w:w="361" w:type="pct"/>
            <w:tcBorders>
              <w:tl2br w:val="nil"/>
              <w:tr2bl w:val="nil"/>
            </w:tcBorders>
            <w:noWrap w:val="0"/>
            <w:vAlign w:val="center"/>
          </w:tcPr>
          <w:p w14:paraId="6EC16DC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74</w:t>
            </w:r>
          </w:p>
        </w:tc>
        <w:tc>
          <w:tcPr>
            <w:tcW w:w="355" w:type="pct"/>
            <w:tcBorders>
              <w:tl2br w:val="nil"/>
              <w:tr2bl w:val="nil"/>
            </w:tcBorders>
            <w:noWrap w:val="0"/>
            <w:vAlign w:val="center"/>
          </w:tcPr>
          <w:p w14:paraId="053ACB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70</w:t>
            </w:r>
          </w:p>
        </w:tc>
        <w:tc>
          <w:tcPr>
            <w:tcW w:w="355" w:type="pct"/>
            <w:tcBorders>
              <w:tl2br w:val="nil"/>
              <w:tr2bl w:val="nil"/>
            </w:tcBorders>
            <w:noWrap w:val="0"/>
            <w:vAlign w:val="center"/>
          </w:tcPr>
          <w:p w14:paraId="53284D9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187</w:t>
            </w:r>
          </w:p>
        </w:tc>
        <w:tc>
          <w:tcPr>
            <w:tcW w:w="361" w:type="pct"/>
            <w:tcBorders>
              <w:tl2br w:val="nil"/>
              <w:tr2bl w:val="nil"/>
            </w:tcBorders>
            <w:noWrap w:val="0"/>
            <w:vAlign w:val="center"/>
          </w:tcPr>
          <w:p w14:paraId="33382D7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66</w:t>
            </w:r>
          </w:p>
        </w:tc>
        <w:tc>
          <w:tcPr>
            <w:tcW w:w="371" w:type="pct"/>
            <w:tcBorders>
              <w:tl2br w:val="nil"/>
              <w:tr2bl w:val="nil"/>
            </w:tcBorders>
            <w:noWrap w:val="0"/>
            <w:vAlign w:val="center"/>
          </w:tcPr>
          <w:p w14:paraId="3166F1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66</w:t>
            </w:r>
          </w:p>
        </w:tc>
        <w:tc>
          <w:tcPr>
            <w:tcW w:w="361" w:type="pct"/>
            <w:tcBorders>
              <w:tl2br w:val="nil"/>
              <w:tr2bl w:val="nil"/>
            </w:tcBorders>
            <w:noWrap w:val="0"/>
            <w:vAlign w:val="center"/>
          </w:tcPr>
          <w:p w14:paraId="4D7469A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34</w:t>
            </w:r>
          </w:p>
        </w:tc>
        <w:tc>
          <w:tcPr>
            <w:tcW w:w="399" w:type="pct"/>
            <w:tcBorders>
              <w:tl2br w:val="nil"/>
              <w:tr2bl w:val="nil"/>
            </w:tcBorders>
            <w:noWrap w:val="0"/>
            <w:vAlign w:val="center"/>
          </w:tcPr>
          <w:p w14:paraId="0BD67D3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96</w:t>
            </w:r>
          </w:p>
        </w:tc>
        <w:tc>
          <w:tcPr>
            <w:tcW w:w="1146" w:type="dxa"/>
            <w:tcBorders>
              <w:tl2br w:val="nil"/>
              <w:tr2bl w:val="nil"/>
            </w:tcBorders>
            <w:noWrap w:val="0"/>
            <w:vAlign w:val="center"/>
          </w:tcPr>
          <w:p w14:paraId="550321BD">
            <w:pPr>
              <w:pStyle w:val="47"/>
              <w:snapToGrid/>
              <w:ind w:firstLine="0" w:firstLineChars="0"/>
              <w:rPr>
                <w:rFonts w:hint="default" w:ascii="Times New Roman" w:hAnsi="Times New Roman" w:cs="Times New Roman"/>
                <w:b w:val="0"/>
                <w:bCs/>
                <w:color w:val="auto"/>
                <w:sz w:val="18"/>
                <w:szCs w:val="18"/>
              </w:rPr>
            </w:pPr>
            <w:r>
              <w:rPr>
                <w:rFonts w:hint="default" w:ascii="Times New Roman" w:hAnsi="Times New Roman" w:cs="Times New Roman" w:eastAsiaTheme="minorEastAsia"/>
                <w:b w:val="0"/>
                <w:bCs/>
                <w:color w:val="auto"/>
                <w:sz w:val="18"/>
                <w:szCs w:val="18"/>
              </w:rPr>
              <w:t>4500</w:t>
            </w:r>
          </w:p>
        </w:tc>
        <w:tc>
          <w:tcPr>
            <w:tcW w:w="1046" w:type="dxa"/>
            <w:tcBorders>
              <w:tl2br w:val="nil"/>
              <w:tr2bl w:val="nil"/>
            </w:tcBorders>
            <w:noWrap w:val="0"/>
            <w:vAlign w:val="center"/>
          </w:tcPr>
          <w:p w14:paraId="492A63EE">
            <w:pPr>
              <w:pStyle w:val="47"/>
              <w:snapToGrid/>
              <w:ind w:firstLine="0" w:firstLineChars="0"/>
              <w:rPr>
                <w:rFonts w:hint="default" w:ascii="Times New Roman" w:hAnsi="Times New Roman" w:cs="Times New Roman"/>
                <w:b w:val="0"/>
                <w:bCs/>
                <w:color w:val="auto"/>
                <w:sz w:val="18"/>
                <w:szCs w:val="18"/>
              </w:rPr>
            </w:pPr>
            <w:r>
              <w:rPr>
                <w:rFonts w:hint="default" w:ascii="Times New Roman" w:hAnsi="Times New Roman" w:cs="Times New Roman" w:eastAsiaTheme="minorEastAsia"/>
                <w:b w:val="0"/>
                <w:bCs/>
                <w:color w:val="auto"/>
                <w:sz w:val="18"/>
                <w:szCs w:val="18"/>
              </w:rPr>
              <w:t>9000</w:t>
            </w:r>
          </w:p>
        </w:tc>
        <w:tc>
          <w:tcPr>
            <w:tcW w:w="388" w:type="pct"/>
            <w:tcBorders>
              <w:tl2br w:val="nil"/>
              <w:tr2bl w:val="nil"/>
            </w:tcBorders>
            <w:noWrap w:val="0"/>
            <w:vAlign w:val="center"/>
          </w:tcPr>
          <w:p w14:paraId="3FEA0F97">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69C40BC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54A19537">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氯甲烷</w:t>
            </w:r>
          </w:p>
        </w:tc>
        <w:tc>
          <w:tcPr>
            <w:tcW w:w="346" w:type="pct"/>
            <w:tcBorders>
              <w:tl2br w:val="nil"/>
              <w:tr2bl w:val="nil"/>
            </w:tcBorders>
            <w:noWrap w:val="0"/>
            <w:vAlign w:val="center"/>
          </w:tcPr>
          <w:p w14:paraId="741B9D08">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20E61B50">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931332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23C51056">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13E5121A">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51079F4">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47D3BBF9">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E34828B">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3C019BBD">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4879A651">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w:t>
            </w:r>
          </w:p>
        </w:tc>
        <w:tc>
          <w:tcPr>
            <w:tcW w:w="368" w:type="pct"/>
            <w:tcBorders>
              <w:tl2br w:val="nil"/>
              <w:tr2bl w:val="nil"/>
            </w:tcBorders>
            <w:noWrap w:val="0"/>
            <w:vAlign w:val="center"/>
          </w:tcPr>
          <w:p w14:paraId="59175D86">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120</w:t>
            </w:r>
          </w:p>
        </w:tc>
        <w:tc>
          <w:tcPr>
            <w:tcW w:w="388" w:type="pct"/>
            <w:tcBorders>
              <w:tl2br w:val="nil"/>
              <w:tr2bl w:val="nil"/>
            </w:tcBorders>
            <w:noWrap w:val="0"/>
            <w:vAlign w:val="center"/>
          </w:tcPr>
          <w:p w14:paraId="3B0A6B1C">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75C81C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7A935CE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氯乙烯</w:t>
            </w:r>
          </w:p>
        </w:tc>
        <w:tc>
          <w:tcPr>
            <w:tcW w:w="346" w:type="pct"/>
            <w:tcBorders>
              <w:tl2br w:val="nil"/>
              <w:tr2bl w:val="nil"/>
            </w:tcBorders>
            <w:noWrap w:val="0"/>
            <w:vAlign w:val="center"/>
          </w:tcPr>
          <w:p w14:paraId="0C5B3540">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51CB9C93">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A9847D7">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69132193">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18DC985F">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8CCAA83">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1DFE75CD">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8EE7088">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2CE6E781">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769A7E63">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0.43</w:t>
            </w:r>
          </w:p>
        </w:tc>
        <w:tc>
          <w:tcPr>
            <w:tcW w:w="368" w:type="pct"/>
            <w:tcBorders>
              <w:tl2br w:val="nil"/>
              <w:tr2bl w:val="nil"/>
            </w:tcBorders>
            <w:noWrap w:val="0"/>
            <w:vAlign w:val="center"/>
          </w:tcPr>
          <w:p w14:paraId="79214F33">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4.3</w:t>
            </w:r>
          </w:p>
        </w:tc>
        <w:tc>
          <w:tcPr>
            <w:tcW w:w="388" w:type="pct"/>
            <w:tcBorders>
              <w:tl2br w:val="nil"/>
              <w:tr2bl w:val="nil"/>
            </w:tcBorders>
            <w:noWrap w:val="0"/>
            <w:vAlign w:val="center"/>
          </w:tcPr>
          <w:p w14:paraId="763E8C80">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1E7149E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2A3BE17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1,1-二氯乙烯</w:t>
            </w:r>
          </w:p>
        </w:tc>
        <w:tc>
          <w:tcPr>
            <w:tcW w:w="346" w:type="pct"/>
            <w:tcBorders>
              <w:tl2br w:val="nil"/>
              <w:tr2bl w:val="nil"/>
            </w:tcBorders>
            <w:noWrap w:val="0"/>
            <w:vAlign w:val="center"/>
          </w:tcPr>
          <w:p w14:paraId="2C9D02BC">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0BD0BB49">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EA07A60">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39A66395">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AC2F4CB">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FC8CF1C">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605AECDD">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099354E">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05025CA8">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1AEFC455">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w:t>
            </w:r>
          </w:p>
        </w:tc>
        <w:tc>
          <w:tcPr>
            <w:tcW w:w="368" w:type="pct"/>
            <w:tcBorders>
              <w:tl2br w:val="nil"/>
              <w:tr2bl w:val="nil"/>
            </w:tcBorders>
            <w:noWrap w:val="0"/>
            <w:vAlign w:val="center"/>
          </w:tcPr>
          <w:p w14:paraId="7305F808">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w:t>
            </w:r>
          </w:p>
        </w:tc>
        <w:tc>
          <w:tcPr>
            <w:tcW w:w="388" w:type="pct"/>
            <w:tcBorders>
              <w:tl2br w:val="nil"/>
              <w:tr2bl w:val="nil"/>
            </w:tcBorders>
            <w:noWrap w:val="0"/>
            <w:vAlign w:val="center"/>
          </w:tcPr>
          <w:p w14:paraId="12C5295A">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3A0209A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6015DDB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二氯甲烷</w:t>
            </w:r>
          </w:p>
        </w:tc>
        <w:tc>
          <w:tcPr>
            <w:tcW w:w="346" w:type="pct"/>
            <w:tcBorders>
              <w:tl2br w:val="nil"/>
              <w:tr2bl w:val="nil"/>
            </w:tcBorders>
            <w:noWrap w:val="0"/>
            <w:vAlign w:val="center"/>
          </w:tcPr>
          <w:p w14:paraId="11FBA710">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28011BAF">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61C1A5F">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7FFFDDFE">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4DEE7E7A">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3280A9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0B52FA11">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765A639">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1ED8310A">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3840330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616</w:t>
            </w:r>
          </w:p>
        </w:tc>
        <w:tc>
          <w:tcPr>
            <w:tcW w:w="368" w:type="pct"/>
            <w:tcBorders>
              <w:tl2br w:val="nil"/>
              <w:tr2bl w:val="nil"/>
            </w:tcBorders>
            <w:noWrap w:val="0"/>
            <w:vAlign w:val="center"/>
          </w:tcPr>
          <w:p w14:paraId="5767BD2B">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2000</w:t>
            </w:r>
          </w:p>
        </w:tc>
        <w:tc>
          <w:tcPr>
            <w:tcW w:w="388" w:type="pct"/>
            <w:tcBorders>
              <w:tl2br w:val="nil"/>
              <w:tr2bl w:val="nil"/>
            </w:tcBorders>
            <w:noWrap w:val="0"/>
            <w:vAlign w:val="center"/>
          </w:tcPr>
          <w:p w14:paraId="527D539F">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73B532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2DE9D75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2-氯苯酚</w:t>
            </w:r>
          </w:p>
        </w:tc>
        <w:tc>
          <w:tcPr>
            <w:tcW w:w="346" w:type="pct"/>
            <w:tcBorders>
              <w:tl2br w:val="nil"/>
              <w:tr2bl w:val="nil"/>
            </w:tcBorders>
            <w:noWrap w:val="0"/>
            <w:vAlign w:val="center"/>
          </w:tcPr>
          <w:p w14:paraId="26B5CD8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354613E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874929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7119E25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2C7A4FE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539E33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28F51CA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CC7430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4254FB4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0F8D705B">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2256</w:t>
            </w:r>
          </w:p>
        </w:tc>
        <w:tc>
          <w:tcPr>
            <w:tcW w:w="368" w:type="pct"/>
            <w:tcBorders>
              <w:tl2br w:val="nil"/>
              <w:tr2bl w:val="nil"/>
            </w:tcBorders>
            <w:noWrap w:val="0"/>
            <w:vAlign w:val="center"/>
          </w:tcPr>
          <w:p w14:paraId="0593030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4500</w:t>
            </w:r>
          </w:p>
        </w:tc>
        <w:tc>
          <w:tcPr>
            <w:tcW w:w="388" w:type="pct"/>
            <w:tcBorders>
              <w:tl2br w:val="nil"/>
              <w:tr2bl w:val="nil"/>
            </w:tcBorders>
            <w:noWrap w:val="0"/>
            <w:vAlign w:val="center"/>
          </w:tcPr>
          <w:p w14:paraId="670D12E7">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3985E0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38D4362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硝基苯</w:t>
            </w:r>
          </w:p>
        </w:tc>
        <w:tc>
          <w:tcPr>
            <w:tcW w:w="346" w:type="pct"/>
            <w:tcBorders>
              <w:tl2br w:val="nil"/>
              <w:tr2bl w:val="nil"/>
            </w:tcBorders>
            <w:noWrap w:val="0"/>
            <w:vAlign w:val="center"/>
          </w:tcPr>
          <w:p w14:paraId="3A4C218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70653ED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341160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418EA45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37429C5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37AC38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170F97C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68666C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2D85A48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530FA83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w:t>
            </w:r>
          </w:p>
        </w:tc>
        <w:tc>
          <w:tcPr>
            <w:tcW w:w="368" w:type="pct"/>
            <w:tcBorders>
              <w:tl2br w:val="nil"/>
              <w:tr2bl w:val="nil"/>
            </w:tcBorders>
            <w:noWrap w:val="0"/>
            <w:vAlign w:val="center"/>
          </w:tcPr>
          <w:p w14:paraId="1CF31A0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760</w:t>
            </w:r>
          </w:p>
        </w:tc>
        <w:tc>
          <w:tcPr>
            <w:tcW w:w="388" w:type="pct"/>
            <w:tcBorders>
              <w:tl2br w:val="nil"/>
              <w:tr2bl w:val="nil"/>
            </w:tcBorders>
            <w:noWrap w:val="0"/>
            <w:vAlign w:val="center"/>
          </w:tcPr>
          <w:p w14:paraId="378DF439">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64B365F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549006D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萘</w:t>
            </w:r>
          </w:p>
        </w:tc>
        <w:tc>
          <w:tcPr>
            <w:tcW w:w="346" w:type="pct"/>
            <w:tcBorders>
              <w:tl2br w:val="nil"/>
              <w:tr2bl w:val="nil"/>
            </w:tcBorders>
            <w:noWrap w:val="0"/>
            <w:vAlign w:val="center"/>
          </w:tcPr>
          <w:p w14:paraId="3BE7E24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2902296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3DDB0E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6C47835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3F490EF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B954DC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6CACD79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5C7D2A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700D5E1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2E6E33C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368" w:type="pct"/>
            <w:tcBorders>
              <w:tl2br w:val="nil"/>
              <w:tr2bl w:val="nil"/>
            </w:tcBorders>
            <w:noWrap w:val="0"/>
            <w:vAlign w:val="center"/>
          </w:tcPr>
          <w:p w14:paraId="4AD68E0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700</w:t>
            </w:r>
          </w:p>
        </w:tc>
        <w:tc>
          <w:tcPr>
            <w:tcW w:w="388" w:type="pct"/>
            <w:tcBorders>
              <w:tl2br w:val="nil"/>
              <w:tr2bl w:val="nil"/>
            </w:tcBorders>
            <w:noWrap w:val="0"/>
            <w:vAlign w:val="center"/>
          </w:tcPr>
          <w:p w14:paraId="7F0B066B">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3B2200F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4A4DDB8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苯并（a）蒽</w:t>
            </w:r>
          </w:p>
        </w:tc>
        <w:tc>
          <w:tcPr>
            <w:tcW w:w="346" w:type="pct"/>
            <w:tcBorders>
              <w:tl2br w:val="nil"/>
              <w:tr2bl w:val="nil"/>
            </w:tcBorders>
            <w:noWrap w:val="0"/>
            <w:vAlign w:val="center"/>
          </w:tcPr>
          <w:p w14:paraId="7FEFB4C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7AC1754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A94C11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32CE1FC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191D650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0A6FD8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011E2EB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78DA8C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375FE4B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71CC893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68" w:type="pct"/>
            <w:tcBorders>
              <w:tl2br w:val="nil"/>
              <w:tr2bl w:val="nil"/>
            </w:tcBorders>
            <w:noWrap w:val="0"/>
            <w:vAlign w:val="center"/>
          </w:tcPr>
          <w:p w14:paraId="62E51C6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88" w:type="pct"/>
            <w:tcBorders>
              <w:tl2br w:val="nil"/>
              <w:tr2bl w:val="nil"/>
            </w:tcBorders>
            <w:noWrap w:val="0"/>
            <w:vAlign w:val="center"/>
          </w:tcPr>
          <w:p w14:paraId="7B8135B1">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A4B5A7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13D9E3E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䓛</w:t>
            </w:r>
          </w:p>
        </w:tc>
        <w:tc>
          <w:tcPr>
            <w:tcW w:w="346" w:type="pct"/>
            <w:tcBorders>
              <w:tl2br w:val="nil"/>
              <w:tr2bl w:val="nil"/>
            </w:tcBorders>
            <w:noWrap w:val="0"/>
            <w:vAlign w:val="center"/>
          </w:tcPr>
          <w:p w14:paraId="727A032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32038B5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79DDC9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1451A31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03B202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A073A4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2C3F82F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9F17A0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277BB25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4C91DBB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1293</w:t>
            </w:r>
          </w:p>
        </w:tc>
        <w:tc>
          <w:tcPr>
            <w:tcW w:w="368" w:type="pct"/>
            <w:tcBorders>
              <w:tl2br w:val="nil"/>
              <w:tr2bl w:val="nil"/>
            </w:tcBorders>
            <w:noWrap w:val="0"/>
            <w:vAlign w:val="center"/>
          </w:tcPr>
          <w:p w14:paraId="0F30AC0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12900</w:t>
            </w:r>
          </w:p>
        </w:tc>
        <w:tc>
          <w:tcPr>
            <w:tcW w:w="388" w:type="pct"/>
            <w:tcBorders>
              <w:tl2br w:val="nil"/>
              <w:tr2bl w:val="nil"/>
            </w:tcBorders>
            <w:noWrap w:val="0"/>
            <w:vAlign w:val="center"/>
          </w:tcPr>
          <w:p w14:paraId="5F9235D1">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25A56E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5756F70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苯并（b）荧蒽</w:t>
            </w:r>
          </w:p>
        </w:tc>
        <w:tc>
          <w:tcPr>
            <w:tcW w:w="346" w:type="pct"/>
            <w:tcBorders>
              <w:tl2br w:val="nil"/>
              <w:tr2bl w:val="nil"/>
            </w:tcBorders>
            <w:noWrap w:val="0"/>
            <w:vAlign w:val="center"/>
          </w:tcPr>
          <w:p w14:paraId="4F5F6C2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262A08D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902BAA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1A20097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1A7E621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05A8B7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478A210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C445CB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7E1523E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52E91F9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68" w:type="pct"/>
            <w:tcBorders>
              <w:tl2br w:val="nil"/>
              <w:tr2bl w:val="nil"/>
            </w:tcBorders>
            <w:noWrap w:val="0"/>
            <w:vAlign w:val="center"/>
          </w:tcPr>
          <w:p w14:paraId="7F21F09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88" w:type="pct"/>
            <w:tcBorders>
              <w:tl2br w:val="nil"/>
              <w:tr2bl w:val="nil"/>
            </w:tcBorders>
            <w:noWrap w:val="0"/>
            <w:vAlign w:val="center"/>
          </w:tcPr>
          <w:p w14:paraId="0BFCBD2D">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095B39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24B0706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苯并（k）荧蒽</w:t>
            </w:r>
          </w:p>
        </w:tc>
        <w:tc>
          <w:tcPr>
            <w:tcW w:w="346" w:type="pct"/>
            <w:tcBorders>
              <w:tl2br w:val="nil"/>
              <w:tr2bl w:val="nil"/>
            </w:tcBorders>
            <w:noWrap w:val="0"/>
            <w:vAlign w:val="center"/>
          </w:tcPr>
          <w:p w14:paraId="67BE170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52E942E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0E20AC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F82657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E15567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D3C91D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3F45FBD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7E7360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5E32AF1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7E4C1383">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68" w:type="pct"/>
            <w:tcBorders>
              <w:tl2br w:val="nil"/>
              <w:tr2bl w:val="nil"/>
            </w:tcBorders>
            <w:noWrap w:val="0"/>
            <w:vAlign w:val="center"/>
          </w:tcPr>
          <w:p w14:paraId="43FADCA2">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1500</w:t>
            </w:r>
          </w:p>
        </w:tc>
        <w:tc>
          <w:tcPr>
            <w:tcW w:w="388" w:type="pct"/>
            <w:tcBorders>
              <w:tl2br w:val="nil"/>
              <w:tr2bl w:val="nil"/>
            </w:tcBorders>
            <w:noWrap w:val="0"/>
            <w:vAlign w:val="center"/>
          </w:tcPr>
          <w:p w14:paraId="7279D418">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0CCFA0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24810B9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苯并（a）芘</w:t>
            </w:r>
          </w:p>
        </w:tc>
        <w:tc>
          <w:tcPr>
            <w:tcW w:w="346" w:type="pct"/>
            <w:tcBorders>
              <w:tl2br w:val="nil"/>
              <w:tr2bl w:val="nil"/>
            </w:tcBorders>
            <w:noWrap w:val="0"/>
            <w:vAlign w:val="center"/>
          </w:tcPr>
          <w:p w14:paraId="3EDD9C4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431614F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C987A6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671449B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0EFEB5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6D007A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0CD1C5F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554736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2838FD5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484EF90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68" w:type="pct"/>
            <w:tcBorders>
              <w:tl2br w:val="nil"/>
              <w:tr2bl w:val="nil"/>
            </w:tcBorders>
            <w:noWrap w:val="0"/>
            <w:vAlign w:val="center"/>
          </w:tcPr>
          <w:p w14:paraId="0621EB4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88" w:type="pct"/>
            <w:tcBorders>
              <w:tl2br w:val="nil"/>
              <w:tr2bl w:val="nil"/>
            </w:tcBorders>
            <w:noWrap w:val="0"/>
            <w:vAlign w:val="center"/>
          </w:tcPr>
          <w:p w14:paraId="0D45AA38">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7D457BB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44160DB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茚并（1,2,3-c,d）芘</w:t>
            </w:r>
          </w:p>
        </w:tc>
        <w:tc>
          <w:tcPr>
            <w:tcW w:w="346" w:type="pct"/>
            <w:tcBorders>
              <w:tl2br w:val="nil"/>
              <w:tr2bl w:val="nil"/>
            </w:tcBorders>
            <w:noWrap w:val="0"/>
            <w:vAlign w:val="center"/>
          </w:tcPr>
          <w:p w14:paraId="65FACD9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424D75D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B6C36D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179DEA2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74DAC13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AAC032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613157A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956EEA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7AED492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0E76E908">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68" w:type="pct"/>
            <w:tcBorders>
              <w:tl2br w:val="nil"/>
              <w:tr2bl w:val="nil"/>
            </w:tcBorders>
            <w:noWrap w:val="0"/>
            <w:vAlign w:val="center"/>
          </w:tcPr>
          <w:p w14:paraId="49B2744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88" w:type="pct"/>
            <w:tcBorders>
              <w:tl2br w:val="nil"/>
              <w:tr2bl w:val="nil"/>
            </w:tcBorders>
            <w:noWrap w:val="0"/>
            <w:vAlign w:val="center"/>
          </w:tcPr>
          <w:p w14:paraId="1775EE77">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05BF79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5F72C04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二苯</w:t>
            </w:r>
            <w:r>
              <w:rPr>
                <w:rFonts w:hint="default" w:ascii="Times New Roman" w:hAnsi="Times New Roman" w:cs="Times New Roman"/>
                <w:color w:val="auto"/>
                <w:sz w:val="18"/>
                <w:szCs w:val="18"/>
              </w:rPr>
              <w:t>并（a,h）蒽</w:t>
            </w:r>
          </w:p>
        </w:tc>
        <w:tc>
          <w:tcPr>
            <w:tcW w:w="346" w:type="pct"/>
            <w:tcBorders>
              <w:tl2br w:val="nil"/>
              <w:tr2bl w:val="nil"/>
            </w:tcBorders>
            <w:noWrap w:val="0"/>
            <w:vAlign w:val="center"/>
          </w:tcPr>
          <w:p w14:paraId="183073A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0AC1C23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AF67CF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C0191B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6EAD88E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166C69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4336B61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681426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644C1DC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655703C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68" w:type="pct"/>
            <w:tcBorders>
              <w:tl2br w:val="nil"/>
              <w:tr2bl w:val="nil"/>
            </w:tcBorders>
            <w:noWrap w:val="0"/>
            <w:vAlign w:val="center"/>
          </w:tcPr>
          <w:p w14:paraId="218DF467">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88" w:type="pct"/>
            <w:tcBorders>
              <w:tl2br w:val="nil"/>
              <w:tr2bl w:val="nil"/>
            </w:tcBorders>
            <w:noWrap w:val="0"/>
            <w:vAlign w:val="center"/>
          </w:tcPr>
          <w:p w14:paraId="7930BBA1">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962338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46DC969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苯胺</w:t>
            </w:r>
          </w:p>
        </w:tc>
        <w:tc>
          <w:tcPr>
            <w:tcW w:w="346" w:type="pct"/>
            <w:tcBorders>
              <w:tl2br w:val="nil"/>
              <w:tr2bl w:val="nil"/>
            </w:tcBorders>
            <w:noWrap w:val="0"/>
            <w:vAlign w:val="center"/>
          </w:tcPr>
          <w:p w14:paraId="3380F21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10B1427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FA9861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1F88308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40BFA43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13D882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7A1465F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D6FE17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1C7703D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134B3D71">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260</w:t>
            </w:r>
          </w:p>
        </w:tc>
        <w:tc>
          <w:tcPr>
            <w:tcW w:w="368" w:type="pct"/>
            <w:tcBorders>
              <w:tl2br w:val="nil"/>
              <w:tr2bl w:val="nil"/>
            </w:tcBorders>
            <w:noWrap w:val="0"/>
            <w:vAlign w:val="center"/>
          </w:tcPr>
          <w:p w14:paraId="69EC3D7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663</w:t>
            </w:r>
          </w:p>
        </w:tc>
        <w:tc>
          <w:tcPr>
            <w:tcW w:w="388" w:type="pct"/>
            <w:tcBorders>
              <w:tl2br w:val="nil"/>
              <w:tr2bl w:val="nil"/>
            </w:tcBorders>
            <w:noWrap w:val="0"/>
            <w:vAlign w:val="center"/>
          </w:tcPr>
          <w:p w14:paraId="634670EA">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E12832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51EBB4E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反-1,2-二氯乙烯</w:t>
            </w:r>
          </w:p>
        </w:tc>
        <w:tc>
          <w:tcPr>
            <w:tcW w:w="346" w:type="pct"/>
            <w:tcBorders>
              <w:tl2br w:val="nil"/>
              <w:tr2bl w:val="nil"/>
            </w:tcBorders>
            <w:noWrap w:val="0"/>
            <w:vAlign w:val="center"/>
          </w:tcPr>
          <w:p w14:paraId="43E4FFD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01AE911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24CB1C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7CDB4E7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3845844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FAEDE9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5D92A79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946DF3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6703EE7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28D39F0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368" w:type="pct"/>
            <w:tcBorders>
              <w:tl2br w:val="nil"/>
              <w:tr2bl w:val="nil"/>
            </w:tcBorders>
            <w:noWrap w:val="0"/>
            <w:vAlign w:val="center"/>
          </w:tcPr>
          <w:p w14:paraId="6EDB244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163</w:t>
            </w:r>
          </w:p>
        </w:tc>
        <w:tc>
          <w:tcPr>
            <w:tcW w:w="388" w:type="pct"/>
            <w:tcBorders>
              <w:tl2br w:val="nil"/>
              <w:tr2bl w:val="nil"/>
            </w:tcBorders>
            <w:noWrap w:val="0"/>
            <w:vAlign w:val="center"/>
          </w:tcPr>
          <w:p w14:paraId="0CB38890">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7BB182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462B2AE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1,1-二氯乙烯</w:t>
            </w:r>
          </w:p>
        </w:tc>
        <w:tc>
          <w:tcPr>
            <w:tcW w:w="346" w:type="pct"/>
            <w:tcBorders>
              <w:tl2br w:val="nil"/>
              <w:tr2bl w:val="nil"/>
            </w:tcBorders>
            <w:noWrap w:val="0"/>
            <w:vAlign w:val="center"/>
          </w:tcPr>
          <w:p w14:paraId="43CEBBE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7945BF1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FB3405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6923AEE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4508D3C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033D5F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5949FE5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02BBAF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46AD416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3F796F5D">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368" w:type="pct"/>
            <w:tcBorders>
              <w:tl2br w:val="nil"/>
              <w:tr2bl w:val="nil"/>
            </w:tcBorders>
            <w:noWrap w:val="0"/>
            <w:vAlign w:val="center"/>
          </w:tcPr>
          <w:p w14:paraId="171D250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388" w:type="pct"/>
            <w:tcBorders>
              <w:tl2br w:val="nil"/>
              <w:tr2bl w:val="nil"/>
            </w:tcBorders>
            <w:noWrap w:val="0"/>
            <w:vAlign w:val="center"/>
          </w:tcPr>
          <w:p w14:paraId="73ED5ADB">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5C40DC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4D5078D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顺-1,2-二氯乙烯</w:t>
            </w:r>
          </w:p>
        </w:tc>
        <w:tc>
          <w:tcPr>
            <w:tcW w:w="346" w:type="pct"/>
            <w:tcBorders>
              <w:tl2br w:val="nil"/>
              <w:tr2bl w:val="nil"/>
            </w:tcBorders>
            <w:noWrap w:val="0"/>
            <w:vAlign w:val="center"/>
          </w:tcPr>
          <w:p w14:paraId="31DB641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1AD637C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6A8950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EF595B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663E1FD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2FE125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68D4A24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450660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6B01BB4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1D2FB281">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596</w:t>
            </w:r>
          </w:p>
        </w:tc>
        <w:tc>
          <w:tcPr>
            <w:tcW w:w="368" w:type="pct"/>
            <w:tcBorders>
              <w:tl2br w:val="nil"/>
              <w:tr2bl w:val="nil"/>
            </w:tcBorders>
            <w:noWrap w:val="0"/>
            <w:vAlign w:val="center"/>
          </w:tcPr>
          <w:p w14:paraId="1268F69A">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2000</w:t>
            </w:r>
          </w:p>
        </w:tc>
        <w:tc>
          <w:tcPr>
            <w:tcW w:w="388" w:type="pct"/>
            <w:tcBorders>
              <w:tl2br w:val="nil"/>
              <w:tr2bl w:val="nil"/>
            </w:tcBorders>
            <w:noWrap w:val="0"/>
            <w:vAlign w:val="center"/>
          </w:tcPr>
          <w:p w14:paraId="22A0FAA3">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33613F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24FE597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氯仿</w:t>
            </w:r>
          </w:p>
        </w:tc>
        <w:tc>
          <w:tcPr>
            <w:tcW w:w="346" w:type="pct"/>
            <w:tcBorders>
              <w:tl2br w:val="nil"/>
              <w:tr2bl w:val="nil"/>
            </w:tcBorders>
            <w:noWrap w:val="0"/>
            <w:vAlign w:val="center"/>
          </w:tcPr>
          <w:p w14:paraId="5ADEE62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42BDFD1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F78173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5D57DD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7C106FB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ABD024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43B2C01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25A288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40406E6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33F6387D">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0.9</w:t>
            </w:r>
          </w:p>
        </w:tc>
        <w:tc>
          <w:tcPr>
            <w:tcW w:w="368" w:type="pct"/>
            <w:tcBorders>
              <w:tl2br w:val="nil"/>
              <w:tr2bl w:val="nil"/>
            </w:tcBorders>
            <w:noWrap w:val="0"/>
            <w:vAlign w:val="center"/>
          </w:tcPr>
          <w:p w14:paraId="27C641A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388" w:type="pct"/>
            <w:tcBorders>
              <w:tl2br w:val="nil"/>
              <w:tr2bl w:val="nil"/>
            </w:tcBorders>
            <w:noWrap w:val="0"/>
            <w:vAlign w:val="center"/>
          </w:tcPr>
          <w:p w14:paraId="63652E26">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53B506C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43D6D46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1,2-二氯乙烷</w:t>
            </w:r>
          </w:p>
        </w:tc>
        <w:tc>
          <w:tcPr>
            <w:tcW w:w="346" w:type="pct"/>
            <w:tcBorders>
              <w:tl2br w:val="nil"/>
              <w:tr2bl w:val="nil"/>
            </w:tcBorders>
            <w:noWrap w:val="0"/>
            <w:vAlign w:val="center"/>
          </w:tcPr>
          <w:p w14:paraId="1F7AA6B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46381ED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CB953F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1A1E15C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683CCBA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D2038B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6CCAC7E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2E27B6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212C847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26CB5D7B">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368" w:type="pct"/>
            <w:tcBorders>
              <w:tl2br w:val="nil"/>
              <w:tr2bl w:val="nil"/>
            </w:tcBorders>
            <w:noWrap w:val="0"/>
            <w:vAlign w:val="center"/>
          </w:tcPr>
          <w:p w14:paraId="3A929406">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w:t>
            </w:r>
          </w:p>
        </w:tc>
        <w:tc>
          <w:tcPr>
            <w:tcW w:w="388" w:type="pct"/>
            <w:tcBorders>
              <w:tl2br w:val="nil"/>
              <w:tr2bl w:val="nil"/>
            </w:tcBorders>
            <w:noWrap w:val="0"/>
            <w:vAlign w:val="center"/>
          </w:tcPr>
          <w:p w14:paraId="71BF1D86">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541F271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2A85E62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1,1,1-三氯乙烷</w:t>
            </w:r>
          </w:p>
        </w:tc>
        <w:tc>
          <w:tcPr>
            <w:tcW w:w="346" w:type="pct"/>
            <w:tcBorders>
              <w:tl2br w:val="nil"/>
              <w:tr2bl w:val="nil"/>
            </w:tcBorders>
            <w:noWrap w:val="0"/>
            <w:vAlign w:val="center"/>
          </w:tcPr>
          <w:p w14:paraId="56BF9E8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2CF3A4E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1A59E6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7DB20B7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63DFD13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4D5991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18070F5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A11302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6017378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02340B26">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840</w:t>
            </w:r>
          </w:p>
        </w:tc>
        <w:tc>
          <w:tcPr>
            <w:tcW w:w="368" w:type="pct"/>
            <w:tcBorders>
              <w:tl2br w:val="nil"/>
              <w:tr2bl w:val="nil"/>
            </w:tcBorders>
            <w:noWrap w:val="0"/>
            <w:vAlign w:val="center"/>
          </w:tcPr>
          <w:p w14:paraId="5F74A371">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840</w:t>
            </w:r>
          </w:p>
        </w:tc>
        <w:tc>
          <w:tcPr>
            <w:tcW w:w="388" w:type="pct"/>
            <w:tcBorders>
              <w:tl2br w:val="nil"/>
              <w:tr2bl w:val="nil"/>
            </w:tcBorders>
            <w:noWrap w:val="0"/>
            <w:vAlign w:val="center"/>
          </w:tcPr>
          <w:p w14:paraId="38AAEE49">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323BC3C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26C3993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四氯化碳</w:t>
            </w:r>
          </w:p>
        </w:tc>
        <w:tc>
          <w:tcPr>
            <w:tcW w:w="346" w:type="pct"/>
            <w:tcBorders>
              <w:tl2br w:val="nil"/>
              <w:tr2bl w:val="nil"/>
            </w:tcBorders>
            <w:noWrap w:val="0"/>
            <w:vAlign w:val="center"/>
          </w:tcPr>
          <w:p w14:paraId="777B407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7F0A329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865E27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A8EB44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5AC19DA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A96674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2992594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FA4EE3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51186A9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698FB85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w:t>
            </w:r>
          </w:p>
        </w:tc>
        <w:tc>
          <w:tcPr>
            <w:tcW w:w="368" w:type="pct"/>
            <w:tcBorders>
              <w:tl2br w:val="nil"/>
              <w:tr2bl w:val="nil"/>
            </w:tcBorders>
            <w:noWrap w:val="0"/>
            <w:vAlign w:val="center"/>
          </w:tcPr>
          <w:p w14:paraId="004076B1">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36</w:t>
            </w:r>
          </w:p>
        </w:tc>
        <w:tc>
          <w:tcPr>
            <w:tcW w:w="388" w:type="pct"/>
            <w:tcBorders>
              <w:tl2br w:val="nil"/>
              <w:tr2bl w:val="nil"/>
            </w:tcBorders>
            <w:noWrap w:val="0"/>
            <w:vAlign w:val="center"/>
          </w:tcPr>
          <w:p w14:paraId="553B01B0">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51D846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04D83EE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w:t>
            </w:r>
          </w:p>
        </w:tc>
        <w:tc>
          <w:tcPr>
            <w:tcW w:w="346" w:type="pct"/>
            <w:tcBorders>
              <w:tl2br w:val="nil"/>
              <w:tr2bl w:val="nil"/>
            </w:tcBorders>
            <w:noWrap w:val="0"/>
            <w:vAlign w:val="center"/>
          </w:tcPr>
          <w:p w14:paraId="4321C03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47EF564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150B3B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2B8EA88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5ECED3F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B6D3EB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6CDBC20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513042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310B835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71CCA288">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368" w:type="pct"/>
            <w:tcBorders>
              <w:tl2br w:val="nil"/>
              <w:tr2bl w:val="nil"/>
            </w:tcBorders>
            <w:noWrap w:val="0"/>
            <w:vAlign w:val="center"/>
          </w:tcPr>
          <w:p w14:paraId="4F0EE63B">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388" w:type="pct"/>
            <w:tcBorders>
              <w:tl2br w:val="nil"/>
              <w:tr2bl w:val="nil"/>
            </w:tcBorders>
            <w:noWrap w:val="0"/>
            <w:vAlign w:val="center"/>
          </w:tcPr>
          <w:p w14:paraId="285E1E86">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646314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66DB976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1,2-二氯丙烷</w:t>
            </w:r>
          </w:p>
        </w:tc>
        <w:tc>
          <w:tcPr>
            <w:tcW w:w="346" w:type="pct"/>
            <w:tcBorders>
              <w:tl2br w:val="nil"/>
              <w:tr2bl w:val="nil"/>
            </w:tcBorders>
            <w:noWrap w:val="0"/>
            <w:vAlign w:val="center"/>
          </w:tcPr>
          <w:p w14:paraId="3A21DCB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712C2F4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74D09D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44FF5B7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389E51A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A19C0C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198C0AE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25CE25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04FF6BF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6FCE6346">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368" w:type="pct"/>
            <w:tcBorders>
              <w:tl2br w:val="nil"/>
              <w:tr2bl w:val="nil"/>
            </w:tcBorders>
            <w:noWrap w:val="0"/>
            <w:vAlign w:val="center"/>
          </w:tcPr>
          <w:p w14:paraId="2B4316A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w:t>
            </w:r>
          </w:p>
        </w:tc>
        <w:tc>
          <w:tcPr>
            <w:tcW w:w="388" w:type="pct"/>
            <w:tcBorders>
              <w:tl2br w:val="nil"/>
              <w:tr2bl w:val="nil"/>
            </w:tcBorders>
            <w:noWrap w:val="0"/>
            <w:vAlign w:val="center"/>
          </w:tcPr>
          <w:p w14:paraId="64725C9A">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7C90E56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2C19ACB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三氯乙烯</w:t>
            </w:r>
          </w:p>
        </w:tc>
        <w:tc>
          <w:tcPr>
            <w:tcW w:w="346" w:type="pct"/>
            <w:tcBorders>
              <w:tl2br w:val="nil"/>
              <w:tr2bl w:val="nil"/>
            </w:tcBorders>
            <w:noWrap w:val="0"/>
            <w:vAlign w:val="center"/>
          </w:tcPr>
          <w:p w14:paraId="7490DEF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149E761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5C49C7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33F51A0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5CEBBF0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4A3CC0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24DDF09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BA2BB8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395EBCA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36FC864C">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w:t>
            </w:r>
          </w:p>
        </w:tc>
        <w:tc>
          <w:tcPr>
            <w:tcW w:w="368" w:type="pct"/>
            <w:tcBorders>
              <w:tl2br w:val="nil"/>
              <w:tr2bl w:val="nil"/>
            </w:tcBorders>
            <w:noWrap w:val="0"/>
            <w:vAlign w:val="center"/>
          </w:tcPr>
          <w:p w14:paraId="3700137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88" w:type="pct"/>
            <w:tcBorders>
              <w:tl2br w:val="nil"/>
              <w:tr2bl w:val="nil"/>
            </w:tcBorders>
            <w:noWrap w:val="0"/>
            <w:vAlign w:val="center"/>
          </w:tcPr>
          <w:p w14:paraId="5718F95F">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795B5C4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72B09A0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1,1,2-三氯乙烷</w:t>
            </w:r>
          </w:p>
        </w:tc>
        <w:tc>
          <w:tcPr>
            <w:tcW w:w="346" w:type="pct"/>
            <w:tcBorders>
              <w:tl2br w:val="nil"/>
              <w:tr2bl w:val="nil"/>
            </w:tcBorders>
            <w:noWrap w:val="0"/>
            <w:vAlign w:val="center"/>
          </w:tcPr>
          <w:p w14:paraId="0CF55E5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1641C23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99159D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3E66C08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5F12930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55CC97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43A0180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E617D0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75B52DD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6EE43261">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w:t>
            </w:r>
          </w:p>
        </w:tc>
        <w:tc>
          <w:tcPr>
            <w:tcW w:w="368" w:type="pct"/>
            <w:tcBorders>
              <w:tl2br w:val="nil"/>
              <w:tr2bl w:val="nil"/>
            </w:tcBorders>
            <w:noWrap w:val="0"/>
            <w:vAlign w:val="center"/>
          </w:tcPr>
          <w:p w14:paraId="26B38F62">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88" w:type="pct"/>
            <w:tcBorders>
              <w:tl2br w:val="nil"/>
              <w:tr2bl w:val="nil"/>
            </w:tcBorders>
            <w:noWrap w:val="0"/>
            <w:vAlign w:val="center"/>
          </w:tcPr>
          <w:p w14:paraId="1CAF1A8E">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16F9DFD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79451C5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甲苯</w:t>
            </w:r>
            <w:r>
              <w:rPr>
                <w:rFonts w:hint="default" w:ascii="Times New Roman" w:hAnsi="Times New Roman" w:cs="Times New Roman"/>
                <w:color w:val="auto"/>
                <w:sz w:val="18"/>
                <w:szCs w:val="18"/>
                <w:lang w:eastAsia="zh-CN"/>
              </w:rPr>
              <w:t>（µ</w:t>
            </w:r>
            <w:r>
              <w:rPr>
                <w:rFonts w:hint="default" w:ascii="Times New Roman" w:hAnsi="Times New Roman" w:cs="Times New Roman"/>
                <w:color w:val="auto"/>
                <w:sz w:val="18"/>
                <w:szCs w:val="18"/>
                <w:lang w:val="en-US" w:eastAsia="zh-CN"/>
              </w:rPr>
              <w:t>g/kg</w:t>
            </w:r>
            <w:r>
              <w:rPr>
                <w:rFonts w:hint="default" w:ascii="Times New Roman" w:hAnsi="Times New Roman" w:cs="Times New Roman"/>
                <w:color w:val="auto"/>
                <w:sz w:val="18"/>
                <w:szCs w:val="18"/>
                <w:lang w:eastAsia="zh-CN"/>
              </w:rPr>
              <w:t>）</w:t>
            </w:r>
          </w:p>
        </w:tc>
        <w:tc>
          <w:tcPr>
            <w:tcW w:w="346" w:type="pct"/>
            <w:tcBorders>
              <w:tl2br w:val="nil"/>
              <w:tr2bl w:val="nil"/>
            </w:tcBorders>
            <w:noWrap w:val="0"/>
            <w:vAlign w:val="center"/>
          </w:tcPr>
          <w:p w14:paraId="74E7037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072083D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4DB874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1F755E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78D4735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3AC10E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61D123F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CE9273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3D4519A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3512ECC6">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1200</w:t>
            </w:r>
          </w:p>
        </w:tc>
        <w:tc>
          <w:tcPr>
            <w:tcW w:w="368" w:type="pct"/>
            <w:tcBorders>
              <w:tl2br w:val="nil"/>
              <w:tr2bl w:val="nil"/>
            </w:tcBorders>
            <w:noWrap w:val="0"/>
            <w:vAlign w:val="center"/>
          </w:tcPr>
          <w:p w14:paraId="32CB30E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1200</w:t>
            </w:r>
          </w:p>
        </w:tc>
        <w:tc>
          <w:tcPr>
            <w:tcW w:w="388" w:type="pct"/>
            <w:tcBorders>
              <w:tl2br w:val="nil"/>
              <w:tr2bl w:val="nil"/>
            </w:tcBorders>
            <w:noWrap w:val="0"/>
            <w:vAlign w:val="center"/>
          </w:tcPr>
          <w:p w14:paraId="71FA13FA">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53E07A0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0E2E25D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四氯乙烯</w:t>
            </w:r>
          </w:p>
        </w:tc>
        <w:tc>
          <w:tcPr>
            <w:tcW w:w="346" w:type="pct"/>
            <w:tcBorders>
              <w:tl2br w:val="nil"/>
              <w:tr2bl w:val="nil"/>
            </w:tcBorders>
            <w:noWrap w:val="0"/>
            <w:vAlign w:val="center"/>
          </w:tcPr>
          <w:p w14:paraId="14B75FC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118EB00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5B40AF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5265D11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64FE119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349068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3B363D3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596080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3A408AF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331394BB">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w:t>
            </w:r>
          </w:p>
        </w:tc>
        <w:tc>
          <w:tcPr>
            <w:tcW w:w="368" w:type="pct"/>
            <w:tcBorders>
              <w:tl2br w:val="nil"/>
              <w:tr2bl w:val="nil"/>
            </w:tcBorders>
            <w:noWrap w:val="0"/>
            <w:vAlign w:val="center"/>
          </w:tcPr>
          <w:p w14:paraId="08AB458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183</w:t>
            </w:r>
          </w:p>
        </w:tc>
        <w:tc>
          <w:tcPr>
            <w:tcW w:w="388" w:type="pct"/>
            <w:tcBorders>
              <w:tl2br w:val="nil"/>
              <w:tr2bl w:val="nil"/>
            </w:tcBorders>
            <w:noWrap w:val="0"/>
            <w:vAlign w:val="center"/>
          </w:tcPr>
          <w:p w14:paraId="238A5611">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786E970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79A43A7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1,1,1,2-四氯乙烯</w:t>
            </w:r>
          </w:p>
        </w:tc>
        <w:tc>
          <w:tcPr>
            <w:tcW w:w="346" w:type="pct"/>
            <w:tcBorders>
              <w:tl2br w:val="nil"/>
              <w:tr2bl w:val="nil"/>
            </w:tcBorders>
            <w:noWrap w:val="0"/>
            <w:vAlign w:val="center"/>
          </w:tcPr>
          <w:p w14:paraId="09C9497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00A10D2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1AEC0B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692F6CD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53F5688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585328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72DBF5E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46FCCC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4E3D57F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4AD40E6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368" w:type="pct"/>
            <w:tcBorders>
              <w:tl2br w:val="nil"/>
              <w:tr2bl w:val="nil"/>
            </w:tcBorders>
            <w:noWrap w:val="0"/>
            <w:vAlign w:val="center"/>
          </w:tcPr>
          <w:p w14:paraId="23B4078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388" w:type="pct"/>
            <w:tcBorders>
              <w:tl2br w:val="nil"/>
              <w:tr2bl w:val="nil"/>
            </w:tcBorders>
            <w:noWrap w:val="0"/>
            <w:vAlign w:val="center"/>
          </w:tcPr>
          <w:p w14:paraId="62BE9CB4">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CADE32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3339861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氯苯</w:t>
            </w:r>
          </w:p>
        </w:tc>
        <w:tc>
          <w:tcPr>
            <w:tcW w:w="346" w:type="pct"/>
            <w:tcBorders>
              <w:tl2br w:val="nil"/>
              <w:tr2bl w:val="nil"/>
            </w:tcBorders>
            <w:noWrap w:val="0"/>
            <w:vAlign w:val="center"/>
          </w:tcPr>
          <w:p w14:paraId="38C2E18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1370E61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3C9E42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7B9AD6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212F394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84B543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507EBC0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5485BF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5A82A74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6D338EC7">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270</w:t>
            </w:r>
          </w:p>
        </w:tc>
        <w:tc>
          <w:tcPr>
            <w:tcW w:w="368" w:type="pct"/>
            <w:tcBorders>
              <w:tl2br w:val="nil"/>
              <w:tr2bl w:val="nil"/>
            </w:tcBorders>
            <w:noWrap w:val="0"/>
            <w:vAlign w:val="center"/>
          </w:tcPr>
          <w:p w14:paraId="009DF2B2">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1000</w:t>
            </w:r>
          </w:p>
        </w:tc>
        <w:tc>
          <w:tcPr>
            <w:tcW w:w="388" w:type="pct"/>
            <w:tcBorders>
              <w:tl2br w:val="nil"/>
              <w:tr2bl w:val="nil"/>
            </w:tcBorders>
            <w:noWrap w:val="0"/>
            <w:vAlign w:val="center"/>
          </w:tcPr>
          <w:p w14:paraId="68091F82">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1947FE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6537CF8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乙苯</w:t>
            </w:r>
          </w:p>
        </w:tc>
        <w:tc>
          <w:tcPr>
            <w:tcW w:w="346" w:type="pct"/>
            <w:tcBorders>
              <w:tl2br w:val="nil"/>
              <w:tr2bl w:val="nil"/>
            </w:tcBorders>
            <w:noWrap w:val="0"/>
            <w:vAlign w:val="center"/>
          </w:tcPr>
          <w:p w14:paraId="75D9FE5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72EAF07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27E246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4E25019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3A85BBE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5FB2C0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110BA71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FBFFEA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4AE9CCF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739514E2">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w:t>
            </w:r>
          </w:p>
        </w:tc>
        <w:tc>
          <w:tcPr>
            <w:tcW w:w="368" w:type="pct"/>
            <w:tcBorders>
              <w:tl2br w:val="nil"/>
              <w:tr2bl w:val="nil"/>
            </w:tcBorders>
            <w:noWrap w:val="0"/>
            <w:vAlign w:val="center"/>
          </w:tcPr>
          <w:p w14:paraId="1F976AAD">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280</w:t>
            </w:r>
          </w:p>
        </w:tc>
        <w:tc>
          <w:tcPr>
            <w:tcW w:w="388" w:type="pct"/>
            <w:tcBorders>
              <w:tl2br w:val="nil"/>
              <w:tr2bl w:val="nil"/>
            </w:tcBorders>
            <w:noWrap w:val="0"/>
            <w:vAlign w:val="center"/>
          </w:tcPr>
          <w:p w14:paraId="7FE68B63">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6938C75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4F56676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间，对</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二甲苯</w:t>
            </w:r>
          </w:p>
        </w:tc>
        <w:tc>
          <w:tcPr>
            <w:tcW w:w="346" w:type="pct"/>
            <w:tcBorders>
              <w:tl2br w:val="nil"/>
              <w:tr2bl w:val="nil"/>
            </w:tcBorders>
            <w:noWrap w:val="0"/>
            <w:vAlign w:val="center"/>
          </w:tcPr>
          <w:p w14:paraId="1DD4021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095AAAF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A5D792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61203A8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77DD0B4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39A2CC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24C9FF5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365A9A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15FAFD2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2FFB1C01">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570</w:t>
            </w:r>
          </w:p>
        </w:tc>
        <w:tc>
          <w:tcPr>
            <w:tcW w:w="368" w:type="pct"/>
            <w:tcBorders>
              <w:tl2br w:val="nil"/>
              <w:tr2bl w:val="nil"/>
            </w:tcBorders>
            <w:noWrap w:val="0"/>
            <w:vAlign w:val="center"/>
          </w:tcPr>
          <w:p w14:paraId="2C8ACEE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270</w:t>
            </w:r>
          </w:p>
        </w:tc>
        <w:tc>
          <w:tcPr>
            <w:tcW w:w="388" w:type="pct"/>
            <w:tcBorders>
              <w:tl2br w:val="nil"/>
              <w:tr2bl w:val="nil"/>
            </w:tcBorders>
            <w:noWrap w:val="0"/>
            <w:vAlign w:val="center"/>
          </w:tcPr>
          <w:p w14:paraId="51B878AF">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7F0B9AD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53F4E0E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苯乙烯</w:t>
            </w:r>
          </w:p>
        </w:tc>
        <w:tc>
          <w:tcPr>
            <w:tcW w:w="346" w:type="pct"/>
            <w:tcBorders>
              <w:tl2br w:val="nil"/>
              <w:tr2bl w:val="nil"/>
            </w:tcBorders>
            <w:noWrap w:val="0"/>
            <w:vAlign w:val="center"/>
          </w:tcPr>
          <w:p w14:paraId="140EC2C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2BE4C5C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A1C40C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781704B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47185E4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F49018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1AC2B84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8D8492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3D29D61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2BAA400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1290</w:t>
            </w:r>
          </w:p>
        </w:tc>
        <w:tc>
          <w:tcPr>
            <w:tcW w:w="368" w:type="pct"/>
            <w:tcBorders>
              <w:tl2br w:val="nil"/>
              <w:tr2bl w:val="nil"/>
            </w:tcBorders>
            <w:noWrap w:val="0"/>
            <w:vAlign w:val="center"/>
          </w:tcPr>
          <w:p w14:paraId="3A1DEA3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1290</w:t>
            </w:r>
          </w:p>
        </w:tc>
        <w:tc>
          <w:tcPr>
            <w:tcW w:w="388" w:type="pct"/>
            <w:tcBorders>
              <w:tl2br w:val="nil"/>
              <w:tr2bl w:val="nil"/>
            </w:tcBorders>
            <w:noWrap w:val="0"/>
            <w:vAlign w:val="center"/>
          </w:tcPr>
          <w:p w14:paraId="7D74CB03">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37FDFA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602C718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邻-二甲苯</w:t>
            </w:r>
          </w:p>
        </w:tc>
        <w:tc>
          <w:tcPr>
            <w:tcW w:w="346" w:type="pct"/>
            <w:tcBorders>
              <w:tl2br w:val="nil"/>
              <w:tr2bl w:val="nil"/>
            </w:tcBorders>
            <w:noWrap w:val="0"/>
            <w:vAlign w:val="center"/>
          </w:tcPr>
          <w:p w14:paraId="2050C2F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6E4CF29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CE6590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25E63F7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56402CE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A9FBBB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70FC16E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C94797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624CED3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5BA0FB6D">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640</w:t>
            </w:r>
          </w:p>
        </w:tc>
        <w:tc>
          <w:tcPr>
            <w:tcW w:w="368" w:type="pct"/>
            <w:tcBorders>
              <w:tl2br w:val="nil"/>
              <w:tr2bl w:val="nil"/>
            </w:tcBorders>
            <w:noWrap w:val="0"/>
            <w:vAlign w:val="center"/>
          </w:tcPr>
          <w:p w14:paraId="44C077E4">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640</w:t>
            </w:r>
          </w:p>
        </w:tc>
        <w:tc>
          <w:tcPr>
            <w:tcW w:w="388" w:type="pct"/>
            <w:tcBorders>
              <w:tl2br w:val="nil"/>
              <w:tr2bl w:val="nil"/>
            </w:tcBorders>
            <w:noWrap w:val="0"/>
            <w:vAlign w:val="center"/>
          </w:tcPr>
          <w:p w14:paraId="1055BA30">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7B16BBF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0B7A30A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1,1,2,2-四氯乙烷</w:t>
            </w:r>
          </w:p>
        </w:tc>
        <w:tc>
          <w:tcPr>
            <w:tcW w:w="346" w:type="pct"/>
            <w:tcBorders>
              <w:tl2br w:val="nil"/>
              <w:tr2bl w:val="nil"/>
            </w:tcBorders>
            <w:noWrap w:val="0"/>
            <w:vAlign w:val="center"/>
          </w:tcPr>
          <w:p w14:paraId="5452029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498F0FF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6F34C9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27B865E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293910B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AF9566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4C7A55F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61171C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439C413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02DF4AB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6.8</w:t>
            </w:r>
          </w:p>
        </w:tc>
        <w:tc>
          <w:tcPr>
            <w:tcW w:w="368" w:type="pct"/>
            <w:tcBorders>
              <w:tl2br w:val="nil"/>
              <w:tr2bl w:val="nil"/>
            </w:tcBorders>
            <w:noWrap w:val="0"/>
            <w:vAlign w:val="center"/>
          </w:tcPr>
          <w:p w14:paraId="42A7B36A">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388" w:type="pct"/>
            <w:tcBorders>
              <w:tl2br w:val="nil"/>
              <w:tr2bl w:val="nil"/>
            </w:tcBorders>
            <w:noWrap w:val="0"/>
            <w:vAlign w:val="center"/>
          </w:tcPr>
          <w:p w14:paraId="4D675653">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E05A9B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2F426AC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1,2,3-三氯丙烷</w:t>
            </w:r>
          </w:p>
        </w:tc>
        <w:tc>
          <w:tcPr>
            <w:tcW w:w="346" w:type="pct"/>
            <w:tcBorders>
              <w:tl2br w:val="nil"/>
              <w:tr2bl w:val="nil"/>
            </w:tcBorders>
            <w:noWrap w:val="0"/>
            <w:vAlign w:val="center"/>
          </w:tcPr>
          <w:p w14:paraId="4702D74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0C62CA8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54BEE4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59011D5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6254F6E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01A0FC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5A21EA7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6F84C3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0E02C84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1F026D8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368" w:type="pct"/>
            <w:tcBorders>
              <w:tl2br w:val="nil"/>
              <w:tr2bl w:val="nil"/>
            </w:tcBorders>
            <w:noWrap w:val="0"/>
            <w:vAlign w:val="center"/>
          </w:tcPr>
          <w:p w14:paraId="2C84B64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388" w:type="pct"/>
            <w:tcBorders>
              <w:tl2br w:val="nil"/>
              <w:tr2bl w:val="nil"/>
            </w:tcBorders>
            <w:noWrap w:val="0"/>
            <w:vAlign w:val="center"/>
          </w:tcPr>
          <w:p w14:paraId="05246E25">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A6E732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42C489B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1,2-二氯苯</w:t>
            </w:r>
          </w:p>
        </w:tc>
        <w:tc>
          <w:tcPr>
            <w:tcW w:w="346" w:type="pct"/>
            <w:tcBorders>
              <w:tl2br w:val="nil"/>
              <w:tr2bl w:val="nil"/>
            </w:tcBorders>
            <w:noWrap w:val="0"/>
            <w:vAlign w:val="center"/>
          </w:tcPr>
          <w:p w14:paraId="564B62C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2A5AE6C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D5A8A3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46B2D72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7E8198C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A1AFDA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3961731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4B1BFA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0F8C425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38D5CF0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560</w:t>
            </w:r>
          </w:p>
        </w:tc>
        <w:tc>
          <w:tcPr>
            <w:tcW w:w="368" w:type="pct"/>
            <w:tcBorders>
              <w:tl2br w:val="nil"/>
              <w:tr2bl w:val="nil"/>
            </w:tcBorders>
            <w:noWrap w:val="0"/>
            <w:vAlign w:val="center"/>
          </w:tcPr>
          <w:p w14:paraId="0CDFBAEC">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560</w:t>
            </w:r>
          </w:p>
        </w:tc>
        <w:tc>
          <w:tcPr>
            <w:tcW w:w="388" w:type="pct"/>
            <w:tcBorders>
              <w:tl2br w:val="nil"/>
              <w:tr2bl w:val="nil"/>
            </w:tcBorders>
            <w:noWrap w:val="0"/>
            <w:vAlign w:val="center"/>
          </w:tcPr>
          <w:p w14:paraId="055FBE27">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EE4D02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137F3A2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1,4-二氯苯</w:t>
            </w:r>
          </w:p>
        </w:tc>
        <w:tc>
          <w:tcPr>
            <w:tcW w:w="346" w:type="pct"/>
            <w:tcBorders>
              <w:tl2br w:val="nil"/>
              <w:tr2bl w:val="nil"/>
            </w:tcBorders>
            <w:noWrap w:val="0"/>
            <w:vAlign w:val="center"/>
          </w:tcPr>
          <w:p w14:paraId="724C20A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6ED81E0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D8DB16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27ECAE4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1074210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91C505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500551E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201312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28460DA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0EF8B78D">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68" w:type="pct"/>
            <w:tcBorders>
              <w:tl2br w:val="nil"/>
              <w:tr2bl w:val="nil"/>
            </w:tcBorders>
            <w:noWrap w:val="0"/>
            <w:vAlign w:val="center"/>
          </w:tcPr>
          <w:p w14:paraId="31546C3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w:t>
            </w:r>
          </w:p>
        </w:tc>
        <w:tc>
          <w:tcPr>
            <w:tcW w:w="388" w:type="pct"/>
            <w:tcBorders>
              <w:tl2br w:val="nil"/>
              <w:tr2bl w:val="nil"/>
            </w:tcBorders>
            <w:noWrap w:val="0"/>
            <w:vAlign w:val="center"/>
          </w:tcPr>
          <w:p w14:paraId="1C341D30">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33CC6B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151D370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2-氯苯酚</w:t>
            </w:r>
          </w:p>
        </w:tc>
        <w:tc>
          <w:tcPr>
            <w:tcW w:w="346" w:type="pct"/>
            <w:tcBorders>
              <w:tl2br w:val="nil"/>
              <w:tr2bl w:val="nil"/>
            </w:tcBorders>
            <w:noWrap w:val="0"/>
            <w:vAlign w:val="center"/>
          </w:tcPr>
          <w:p w14:paraId="798C21E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4682DBE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B7753B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5DF40B8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12C5A37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2D4C21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51A5141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8B06FE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27ED83F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6717B281">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2256</w:t>
            </w:r>
          </w:p>
        </w:tc>
        <w:tc>
          <w:tcPr>
            <w:tcW w:w="368" w:type="pct"/>
            <w:tcBorders>
              <w:tl2br w:val="nil"/>
              <w:tr2bl w:val="nil"/>
            </w:tcBorders>
            <w:noWrap w:val="0"/>
            <w:vAlign w:val="center"/>
          </w:tcPr>
          <w:p w14:paraId="54920C74">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4500</w:t>
            </w:r>
          </w:p>
        </w:tc>
        <w:tc>
          <w:tcPr>
            <w:tcW w:w="388" w:type="pct"/>
            <w:tcBorders>
              <w:tl2br w:val="nil"/>
              <w:tr2bl w:val="nil"/>
            </w:tcBorders>
            <w:noWrap w:val="0"/>
            <w:vAlign w:val="center"/>
          </w:tcPr>
          <w:p w14:paraId="5FC9ACB2">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E5B5AC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0AEEE36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硝基苯</w:t>
            </w:r>
          </w:p>
        </w:tc>
        <w:tc>
          <w:tcPr>
            <w:tcW w:w="346" w:type="pct"/>
            <w:tcBorders>
              <w:tl2br w:val="nil"/>
              <w:tr2bl w:val="nil"/>
            </w:tcBorders>
            <w:noWrap w:val="0"/>
            <w:vAlign w:val="center"/>
          </w:tcPr>
          <w:p w14:paraId="4040532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7F58F8F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B7081D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691E3E8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4FCAD72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F28B4D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55D2987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0CD1E1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40FA0F7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6EFBF4D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w:t>
            </w:r>
          </w:p>
        </w:tc>
        <w:tc>
          <w:tcPr>
            <w:tcW w:w="368" w:type="pct"/>
            <w:tcBorders>
              <w:tl2br w:val="nil"/>
              <w:tr2bl w:val="nil"/>
            </w:tcBorders>
            <w:noWrap w:val="0"/>
            <w:vAlign w:val="center"/>
          </w:tcPr>
          <w:p w14:paraId="276A0F0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760</w:t>
            </w:r>
          </w:p>
        </w:tc>
        <w:tc>
          <w:tcPr>
            <w:tcW w:w="388" w:type="pct"/>
            <w:tcBorders>
              <w:tl2br w:val="nil"/>
              <w:tr2bl w:val="nil"/>
            </w:tcBorders>
            <w:noWrap w:val="0"/>
            <w:vAlign w:val="center"/>
          </w:tcPr>
          <w:p w14:paraId="1B34715E">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54981C9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7032043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萘</w:t>
            </w:r>
          </w:p>
        </w:tc>
        <w:tc>
          <w:tcPr>
            <w:tcW w:w="346" w:type="pct"/>
            <w:tcBorders>
              <w:tl2br w:val="nil"/>
              <w:tr2bl w:val="nil"/>
            </w:tcBorders>
            <w:noWrap w:val="0"/>
            <w:vAlign w:val="center"/>
          </w:tcPr>
          <w:p w14:paraId="04D087C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2AB8B15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118CE3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1BFFD57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EA0562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4F62F5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6EF2EEE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C93701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3495589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6857E9E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368" w:type="pct"/>
            <w:tcBorders>
              <w:tl2br w:val="nil"/>
              <w:tr2bl w:val="nil"/>
            </w:tcBorders>
            <w:noWrap w:val="0"/>
            <w:vAlign w:val="center"/>
          </w:tcPr>
          <w:p w14:paraId="6CAF784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700</w:t>
            </w:r>
          </w:p>
        </w:tc>
        <w:tc>
          <w:tcPr>
            <w:tcW w:w="388" w:type="pct"/>
            <w:tcBorders>
              <w:tl2br w:val="nil"/>
              <w:tr2bl w:val="nil"/>
            </w:tcBorders>
            <w:noWrap w:val="0"/>
            <w:vAlign w:val="center"/>
          </w:tcPr>
          <w:p w14:paraId="3F2783EA">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17D2F4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33297FD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苯并（a）蒽</w:t>
            </w:r>
          </w:p>
        </w:tc>
        <w:tc>
          <w:tcPr>
            <w:tcW w:w="346" w:type="pct"/>
            <w:tcBorders>
              <w:tl2br w:val="nil"/>
              <w:tr2bl w:val="nil"/>
            </w:tcBorders>
            <w:noWrap w:val="0"/>
            <w:vAlign w:val="center"/>
          </w:tcPr>
          <w:p w14:paraId="275A51C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337F552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0E90BF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78E9092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E756A1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619C49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20EE530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38F54D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2C45D5D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1F9D170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68" w:type="pct"/>
            <w:tcBorders>
              <w:tl2br w:val="nil"/>
              <w:tr2bl w:val="nil"/>
            </w:tcBorders>
            <w:noWrap w:val="0"/>
            <w:vAlign w:val="center"/>
          </w:tcPr>
          <w:p w14:paraId="32E59EA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88" w:type="pct"/>
            <w:tcBorders>
              <w:tl2br w:val="nil"/>
              <w:tr2bl w:val="nil"/>
            </w:tcBorders>
            <w:noWrap w:val="0"/>
            <w:vAlign w:val="center"/>
          </w:tcPr>
          <w:p w14:paraId="54A893FA">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8D7E96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23F4EF3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䓛</w:t>
            </w:r>
          </w:p>
        </w:tc>
        <w:tc>
          <w:tcPr>
            <w:tcW w:w="346" w:type="pct"/>
            <w:tcBorders>
              <w:tl2br w:val="nil"/>
              <w:tr2bl w:val="nil"/>
            </w:tcBorders>
            <w:noWrap w:val="0"/>
            <w:vAlign w:val="center"/>
          </w:tcPr>
          <w:p w14:paraId="7C21005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1993EB8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6D4B7B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221F923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50CC7DA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A11D29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655649C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9C4740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241E560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477BDB1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1293</w:t>
            </w:r>
          </w:p>
        </w:tc>
        <w:tc>
          <w:tcPr>
            <w:tcW w:w="368" w:type="pct"/>
            <w:tcBorders>
              <w:tl2br w:val="nil"/>
              <w:tr2bl w:val="nil"/>
            </w:tcBorders>
            <w:noWrap w:val="0"/>
            <w:vAlign w:val="center"/>
          </w:tcPr>
          <w:p w14:paraId="225833F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12900</w:t>
            </w:r>
          </w:p>
        </w:tc>
        <w:tc>
          <w:tcPr>
            <w:tcW w:w="388" w:type="pct"/>
            <w:tcBorders>
              <w:tl2br w:val="nil"/>
              <w:tr2bl w:val="nil"/>
            </w:tcBorders>
            <w:noWrap w:val="0"/>
            <w:vAlign w:val="center"/>
          </w:tcPr>
          <w:p w14:paraId="6A2DD463">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5868696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725BDF8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苯并（b）荧蒽</w:t>
            </w:r>
          </w:p>
        </w:tc>
        <w:tc>
          <w:tcPr>
            <w:tcW w:w="346" w:type="pct"/>
            <w:tcBorders>
              <w:tl2br w:val="nil"/>
              <w:tr2bl w:val="nil"/>
            </w:tcBorders>
            <w:noWrap w:val="0"/>
            <w:vAlign w:val="center"/>
          </w:tcPr>
          <w:p w14:paraId="0E96E3A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73E59D7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319997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3A4482C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F9B305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DBBF7C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3D708C4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1FC7C6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4FE3E2A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59A447D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68" w:type="pct"/>
            <w:tcBorders>
              <w:tl2br w:val="nil"/>
              <w:tr2bl w:val="nil"/>
            </w:tcBorders>
            <w:noWrap w:val="0"/>
            <w:vAlign w:val="center"/>
          </w:tcPr>
          <w:p w14:paraId="292C693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88" w:type="pct"/>
            <w:tcBorders>
              <w:tl2br w:val="nil"/>
              <w:tr2bl w:val="nil"/>
            </w:tcBorders>
            <w:noWrap w:val="0"/>
            <w:vAlign w:val="center"/>
          </w:tcPr>
          <w:p w14:paraId="646B89F8">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1ACE24A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4F1F7E4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苯并（k）荧蒽</w:t>
            </w:r>
          </w:p>
        </w:tc>
        <w:tc>
          <w:tcPr>
            <w:tcW w:w="346" w:type="pct"/>
            <w:tcBorders>
              <w:tl2br w:val="nil"/>
              <w:tr2bl w:val="nil"/>
            </w:tcBorders>
            <w:noWrap w:val="0"/>
            <w:vAlign w:val="center"/>
          </w:tcPr>
          <w:p w14:paraId="4801BC5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1B2BC6D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3CDD6D1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3C07383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08AB5A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9F5EAB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4C547A3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793B698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14FA6D8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27CA79D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68" w:type="pct"/>
            <w:tcBorders>
              <w:tl2br w:val="nil"/>
              <w:tr2bl w:val="nil"/>
            </w:tcBorders>
            <w:noWrap w:val="0"/>
            <w:vAlign w:val="center"/>
          </w:tcPr>
          <w:p w14:paraId="1DBD033B">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1500</w:t>
            </w:r>
          </w:p>
        </w:tc>
        <w:tc>
          <w:tcPr>
            <w:tcW w:w="388" w:type="pct"/>
            <w:tcBorders>
              <w:tl2br w:val="nil"/>
              <w:tr2bl w:val="nil"/>
            </w:tcBorders>
            <w:noWrap w:val="0"/>
            <w:vAlign w:val="center"/>
          </w:tcPr>
          <w:p w14:paraId="2AF4FC69">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1512D50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28795FD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苯并（a）芘</w:t>
            </w:r>
          </w:p>
        </w:tc>
        <w:tc>
          <w:tcPr>
            <w:tcW w:w="346" w:type="pct"/>
            <w:tcBorders>
              <w:tl2br w:val="nil"/>
              <w:tr2bl w:val="nil"/>
            </w:tcBorders>
            <w:noWrap w:val="0"/>
            <w:vAlign w:val="center"/>
          </w:tcPr>
          <w:p w14:paraId="22487D7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55B9BB1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524140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492B1ED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6D93229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4EE219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54D3E3E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404580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0FDC190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06803588">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68" w:type="pct"/>
            <w:tcBorders>
              <w:tl2br w:val="nil"/>
              <w:tr2bl w:val="nil"/>
            </w:tcBorders>
            <w:noWrap w:val="0"/>
            <w:vAlign w:val="center"/>
          </w:tcPr>
          <w:p w14:paraId="396E8A72">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88" w:type="pct"/>
            <w:tcBorders>
              <w:tl2br w:val="nil"/>
              <w:tr2bl w:val="nil"/>
            </w:tcBorders>
            <w:noWrap w:val="0"/>
            <w:vAlign w:val="center"/>
          </w:tcPr>
          <w:p w14:paraId="1DD7FDBA">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652F541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7692816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茚并（1,2,3-c,d）芘</w:t>
            </w:r>
          </w:p>
        </w:tc>
        <w:tc>
          <w:tcPr>
            <w:tcW w:w="346" w:type="pct"/>
            <w:tcBorders>
              <w:tl2br w:val="nil"/>
              <w:tr2bl w:val="nil"/>
            </w:tcBorders>
            <w:noWrap w:val="0"/>
            <w:vAlign w:val="center"/>
          </w:tcPr>
          <w:p w14:paraId="7010EA3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61CD589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0378B0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089586E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1025027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B1701F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2C0B1C0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0048CE9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6F3A4B9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44455211">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68" w:type="pct"/>
            <w:tcBorders>
              <w:tl2br w:val="nil"/>
              <w:tr2bl w:val="nil"/>
            </w:tcBorders>
            <w:noWrap w:val="0"/>
            <w:vAlign w:val="center"/>
          </w:tcPr>
          <w:p w14:paraId="0101CFF2">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88" w:type="pct"/>
            <w:tcBorders>
              <w:tl2br w:val="nil"/>
              <w:tr2bl w:val="nil"/>
            </w:tcBorders>
            <w:noWrap w:val="0"/>
            <w:vAlign w:val="center"/>
          </w:tcPr>
          <w:p w14:paraId="53CCC7AA">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6E64BAD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346933E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二苯</w:t>
            </w:r>
            <w:r>
              <w:rPr>
                <w:rFonts w:hint="default" w:ascii="Times New Roman" w:hAnsi="Times New Roman" w:cs="Times New Roman"/>
                <w:color w:val="auto"/>
                <w:sz w:val="18"/>
                <w:szCs w:val="18"/>
              </w:rPr>
              <w:t>并（a,h）蒽</w:t>
            </w:r>
          </w:p>
        </w:tc>
        <w:tc>
          <w:tcPr>
            <w:tcW w:w="346" w:type="pct"/>
            <w:tcBorders>
              <w:tl2br w:val="nil"/>
              <w:tr2bl w:val="nil"/>
            </w:tcBorders>
            <w:noWrap w:val="0"/>
            <w:vAlign w:val="center"/>
          </w:tcPr>
          <w:p w14:paraId="328611F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1B76C8C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501863F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298FCCD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2FE21C6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64E706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149577E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10B0A1C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2C0820F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1FF42E47">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68" w:type="pct"/>
            <w:tcBorders>
              <w:tl2br w:val="nil"/>
              <w:tr2bl w:val="nil"/>
            </w:tcBorders>
            <w:noWrap w:val="0"/>
            <w:vAlign w:val="center"/>
          </w:tcPr>
          <w:p w14:paraId="30B94E07">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88" w:type="pct"/>
            <w:tcBorders>
              <w:tl2br w:val="nil"/>
              <w:tr2bl w:val="nil"/>
            </w:tcBorders>
            <w:noWrap w:val="0"/>
            <w:vAlign w:val="center"/>
          </w:tcPr>
          <w:p w14:paraId="7FD03986">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20B9F1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8" w:type="pct"/>
            <w:tcBorders>
              <w:tl2br w:val="nil"/>
              <w:tr2bl w:val="nil"/>
            </w:tcBorders>
            <w:noWrap w:val="0"/>
            <w:vAlign w:val="center"/>
          </w:tcPr>
          <w:p w14:paraId="1AC9BD8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苯胺</w:t>
            </w:r>
          </w:p>
        </w:tc>
        <w:tc>
          <w:tcPr>
            <w:tcW w:w="346" w:type="pct"/>
            <w:tcBorders>
              <w:tl2br w:val="nil"/>
              <w:tr2bl w:val="nil"/>
            </w:tcBorders>
            <w:noWrap w:val="0"/>
            <w:vAlign w:val="center"/>
          </w:tcPr>
          <w:p w14:paraId="5BE91C1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2" w:type="pct"/>
            <w:tcBorders>
              <w:tl2br w:val="nil"/>
              <w:tr2bl w:val="nil"/>
            </w:tcBorders>
            <w:noWrap w:val="0"/>
            <w:vAlign w:val="center"/>
          </w:tcPr>
          <w:p w14:paraId="373645C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436122B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4F62D46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55" w:type="pct"/>
            <w:tcBorders>
              <w:tl2br w:val="nil"/>
              <w:tr2bl w:val="nil"/>
            </w:tcBorders>
            <w:noWrap w:val="0"/>
            <w:vAlign w:val="center"/>
          </w:tcPr>
          <w:p w14:paraId="5100441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23D5332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71" w:type="pct"/>
            <w:tcBorders>
              <w:tl2br w:val="nil"/>
              <w:tr2bl w:val="nil"/>
            </w:tcBorders>
            <w:noWrap w:val="0"/>
            <w:vAlign w:val="center"/>
          </w:tcPr>
          <w:p w14:paraId="5201FC1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61" w:type="pct"/>
            <w:tcBorders>
              <w:tl2br w:val="nil"/>
              <w:tr2bl w:val="nil"/>
            </w:tcBorders>
            <w:noWrap w:val="0"/>
            <w:vAlign w:val="center"/>
          </w:tcPr>
          <w:p w14:paraId="69FF412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99" w:type="pct"/>
            <w:tcBorders>
              <w:tl2br w:val="nil"/>
              <w:tr2bl w:val="nil"/>
            </w:tcBorders>
            <w:noWrap w:val="0"/>
            <w:vAlign w:val="center"/>
          </w:tcPr>
          <w:p w14:paraId="348914E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403" w:type="pct"/>
            <w:tcBorders>
              <w:tl2br w:val="nil"/>
              <w:tr2bl w:val="nil"/>
            </w:tcBorders>
            <w:noWrap w:val="0"/>
            <w:vAlign w:val="center"/>
          </w:tcPr>
          <w:p w14:paraId="67E39A07">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260</w:t>
            </w:r>
          </w:p>
        </w:tc>
        <w:tc>
          <w:tcPr>
            <w:tcW w:w="368" w:type="pct"/>
            <w:tcBorders>
              <w:tl2br w:val="nil"/>
              <w:tr2bl w:val="nil"/>
            </w:tcBorders>
            <w:noWrap w:val="0"/>
            <w:vAlign w:val="center"/>
          </w:tcPr>
          <w:p w14:paraId="5D85C371">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663</w:t>
            </w:r>
          </w:p>
        </w:tc>
        <w:tc>
          <w:tcPr>
            <w:tcW w:w="388" w:type="pct"/>
            <w:tcBorders>
              <w:tl2br w:val="nil"/>
              <w:tr2bl w:val="nil"/>
            </w:tcBorders>
            <w:noWrap w:val="0"/>
            <w:vAlign w:val="center"/>
          </w:tcPr>
          <w:p w14:paraId="600510F9">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bl>
    <w:p w14:paraId="14D7C127">
      <w:pPr>
        <w:adjustRightInd w:val="0"/>
        <w:snapToGrid w:val="0"/>
        <w:spacing w:beforeLines="0" w:line="360" w:lineRule="auto"/>
        <w:ind w:firstLine="422" w:firstLineChars="200"/>
        <w:jc w:val="center"/>
        <w:rPr>
          <w:rFonts w:hint="default" w:ascii="Times New Roman" w:hAnsi="Times New Roman" w:cs="Times New Roman"/>
          <w:color w:val="auto"/>
          <w:sz w:val="24"/>
        </w:rPr>
      </w:pPr>
      <w:r>
        <w:rPr>
          <w:rFonts w:hint="default" w:ascii="Times New Roman" w:hAnsi="Times New Roman" w:eastAsia="黑体" w:cs="Times New Roman"/>
          <w:color w:val="auto"/>
          <w:spacing w:val="-2"/>
          <w:kern w:val="2"/>
          <w:sz w:val="21"/>
          <w:szCs w:val="22"/>
          <w:lang w:val="en-US" w:eastAsia="zh-CN"/>
        </w:rPr>
        <w:t>续表4.2.5-3  建设用地土壤监测结果    单位：mg/kg</w:t>
      </w:r>
    </w:p>
    <w:tbl>
      <w:tblPr>
        <w:tblStyle w:val="29"/>
        <w:tblW w:w="4996"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56"/>
        <w:gridCol w:w="955"/>
        <w:gridCol w:w="955"/>
        <w:gridCol w:w="955"/>
        <w:gridCol w:w="955"/>
        <w:gridCol w:w="955"/>
        <w:gridCol w:w="955"/>
        <w:gridCol w:w="955"/>
        <w:gridCol w:w="955"/>
        <w:gridCol w:w="955"/>
        <w:gridCol w:w="978"/>
        <w:gridCol w:w="1151"/>
        <w:gridCol w:w="944"/>
        <w:gridCol w:w="1084"/>
      </w:tblGrid>
      <w:tr w14:paraId="3930719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vMerge w:val="restart"/>
            <w:tcBorders>
              <w:tl2br w:val="nil"/>
              <w:tr2bl w:val="nil"/>
            </w:tcBorders>
            <w:noWrap w:val="0"/>
            <w:vAlign w:val="center"/>
          </w:tcPr>
          <w:p w14:paraId="54CBC0C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检测因子</w:t>
            </w:r>
          </w:p>
        </w:tc>
        <w:tc>
          <w:tcPr>
            <w:tcW w:w="2688" w:type="pct"/>
            <w:gridSpan w:val="8"/>
            <w:tcBorders>
              <w:tl2br w:val="nil"/>
              <w:tr2bl w:val="nil"/>
            </w:tcBorders>
            <w:noWrap w:val="0"/>
            <w:vAlign w:val="center"/>
          </w:tcPr>
          <w:p w14:paraId="11815D74">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占地范围内</w:t>
            </w:r>
          </w:p>
        </w:tc>
        <w:tc>
          <w:tcPr>
            <w:tcW w:w="680" w:type="pct"/>
            <w:gridSpan w:val="2"/>
            <w:tcBorders>
              <w:tl2br w:val="nil"/>
              <w:tr2bl w:val="nil"/>
            </w:tcBorders>
            <w:noWrap w:val="0"/>
            <w:vAlign w:val="center"/>
          </w:tcPr>
          <w:p w14:paraId="6EF5EAD1">
            <w:pPr>
              <w:pStyle w:val="17"/>
              <w:spacing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cs="Times New Roman"/>
                <w:color w:val="auto"/>
                <w:sz w:val="18"/>
                <w:szCs w:val="18"/>
              </w:rPr>
              <w:t>占地范围</w:t>
            </w:r>
            <w:r>
              <w:rPr>
                <w:rFonts w:hint="default" w:ascii="Times New Roman" w:hAnsi="Times New Roman" w:cs="Times New Roman"/>
                <w:color w:val="auto"/>
                <w:sz w:val="18"/>
                <w:szCs w:val="18"/>
                <w:lang w:val="en-US" w:eastAsia="zh-CN"/>
              </w:rPr>
              <w:t>外</w:t>
            </w:r>
          </w:p>
        </w:tc>
        <w:tc>
          <w:tcPr>
            <w:tcW w:w="405" w:type="pct"/>
            <w:vMerge w:val="restart"/>
            <w:tcBorders>
              <w:tl2br w:val="nil"/>
              <w:tr2bl w:val="nil"/>
            </w:tcBorders>
            <w:noWrap w:val="0"/>
            <w:vAlign w:val="center"/>
          </w:tcPr>
          <w:p w14:paraId="12861ADE">
            <w:pPr>
              <w:pStyle w:val="17"/>
              <w:spacing w:line="240" w:lineRule="auto"/>
              <w:ind w:left="0" w:leftChars="0" w:firstLine="0" w:firstLineChars="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风险筛选值</w:t>
            </w:r>
          </w:p>
        </w:tc>
        <w:tc>
          <w:tcPr>
            <w:tcW w:w="332" w:type="pct"/>
            <w:vMerge w:val="restart"/>
            <w:tcBorders>
              <w:tl2br w:val="nil"/>
              <w:tr2bl w:val="nil"/>
            </w:tcBorders>
            <w:noWrap w:val="0"/>
            <w:vAlign w:val="center"/>
          </w:tcPr>
          <w:p w14:paraId="33FFF0D5">
            <w:pPr>
              <w:pStyle w:val="17"/>
              <w:spacing w:line="240" w:lineRule="auto"/>
              <w:ind w:left="0" w:leftChars="0" w:firstLine="0" w:firstLineChars="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管</w:t>
            </w:r>
            <w:r>
              <w:rPr>
                <w:rFonts w:hint="default" w:ascii="Times New Roman" w:hAnsi="Times New Roman" w:cs="Times New Roman"/>
                <w:color w:val="auto"/>
                <w:sz w:val="18"/>
                <w:szCs w:val="18"/>
                <w:lang w:val="en-US" w:eastAsia="zh-CN"/>
              </w:rPr>
              <w:t>制</w:t>
            </w:r>
            <w:r>
              <w:rPr>
                <w:rFonts w:hint="default" w:ascii="Times New Roman" w:hAnsi="Times New Roman" w:cs="Times New Roman"/>
                <w:color w:val="auto"/>
                <w:sz w:val="18"/>
                <w:szCs w:val="18"/>
              </w:rPr>
              <w:t>值</w:t>
            </w:r>
          </w:p>
        </w:tc>
        <w:tc>
          <w:tcPr>
            <w:tcW w:w="381" w:type="pct"/>
            <w:vMerge w:val="restart"/>
            <w:tcBorders>
              <w:tl2br w:val="nil"/>
              <w:tr2bl w:val="nil"/>
            </w:tcBorders>
            <w:noWrap w:val="0"/>
            <w:vAlign w:val="center"/>
          </w:tcPr>
          <w:p w14:paraId="7AFF44D1">
            <w:pPr>
              <w:pStyle w:val="17"/>
              <w:spacing w:line="240" w:lineRule="auto"/>
              <w:ind w:left="0" w:leftChars="0" w:firstLine="0" w:firstLineChars="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评价结果</w:t>
            </w:r>
          </w:p>
        </w:tc>
      </w:tr>
      <w:tr w14:paraId="746B919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noWrap w:val="0"/>
            <w:vAlign w:val="center"/>
          </w:tcPr>
          <w:p w14:paraId="1CAB09EF">
            <w:pPr>
              <w:spacing w:line="240" w:lineRule="auto"/>
              <w:jc w:val="center"/>
              <w:rPr>
                <w:rFonts w:hint="default" w:ascii="Times New Roman" w:hAnsi="Times New Roman" w:cs="Times New Roman"/>
                <w:color w:val="auto"/>
                <w:sz w:val="18"/>
                <w:szCs w:val="18"/>
              </w:rPr>
            </w:pPr>
          </w:p>
        </w:tc>
        <w:tc>
          <w:tcPr>
            <w:tcW w:w="336" w:type="pct"/>
            <w:tcBorders>
              <w:tl2br w:val="nil"/>
              <w:tr2bl w:val="nil"/>
            </w:tcBorders>
            <w:noWrap w:val="0"/>
            <w:vAlign w:val="center"/>
          </w:tcPr>
          <w:p w14:paraId="713C937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TR0</w:t>
            </w:r>
            <w:r>
              <w:rPr>
                <w:rFonts w:hint="default"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-1-1</w:t>
            </w:r>
          </w:p>
        </w:tc>
        <w:tc>
          <w:tcPr>
            <w:tcW w:w="336" w:type="pct"/>
            <w:tcBorders>
              <w:tl2br w:val="nil"/>
              <w:tr2bl w:val="nil"/>
            </w:tcBorders>
            <w:noWrap w:val="0"/>
            <w:vAlign w:val="center"/>
          </w:tcPr>
          <w:p w14:paraId="7A7BA39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TR0</w:t>
            </w:r>
            <w:r>
              <w:rPr>
                <w:rFonts w:hint="default"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-1-2</w:t>
            </w:r>
          </w:p>
        </w:tc>
        <w:tc>
          <w:tcPr>
            <w:tcW w:w="336" w:type="pct"/>
            <w:tcBorders>
              <w:tl2br w:val="nil"/>
              <w:tr2bl w:val="nil"/>
            </w:tcBorders>
            <w:noWrap w:val="0"/>
            <w:vAlign w:val="center"/>
          </w:tcPr>
          <w:p w14:paraId="18F275E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TR0</w:t>
            </w:r>
            <w:r>
              <w:rPr>
                <w:rFonts w:hint="default"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-1-3</w:t>
            </w:r>
          </w:p>
        </w:tc>
        <w:tc>
          <w:tcPr>
            <w:tcW w:w="336" w:type="pct"/>
            <w:tcBorders>
              <w:tl2br w:val="nil"/>
              <w:tr2bl w:val="nil"/>
            </w:tcBorders>
            <w:noWrap w:val="0"/>
            <w:vAlign w:val="center"/>
          </w:tcPr>
          <w:p w14:paraId="732FC94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TR0</w:t>
            </w:r>
            <w:r>
              <w:rPr>
                <w:rFonts w:hint="default"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-1-1</w:t>
            </w:r>
          </w:p>
        </w:tc>
        <w:tc>
          <w:tcPr>
            <w:tcW w:w="336" w:type="pct"/>
            <w:tcBorders>
              <w:tl2br w:val="nil"/>
              <w:tr2bl w:val="nil"/>
            </w:tcBorders>
            <w:noWrap w:val="0"/>
            <w:vAlign w:val="center"/>
          </w:tcPr>
          <w:p w14:paraId="14FF627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TR0</w:t>
            </w:r>
            <w:r>
              <w:rPr>
                <w:rFonts w:hint="default"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-1-2</w:t>
            </w:r>
          </w:p>
        </w:tc>
        <w:tc>
          <w:tcPr>
            <w:tcW w:w="336" w:type="pct"/>
            <w:tcBorders>
              <w:tl2br w:val="nil"/>
              <w:tr2bl w:val="nil"/>
            </w:tcBorders>
            <w:noWrap w:val="0"/>
            <w:vAlign w:val="center"/>
          </w:tcPr>
          <w:p w14:paraId="1618D08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TR0</w:t>
            </w:r>
            <w:r>
              <w:rPr>
                <w:rFonts w:hint="default"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-1-3</w:t>
            </w:r>
          </w:p>
        </w:tc>
        <w:tc>
          <w:tcPr>
            <w:tcW w:w="336" w:type="pct"/>
            <w:tcBorders>
              <w:tl2br w:val="nil"/>
              <w:tr2bl w:val="nil"/>
            </w:tcBorders>
            <w:noWrap w:val="0"/>
            <w:vAlign w:val="center"/>
          </w:tcPr>
          <w:p w14:paraId="214DCE5F">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TR0</w:t>
            </w:r>
            <w:r>
              <w:rPr>
                <w:rFonts w:hint="default" w:ascii="Times New Roman" w:hAnsi="Times New Roman"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-1-1</w:t>
            </w:r>
          </w:p>
        </w:tc>
        <w:tc>
          <w:tcPr>
            <w:tcW w:w="336" w:type="pct"/>
            <w:tcBorders>
              <w:tl2br w:val="nil"/>
              <w:tr2bl w:val="nil"/>
            </w:tcBorders>
            <w:noWrap w:val="0"/>
            <w:vAlign w:val="center"/>
          </w:tcPr>
          <w:p w14:paraId="66BB3659">
            <w:pPr>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TR0</w:t>
            </w:r>
            <w:r>
              <w:rPr>
                <w:rFonts w:hint="default" w:ascii="Times New Roman" w:hAnsi="Times New Roman" w:eastAsia="宋体" w:cs="Times New Roman"/>
                <w:color w:val="auto"/>
                <w:sz w:val="18"/>
                <w:szCs w:val="18"/>
                <w:lang w:val="en-US" w:eastAsia="zh-CN"/>
              </w:rPr>
              <w:t>7</w:t>
            </w:r>
            <w:r>
              <w:rPr>
                <w:rFonts w:hint="default" w:ascii="Times New Roman" w:hAnsi="Times New Roman" w:eastAsia="宋体" w:cs="Times New Roman"/>
                <w:color w:val="auto"/>
                <w:sz w:val="18"/>
                <w:szCs w:val="18"/>
              </w:rPr>
              <w:t>-1-</w:t>
            </w:r>
            <w:r>
              <w:rPr>
                <w:rFonts w:hint="default" w:ascii="Times New Roman" w:hAnsi="Times New Roman" w:eastAsia="宋体" w:cs="Times New Roman"/>
                <w:color w:val="auto"/>
                <w:sz w:val="18"/>
                <w:szCs w:val="18"/>
                <w:lang w:val="en-US" w:eastAsia="zh-CN"/>
              </w:rPr>
              <w:t>1</w:t>
            </w:r>
          </w:p>
        </w:tc>
        <w:tc>
          <w:tcPr>
            <w:tcW w:w="336" w:type="pct"/>
            <w:tcBorders>
              <w:tl2br w:val="nil"/>
              <w:tr2bl w:val="nil"/>
            </w:tcBorders>
            <w:noWrap w:val="0"/>
            <w:vAlign w:val="center"/>
          </w:tcPr>
          <w:p w14:paraId="6104F462">
            <w:pPr>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TR0</w:t>
            </w:r>
            <w:r>
              <w:rPr>
                <w:rFonts w:hint="default" w:ascii="Times New Roman" w:hAnsi="Times New Roman" w:eastAsia="宋体" w:cs="Times New Roman"/>
                <w:color w:val="auto"/>
                <w:sz w:val="18"/>
                <w:szCs w:val="18"/>
                <w:lang w:val="en-US" w:eastAsia="zh-CN"/>
              </w:rPr>
              <w:t>8</w:t>
            </w:r>
            <w:r>
              <w:rPr>
                <w:rFonts w:hint="default" w:ascii="Times New Roman" w:hAnsi="Times New Roman" w:eastAsia="宋体" w:cs="Times New Roman"/>
                <w:color w:val="auto"/>
                <w:sz w:val="18"/>
                <w:szCs w:val="18"/>
              </w:rPr>
              <w:t>-1-</w:t>
            </w:r>
            <w:r>
              <w:rPr>
                <w:rFonts w:hint="default" w:ascii="Times New Roman" w:hAnsi="Times New Roman" w:eastAsia="宋体" w:cs="Times New Roman"/>
                <w:color w:val="auto"/>
                <w:sz w:val="18"/>
                <w:szCs w:val="18"/>
                <w:lang w:val="en-US" w:eastAsia="zh-CN"/>
              </w:rPr>
              <w:t>1</w:t>
            </w:r>
          </w:p>
        </w:tc>
        <w:tc>
          <w:tcPr>
            <w:tcW w:w="344" w:type="pct"/>
            <w:tcBorders>
              <w:tl2br w:val="nil"/>
              <w:tr2bl w:val="nil"/>
            </w:tcBorders>
            <w:noWrap w:val="0"/>
            <w:vAlign w:val="center"/>
          </w:tcPr>
          <w:p w14:paraId="3D5CBBCA">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TR0</w:t>
            </w:r>
            <w:r>
              <w:rPr>
                <w:rFonts w:hint="default" w:ascii="Times New Roman" w:hAnsi="Times New Roman" w:eastAsia="宋体" w:cs="Times New Roman"/>
                <w:color w:val="auto"/>
                <w:sz w:val="18"/>
                <w:szCs w:val="18"/>
                <w:lang w:val="en-US" w:eastAsia="zh-CN"/>
              </w:rPr>
              <w:t>9</w:t>
            </w:r>
            <w:r>
              <w:rPr>
                <w:rFonts w:hint="default" w:ascii="Times New Roman" w:hAnsi="Times New Roman" w:eastAsia="宋体" w:cs="Times New Roman"/>
                <w:color w:val="auto"/>
                <w:sz w:val="18"/>
                <w:szCs w:val="18"/>
              </w:rPr>
              <w:t>-1-</w:t>
            </w:r>
            <w:r>
              <w:rPr>
                <w:rFonts w:hint="default" w:ascii="Times New Roman" w:hAnsi="Times New Roman" w:eastAsia="宋体" w:cs="Times New Roman"/>
                <w:color w:val="auto"/>
                <w:sz w:val="18"/>
                <w:szCs w:val="18"/>
                <w:lang w:val="en-US" w:eastAsia="zh-CN"/>
              </w:rPr>
              <w:t>1</w:t>
            </w:r>
          </w:p>
        </w:tc>
        <w:tc>
          <w:tcPr>
            <w:tcW w:w="405" w:type="pct"/>
            <w:vMerge w:val="continue"/>
            <w:tcBorders>
              <w:tl2br w:val="nil"/>
              <w:tr2bl w:val="nil"/>
            </w:tcBorders>
            <w:noWrap w:val="0"/>
            <w:vAlign w:val="center"/>
          </w:tcPr>
          <w:p w14:paraId="0AC41D3A">
            <w:pPr>
              <w:pStyle w:val="17"/>
              <w:spacing w:line="240" w:lineRule="auto"/>
              <w:jc w:val="center"/>
              <w:rPr>
                <w:rFonts w:hint="default" w:ascii="Times New Roman" w:hAnsi="Times New Roman" w:cs="Times New Roman"/>
                <w:color w:val="auto"/>
                <w:sz w:val="18"/>
                <w:szCs w:val="18"/>
              </w:rPr>
            </w:pPr>
          </w:p>
        </w:tc>
        <w:tc>
          <w:tcPr>
            <w:tcW w:w="332" w:type="pct"/>
            <w:vMerge w:val="continue"/>
            <w:tcBorders>
              <w:tl2br w:val="nil"/>
              <w:tr2bl w:val="nil"/>
            </w:tcBorders>
            <w:noWrap w:val="0"/>
            <w:vAlign w:val="center"/>
          </w:tcPr>
          <w:p w14:paraId="7057868A">
            <w:pPr>
              <w:pStyle w:val="17"/>
              <w:spacing w:line="240" w:lineRule="auto"/>
              <w:jc w:val="center"/>
              <w:rPr>
                <w:rFonts w:hint="default" w:ascii="Times New Roman" w:hAnsi="Times New Roman" w:cs="Times New Roman"/>
                <w:color w:val="auto"/>
                <w:sz w:val="18"/>
                <w:szCs w:val="18"/>
              </w:rPr>
            </w:pPr>
          </w:p>
        </w:tc>
        <w:tc>
          <w:tcPr>
            <w:tcW w:w="381" w:type="pct"/>
            <w:vMerge w:val="continue"/>
            <w:tcBorders>
              <w:tl2br w:val="nil"/>
              <w:tr2bl w:val="nil"/>
            </w:tcBorders>
            <w:noWrap w:val="0"/>
            <w:vAlign w:val="center"/>
          </w:tcPr>
          <w:p w14:paraId="407AEE5C">
            <w:pPr>
              <w:pStyle w:val="17"/>
              <w:spacing w:line="240" w:lineRule="auto"/>
              <w:jc w:val="center"/>
              <w:rPr>
                <w:rFonts w:hint="default" w:ascii="Times New Roman" w:hAnsi="Times New Roman" w:cs="Times New Roman"/>
                <w:color w:val="auto"/>
                <w:sz w:val="18"/>
                <w:szCs w:val="18"/>
              </w:rPr>
            </w:pPr>
          </w:p>
        </w:tc>
      </w:tr>
      <w:tr w14:paraId="74BFE47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534502DB">
            <w:pPr>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sz w:val="18"/>
                <w:szCs w:val="18"/>
                <w:highlight w:val="none"/>
              </w:rPr>
              <w:t>pH</w:t>
            </w:r>
            <w:r>
              <w:rPr>
                <w:rFonts w:hint="default" w:ascii="Times New Roman" w:hAnsi="Times New Roman" w:cs="Times New Roman"/>
                <w:sz w:val="18"/>
                <w:szCs w:val="18"/>
                <w:highlight w:val="none"/>
                <w:lang w:eastAsia="zh-CN"/>
              </w:rPr>
              <w:t>（无量纲）</w:t>
            </w:r>
          </w:p>
        </w:tc>
        <w:tc>
          <w:tcPr>
            <w:tcW w:w="336" w:type="pct"/>
            <w:tcBorders>
              <w:tl2br w:val="nil"/>
              <w:tr2bl w:val="nil"/>
            </w:tcBorders>
            <w:noWrap w:val="0"/>
            <w:vAlign w:val="center"/>
          </w:tcPr>
          <w:p w14:paraId="3F47FEDC">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7.45</w:t>
            </w:r>
          </w:p>
        </w:tc>
        <w:tc>
          <w:tcPr>
            <w:tcW w:w="336" w:type="pct"/>
            <w:tcBorders>
              <w:tl2br w:val="nil"/>
              <w:tr2bl w:val="nil"/>
            </w:tcBorders>
            <w:noWrap w:val="0"/>
            <w:vAlign w:val="center"/>
          </w:tcPr>
          <w:p w14:paraId="04B75C71">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7.89</w:t>
            </w:r>
          </w:p>
        </w:tc>
        <w:tc>
          <w:tcPr>
            <w:tcW w:w="336" w:type="pct"/>
            <w:tcBorders>
              <w:tl2br w:val="nil"/>
              <w:tr2bl w:val="nil"/>
            </w:tcBorders>
            <w:noWrap w:val="0"/>
            <w:vAlign w:val="center"/>
          </w:tcPr>
          <w:p w14:paraId="1DFEDA9B">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7.27</w:t>
            </w:r>
          </w:p>
        </w:tc>
        <w:tc>
          <w:tcPr>
            <w:tcW w:w="336" w:type="pct"/>
            <w:tcBorders>
              <w:tl2br w:val="nil"/>
              <w:tr2bl w:val="nil"/>
            </w:tcBorders>
            <w:noWrap w:val="0"/>
            <w:vAlign w:val="center"/>
          </w:tcPr>
          <w:p w14:paraId="7B48F3B7">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336" w:type="pct"/>
            <w:tcBorders>
              <w:tl2br w:val="nil"/>
              <w:tr2bl w:val="nil"/>
            </w:tcBorders>
            <w:noWrap w:val="0"/>
            <w:vAlign w:val="center"/>
          </w:tcPr>
          <w:p w14:paraId="52C5E827">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6.52</w:t>
            </w:r>
          </w:p>
        </w:tc>
        <w:tc>
          <w:tcPr>
            <w:tcW w:w="336" w:type="pct"/>
            <w:tcBorders>
              <w:tl2br w:val="nil"/>
              <w:tr2bl w:val="nil"/>
            </w:tcBorders>
            <w:noWrap w:val="0"/>
            <w:vAlign w:val="center"/>
          </w:tcPr>
          <w:p w14:paraId="0FB01FC4">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6.71</w:t>
            </w:r>
          </w:p>
        </w:tc>
        <w:tc>
          <w:tcPr>
            <w:tcW w:w="336" w:type="pct"/>
            <w:tcBorders>
              <w:tl2br w:val="nil"/>
              <w:tr2bl w:val="nil"/>
            </w:tcBorders>
            <w:noWrap w:val="0"/>
            <w:vAlign w:val="center"/>
          </w:tcPr>
          <w:p w14:paraId="091735A7">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highlight w:val="none"/>
                <w:lang w:val="en-US" w:eastAsia="zh-CN"/>
              </w:rPr>
              <w:t>7.22</w:t>
            </w:r>
          </w:p>
        </w:tc>
        <w:tc>
          <w:tcPr>
            <w:tcW w:w="336" w:type="pct"/>
            <w:tcBorders>
              <w:tl2br w:val="nil"/>
              <w:tr2bl w:val="nil"/>
            </w:tcBorders>
            <w:noWrap w:val="0"/>
            <w:vAlign w:val="center"/>
          </w:tcPr>
          <w:p w14:paraId="56A3A92F">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highlight w:val="none"/>
                <w:lang w:val="en-US" w:eastAsia="zh-CN"/>
              </w:rPr>
              <w:t>6.86</w:t>
            </w:r>
          </w:p>
        </w:tc>
        <w:tc>
          <w:tcPr>
            <w:tcW w:w="336" w:type="pct"/>
            <w:tcBorders>
              <w:tl2br w:val="nil"/>
              <w:tr2bl w:val="nil"/>
            </w:tcBorders>
            <w:noWrap w:val="0"/>
            <w:vAlign w:val="center"/>
          </w:tcPr>
          <w:p w14:paraId="37C34513">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highlight w:val="none"/>
                <w:lang w:val="en-US" w:eastAsia="zh-CN"/>
              </w:rPr>
              <w:t>6.29</w:t>
            </w:r>
          </w:p>
        </w:tc>
        <w:tc>
          <w:tcPr>
            <w:tcW w:w="344" w:type="pct"/>
            <w:tcBorders>
              <w:tl2br w:val="nil"/>
              <w:tr2bl w:val="nil"/>
            </w:tcBorders>
            <w:noWrap w:val="0"/>
            <w:vAlign w:val="center"/>
          </w:tcPr>
          <w:p w14:paraId="13C7909A">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highlight w:val="none"/>
                <w:lang w:val="en-US" w:eastAsia="zh-CN"/>
              </w:rPr>
              <w:t>6.26</w:t>
            </w:r>
          </w:p>
        </w:tc>
        <w:tc>
          <w:tcPr>
            <w:tcW w:w="405" w:type="pct"/>
            <w:tcBorders>
              <w:tl2br w:val="nil"/>
              <w:tr2bl w:val="nil"/>
            </w:tcBorders>
            <w:noWrap w:val="0"/>
            <w:vAlign w:val="center"/>
          </w:tcPr>
          <w:p w14:paraId="122841C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332" w:type="pct"/>
            <w:tcBorders>
              <w:tl2br w:val="nil"/>
              <w:tr2bl w:val="nil"/>
            </w:tcBorders>
            <w:noWrap w:val="0"/>
            <w:vAlign w:val="center"/>
          </w:tcPr>
          <w:p w14:paraId="5D3502E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381" w:type="pct"/>
            <w:tcBorders>
              <w:tl2br w:val="nil"/>
              <w:tr2bl w:val="nil"/>
            </w:tcBorders>
            <w:noWrap w:val="0"/>
            <w:vAlign w:val="center"/>
          </w:tcPr>
          <w:p w14:paraId="6022112D">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r>
      <w:tr w14:paraId="42EEB68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3F66206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六价铬</w:t>
            </w:r>
          </w:p>
        </w:tc>
        <w:tc>
          <w:tcPr>
            <w:tcW w:w="336" w:type="pct"/>
            <w:tcBorders>
              <w:tl2br w:val="nil"/>
              <w:tr2bl w:val="nil"/>
            </w:tcBorders>
            <w:noWrap w:val="0"/>
            <w:vAlign w:val="center"/>
          </w:tcPr>
          <w:p w14:paraId="24D1C164">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0.5L</w:t>
            </w:r>
          </w:p>
        </w:tc>
        <w:tc>
          <w:tcPr>
            <w:tcW w:w="336" w:type="pct"/>
            <w:tcBorders>
              <w:tl2br w:val="nil"/>
              <w:tr2bl w:val="nil"/>
            </w:tcBorders>
            <w:noWrap w:val="0"/>
            <w:vAlign w:val="center"/>
          </w:tcPr>
          <w:p w14:paraId="7531CCD6">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0.5L</w:t>
            </w:r>
          </w:p>
        </w:tc>
        <w:tc>
          <w:tcPr>
            <w:tcW w:w="336" w:type="pct"/>
            <w:tcBorders>
              <w:tl2br w:val="nil"/>
              <w:tr2bl w:val="nil"/>
            </w:tcBorders>
            <w:noWrap w:val="0"/>
            <w:vAlign w:val="center"/>
          </w:tcPr>
          <w:p w14:paraId="30962233">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0.5L</w:t>
            </w:r>
          </w:p>
        </w:tc>
        <w:tc>
          <w:tcPr>
            <w:tcW w:w="336" w:type="pct"/>
            <w:tcBorders>
              <w:tl2br w:val="nil"/>
              <w:tr2bl w:val="nil"/>
            </w:tcBorders>
            <w:noWrap w:val="0"/>
            <w:vAlign w:val="center"/>
          </w:tcPr>
          <w:p w14:paraId="19A2A98B">
            <w:pPr>
              <w:spacing w:line="240" w:lineRule="auto"/>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0.5L</w:t>
            </w:r>
          </w:p>
        </w:tc>
        <w:tc>
          <w:tcPr>
            <w:tcW w:w="336" w:type="pct"/>
            <w:tcBorders>
              <w:tl2br w:val="nil"/>
              <w:tr2bl w:val="nil"/>
            </w:tcBorders>
            <w:noWrap w:val="0"/>
            <w:vAlign w:val="center"/>
          </w:tcPr>
          <w:p w14:paraId="419C4F9B">
            <w:pPr>
              <w:spacing w:line="240" w:lineRule="auto"/>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0.5L</w:t>
            </w:r>
          </w:p>
        </w:tc>
        <w:tc>
          <w:tcPr>
            <w:tcW w:w="336" w:type="pct"/>
            <w:tcBorders>
              <w:tl2br w:val="nil"/>
              <w:tr2bl w:val="nil"/>
            </w:tcBorders>
            <w:noWrap w:val="0"/>
            <w:vAlign w:val="center"/>
          </w:tcPr>
          <w:p w14:paraId="5466321E">
            <w:pPr>
              <w:spacing w:line="240" w:lineRule="auto"/>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0.5L</w:t>
            </w:r>
          </w:p>
        </w:tc>
        <w:tc>
          <w:tcPr>
            <w:tcW w:w="336" w:type="pct"/>
            <w:tcBorders>
              <w:tl2br w:val="nil"/>
              <w:tr2bl w:val="nil"/>
            </w:tcBorders>
            <w:noWrap w:val="0"/>
            <w:vAlign w:val="center"/>
          </w:tcPr>
          <w:p w14:paraId="2C7CA2E3">
            <w:pPr>
              <w:spacing w:line="240" w:lineRule="auto"/>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0.5L</w:t>
            </w:r>
          </w:p>
        </w:tc>
        <w:tc>
          <w:tcPr>
            <w:tcW w:w="336" w:type="pct"/>
            <w:tcBorders>
              <w:tl2br w:val="nil"/>
              <w:tr2bl w:val="nil"/>
            </w:tcBorders>
            <w:noWrap w:val="0"/>
            <w:vAlign w:val="center"/>
          </w:tcPr>
          <w:p w14:paraId="488409B9">
            <w:pPr>
              <w:spacing w:line="240" w:lineRule="auto"/>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0.5L</w:t>
            </w:r>
          </w:p>
        </w:tc>
        <w:tc>
          <w:tcPr>
            <w:tcW w:w="336" w:type="pct"/>
            <w:tcBorders>
              <w:tl2br w:val="nil"/>
              <w:tr2bl w:val="nil"/>
            </w:tcBorders>
            <w:noWrap w:val="0"/>
            <w:vAlign w:val="center"/>
          </w:tcPr>
          <w:p w14:paraId="4F8D9458">
            <w:pPr>
              <w:spacing w:line="240" w:lineRule="auto"/>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0.5L</w:t>
            </w:r>
          </w:p>
        </w:tc>
        <w:tc>
          <w:tcPr>
            <w:tcW w:w="344" w:type="pct"/>
            <w:tcBorders>
              <w:tl2br w:val="nil"/>
              <w:tr2bl w:val="nil"/>
            </w:tcBorders>
            <w:noWrap w:val="0"/>
            <w:vAlign w:val="center"/>
          </w:tcPr>
          <w:p w14:paraId="4053C650">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0.5L</w:t>
            </w:r>
          </w:p>
        </w:tc>
        <w:tc>
          <w:tcPr>
            <w:tcW w:w="405" w:type="pct"/>
            <w:tcBorders>
              <w:tl2br w:val="nil"/>
              <w:tr2bl w:val="nil"/>
            </w:tcBorders>
            <w:noWrap w:val="0"/>
            <w:vAlign w:val="center"/>
          </w:tcPr>
          <w:p w14:paraId="0DE303A5">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5.7</w:t>
            </w:r>
          </w:p>
        </w:tc>
        <w:tc>
          <w:tcPr>
            <w:tcW w:w="332" w:type="pct"/>
            <w:tcBorders>
              <w:tl2br w:val="nil"/>
              <w:tr2bl w:val="nil"/>
            </w:tcBorders>
            <w:noWrap w:val="0"/>
            <w:vAlign w:val="center"/>
          </w:tcPr>
          <w:p w14:paraId="492E3E1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78</w:t>
            </w:r>
          </w:p>
        </w:tc>
        <w:tc>
          <w:tcPr>
            <w:tcW w:w="381" w:type="pct"/>
            <w:tcBorders>
              <w:tl2br w:val="nil"/>
              <w:tr2bl w:val="nil"/>
            </w:tcBorders>
            <w:noWrap w:val="0"/>
            <w:vAlign w:val="center"/>
          </w:tcPr>
          <w:p w14:paraId="56A7F99B">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3FAA070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17DC905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镉</w:t>
            </w:r>
          </w:p>
        </w:tc>
        <w:tc>
          <w:tcPr>
            <w:tcW w:w="336" w:type="pct"/>
            <w:tcBorders>
              <w:tl2br w:val="nil"/>
              <w:tr2bl w:val="nil"/>
            </w:tcBorders>
            <w:noWrap w:val="0"/>
            <w:vAlign w:val="center"/>
          </w:tcPr>
          <w:p w14:paraId="1AB875D3">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336" w:type="pct"/>
            <w:tcBorders>
              <w:tl2br w:val="nil"/>
              <w:tr2bl w:val="nil"/>
            </w:tcBorders>
            <w:noWrap w:val="0"/>
            <w:vAlign w:val="center"/>
          </w:tcPr>
          <w:p w14:paraId="3E819DE4">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336" w:type="pct"/>
            <w:tcBorders>
              <w:tl2br w:val="nil"/>
              <w:tr2bl w:val="nil"/>
            </w:tcBorders>
            <w:noWrap w:val="0"/>
            <w:vAlign w:val="center"/>
          </w:tcPr>
          <w:p w14:paraId="447A7526">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336" w:type="pct"/>
            <w:tcBorders>
              <w:tl2br w:val="nil"/>
              <w:tr2bl w:val="nil"/>
            </w:tcBorders>
            <w:noWrap w:val="0"/>
            <w:vAlign w:val="center"/>
          </w:tcPr>
          <w:p w14:paraId="77F841A9">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0.03</w:t>
            </w:r>
          </w:p>
        </w:tc>
        <w:tc>
          <w:tcPr>
            <w:tcW w:w="336" w:type="pct"/>
            <w:tcBorders>
              <w:tl2br w:val="nil"/>
              <w:tr2bl w:val="nil"/>
            </w:tcBorders>
            <w:noWrap w:val="0"/>
            <w:vAlign w:val="center"/>
          </w:tcPr>
          <w:p w14:paraId="5F8E4521">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0.15</w:t>
            </w:r>
          </w:p>
        </w:tc>
        <w:tc>
          <w:tcPr>
            <w:tcW w:w="336" w:type="pct"/>
            <w:tcBorders>
              <w:tl2br w:val="nil"/>
              <w:tr2bl w:val="nil"/>
            </w:tcBorders>
            <w:noWrap w:val="0"/>
            <w:vAlign w:val="center"/>
          </w:tcPr>
          <w:p w14:paraId="033540B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336" w:type="pct"/>
            <w:tcBorders>
              <w:tl2br w:val="nil"/>
              <w:tr2bl w:val="nil"/>
            </w:tcBorders>
            <w:noWrap w:val="0"/>
            <w:vAlign w:val="center"/>
          </w:tcPr>
          <w:p w14:paraId="0BD8BCE0">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highlight w:val="none"/>
                <w:lang w:val="en-US" w:eastAsia="zh-CN"/>
              </w:rPr>
              <w:t>0.06</w:t>
            </w:r>
          </w:p>
        </w:tc>
        <w:tc>
          <w:tcPr>
            <w:tcW w:w="336" w:type="pct"/>
            <w:tcBorders>
              <w:tl2br w:val="nil"/>
              <w:tr2bl w:val="nil"/>
            </w:tcBorders>
            <w:noWrap w:val="0"/>
            <w:vAlign w:val="center"/>
          </w:tcPr>
          <w:p w14:paraId="6BF9492F">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highlight w:val="none"/>
                <w:lang w:val="en-US" w:eastAsia="zh-CN"/>
              </w:rPr>
              <w:t>0.02</w:t>
            </w:r>
          </w:p>
        </w:tc>
        <w:tc>
          <w:tcPr>
            <w:tcW w:w="336" w:type="pct"/>
            <w:tcBorders>
              <w:tl2br w:val="nil"/>
              <w:tr2bl w:val="nil"/>
            </w:tcBorders>
            <w:noWrap w:val="0"/>
            <w:vAlign w:val="center"/>
          </w:tcPr>
          <w:p w14:paraId="5F490224">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highlight w:val="none"/>
                <w:lang w:val="en-US" w:eastAsia="zh-CN"/>
              </w:rPr>
              <w:t>0.03</w:t>
            </w:r>
          </w:p>
        </w:tc>
        <w:tc>
          <w:tcPr>
            <w:tcW w:w="344" w:type="pct"/>
            <w:tcBorders>
              <w:tl2br w:val="nil"/>
              <w:tr2bl w:val="nil"/>
            </w:tcBorders>
            <w:noWrap w:val="0"/>
            <w:vAlign w:val="center"/>
          </w:tcPr>
          <w:p w14:paraId="373BE7E4">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highlight w:val="none"/>
                <w:lang w:val="en-US" w:eastAsia="zh-CN"/>
              </w:rPr>
              <w:t>0.03</w:t>
            </w:r>
          </w:p>
        </w:tc>
        <w:tc>
          <w:tcPr>
            <w:tcW w:w="405" w:type="pct"/>
            <w:tcBorders>
              <w:tl2br w:val="nil"/>
              <w:tr2bl w:val="nil"/>
            </w:tcBorders>
            <w:noWrap w:val="0"/>
            <w:vAlign w:val="center"/>
          </w:tcPr>
          <w:p w14:paraId="755F027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332" w:type="pct"/>
            <w:tcBorders>
              <w:tl2br w:val="nil"/>
              <w:tr2bl w:val="nil"/>
            </w:tcBorders>
            <w:noWrap w:val="0"/>
            <w:vAlign w:val="center"/>
          </w:tcPr>
          <w:p w14:paraId="7A842D7A">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172</w:t>
            </w:r>
          </w:p>
        </w:tc>
        <w:tc>
          <w:tcPr>
            <w:tcW w:w="381" w:type="pct"/>
            <w:tcBorders>
              <w:tl2br w:val="nil"/>
              <w:tr2bl w:val="nil"/>
            </w:tcBorders>
            <w:noWrap w:val="0"/>
            <w:vAlign w:val="center"/>
          </w:tcPr>
          <w:p w14:paraId="40BCACB8">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37A0AB5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44CAF0C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汞</w:t>
            </w:r>
          </w:p>
        </w:tc>
        <w:tc>
          <w:tcPr>
            <w:tcW w:w="336" w:type="pct"/>
            <w:tcBorders>
              <w:tl2br w:val="nil"/>
              <w:tr2bl w:val="nil"/>
            </w:tcBorders>
            <w:noWrap w:val="0"/>
            <w:vAlign w:val="center"/>
          </w:tcPr>
          <w:p w14:paraId="0CEAD1B1">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0.188</w:t>
            </w:r>
          </w:p>
        </w:tc>
        <w:tc>
          <w:tcPr>
            <w:tcW w:w="336" w:type="pct"/>
            <w:tcBorders>
              <w:tl2br w:val="nil"/>
              <w:tr2bl w:val="nil"/>
            </w:tcBorders>
            <w:noWrap w:val="0"/>
            <w:vAlign w:val="center"/>
          </w:tcPr>
          <w:p w14:paraId="2EA5CA1D">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0.182</w:t>
            </w:r>
          </w:p>
        </w:tc>
        <w:tc>
          <w:tcPr>
            <w:tcW w:w="336" w:type="pct"/>
            <w:tcBorders>
              <w:tl2br w:val="nil"/>
              <w:tr2bl w:val="nil"/>
            </w:tcBorders>
            <w:noWrap w:val="0"/>
            <w:vAlign w:val="center"/>
          </w:tcPr>
          <w:p w14:paraId="68EB067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0.118</w:t>
            </w:r>
          </w:p>
        </w:tc>
        <w:tc>
          <w:tcPr>
            <w:tcW w:w="336" w:type="pct"/>
            <w:tcBorders>
              <w:tl2br w:val="nil"/>
              <w:tr2bl w:val="nil"/>
            </w:tcBorders>
            <w:noWrap w:val="0"/>
            <w:vAlign w:val="center"/>
          </w:tcPr>
          <w:p w14:paraId="0CEAC64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0.188</w:t>
            </w:r>
          </w:p>
        </w:tc>
        <w:tc>
          <w:tcPr>
            <w:tcW w:w="336" w:type="pct"/>
            <w:tcBorders>
              <w:tl2br w:val="nil"/>
              <w:tr2bl w:val="nil"/>
            </w:tcBorders>
            <w:noWrap w:val="0"/>
            <w:vAlign w:val="center"/>
          </w:tcPr>
          <w:p w14:paraId="17E9326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0.163</w:t>
            </w:r>
          </w:p>
        </w:tc>
        <w:tc>
          <w:tcPr>
            <w:tcW w:w="336" w:type="pct"/>
            <w:tcBorders>
              <w:tl2br w:val="nil"/>
              <w:tr2bl w:val="nil"/>
            </w:tcBorders>
            <w:noWrap w:val="0"/>
            <w:vAlign w:val="center"/>
          </w:tcPr>
          <w:p w14:paraId="4D70390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0.107</w:t>
            </w:r>
          </w:p>
        </w:tc>
        <w:tc>
          <w:tcPr>
            <w:tcW w:w="336" w:type="pct"/>
            <w:tcBorders>
              <w:tl2br w:val="nil"/>
              <w:tr2bl w:val="nil"/>
            </w:tcBorders>
            <w:noWrap w:val="0"/>
            <w:vAlign w:val="center"/>
          </w:tcPr>
          <w:p w14:paraId="771B5A9E">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0.201</w:t>
            </w:r>
          </w:p>
        </w:tc>
        <w:tc>
          <w:tcPr>
            <w:tcW w:w="336" w:type="pct"/>
            <w:tcBorders>
              <w:tl2br w:val="nil"/>
              <w:tr2bl w:val="nil"/>
            </w:tcBorders>
            <w:noWrap w:val="0"/>
            <w:vAlign w:val="center"/>
          </w:tcPr>
          <w:p w14:paraId="245486EB">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0.055</w:t>
            </w:r>
          </w:p>
        </w:tc>
        <w:tc>
          <w:tcPr>
            <w:tcW w:w="336" w:type="pct"/>
            <w:tcBorders>
              <w:tl2br w:val="nil"/>
              <w:tr2bl w:val="nil"/>
            </w:tcBorders>
            <w:noWrap w:val="0"/>
            <w:vAlign w:val="center"/>
          </w:tcPr>
          <w:p w14:paraId="775E3FF5">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0.063</w:t>
            </w:r>
          </w:p>
        </w:tc>
        <w:tc>
          <w:tcPr>
            <w:tcW w:w="344" w:type="pct"/>
            <w:tcBorders>
              <w:tl2br w:val="nil"/>
              <w:tr2bl w:val="nil"/>
            </w:tcBorders>
            <w:noWrap w:val="0"/>
            <w:vAlign w:val="center"/>
          </w:tcPr>
          <w:p w14:paraId="10709969">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0.042</w:t>
            </w:r>
          </w:p>
        </w:tc>
        <w:tc>
          <w:tcPr>
            <w:tcW w:w="405" w:type="pct"/>
            <w:tcBorders>
              <w:tl2br w:val="nil"/>
              <w:tr2bl w:val="nil"/>
            </w:tcBorders>
            <w:noWrap w:val="0"/>
            <w:vAlign w:val="center"/>
          </w:tcPr>
          <w:p w14:paraId="70124FF5">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38</w:t>
            </w:r>
          </w:p>
        </w:tc>
        <w:tc>
          <w:tcPr>
            <w:tcW w:w="332" w:type="pct"/>
            <w:tcBorders>
              <w:tl2br w:val="nil"/>
              <w:tr2bl w:val="nil"/>
            </w:tcBorders>
            <w:noWrap w:val="0"/>
            <w:vAlign w:val="center"/>
          </w:tcPr>
          <w:p w14:paraId="0F436EA3">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82</w:t>
            </w:r>
          </w:p>
        </w:tc>
        <w:tc>
          <w:tcPr>
            <w:tcW w:w="381" w:type="pct"/>
            <w:tcBorders>
              <w:tl2br w:val="nil"/>
              <w:tr2bl w:val="nil"/>
            </w:tcBorders>
            <w:noWrap w:val="0"/>
            <w:vAlign w:val="center"/>
          </w:tcPr>
          <w:p w14:paraId="415647E4">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DF6E13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51A20EB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砷</w:t>
            </w:r>
          </w:p>
        </w:tc>
        <w:tc>
          <w:tcPr>
            <w:tcW w:w="336" w:type="pct"/>
            <w:tcBorders>
              <w:tl2br w:val="nil"/>
              <w:tr2bl w:val="nil"/>
            </w:tcBorders>
            <w:noWrap w:val="0"/>
            <w:vAlign w:val="center"/>
          </w:tcPr>
          <w:p w14:paraId="6FB49DDB">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25.6</w:t>
            </w:r>
          </w:p>
        </w:tc>
        <w:tc>
          <w:tcPr>
            <w:tcW w:w="336" w:type="pct"/>
            <w:tcBorders>
              <w:tl2br w:val="nil"/>
              <w:tr2bl w:val="nil"/>
            </w:tcBorders>
            <w:noWrap w:val="0"/>
            <w:vAlign w:val="center"/>
          </w:tcPr>
          <w:p w14:paraId="496410C4">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23.2</w:t>
            </w:r>
          </w:p>
        </w:tc>
        <w:tc>
          <w:tcPr>
            <w:tcW w:w="336" w:type="pct"/>
            <w:tcBorders>
              <w:tl2br w:val="nil"/>
              <w:tr2bl w:val="nil"/>
            </w:tcBorders>
            <w:noWrap w:val="0"/>
            <w:vAlign w:val="center"/>
          </w:tcPr>
          <w:p w14:paraId="292E547B">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16.9</w:t>
            </w:r>
          </w:p>
        </w:tc>
        <w:tc>
          <w:tcPr>
            <w:tcW w:w="336" w:type="pct"/>
            <w:tcBorders>
              <w:tl2br w:val="nil"/>
              <w:tr2bl w:val="nil"/>
            </w:tcBorders>
            <w:noWrap w:val="0"/>
            <w:vAlign w:val="center"/>
          </w:tcPr>
          <w:p w14:paraId="53510F18">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26.8</w:t>
            </w:r>
          </w:p>
        </w:tc>
        <w:tc>
          <w:tcPr>
            <w:tcW w:w="336" w:type="pct"/>
            <w:tcBorders>
              <w:tl2br w:val="nil"/>
              <w:tr2bl w:val="nil"/>
            </w:tcBorders>
            <w:noWrap w:val="0"/>
            <w:vAlign w:val="center"/>
          </w:tcPr>
          <w:p w14:paraId="5A97613F">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22.9</w:t>
            </w:r>
          </w:p>
        </w:tc>
        <w:tc>
          <w:tcPr>
            <w:tcW w:w="336" w:type="pct"/>
            <w:tcBorders>
              <w:tl2br w:val="nil"/>
              <w:tr2bl w:val="nil"/>
            </w:tcBorders>
            <w:noWrap w:val="0"/>
            <w:vAlign w:val="center"/>
          </w:tcPr>
          <w:p w14:paraId="0ACFD24D">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15.5</w:t>
            </w:r>
          </w:p>
        </w:tc>
        <w:tc>
          <w:tcPr>
            <w:tcW w:w="336" w:type="pct"/>
            <w:tcBorders>
              <w:tl2br w:val="nil"/>
              <w:tr2bl w:val="nil"/>
            </w:tcBorders>
            <w:noWrap w:val="0"/>
            <w:vAlign w:val="center"/>
          </w:tcPr>
          <w:p w14:paraId="69B7B369">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highlight w:val="none"/>
                <w:lang w:val="en-US" w:eastAsia="zh-CN"/>
              </w:rPr>
              <w:t>25.3</w:t>
            </w:r>
          </w:p>
        </w:tc>
        <w:tc>
          <w:tcPr>
            <w:tcW w:w="336" w:type="pct"/>
            <w:tcBorders>
              <w:tl2br w:val="nil"/>
              <w:tr2bl w:val="nil"/>
            </w:tcBorders>
            <w:noWrap w:val="0"/>
            <w:vAlign w:val="center"/>
          </w:tcPr>
          <w:p w14:paraId="7C20C3B3">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highlight w:val="none"/>
                <w:lang w:val="en-US" w:eastAsia="zh-CN"/>
              </w:rPr>
              <w:t>9.03</w:t>
            </w:r>
          </w:p>
        </w:tc>
        <w:tc>
          <w:tcPr>
            <w:tcW w:w="336" w:type="pct"/>
            <w:tcBorders>
              <w:tl2br w:val="nil"/>
              <w:tr2bl w:val="nil"/>
            </w:tcBorders>
            <w:noWrap w:val="0"/>
            <w:vAlign w:val="center"/>
          </w:tcPr>
          <w:p w14:paraId="22C02721">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highlight w:val="none"/>
                <w:lang w:val="en-US" w:eastAsia="zh-CN"/>
              </w:rPr>
              <w:t>8.75</w:t>
            </w:r>
          </w:p>
        </w:tc>
        <w:tc>
          <w:tcPr>
            <w:tcW w:w="344" w:type="pct"/>
            <w:tcBorders>
              <w:tl2br w:val="nil"/>
              <w:tr2bl w:val="nil"/>
            </w:tcBorders>
            <w:noWrap w:val="0"/>
            <w:vAlign w:val="center"/>
          </w:tcPr>
          <w:p w14:paraId="23B5A7DB">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highlight w:val="none"/>
                <w:lang w:val="en-US" w:eastAsia="zh-CN"/>
              </w:rPr>
              <w:t>9.55</w:t>
            </w:r>
          </w:p>
        </w:tc>
        <w:tc>
          <w:tcPr>
            <w:tcW w:w="405" w:type="pct"/>
            <w:tcBorders>
              <w:tl2br w:val="nil"/>
              <w:tr2bl w:val="nil"/>
            </w:tcBorders>
            <w:noWrap w:val="0"/>
            <w:vAlign w:val="center"/>
          </w:tcPr>
          <w:p w14:paraId="60C97877">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332" w:type="pct"/>
            <w:tcBorders>
              <w:tl2br w:val="nil"/>
              <w:tr2bl w:val="nil"/>
            </w:tcBorders>
            <w:noWrap w:val="0"/>
            <w:vAlign w:val="center"/>
          </w:tcPr>
          <w:p w14:paraId="37AB7CB5">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140</w:t>
            </w:r>
          </w:p>
        </w:tc>
        <w:tc>
          <w:tcPr>
            <w:tcW w:w="381" w:type="pct"/>
            <w:tcBorders>
              <w:tl2br w:val="nil"/>
              <w:tr2bl w:val="nil"/>
            </w:tcBorders>
            <w:noWrap w:val="0"/>
            <w:vAlign w:val="center"/>
          </w:tcPr>
          <w:p w14:paraId="51A4D3A8">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FDD580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5E88863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铅</w:t>
            </w:r>
          </w:p>
        </w:tc>
        <w:tc>
          <w:tcPr>
            <w:tcW w:w="336" w:type="pct"/>
            <w:tcBorders>
              <w:tl2br w:val="nil"/>
              <w:tr2bl w:val="nil"/>
            </w:tcBorders>
            <w:noWrap w:val="0"/>
            <w:vAlign w:val="center"/>
          </w:tcPr>
          <w:p w14:paraId="7DF1F5AE">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336" w:type="pct"/>
            <w:tcBorders>
              <w:tl2br w:val="nil"/>
              <w:tr2bl w:val="nil"/>
            </w:tcBorders>
            <w:noWrap w:val="0"/>
            <w:vAlign w:val="center"/>
          </w:tcPr>
          <w:p w14:paraId="09F532FF">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36" w:type="pct"/>
            <w:tcBorders>
              <w:tl2br w:val="nil"/>
              <w:tr2bl w:val="nil"/>
            </w:tcBorders>
            <w:noWrap w:val="0"/>
            <w:vAlign w:val="center"/>
          </w:tcPr>
          <w:p w14:paraId="2E4D0552">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336" w:type="pct"/>
            <w:tcBorders>
              <w:tl2br w:val="nil"/>
              <w:tr2bl w:val="nil"/>
            </w:tcBorders>
            <w:noWrap w:val="0"/>
            <w:vAlign w:val="center"/>
          </w:tcPr>
          <w:p w14:paraId="22D598EB">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336" w:type="pct"/>
            <w:tcBorders>
              <w:tl2br w:val="nil"/>
              <w:tr2bl w:val="nil"/>
            </w:tcBorders>
            <w:noWrap w:val="0"/>
            <w:vAlign w:val="center"/>
          </w:tcPr>
          <w:p w14:paraId="6AFDE5B4">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336" w:type="pct"/>
            <w:tcBorders>
              <w:tl2br w:val="nil"/>
              <w:tr2bl w:val="nil"/>
            </w:tcBorders>
            <w:noWrap w:val="0"/>
            <w:vAlign w:val="center"/>
          </w:tcPr>
          <w:p w14:paraId="47B2650D">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336" w:type="pct"/>
            <w:tcBorders>
              <w:tl2br w:val="nil"/>
              <w:tr2bl w:val="nil"/>
            </w:tcBorders>
            <w:noWrap w:val="0"/>
            <w:vAlign w:val="center"/>
          </w:tcPr>
          <w:p w14:paraId="735BA027">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2.3</w:t>
            </w:r>
          </w:p>
        </w:tc>
        <w:tc>
          <w:tcPr>
            <w:tcW w:w="336" w:type="pct"/>
            <w:tcBorders>
              <w:tl2br w:val="nil"/>
              <w:tr2bl w:val="nil"/>
            </w:tcBorders>
            <w:noWrap w:val="0"/>
            <w:vAlign w:val="center"/>
          </w:tcPr>
          <w:p w14:paraId="3772B7ED">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1.1</w:t>
            </w:r>
          </w:p>
        </w:tc>
        <w:tc>
          <w:tcPr>
            <w:tcW w:w="336" w:type="pct"/>
            <w:tcBorders>
              <w:tl2br w:val="nil"/>
              <w:tr2bl w:val="nil"/>
            </w:tcBorders>
            <w:noWrap w:val="0"/>
            <w:vAlign w:val="center"/>
          </w:tcPr>
          <w:p w14:paraId="1252C28E">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1.1</w:t>
            </w:r>
          </w:p>
        </w:tc>
        <w:tc>
          <w:tcPr>
            <w:tcW w:w="344" w:type="pct"/>
            <w:tcBorders>
              <w:tl2br w:val="nil"/>
              <w:tr2bl w:val="nil"/>
            </w:tcBorders>
            <w:noWrap w:val="0"/>
            <w:vAlign w:val="center"/>
          </w:tcPr>
          <w:p w14:paraId="5691B04F">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0.9</w:t>
            </w:r>
          </w:p>
        </w:tc>
        <w:tc>
          <w:tcPr>
            <w:tcW w:w="405" w:type="pct"/>
            <w:tcBorders>
              <w:tl2br w:val="nil"/>
              <w:tr2bl w:val="nil"/>
            </w:tcBorders>
            <w:noWrap w:val="0"/>
            <w:vAlign w:val="center"/>
          </w:tcPr>
          <w:p w14:paraId="3E07A1B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800</w:t>
            </w:r>
          </w:p>
        </w:tc>
        <w:tc>
          <w:tcPr>
            <w:tcW w:w="332" w:type="pct"/>
            <w:tcBorders>
              <w:tl2br w:val="nil"/>
              <w:tr2bl w:val="nil"/>
            </w:tcBorders>
            <w:noWrap w:val="0"/>
            <w:vAlign w:val="center"/>
          </w:tcPr>
          <w:p w14:paraId="321DE356">
            <w:pPr>
              <w:pStyle w:val="17"/>
              <w:spacing w:line="240" w:lineRule="auto"/>
              <w:ind w:left="0" w:lef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2500</w:t>
            </w:r>
          </w:p>
        </w:tc>
        <w:tc>
          <w:tcPr>
            <w:tcW w:w="381" w:type="pct"/>
            <w:tcBorders>
              <w:tl2br w:val="nil"/>
              <w:tr2bl w:val="nil"/>
            </w:tcBorders>
            <w:noWrap w:val="0"/>
            <w:vAlign w:val="center"/>
          </w:tcPr>
          <w:p w14:paraId="2E144041">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545298D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67D3145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铜</w:t>
            </w:r>
          </w:p>
        </w:tc>
        <w:tc>
          <w:tcPr>
            <w:tcW w:w="336" w:type="pct"/>
            <w:tcBorders>
              <w:tl2br w:val="nil"/>
              <w:tr2bl w:val="nil"/>
            </w:tcBorders>
            <w:noWrap w:val="0"/>
            <w:vAlign w:val="center"/>
          </w:tcPr>
          <w:p w14:paraId="6D24F564">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128</w:t>
            </w:r>
          </w:p>
        </w:tc>
        <w:tc>
          <w:tcPr>
            <w:tcW w:w="336" w:type="pct"/>
            <w:tcBorders>
              <w:tl2br w:val="nil"/>
              <w:tr2bl w:val="nil"/>
            </w:tcBorders>
            <w:noWrap w:val="0"/>
            <w:vAlign w:val="center"/>
          </w:tcPr>
          <w:p w14:paraId="6A8939E6">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133</w:t>
            </w:r>
          </w:p>
        </w:tc>
        <w:tc>
          <w:tcPr>
            <w:tcW w:w="336" w:type="pct"/>
            <w:tcBorders>
              <w:tl2br w:val="nil"/>
              <w:tr2bl w:val="nil"/>
            </w:tcBorders>
            <w:noWrap w:val="0"/>
            <w:vAlign w:val="center"/>
          </w:tcPr>
          <w:p w14:paraId="6D00339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97</w:t>
            </w:r>
          </w:p>
        </w:tc>
        <w:tc>
          <w:tcPr>
            <w:tcW w:w="336" w:type="pct"/>
            <w:tcBorders>
              <w:tl2br w:val="nil"/>
              <w:tr2bl w:val="nil"/>
            </w:tcBorders>
            <w:noWrap w:val="0"/>
            <w:vAlign w:val="center"/>
          </w:tcPr>
          <w:p w14:paraId="237AAB4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127</w:t>
            </w:r>
          </w:p>
        </w:tc>
        <w:tc>
          <w:tcPr>
            <w:tcW w:w="336" w:type="pct"/>
            <w:tcBorders>
              <w:tl2br w:val="nil"/>
              <w:tr2bl w:val="nil"/>
            </w:tcBorders>
            <w:noWrap w:val="0"/>
            <w:vAlign w:val="center"/>
          </w:tcPr>
          <w:p w14:paraId="74E157AD">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336" w:type="pct"/>
            <w:tcBorders>
              <w:tl2br w:val="nil"/>
              <w:tr2bl w:val="nil"/>
            </w:tcBorders>
            <w:noWrap w:val="0"/>
            <w:vAlign w:val="center"/>
          </w:tcPr>
          <w:p w14:paraId="1288B505">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84</w:t>
            </w:r>
          </w:p>
        </w:tc>
        <w:tc>
          <w:tcPr>
            <w:tcW w:w="336" w:type="pct"/>
            <w:tcBorders>
              <w:tl2br w:val="nil"/>
              <w:tr2bl w:val="nil"/>
            </w:tcBorders>
            <w:noWrap w:val="0"/>
            <w:vAlign w:val="center"/>
          </w:tcPr>
          <w:p w14:paraId="06510DA6">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130</w:t>
            </w:r>
          </w:p>
        </w:tc>
        <w:tc>
          <w:tcPr>
            <w:tcW w:w="336" w:type="pct"/>
            <w:tcBorders>
              <w:tl2br w:val="nil"/>
              <w:tr2bl w:val="nil"/>
            </w:tcBorders>
            <w:noWrap w:val="0"/>
            <w:vAlign w:val="center"/>
          </w:tcPr>
          <w:p w14:paraId="3C456378">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48</w:t>
            </w:r>
          </w:p>
        </w:tc>
        <w:tc>
          <w:tcPr>
            <w:tcW w:w="336" w:type="pct"/>
            <w:tcBorders>
              <w:tl2br w:val="nil"/>
              <w:tr2bl w:val="nil"/>
            </w:tcBorders>
            <w:noWrap w:val="0"/>
            <w:vAlign w:val="center"/>
          </w:tcPr>
          <w:p w14:paraId="3D08B1BE">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50</w:t>
            </w:r>
          </w:p>
        </w:tc>
        <w:tc>
          <w:tcPr>
            <w:tcW w:w="344" w:type="pct"/>
            <w:tcBorders>
              <w:tl2br w:val="nil"/>
              <w:tr2bl w:val="nil"/>
            </w:tcBorders>
            <w:noWrap w:val="0"/>
            <w:vAlign w:val="center"/>
          </w:tcPr>
          <w:p w14:paraId="0D766339">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37</w:t>
            </w:r>
          </w:p>
        </w:tc>
        <w:tc>
          <w:tcPr>
            <w:tcW w:w="405" w:type="pct"/>
            <w:tcBorders>
              <w:tl2br w:val="nil"/>
              <w:tr2bl w:val="nil"/>
            </w:tcBorders>
            <w:noWrap w:val="0"/>
            <w:vAlign w:val="center"/>
          </w:tcPr>
          <w:p w14:paraId="4840AF6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18000</w:t>
            </w:r>
          </w:p>
        </w:tc>
        <w:tc>
          <w:tcPr>
            <w:tcW w:w="332" w:type="pct"/>
            <w:tcBorders>
              <w:tl2br w:val="nil"/>
              <w:tr2bl w:val="nil"/>
            </w:tcBorders>
            <w:noWrap w:val="0"/>
            <w:vAlign w:val="center"/>
          </w:tcPr>
          <w:p w14:paraId="0FD74C57">
            <w:pPr>
              <w:pStyle w:val="17"/>
              <w:spacing w:line="240" w:lineRule="auto"/>
              <w:ind w:left="0" w:lef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36000</w:t>
            </w:r>
          </w:p>
        </w:tc>
        <w:tc>
          <w:tcPr>
            <w:tcW w:w="381" w:type="pct"/>
            <w:tcBorders>
              <w:tl2br w:val="nil"/>
              <w:tr2bl w:val="nil"/>
            </w:tcBorders>
            <w:noWrap w:val="0"/>
            <w:vAlign w:val="center"/>
          </w:tcPr>
          <w:p w14:paraId="155A04A0">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31DE170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724C214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镍</w:t>
            </w:r>
          </w:p>
        </w:tc>
        <w:tc>
          <w:tcPr>
            <w:tcW w:w="336" w:type="pct"/>
            <w:tcBorders>
              <w:tl2br w:val="nil"/>
              <w:tr2bl w:val="nil"/>
            </w:tcBorders>
            <w:noWrap w:val="0"/>
            <w:vAlign w:val="center"/>
          </w:tcPr>
          <w:p w14:paraId="7853C661">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88</w:t>
            </w:r>
          </w:p>
        </w:tc>
        <w:tc>
          <w:tcPr>
            <w:tcW w:w="336" w:type="pct"/>
            <w:tcBorders>
              <w:tl2br w:val="nil"/>
              <w:tr2bl w:val="nil"/>
            </w:tcBorders>
            <w:noWrap w:val="0"/>
            <w:vAlign w:val="center"/>
          </w:tcPr>
          <w:p w14:paraId="064D101C">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84</w:t>
            </w:r>
          </w:p>
        </w:tc>
        <w:tc>
          <w:tcPr>
            <w:tcW w:w="336" w:type="pct"/>
            <w:tcBorders>
              <w:tl2br w:val="nil"/>
              <w:tr2bl w:val="nil"/>
            </w:tcBorders>
            <w:noWrap w:val="0"/>
            <w:vAlign w:val="center"/>
          </w:tcPr>
          <w:p w14:paraId="530266C6">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336" w:type="pct"/>
            <w:tcBorders>
              <w:tl2br w:val="nil"/>
              <w:tr2bl w:val="nil"/>
            </w:tcBorders>
            <w:noWrap w:val="0"/>
            <w:vAlign w:val="center"/>
          </w:tcPr>
          <w:p w14:paraId="7823332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94</w:t>
            </w:r>
          </w:p>
        </w:tc>
        <w:tc>
          <w:tcPr>
            <w:tcW w:w="336" w:type="pct"/>
            <w:tcBorders>
              <w:tl2br w:val="nil"/>
              <w:tr2bl w:val="nil"/>
            </w:tcBorders>
            <w:noWrap w:val="0"/>
            <w:vAlign w:val="center"/>
          </w:tcPr>
          <w:p w14:paraId="58B504A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78</w:t>
            </w:r>
          </w:p>
        </w:tc>
        <w:tc>
          <w:tcPr>
            <w:tcW w:w="336" w:type="pct"/>
            <w:tcBorders>
              <w:tl2br w:val="nil"/>
              <w:tr2bl w:val="nil"/>
            </w:tcBorders>
            <w:noWrap w:val="0"/>
            <w:vAlign w:val="center"/>
          </w:tcPr>
          <w:p w14:paraId="0E044B4C">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58</w:t>
            </w:r>
          </w:p>
        </w:tc>
        <w:tc>
          <w:tcPr>
            <w:tcW w:w="336" w:type="pct"/>
            <w:tcBorders>
              <w:tl2br w:val="nil"/>
              <w:tr2bl w:val="nil"/>
            </w:tcBorders>
            <w:noWrap w:val="0"/>
            <w:vAlign w:val="center"/>
          </w:tcPr>
          <w:p w14:paraId="12D2B49A">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89</w:t>
            </w:r>
          </w:p>
        </w:tc>
        <w:tc>
          <w:tcPr>
            <w:tcW w:w="336" w:type="pct"/>
            <w:tcBorders>
              <w:tl2br w:val="nil"/>
              <w:tr2bl w:val="nil"/>
            </w:tcBorders>
            <w:noWrap w:val="0"/>
            <w:vAlign w:val="center"/>
          </w:tcPr>
          <w:p w14:paraId="02171BCE">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33</w:t>
            </w:r>
          </w:p>
        </w:tc>
        <w:tc>
          <w:tcPr>
            <w:tcW w:w="336" w:type="pct"/>
            <w:tcBorders>
              <w:tl2br w:val="nil"/>
              <w:tr2bl w:val="nil"/>
            </w:tcBorders>
            <w:noWrap w:val="0"/>
            <w:vAlign w:val="center"/>
          </w:tcPr>
          <w:p w14:paraId="635EDB37">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30</w:t>
            </w:r>
          </w:p>
        </w:tc>
        <w:tc>
          <w:tcPr>
            <w:tcW w:w="344" w:type="pct"/>
            <w:tcBorders>
              <w:tl2br w:val="nil"/>
              <w:tr2bl w:val="nil"/>
            </w:tcBorders>
            <w:noWrap w:val="0"/>
            <w:vAlign w:val="center"/>
          </w:tcPr>
          <w:p w14:paraId="4C3A7DFC">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kern w:val="2"/>
                <w:sz w:val="18"/>
                <w:szCs w:val="18"/>
                <w:highlight w:val="none"/>
                <w:lang w:val="en-US" w:eastAsia="zh-CN"/>
              </w:rPr>
              <w:t>27</w:t>
            </w:r>
          </w:p>
        </w:tc>
        <w:tc>
          <w:tcPr>
            <w:tcW w:w="405" w:type="pct"/>
            <w:tcBorders>
              <w:tl2br w:val="nil"/>
              <w:tr2bl w:val="nil"/>
            </w:tcBorders>
            <w:noWrap w:val="0"/>
            <w:vAlign w:val="center"/>
          </w:tcPr>
          <w:p w14:paraId="2B245993">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900</w:t>
            </w:r>
          </w:p>
        </w:tc>
        <w:tc>
          <w:tcPr>
            <w:tcW w:w="332" w:type="pct"/>
            <w:tcBorders>
              <w:tl2br w:val="nil"/>
              <w:tr2bl w:val="nil"/>
            </w:tcBorders>
            <w:noWrap w:val="0"/>
            <w:vAlign w:val="center"/>
          </w:tcPr>
          <w:p w14:paraId="2D9B2DBA">
            <w:pPr>
              <w:pStyle w:val="17"/>
              <w:spacing w:line="240" w:lineRule="auto"/>
              <w:ind w:left="0" w:lef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2000</w:t>
            </w:r>
          </w:p>
        </w:tc>
        <w:tc>
          <w:tcPr>
            <w:tcW w:w="381" w:type="pct"/>
            <w:tcBorders>
              <w:tl2br w:val="nil"/>
              <w:tr2bl w:val="nil"/>
            </w:tcBorders>
            <w:noWrap w:val="0"/>
            <w:vAlign w:val="center"/>
          </w:tcPr>
          <w:p w14:paraId="74E94A5E">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6BE512D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4F408850">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铁</w:t>
            </w:r>
          </w:p>
        </w:tc>
        <w:tc>
          <w:tcPr>
            <w:tcW w:w="336" w:type="pct"/>
            <w:tcBorders>
              <w:tl2br w:val="nil"/>
              <w:tr2bl w:val="nil"/>
            </w:tcBorders>
            <w:noWrap w:val="0"/>
            <w:vAlign w:val="center"/>
          </w:tcPr>
          <w:p w14:paraId="14439A3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25.6</w:t>
            </w:r>
          </w:p>
        </w:tc>
        <w:tc>
          <w:tcPr>
            <w:tcW w:w="336" w:type="pct"/>
            <w:tcBorders>
              <w:tl2br w:val="nil"/>
              <w:tr2bl w:val="nil"/>
            </w:tcBorders>
            <w:noWrap w:val="0"/>
            <w:vAlign w:val="center"/>
          </w:tcPr>
          <w:p w14:paraId="12DDD30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33.3</w:t>
            </w:r>
          </w:p>
        </w:tc>
        <w:tc>
          <w:tcPr>
            <w:tcW w:w="336" w:type="pct"/>
            <w:tcBorders>
              <w:tl2br w:val="nil"/>
              <w:tr2bl w:val="nil"/>
            </w:tcBorders>
            <w:noWrap w:val="0"/>
            <w:vAlign w:val="center"/>
          </w:tcPr>
          <w:p w14:paraId="4E90A98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32.4</w:t>
            </w:r>
          </w:p>
        </w:tc>
        <w:tc>
          <w:tcPr>
            <w:tcW w:w="336" w:type="pct"/>
            <w:tcBorders>
              <w:tl2br w:val="nil"/>
              <w:tr2bl w:val="nil"/>
            </w:tcBorders>
            <w:noWrap w:val="0"/>
            <w:vAlign w:val="center"/>
          </w:tcPr>
          <w:p w14:paraId="43E2B8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64.0</w:t>
            </w:r>
          </w:p>
        </w:tc>
        <w:tc>
          <w:tcPr>
            <w:tcW w:w="336" w:type="pct"/>
            <w:tcBorders>
              <w:tl2br w:val="nil"/>
              <w:tr2bl w:val="nil"/>
            </w:tcBorders>
            <w:noWrap w:val="0"/>
            <w:vAlign w:val="center"/>
          </w:tcPr>
          <w:p w14:paraId="089E5B2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57.4</w:t>
            </w:r>
          </w:p>
        </w:tc>
        <w:tc>
          <w:tcPr>
            <w:tcW w:w="336" w:type="pct"/>
            <w:tcBorders>
              <w:tl2br w:val="nil"/>
              <w:tr2bl w:val="nil"/>
            </w:tcBorders>
            <w:noWrap w:val="0"/>
            <w:vAlign w:val="center"/>
          </w:tcPr>
          <w:p w14:paraId="19DFA51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49.0</w:t>
            </w:r>
          </w:p>
        </w:tc>
        <w:tc>
          <w:tcPr>
            <w:tcW w:w="336" w:type="pct"/>
            <w:tcBorders>
              <w:tl2br w:val="nil"/>
              <w:tr2bl w:val="nil"/>
            </w:tcBorders>
            <w:noWrap w:val="0"/>
            <w:vAlign w:val="center"/>
          </w:tcPr>
          <w:p w14:paraId="00B9DFE6">
            <w:pPr>
              <w:spacing w:line="240" w:lineRule="auto"/>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sz w:val="18"/>
                <w:szCs w:val="18"/>
                <w:highlight w:val="none"/>
                <w:lang w:val="en-US" w:eastAsia="zh-CN"/>
              </w:rPr>
              <w:t>58.9</w:t>
            </w:r>
          </w:p>
        </w:tc>
        <w:tc>
          <w:tcPr>
            <w:tcW w:w="336" w:type="pct"/>
            <w:tcBorders>
              <w:tl2br w:val="nil"/>
              <w:tr2bl w:val="nil"/>
            </w:tcBorders>
            <w:noWrap w:val="0"/>
            <w:vAlign w:val="center"/>
          </w:tcPr>
          <w:p w14:paraId="57D66F7B">
            <w:pPr>
              <w:spacing w:line="240" w:lineRule="auto"/>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sz w:val="18"/>
                <w:szCs w:val="18"/>
                <w:highlight w:val="none"/>
                <w:lang w:val="en-US" w:eastAsia="zh-CN"/>
              </w:rPr>
              <w:t>13.3</w:t>
            </w:r>
          </w:p>
        </w:tc>
        <w:tc>
          <w:tcPr>
            <w:tcW w:w="336" w:type="pct"/>
            <w:tcBorders>
              <w:tl2br w:val="nil"/>
              <w:tr2bl w:val="nil"/>
            </w:tcBorders>
            <w:noWrap w:val="0"/>
            <w:vAlign w:val="center"/>
          </w:tcPr>
          <w:p w14:paraId="2165F376">
            <w:pPr>
              <w:spacing w:line="240" w:lineRule="auto"/>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sz w:val="18"/>
                <w:szCs w:val="18"/>
                <w:highlight w:val="none"/>
                <w:lang w:val="en-US" w:eastAsia="zh-CN"/>
              </w:rPr>
              <w:t>13.8</w:t>
            </w:r>
          </w:p>
        </w:tc>
        <w:tc>
          <w:tcPr>
            <w:tcW w:w="344" w:type="pct"/>
            <w:tcBorders>
              <w:tl2br w:val="nil"/>
              <w:tr2bl w:val="nil"/>
            </w:tcBorders>
            <w:noWrap w:val="0"/>
            <w:vAlign w:val="center"/>
          </w:tcPr>
          <w:p w14:paraId="098C15BB">
            <w:pPr>
              <w:spacing w:line="240" w:lineRule="auto"/>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48.9</w:t>
            </w:r>
          </w:p>
        </w:tc>
        <w:tc>
          <w:tcPr>
            <w:tcW w:w="405" w:type="pct"/>
            <w:tcBorders>
              <w:tl2br w:val="nil"/>
              <w:tr2bl w:val="nil"/>
            </w:tcBorders>
            <w:noWrap w:val="0"/>
            <w:vAlign w:val="center"/>
          </w:tcPr>
          <w:p w14:paraId="145A880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332" w:type="pct"/>
            <w:tcBorders>
              <w:tl2br w:val="nil"/>
              <w:tr2bl w:val="nil"/>
            </w:tcBorders>
            <w:noWrap w:val="0"/>
            <w:vAlign w:val="center"/>
          </w:tcPr>
          <w:p w14:paraId="77573F81">
            <w:pPr>
              <w:spacing w:line="240" w:lineRule="auto"/>
              <w:ind w:left="0" w:lef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381" w:type="pct"/>
            <w:tcBorders>
              <w:tl2br w:val="nil"/>
              <w:tr2bl w:val="nil"/>
            </w:tcBorders>
            <w:noWrap w:val="0"/>
            <w:vAlign w:val="center"/>
          </w:tcPr>
          <w:p w14:paraId="57145172">
            <w:pPr>
              <w:adjustRightInd w:val="0"/>
              <w:snapToGrid w:val="0"/>
              <w:spacing w:line="240" w:lineRule="auto"/>
              <w:jc w:val="center"/>
              <w:rPr>
                <w:rFonts w:hint="default" w:ascii="Times New Roman" w:hAnsi="Times New Roman" w:cs="Times New Roman"/>
                <w:color w:val="auto"/>
                <w:sz w:val="18"/>
                <w:szCs w:val="18"/>
              </w:rPr>
            </w:pPr>
          </w:p>
        </w:tc>
      </w:tr>
      <w:tr w14:paraId="6FAABFD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56F42030">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锰</w:t>
            </w:r>
          </w:p>
        </w:tc>
        <w:tc>
          <w:tcPr>
            <w:tcW w:w="336" w:type="pct"/>
            <w:tcBorders>
              <w:tl2br w:val="nil"/>
              <w:tr2bl w:val="nil"/>
            </w:tcBorders>
            <w:noWrap w:val="0"/>
            <w:vAlign w:val="center"/>
          </w:tcPr>
          <w:p w14:paraId="614F3A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368</w:t>
            </w:r>
          </w:p>
        </w:tc>
        <w:tc>
          <w:tcPr>
            <w:tcW w:w="336" w:type="pct"/>
            <w:tcBorders>
              <w:tl2br w:val="nil"/>
              <w:tr2bl w:val="nil"/>
            </w:tcBorders>
            <w:noWrap w:val="0"/>
            <w:vAlign w:val="center"/>
          </w:tcPr>
          <w:p w14:paraId="413F10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403</w:t>
            </w:r>
          </w:p>
        </w:tc>
        <w:tc>
          <w:tcPr>
            <w:tcW w:w="336" w:type="pct"/>
            <w:tcBorders>
              <w:tl2br w:val="nil"/>
              <w:tr2bl w:val="nil"/>
            </w:tcBorders>
            <w:noWrap w:val="0"/>
            <w:vAlign w:val="center"/>
          </w:tcPr>
          <w:p w14:paraId="51D204D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435</w:t>
            </w:r>
          </w:p>
        </w:tc>
        <w:tc>
          <w:tcPr>
            <w:tcW w:w="336" w:type="pct"/>
            <w:tcBorders>
              <w:tl2br w:val="nil"/>
              <w:tr2bl w:val="nil"/>
            </w:tcBorders>
            <w:noWrap w:val="0"/>
            <w:vAlign w:val="center"/>
          </w:tcPr>
          <w:p w14:paraId="15162A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283</w:t>
            </w:r>
          </w:p>
        </w:tc>
        <w:tc>
          <w:tcPr>
            <w:tcW w:w="336" w:type="pct"/>
            <w:tcBorders>
              <w:tl2br w:val="nil"/>
              <w:tr2bl w:val="nil"/>
            </w:tcBorders>
            <w:noWrap w:val="0"/>
            <w:vAlign w:val="center"/>
          </w:tcPr>
          <w:p w14:paraId="498288B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150</w:t>
            </w:r>
          </w:p>
        </w:tc>
        <w:tc>
          <w:tcPr>
            <w:tcW w:w="336" w:type="pct"/>
            <w:tcBorders>
              <w:tl2br w:val="nil"/>
              <w:tr2bl w:val="nil"/>
            </w:tcBorders>
            <w:noWrap w:val="0"/>
            <w:vAlign w:val="center"/>
          </w:tcPr>
          <w:p w14:paraId="2D65EF0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116</w:t>
            </w:r>
          </w:p>
        </w:tc>
        <w:tc>
          <w:tcPr>
            <w:tcW w:w="336" w:type="pct"/>
            <w:tcBorders>
              <w:tl2br w:val="nil"/>
              <w:tr2bl w:val="nil"/>
            </w:tcBorders>
            <w:noWrap w:val="0"/>
            <w:vAlign w:val="center"/>
          </w:tcPr>
          <w:p w14:paraId="42678894">
            <w:pPr>
              <w:spacing w:line="240" w:lineRule="auto"/>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sz w:val="18"/>
                <w:szCs w:val="18"/>
                <w:highlight w:val="none"/>
                <w:lang w:val="en-US" w:eastAsia="zh-CN"/>
              </w:rPr>
              <w:t>83.7</w:t>
            </w:r>
          </w:p>
        </w:tc>
        <w:tc>
          <w:tcPr>
            <w:tcW w:w="336" w:type="pct"/>
            <w:tcBorders>
              <w:tl2br w:val="nil"/>
              <w:tr2bl w:val="nil"/>
            </w:tcBorders>
            <w:noWrap w:val="0"/>
            <w:vAlign w:val="center"/>
          </w:tcPr>
          <w:p w14:paraId="269800A4">
            <w:pPr>
              <w:spacing w:line="240" w:lineRule="auto"/>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sz w:val="18"/>
                <w:szCs w:val="18"/>
                <w:highlight w:val="none"/>
                <w:lang w:val="en-US" w:eastAsia="zh-CN"/>
              </w:rPr>
              <w:t>532</w:t>
            </w:r>
          </w:p>
        </w:tc>
        <w:tc>
          <w:tcPr>
            <w:tcW w:w="336" w:type="pct"/>
            <w:tcBorders>
              <w:tl2br w:val="nil"/>
              <w:tr2bl w:val="nil"/>
            </w:tcBorders>
            <w:noWrap w:val="0"/>
            <w:vAlign w:val="center"/>
          </w:tcPr>
          <w:p w14:paraId="7D3501BA">
            <w:pPr>
              <w:spacing w:line="240" w:lineRule="auto"/>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sz w:val="18"/>
                <w:szCs w:val="18"/>
                <w:highlight w:val="none"/>
                <w:lang w:val="en-US" w:eastAsia="zh-CN"/>
              </w:rPr>
              <w:t>478</w:t>
            </w:r>
          </w:p>
        </w:tc>
        <w:tc>
          <w:tcPr>
            <w:tcW w:w="344" w:type="pct"/>
            <w:tcBorders>
              <w:tl2br w:val="nil"/>
              <w:tr2bl w:val="nil"/>
            </w:tcBorders>
            <w:noWrap w:val="0"/>
            <w:vAlign w:val="center"/>
          </w:tcPr>
          <w:p w14:paraId="45825F12">
            <w:pPr>
              <w:spacing w:line="240" w:lineRule="auto"/>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187</w:t>
            </w:r>
          </w:p>
        </w:tc>
        <w:tc>
          <w:tcPr>
            <w:tcW w:w="405" w:type="pct"/>
            <w:tcBorders>
              <w:tl2br w:val="nil"/>
              <w:tr2bl w:val="nil"/>
            </w:tcBorders>
            <w:noWrap w:val="0"/>
            <w:vAlign w:val="center"/>
          </w:tcPr>
          <w:p w14:paraId="69974434">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332" w:type="pct"/>
            <w:tcBorders>
              <w:tl2br w:val="nil"/>
              <w:tr2bl w:val="nil"/>
            </w:tcBorders>
            <w:noWrap w:val="0"/>
            <w:vAlign w:val="center"/>
          </w:tcPr>
          <w:p w14:paraId="3309299F">
            <w:pPr>
              <w:spacing w:line="240" w:lineRule="auto"/>
              <w:ind w:left="0" w:lef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381" w:type="pct"/>
            <w:tcBorders>
              <w:tl2br w:val="nil"/>
              <w:tr2bl w:val="nil"/>
            </w:tcBorders>
            <w:noWrap w:val="0"/>
            <w:vAlign w:val="center"/>
          </w:tcPr>
          <w:p w14:paraId="3D93B654">
            <w:pPr>
              <w:adjustRightInd w:val="0"/>
              <w:snapToGrid w:val="0"/>
              <w:spacing w:line="240" w:lineRule="auto"/>
              <w:jc w:val="center"/>
              <w:rPr>
                <w:rFonts w:hint="default" w:ascii="Times New Roman" w:hAnsi="Times New Roman" w:cs="Times New Roman"/>
                <w:color w:val="auto"/>
                <w:sz w:val="18"/>
                <w:szCs w:val="18"/>
              </w:rPr>
            </w:pPr>
          </w:p>
        </w:tc>
      </w:tr>
      <w:tr w14:paraId="4DD385D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7679EE60">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石油烃</w:t>
            </w:r>
          </w:p>
        </w:tc>
        <w:tc>
          <w:tcPr>
            <w:tcW w:w="336" w:type="pct"/>
            <w:tcBorders>
              <w:tl2br w:val="nil"/>
              <w:tr2bl w:val="nil"/>
            </w:tcBorders>
            <w:noWrap w:val="0"/>
            <w:vAlign w:val="center"/>
          </w:tcPr>
          <w:p w14:paraId="3393FD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85</w:t>
            </w:r>
          </w:p>
        </w:tc>
        <w:tc>
          <w:tcPr>
            <w:tcW w:w="336" w:type="pct"/>
            <w:tcBorders>
              <w:tl2br w:val="nil"/>
              <w:tr2bl w:val="nil"/>
            </w:tcBorders>
            <w:noWrap w:val="0"/>
            <w:vAlign w:val="center"/>
          </w:tcPr>
          <w:p w14:paraId="3A4A3A8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48</w:t>
            </w:r>
          </w:p>
        </w:tc>
        <w:tc>
          <w:tcPr>
            <w:tcW w:w="336" w:type="pct"/>
            <w:tcBorders>
              <w:tl2br w:val="nil"/>
              <w:tr2bl w:val="nil"/>
            </w:tcBorders>
            <w:noWrap w:val="0"/>
            <w:vAlign w:val="center"/>
          </w:tcPr>
          <w:p w14:paraId="559C1EB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45</w:t>
            </w:r>
          </w:p>
        </w:tc>
        <w:tc>
          <w:tcPr>
            <w:tcW w:w="336" w:type="pct"/>
            <w:tcBorders>
              <w:tl2br w:val="nil"/>
              <w:tr2bl w:val="nil"/>
            </w:tcBorders>
            <w:noWrap w:val="0"/>
            <w:vAlign w:val="center"/>
          </w:tcPr>
          <w:p w14:paraId="1FCDCB8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70</w:t>
            </w:r>
          </w:p>
        </w:tc>
        <w:tc>
          <w:tcPr>
            <w:tcW w:w="336" w:type="pct"/>
            <w:tcBorders>
              <w:tl2br w:val="nil"/>
              <w:tr2bl w:val="nil"/>
            </w:tcBorders>
            <w:noWrap w:val="0"/>
            <w:vAlign w:val="center"/>
          </w:tcPr>
          <w:p w14:paraId="6D2EABF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89</w:t>
            </w:r>
          </w:p>
        </w:tc>
        <w:tc>
          <w:tcPr>
            <w:tcW w:w="336" w:type="pct"/>
            <w:tcBorders>
              <w:tl2br w:val="nil"/>
              <w:tr2bl w:val="nil"/>
            </w:tcBorders>
            <w:noWrap w:val="0"/>
            <w:vAlign w:val="center"/>
          </w:tcPr>
          <w:p w14:paraId="3E40CB7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90</w:t>
            </w:r>
          </w:p>
        </w:tc>
        <w:tc>
          <w:tcPr>
            <w:tcW w:w="336" w:type="pct"/>
            <w:tcBorders>
              <w:tl2br w:val="nil"/>
              <w:tr2bl w:val="nil"/>
            </w:tcBorders>
            <w:noWrap w:val="0"/>
            <w:vAlign w:val="center"/>
          </w:tcPr>
          <w:p w14:paraId="7BB069A4">
            <w:pPr>
              <w:spacing w:line="240" w:lineRule="auto"/>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95</w:t>
            </w:r>
          </w:p>
        </w:tc>
        <w:tc>
          <w:tcPr>
            <w:tcW w:w="336" w:type="pct"/>
            <w:tcBorders>
              <w:tl2br w:val="nil"/>
              <w:tr2bl w:val="nil"/>
            </w:tcBorders>
            <w:noWrap w:val="0"/>
            <w:vAlign w:val="center"/>
          </w:tcPr>
          <w:p w14:paraId="6A781763">
            <w:pPr>
              <w:spacing w:line="240" w:lineRule="auto"/>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52</w:t>
            </w:r>
          </w:p>
        </w:tc>
        <w:tc>
          <w:tcPr>
            <w:tcW w:w="336" w:type="pct"/>
            <w:tcBorders>
              <w:tl2br w:val="nil"/>
              <w:tr2bl w:val="nil"/>
            </w:tcBorders>
            <w:noWrap w:val="0"/>
            <w:vAlign w:val="center"/>
          </w:tcPr>
          <w:p w14:paraId="51D5300F">
            <w:pPr>
              <w:spacing w:line="240" w:lineRule="auto"/>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200</w:t>
            </w:r>
          </w:p>
        </w:tc>
        <w:tc>
          <w:tcPr>
            <w:tcW w:w="344" w:type="pct"/>
            <w:tcBorders>
              <w:tl2br w:val="nil"/>
              <w:tr2bl w:val="nil"/>
            </w:tcBorders>
            <w:noWrap w:val="0"/>
            <w:vAlign w:val="center"/>
          </w:tcPr>
          <w:p w14:paraId="7970F486">
            <w:pPr>
              <w:spacing w:line="240" w:lineRule="auto"/>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98</w:t>
            </w:r>
          </w:p>
        </w:tc>
        <w:tc>
          <w:tcPr>
            <w:tcW w:w="1151" w:type="dxa"/>
            <w:tcBorders>
              <w:tl2br w:val="nil"/>
              <w:tr2bl w:val="nil"/>
            </w:tcBorders>
            <w:noWrap w:val="0"/>
            <w:vAlign w:val="center"/>
          </w:tcPr>
          <w:p w14:paraId="5F93644A">
            <w:pPr>
              <w:pStyle w:val="47"/>
              <w:snapToGrid/>
              <w:ind w:firstLine="0" w:firstLineChars="0"/>
              <w:rPr>
                <w:rFonts w:hint="default" w:ascii="Times New Roman" w:hAnsi="Times New Roman" w:cs="Times New Roman"/>
                <w:b w:val="0"/>
                <w:bCs/>
                <w:color w:val="auto"/>
                <w:sz w:val="18"/>
                <w:szCs w:val="18"/>
              </w:rPr>
            </w:pPr>
            <w:r>
              <w:rPr>
                <w:rFonts w:hint="default" w:ascii="Times New Roman" w:hAnsi="Times New Roman" w:cs="Times New Roman" w:eastAsiaTheme="minorEastAsia"/>
                <w:b w:val="0"/>
                <w:bCs/>
                <w:color w:val="auto"/>
                <w:sz w:val="18"/>
                <w:szCs w:val="18"/>
              </w:rPr>
              <w:t>4500</w:t>
            </w:r>
          </w:p>
        </w:tc>
        <w:tc>
          <w:tcPr>
            <w:tcW w:w="945" w:type="dxa"/>
            <w:tcBorders>
              <w:tl2br w:val="nil"/>
              <w:tr2bl w:val="nil"/>
            </w:tcBorders>
            <w:noWrap w:val="0"/>
            <w:vAlign w:val="center"/>
          </w:tcPr>
          <w:p w14:paraId="3862146F">
            <w:pPr>
              <w:pStyle w:val="47"/>
              <w:snapToGrid/>
              <w:ind w:firstLine="0" w:firstLineChars="0"/>
              <w:rPr>
                <w:rFonts w:hint="default" w:ascii="Times New Roman" w:hAnsi="Times New Roman" w:cs="Times New Roman"/>
                <w:b w:val="0"/>
                <w:bCs/>
                <w:color w:val="auto"/>
                <w:sz w:val="18"/>
                <w:szCs w:val="18"/>
              </w:rPr>
            </w:pPr>
            <w:r>
              <w:rPr>
                <w:rFonts w:hint="default" w:ascii="Times New Roman" w:hAnsi="Times New Roman" w:cs="Times New Roman" w:eastAsiaTheme="minorEastAsia"/>
                <w:b w:val="0"/>
                <w:bCs/>
                <w:color w:val="auto"/>
                <w:sz w:val="18"/>
                <w:szCs w:val="18"/>
              </w:rPr>
              <w:t>9000</w:t>
            </w:r>
          </w:p>
        </w:tc>
        <w:tc>
          <w:tcPr>
            <w:tcW w:w="381" w:type="pct"/>
            <w:tcBorders>
              <w:tl2br w:val="nil"/>
              <w:tr2bl w:val="nil"/>
            </w:tcBorders>
            <w:noWrap w:val="0"/>
            <w:vAlign w:val="center"/>
          </w:tcPr>
          <w:p w14:paraId="5E9EEA80">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8C2C22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7A3AB037">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氯甲烷</w:t>
            </w:r>
          </w:p>
        </w:tc>
        <w:tc>
          <w:tcPr>
            <w:tcW w:w="336" w:type="pct"/>
            <w:tcBorders>
              <w:tl2br w:val="nil"/>
              <w:tr2bl w:val="nil"/>
            </w:tcBorders>
            <w:noWrap w:val="0"/>
            <w:vAlign w:val="center"/>
          </w:tcPr>
          <w:p w14:paraId="77DC4CEF">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4D29426">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B09FF7C">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C67B0CE">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24074C1">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3D2C89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D29B8D7">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1FBF6D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C86F8AE">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44351DF7">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4C81387D">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w:t>
            </w:r>
          </w:p>
        </w:tc>
        <w:tc>
          <w:tcPr>
            <w:tcW w:w="332" w:type="pct"/>
            <w:tcBorders>
              <w:tl2br w:val="nil"/>
              <w:tr2bl w:val="nil"/>
            </w:tcBorders>
            <w:noWrap w:val="0"/>
            <w:vAlign w:val="center"/>
          </w:tcPr>
          <w:p w14:paraId="464B333A">
            <w:pPr>
              <w:pStyle w:val="17"/>
              <w:spacing w:line="240" w:lineRule="auto"/>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120</w:t>
            </w:r>
          </w:p>
        </w:tc>
        <w:tc>
          <w:tcPr>
            <w:tcW w:w="381" w:type="pct"/>
            <w:tcBorders>
              <w:tl2br w:val="nil"/>
              <w:tr2bl w:val="nil"/>
            </w:tcBorders>
            <w:noWrap w:val="0"/>
            <w:vAlign w:val="center"/>
          </w:tcPr>
          <w:p w14:paraId="742E5BBF">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7C53CA6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18ABE9F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氯乙烯</w:t>
            </w:r>
          </w:p>
        </w:tc>
        <w:tc>
          <w:tcPr>
            <w:tcW w:w="336" w:type="pct"/>
            <w:tcBorders>
              <w:tl2br w:val="nil"/>
              <w:tr2bl w:val="nil"/>
            </w:tcBorders>
            <w:noWrap w:val="0"/>
            <w:vAlign w:val="center"/>
          </w:tcPr>
          <w:p w14:paraId="0871EFED">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3BDAF25">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C6BF620">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24E8A1F">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9CF9C9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2340ABE">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66B7D21">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B1E1556">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0FBC78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2300B4D1">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3A804C00">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0.43</w:t>
            </w:r>
          </w:p>
        </w:tc>
        <w:tc>
          <w:tcPr>
            <w:tcW w:w="332" w:type="pct"/>
            <w:tcBorders>
              <w:tl2br w:val="nil"/>
              <w:tr2bl w:val="nil"/>
            </w:tcBorders>
            <w:noWrap w:val="0"/>
            <w:vAlign w:val="center"/>
          </w:tcPr>
          <w:p w14:paraId="0E312CBF">
            <w:pPr>
              <w:pStyle w:val="17"/>
              <w:spacing w:line="240" w:lineRule="auto"/>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4.3</w:t>
            </w:r>
          </w:p>
        </w:tc>
        <w:tc>
          <w:tcPr>
            <w:tcW w:w="381" w:type="pct"/>
            <w:tcBorders>
              <w:tl2br w:val="nil"/>
              <w:tr2bl w:val="nil"/>
            </w:tcBorders>
            <w:noWrap w:val="0"/>
            <w:vAlign w:val="center"/>
          </w:tcPr>
          <w:p w14:paraId="6FB2A972">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14011D2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133FDE5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1,1-二氯乙烯</w:t>
            </w:r>
          </w:p>
        </w:tc>
        <w:tc>
          <w:tcPr>
            <w:tcW w:w="336" w:type="pct"/>
            <w:tcBorders>
              <w:tl2br w:val="nil"/>
              <w:tr2bl w:val="nil"/>
            </w:tcBorders>
            <w:noWrap w:val="0"/>
            <w:vAlign w:val="center"/>
          </w:tcPr>
          <w:p w14:paraId="212954D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8EDF616">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3E3D2C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94F0E1F">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C6ECA77">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C55951A">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AC3DB05">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C5C70C6">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F5B0430">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49E6FD74">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1656BC45">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w:t>
            </w:r>
          </w:p>
        </w:tc>
        <w:tc>
          <w:tcPr>
            <w:tcW w:w="332" w:type="pct"/>
            <w:tcBorders>
              <w:tl2br w:val="nil"/>
              <w:tr2bl w:val="nil"/>
            </w:tcBorders>
            <w:noWrap w:val="0"/>
            <w:vAlign w:val="center"/>
          </w:tcPr>
          <w:p w14:paraId="7462907E">
            <w:pPr>
              <w:pStyle w:val="17"/>
              <w:spacing w:line="240" w:lineRule="auto"/>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w:t>
            </w:r>
          </w:p>
        </w:tc>
        <w:tc>
          <w:tcPr>
            <w:tcW w:w="381" w:type="pct"/>
            <w:tcBorders>
              <w:tl2br w:val="nil"/>
              <w:tr2bl w:val="nil"/>
            </w:tcBorders>
            <w:noWrap w:val="0"/>
            <w:vAlign w:val="center"/>
          </w:tcPr>
          <w:p w14:paraId="777FF851">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E4DB5D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74DB228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二氯甲烷</w:t>
            </w:r>
          </w:p>
        </w:tc>
        <w:tc>
          <w:tcPr>
            <w:tcW w:w="336" w:type="pct"/>
            <w:tcBorders>
              <w:tl2br w:val="nil"/>
              <w:tr2bl w:val="nil"/>
            </w:tcBorders>
            <w:noWrap w:val="0"/>
            <w:vAlign w:val="center"/>
          </w:tcPr>
          <w:p w14:paraId="3B0E718D">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5FE809B">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25330C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AF7ADBC">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E0F70FB">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3F3EF26">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56D6C08">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2388354">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5741FCF">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7564940D">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74C546E2">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616</w:t>
            </w:r>
          </w:p>
        </w:tc>
        <w:tc>
          <w:tcPr>
            <w:tcW w:w="332" w:type="pct"/>
            <w:tcBorders>
              <w:tl2br w:val="nil"/>
              <w:tr2bl w:val="nil"/>
            </w:tcBorders>
            <w:noWrap w:val="0"/>
            <w:vAlign w:val="center"/>
          </w:tcPr>
          <w:p w14:paraId="46DADEDD">
            <w:pPr>
              <w:pStyle w:val="17"/>
              <w:spacing w:line="240" w:lineRule="auto"/>
              <w:ind w:left="0" w:leftChars="0" w:firstLine="185" w:firstLineChars="10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2000</w:t>
            </w:r>
          </w:p>
        </w:tc>
        <w:tc>
          <w:tcPr>
            <w:tcW w:w="381" w:type="pct"/>
            <w:tcBorders>
              <w:tl2br w:val="nil"/>
              <w:tr2bl w:val="nil"/>
            </w:tcBorders>
            <w:noWrap w:val="0"/>
            <w:vAlign w:val="center"/>
          </w:tcPr>
          <w:p w14:paraId="0DCE1EDB">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6C726B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593688B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2-氯苯酚</w:t>
            </w:r>
          </w:p>
        </w:tc>
        <w:tc>
          <w:tcPr>
            <w:tcW w:w="336" w:type="pct"/>
            <w:tcBorders>
              <w:tl2br w:val="nil"/>
              <w:tr2bl w:val="nil"/>
            </w:tcBorders>
            <w:noWrap w:val="0"/>
            <w:vAlign w:val="center"/>
          </w:tcPr>
          <w:p w14:paraId="20572BD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477818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AD41A4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681D51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B8FB1F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D1FC14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1880C7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516114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D69A97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1D48B49E">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3637B276">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2256</w:t>
            </w:r>
          </w:p>
        </w:tc>
        <w:tc>
          <w:tcPr>
            <w:tcW w:w="332" w:type="pct"/>
            <w:tcBorders>
              <w:tl2br w:val="nil"/>
              <w:tr2bl w:val="nil"/>
            </w:tcBorders>
            <w:noWrap w:val="0"/>
            <w:vAlign w:val="center"/>
          </w:tcPr>
          <w:p w14:paraId="4D7446B9">
            <w:pPr>
              <w:pStyle w:val="17"/>
              <w:spacing w:line="240" w:lineRule="auto"/>
              <w:ind w:left="0" w:leftChars="0" w:firstLine="185" w:firstLineChars="10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4500</w:t>
            </w:r>
          </w:p>
        </w:tc>
        <w:tc>
          <w:tcPr>
            <w:tcW w:w="381" w:type="pct"/>
            <w:tcBorders>
              <w:tl2br w:val="nil"/>
              <w:tr2bl w:val="nil"/>
            </w:tcBorders>
            <w:noWrap w:val="0"/>
            <w:vAlign w:val="center"/>
          </w:tcPr>
          <w:p w14:paraId="427CB451">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1DEB19E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7C92AEC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硝基苯</w:t>
            </w:r>
          </w:p>
        </w:tc>
        <w:tc>
          <w:tcPr>
            <w:tcW w:w="336" w:type="pct"/>
            <w:tcBorders>
              <w:tl2br w:val="nil"/>
              <w:tr2bl w:val="nil"/>
            </w:tcBorders>
            <w:noWrap w:val="0"/>
            <w:vAlign w:val="center"/>
          </w:tcPr>
          <w:p w14:paraId="684631B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1E0E69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D06254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6407D1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208DEB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B6025F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4CCDA1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BD5EDC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2F2485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1E634755">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579577D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w:t>
            </w:r>
          </w:p>
        </w:tc>
        <w:tc>
          <w:tcPr>
            <w:tcW w:w="332" w:type="pct"/>
            <w:tcBorders>
              <w:tl2br w:val="nil"/>
              <w:tr2bl w:val="nil"/>
            </w:tcBorders>
            <w:noWrap w:val="0"/>
            <w:vAlign w:val="center"/>
          </w:tcPr>
          <w:p w14:paraId="1F7C14C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760</w:t>
            </w:r>
          </w:p>
        </w:tc>
        <w:tc>
          <w:tcPr>
            <w:tcW w:w="381" w:type="pct"/>
            <w:tcBorders>
              <w:tl2br w:val="nil"/>
              <w:tr2bl w:val="nil"/>
            </w:tcBorders>
            <w:noWrap w:val="0"/>
            <w:vAlign w:val="center"/>
          </w:tcPr>
          <w:p w14:paraId="11256587">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0C4B22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32698BF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萘</w:t>
            </w:r>
          </w:p>
        </w:tc>
        <w:tc>
          <w:tcPr>
            <w:tcW w:w="336" w:type="pct"/>
            <w:tcBorders>
              <w:tl2br w:val="nil"/>
              <w:tr2bl w:val="nil"/>
            </w:tcBorders>
            <w:noWrap w:val="0"/>
            <w:vAlign w:val="center"/>
          </w:tcPr>
          <w:p w14:paraId="0DAAE64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D59F71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4EDEE9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0C6F8D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4DA4AC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75E6D1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65C93A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7B305C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CDD078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5FDDBCF4">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74019D0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332" w:type="pct"/>
            <w:tcBorders>
              <w:tl2br w:val="nil"/>
              <w:tr2bl w:val="nil"/>
            </w:tcBorders>
            <w:noWrap w:val="0"/>
            <w:vAlign w:val="center"/>
          </w:tcPr>
          <w:p w14:paraId="20BFBBC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700</w:t>
            </w:r>
          </w:p>
        </w:tc>
        <w:tc>
          <w:tcPr>
            <w:tcW w:w="381" w:type="pct"/>
            <w:tcBorders>
              <w:tl2br w:val="nil"/>
              <w:tr2bl w:val="nil"/>
            </w:tcBorders>
            <w:noWrap w:val="0"/>
            <w:vAlign w:val="center"/>
          </w:tcPr>
          <w:p w14:paraId="12064598">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2E3388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34A4078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苯并（a）蒽</w:t>
            </w:r>
          </w:p>
        </w:tc>
        <w:tc>
          <w:tcPr>
            <w:tcW w:w="336" w:type="pct"/>
            <w:tcBorders>
              <w:tl2br w:val="nil"/>
              <w:tr2bl w:val="nil"/>
            </w:tcBorders>
            <w:noWrap w:val="0"/>
            <w:vAlign w:val="center"/>
          </w:tcPr>
          <w:p w14:paraId="1CB5C0A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6BAA0A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36D322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933E79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89509C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233511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AB2BF3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B6CE5F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F28FF9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72BE797C">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2E0FB02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32" w:type="pct"/>
            <w:tcBorders>
              <w:tl2br w:val="nil"/>
              <w:tr2bl w:val="nil"/>
            </w:tcBorders>
            <w:noWrap w:val="0"/>
            <w:vAlign w:val="center"/>
          </w:tcPr>
          <w:p w14:paraId="6C008A8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81" w:type="pct"/>
            <w:tcBorders>
              <w:tl2br w:val="nil"/>
              <w:tr2bl w:val="nil"/>
            </w:tcBorders>
            <w:noWrap w:val="0"/>
            <w:vAlign w:val="center"/>
          </w:tcPr>
          <w:p w14:paraId="5B90A8DB">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13A805F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3436626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䓛</w:t>
            </w:r>
          </w:p>
        </w:tc>
        <w:tc>
          <w:tcPr>
            <w:tcW w:w="336" w:type="pct"/>
            <w:tcBorders>
              <w:tl2br w:val="nil"/>
              <w:tr2bl w:val="nil"/>
            </w:tcBorders>
            <w:noWrap w:val="0"/>
            <w:vAlign w:val="center"/>
          </w:tcPr>
          <w:p w14:paraId="09DBDB7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311FF1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54729F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11ECFE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65DCFB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D89327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F78F34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DD8533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6EA481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12A79AAE">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625335E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1293</w:t>
            </w:r>
          </w:p>
        </w:tc>
        <w:tc>
          <w:tcPr>
            <w:tcW w:w="332" w:type="pct"/>
            <w:tcBorders>
              <w:tl2br w:val="nil"/>
              <w:tr2bl w:val="nil"/>
            </w:tcBorders>
            <w:noWrap w:val="0"/>
            <w:vAlign w:val="center"/>
          </w:tcPr>
          <w:p w14:paraId="513BD1D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12900</w:t>
            </w:r>
          </w:p>
        </w:tc>
        <w:tc>
          <w:tcPr>
            <w:tcW w:w="381" w:type="pct"/>
            <w:tcBorders>
              <w:tl2br w:val="nil"/>
              <w:tr2bl w:val="nil"/>
            </w:tcBorders>
            <w:noWrap w:val="0"/>
            <w:vAlign w:val="center"/>
          </w:tcPr>
          <w:p w14:paraId="26FE1B42">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CF2743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0CE515E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苯并（b）荧蒽</w:t>
            </w:r>
          </w:p>
        </w:tc>
        <w:tc>
          <w:tcPr>
            <w:tcW w:w="336" w:type="pct"/>
            <w:tcBorders>
              <w:tl2br w:val="nil"/>
              <w:tr2bl w:val="nil"/>
            </w:tcBorders>
            <w:noWrap w:val="0"/>
            <w:vAlign w:val="center"/>
          </w:tcPr>
          <w:p w14:paraId="121205F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9E5E00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A25D39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04C465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B29C5D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2B72CC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5BA38E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866A80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AA12B4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5F7EF1F4">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426B7D2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32" w:type="pct"/>
            <w:tcBorders>
              <w:tl2br w:val="nil"/>
              <w:tr2bl w:val="nil"/>
            </w:tcBorders>
            <w:noWrap w:val="0"/>
            <w:vAlign w:val="center"/>
          </w:tcPr>
          <w:p w14:paraId="2EAB698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81" w:type="pct"/>
            <w:tcBorders>
              <w:tl2br w:val="nil"/>
              <w:tr2bl w:val="nil"/>
            </w:tcBorders>
            <w:noWrap w:val="0"/>
            <w:vAlign w:val="center"/>
          </w:tcPr>
          <w:p w14:paraId="59CDFDF9">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56DF158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772CDE2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苯并（k）荧蒽</w:t>
            </w:r>
          </w:p>
        </w:tc>
        <w:tc>
          <w:tcPr>
            <w:tcW w:w="336" w:type="pct"/>
            <w:tcBorders>
              <w:tl2br w:val="nil"/>
              <w:tr2bl w:val="nil"/>
            </w:tcBorders>
            <w:noWrap w:val="0"/>
            <w:vAlign w:val="center"/>
          </w:tcPr>
          <w:p w14:paraId="1CDD1EF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BCF233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9C0264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269D71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CB19EB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B8234B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637231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DF9189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E09757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6E02A1EB">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3BF9AF5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32" w:type="pct"/>
            <w:tcBorders>
              <w:tl2br w:val="nil"/>
              <w:tr2bl w:val="nil"/>
            </w:tcBorders>
            <w:noWrap w:val="0"/>
            <w:vAlign w:val="center"/>
          </w:tcPr>
          <w:p w14:paraId="3710022F">
            <w:pPr>
              <w:pStyle w:val="17"/>
              <w:spacing w:line="240" w:lineRule="auto"/>
              <w:ind w:left="0" w:leftChars="0" w:firstLine="185" w:firstLineChars="10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1500</w:t>
            </w:r>
          </w:p>
        </w:tc>
        <w:tc>
          <w:tcPr>
            <w:tcW w:w="381" w:type="pct"/>
            <w:tcBorders>
              <w:tl2br w:val="nil"/>
              <w:tr2bl w:val="nil"/>
            </w:tcBorders>
            <w:noWrap w:val="0"/>
            <w:vAlign w:val="center"/>
          </w:tcPr>
          <w:p w14:paraId="0A82AFA1">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5A328F5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53635A3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苯并（a）芘</w:t>
            </w:r>
          </w:p>
        </w:tc>
        <w:tc>
          <w:tcPr>
            <w:tcW w:w="336" w:type="pct"/>
            <w:tcBorders>
              <w:tl2br w:val="nil"/>
              <w:tr2bl w:val="nil"/>
            </w:tcBorders>
            <w:noWrap w:val="0"/>
            <w:vAlign w:val="center"/>
          </w:tcPr>
          <w:p w14:paraId="26E90E4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5A2720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AF5FB0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792079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3E9B43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E49927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553EBA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C4D7C2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09CE12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0D315A39">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7056E9F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32" w:type="pct"/>
            <w:tcBorders>
              <w:tl2br w:val="nil"/>
              <w:tr2bl w:val="nil"/>
            </w:tcBorders>
            <w:noWrap w:val="0"/>
            <w:vAlign w:val="center"/>
          </w:tcPr>
          <w:p w14:paraId="5BABDD6C">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81" w:type="pct"/>
            <w:tcBorders>
              <w:tl2br w:val="nil"/>
              <w:tr2bl w:val="nil"/>
            </w:tcBorders>
            <w:noWrap w:val="0"/>
            <w:vAlign w:val="center"/>
          </w:tcPr>
          <w:p w14:paraId="3DA881AC">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E3654D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5565C8E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茚并（1,2,3-c,d）芘</w:t>
            </w:r>
          </w:p>
        </w:tc>
        <w:tc>
          <w:tcPr>
            <w:tcW w:w="336" w:type="pct"/>
            <w:tcBorders>
              <w:tl2br w:val="nil"/>
              <w:tr2bl w:val="nil"/>
            </w:tcBorders>
            <w:noWrap w:val="0"/>
            <w:vAlign w:val="center"/>
          </w:tcPr>
          <w:p w14:paraId="5F2F39D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CBB5E1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4F6F38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CD9E52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7C3A51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B5A5D3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E23E76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A86E65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91D41D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6B87452D">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33D8EF8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32" w:type="pct"/>
            <w:tcBorders>
              <w:tl2br w:val="nil"/>
              <w:tr2bl w:val="nil"/>
            </w:tcBorders>
            <w:noWrap w:val="0"/>
            <w:vAlign w:val="center"/>
          </w:tcPr>
          <w:p w14:paraId="263035A3">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81" w:type="pct"/>
            <w:tcBorders>
              <w:tl2br w:val="nil"/>
              <w:tr2bl w:val="nil"/>
            </w:tcBorders>
            <w:noWrap w:val="0"/>
            <w:vAlign w:val="center"/>
          </w:tcPr>
          <w:p w14:paraId="2832E991">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5D8F33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4954C04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二苯</w:t>
            </w:r>
            <w:r>
              <w:rPr>
                <w:rFonts w:hint="default" w:ascii="Times New Roman" w:hAnsi="Times New Roman" w:cs="Times New Roman"/>
                <w:color w:val="auto"/>
                <w:sz w:val="18"/>
                <w:szCs w:val="18"/>
              </w:rPr>
              <w:t>并（a,h）蒽</w:t>
            </w:r>
          </w:p>
        </w:tc>
        <w:tc>
          <w:tcPr>
            <w:tcW w:w="336" w:type="pct"/>
            <w:tcBorders>
              <w:tl2br w:val="nil"/>
              <w:tr2bl w:val="nil"/>
            </w:tcBorders>
            <w:noWrap w:val="0"/>
            <w:vAlign w:val="center"/>
          </w:tcPr>
          <w:p w14:paraId="588D752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F66746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01D7DB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278563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73E237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A095CC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17CBDF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094017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B31050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504AEE97">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66B51E33">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32" w:type="pct"/>
            <w:tcBorders>
              <w:tl2br w:val="nil"/>
              <w:tr2bl w:val="nil"/>
            </w:tcBorders>
            <w:noWrap w:val="0"/>
            <w:vAlign w:val="center"/>
          </w:tcPr>
          <w:p w14:paraId="41C048D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81" w:type="pct"/>
            <w:tcBorders>
              <w:tl2br w:val="nil"/>
              <w:tr2bl w:val="nil"/>
            </w:tcBorders>
            <w:noWrap w:val="0"/>
            <w:vAlign w:val="center"/>
          </w:tcPr>
          <w:p w14:paraId="17917534">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89B548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14F5350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苯胺</w:t>
            </w:r>
          </w:p>
        </w:tc>
        <w:tc>
          <w:tcPr>
            <w:tcW w:w="336" w:type="pct"/>
            <w:tcBorders>
              <w:tl2br w:val="nil"/>
              <w:tr2bl w:val="nil"/>
            </w:tcBorders>
            <w:noWrap w:val="0"/>
            <w:vAlign w:val="center"/>
          </w:tcPr>
          <w:p w14:paraId="311CA3C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42D130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381E1F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FB3C3E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F88E10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0CFAD7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6BDB4E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1793FC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DF8920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3CBBDEB0">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669FA687">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260</w:t>
            </w:r>
          </w:p>
        </w:tc>
        <w:tc>
          <w:tcPr>
            <w:tcW w:w="332" w:type="pct"/>
            <w:tcBorders>
              <w:tl2br w:val="nil"/>
              <w:tr2bl w:val="nil"/>
            </w:tcBorders>
            <w:noWrap w:val="0"/>
            <w:vAlign w:val="center"/>
          </w:tcPr>
          <w:p w14:paraId="4737B70D">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663</w:t>
            </w:r>
          </w:p>
        </w:tc>
        <w:tc>
          <w:tcPr>
            <w:tcW w:w="381" w:type="pct"/>
            <w:tcBorders>
              <w:tl2br w:val="nil"/>
              <w:tr2bl w:val="nil"/>
            </w:tcBorders>
            <w:noWrap w:val="0"/>
            <w:vAlign w:val="center"/>
          </w:tcPr>
          <w:p w14:paraId="21831312">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585890F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4CFF906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反-1,2-二氯乙烯</w:t>
            </w:r>
          </w:p>
        </w:tc>
        <w:tc>
          <w:tcPr>
            <w:tcW w:w="336" w:type="pct"/>
            <w:tcBorders>
              <w:tl2br w:val="nil"/>
              <w:tr2bl w:val="nil"/>
            </w:tcBorders>
            <w:noWrap w:val="0"/>
            <w:vAlign w:val="center"/>
          </w:tcPr>
          <w:p w14:paraId="39F7DEE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9D7A04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CCA703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BE62F2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857DBB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C92022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3CF494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7E868F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4124B3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0357D809">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504FFA1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332" w:type="pct"/>
            <w:tcBorders>
              <w:tl2br w:val="nil"/>
              <w:tr2bl w:val="nil"/>
            </w:tcBorders>
            <w:noWrap w:val="0"/>
            <w:vAlign w:val="center"/>
          </w:tcPr>
          <w:p w14:paraId="5051B675">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163</w:t>
            </w:r>
          </w:p>
        </w:tc>
        <w:tc>
          <w:tcPr>
            <w:tcW w:w="381" w:type="pct"/>
            <w:tcBorders>
              <w:tl2br w:val="nil"/>
              <w:tr2bl w:val="nil"/>
            </w:tcBorders>
            <w:noWrap w:val="0"/>
            <w:vAlign w:val="center"/>
          </w:tcPr>
          <w:p w14:paraId="2BB3B9FE">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087861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39BBB5D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1,1-二氯乙烯</w:t>
            </w:r>
          </w:p>
        </w:tc>
        <w:tc>
          <w:tcPr>
            <w:tcW w:w="336" w:type="pct"/>
            <w:tcBorders>
              <w:tl2br w:val="nil"/>
              <w:tr2bl w:val="nil"/>
            </w:tcBorders>
            <w:noWrap w:val="0"/>
            <w:vAlign w:val="center"/>
          </w:tcPr>
          <w:p w14:paraId="1599653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48D9F2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7A07EE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990967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5E17DB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AF16A0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BE3BAF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73D243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3A4143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13D8B5B1">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03425474">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332" w:type="pct"/>
            <w:tcBorders>
              <w:tl2br w:val="nil"/>
              <w:tr2bl w:val="nil"/>
            </w:tcBorders>
            <w:noWrap w:val="0"/>
            <w:vAlign w:val="center"/>
          </w:tcPr>
          <w:p w14:paraId="283F8245">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381" w:type="pct"/>
            <w:tcBorders>
              <w:tl2br w:val="nil"/>
              <w:tr2bl w:val="nil"/>
            </w:tcBorders>
            <w:noWrap w:val="0"/>
            <w:vAlign w:val="center"/>
          </w:tcPr>
          <w:p w14:paraId="15CFEB4B">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D3218E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2F943E9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顺-1,2-二氯乙烯</w:t>
            </w:r>
          </w:p>
        </w:tc>
        <w:tc>
          <w:tcPr>
            <w:tcW w:w="336" w:type="pct"/>
            <w:tcBorders>
              <w:tl2br w:val="nil"/>
              <w:tr2bl w:val="nil"/>
            </w:tcBorders>
            <w:noWrap w:val="0"/>
            <w:vAlign w:val="center"/>
          </w:tcPr>
          <w:p w14:paraId="2765957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2B8946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25A567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919521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C04B35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C478F8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E2A4B6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A29417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24775C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037D8B8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58CB0541">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596</w:t>
            </w:r>
          </w:p>
        </w:tc>
        <w:tc>
          <w:tcPr>
            <w:tcW w:w="332" w:type="pct"/>
            <w:tcBorders>
              <w:tl2br w:val="nil"/>
              <w:tr2bl w:val="nil"/>
            </w:tcBorders>
            <w:noWrap w:val="0"/>
            <w:vAlign w:val="center"/>
          </w:tcPr>
          <w:p w14:paraId="0E7593BC">
            <w:pPr>
              <w:pStyle w:val="17"/>
              <w:spacing w:line="240" w:lineRule="auto"/>
              <w:ind w:left="0" w:leftChars="0" w:firstLine="185" w:firstLineChars="10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2000</w:t>
            </w:r>
          </w:p>
        </w:tc>
        <w:tc>
          <w:tcPr>
            <w:tcW w:w="381" w:type="pct"/>
            <w:tcBorders>
              <w:tl2br w:val="nil"/>
              <w:tr2bl w:val="nil"/>
            </w:tcBorders>
            <w:noWrap w:val="0"/>
            <w:vAlign w:val="center"/>
          </w:tcPr>
          <w:p w14:paraId="0BE9D52E">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7037E71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4CE997D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氯仿</w:t>
            </w:r>
          </w:p>
        </w:tc>
        <w:tc>
          <w:tcPr>
            <w:tcW w:w="336" w:type="pct"/>
            <w:tcBorders>
              <w:tl2br w:val="nil"/>
              <w:tr2bl w:val="nil"/>
            </w:tcBorders>
            <w:noWrap w:val="0"/>
            <w:vAlign w:val="center"/>
          </w:tcPr>
          <w:p w14:paraId="7554929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E44204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EC726B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8B9592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E64231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FD7BFD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5E4928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CFB1B5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C5BA30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3CBE15D5">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3B10DB15">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0.9</w:t>
            </w:r>
          </w:p>
        </w:tc>
        <w:tc>
          <w:tcPr>
            <w:tcW w:w="332" w:type="pct"/>
            <w:tcBorders>
              <w:tl2br w:val="nil"/>
              <w:tr2bl w:val="nil"/>
            </w:tcBorders>
            <w:noWrap w:val="0"/>
            <w:vAlign w:val="center"/>
          </w:tcPr>
          <w:p w14:paraId="1395242D">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381" w:type="pct"/>
            <w:tcBorders>
              <w:tl2br w:val="nil"/>
              <w:tr2bl w:val="nil"/>
            </w:tcBorders>
            <w:noWrap w:val="0"/>
            <w:vAlign w:val="center"/>
          </w:tcPr>
          <w:p w14:paraId="00EC095B">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3209A46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18569C7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1,2-二氯乙烷</w:t>
            </w:r>
          </w:p>
        </w:tc>
        <w:tc>
          <w:tcPr>
            <w:tcW w:w="336" w:type="pct"/>
            <w:tcBorders>
              <w:tl2br w:val="nil"/>
              <w:tr2bl w:val="nil"/>
            </w:tcBorders>
            <w:noWrap w:val="0"/>
            <w:vAlign w:val="center"/>
          </w:tcPr>
          <w:p w14:paraId="0C1E88A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42EBF2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4521BA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654A36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8A66DC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7F03DE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B3204D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FACD28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3D48E7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19F7737D">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20C840DC">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332" w:type="pct"/>
            <w:tcBorders>
              <w:tl2br w:val="nil"/>
              <w:tr2bl w:val="nil"/>
            </w:tcBorders>
            <w:noWrap w:val="0"/>
            <w:vAlign w:val="center"/>
          </w:tcPr>
          <w:p w14:paraId="1782A6C8">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w:t>
            </w:r>
          </w:p>
        </w:tc>
        <w:tc>
          <w:tcPr>
            <w:tcW w:w="381" w:type="pct"/>
            <w:tcBorders>
              <w:tl2br w:val="nil"/>
              <w:tr2bl w:val="nil"/>
            </w:tcBorders>
            <w:noWrap w:val="0"/>
            <w:vAlign w:val="center"/>
          </w:tcPr>
          <w:p w14:paraId="7C874290">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7C60229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28356A7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1,1,1-三氯乙烷</w:t>
            </w:r>
          </w:p>
        </w:tc>
        <w:tc>
          <w:tcPr>
            <w:tcW w:w="336" w:type="pct"/>
            <w:tcBorders>
              <w:tl2br w:val="nil"/>
              <w:tr2bl w:val="nil"/>
            </w:tcBorders>
            <w:noWrap w:val="0"/>
            <w:vAlign w:val="center"/>
          </w:tcPr>
          <w:p w14:paraId="2C66EB2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AAAEA6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E14783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86CC4E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09CDB6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6C0D9B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52BDF7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415D08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00E38B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45FFC107">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17784E0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840</w:t>
            </w:r>
          </w:p>
        </w:tc>
        <w:tc>
          <w:tcPr>
            <w:tcW w:w="332" w:type="pct"/>
            <w:tcBorders>
              <w:tl2br w:val="nil"/>
              <w:tr2bl w:val="nil"/>
            </w:tcBorders>
            <w:noWrap w:val="0"/>
            <w:vAlign w:val="center"/>
          </w:tcPr>
          <w:p w14:paraId="19C945D3">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840</w:t>
            </w:r>
          </w:p>
        </w:tc>
        <w:tc>
          <w:tcPr>
            <w:tcW w:w="381" w:type="pct"/>
            <w:tcBorders>
              <w:tl2br w:val="nil"/>
              <w:tr2bl w:val="nil"/>
            </w:tcBorders>
            <w:noWrap w:val="0"/>
            <w:vAlign w:val="center"/>
          </w:tcPr>
          <w:p w14:paraId="4DBC9FF3">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A16367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4A8C9C2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四氯化碳</w:t>
            </w:r>
          </w:p>
        </w:tc>
        <w:tc>
          <w:tcPr>
            <w:tcW w:w="336" w:type="pct"/>
            <w:tcBorders>
              <w:tl2br w:val="nil"/>
              <w:tr2bl w:val="nil"/>
            </w:tcBorders>
            <w:noWrap w:val="0"/>
            <w:vAlign w:val="center"/>
          </w:tcPr>
          <w:p w14:paraId="5EEA68D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B102D4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C12A84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EDCEF5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646989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A97BBB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BF2CFE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FA9B7E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2865BA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0786AF5F">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061F50CD">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w:t>
            </w:r>
          </w:p>
        </w:tc>
        <w:tc>
          <w:tcPr>
            <w:tcW w:w="332" w:type="pct"/>
            <w:tcBorders>
              <w:tl2br w:val="nil"/>
              <w:tr2bl w:val="nil"/>
            </w:tcBorders>
            <w:noWrap w:val="0"/>
            <w:vAlign w:val="center"/>
          </w:tcPr>
          <w:p w14:paraId="05A981EA">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36</w:t>
            </w:r>
          </w:p>
        </w:tc>
        <w:tc>
          <w:tcPr>
            <w:tcW w:w="381" w:type="pct"/>
            <w:tcBorders>
              <w:tl2br w:val="nil"/>
              <w:tr2bl w:val="nil"/>
            </w:tcBorders>
            <w:noWrap w:val="0"/>
            <w:vAlign w:val="center"/>
          </w:tcPr>
          <w:p w14:paraId="1FD49523">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5331925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034B21F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w:t>
            </w:r>
          </w:p>
        </w:tc>
        <w:tc>
          <w:tcPr>
            <w:tcW w:w="336" w:type="pct"/>
            <w:tcBorders>
              <w:tl2br w:val="nil"/>
              <w:tr2bl w:val="nil"/>
            </w:tcBorders>
            <w:noWrap w:val="0"/>
            <w:vAlign w:val="center"/>
          </w:tcPr>
          <w:p w14:paraId="1A5343F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58F5E2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11C77F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22498F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476DDD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AC254E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585BB5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BC9CF1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4C663E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5B1DBA79">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1071DEFA">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332" w:type="pct"/>
            <w:tcBorders>
              <w:tl2br w:val="nil"/>
              <w:tr2bl w:val="nil"/>
            </w:tcBorders>
            <w:noWrap w:val="0"/>
            <w:vAlign w:val="center"/>
          </w:tcPr>
          <w:p w14:paraId="35DDCEF3">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381" w:type="pct"/>
            <w:tcBorders>
              <w:tl2br w:val="nil"/>
              <w:tr2bl w:val="nil"/>
            </w:tcBorders>
            <w:noWrap w:val="0"/>
            <w:vAlign w:val="center"/>
          </w:tcPr>
          <w:p w14:paraId="6C6673E2">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7D20880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56E95ED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1,2-二氯丙烷</w:t>
            </w:r>
          </w:p>
        </w:tc>
        <w:tc>
          <w:tcPr>
            <w:tcW w:w="336" w:type="pct"/>
            <w:tcBorders>
              <w:tl2br w:val="nil"/>
              <w:tr2bl w:val="nil"/>
            </w:tcBorders>
            <w:noWrap w:val="0"/>
            <w:vAlign w:val="center"/>
          </w:tcPr>
          <w:p w14:paraId="2732F61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7D84CA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4512DE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F5E250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6AD937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0539F2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67E651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4CB348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E17522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71AA4EA8">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5B2C82BC">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332" w:type="pct"/>
            <w:tcBorders>
              <w:tl2br w:val="nil"/>
              <w:tr2bl w:val="nil"/>
            </w:tcBorders>
            <w:noWrap w:val="0"/>
            <w:vAlign w:val="center"/>
          </w:tcPr>
          <w:p w14:paraId="79E864CD">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w:t>
            </w:r>
          </w:p>
        </w:tc>
        <w:tc>
          <w:tcPr>
            <w:tcW w:w="381" w:type="pct"/>
            <w:tcBorders>
              <w:tl2br w:val="nil"/>
              <w:tr2bl w:val="nil"/>
            </w:tcBorders>
            <w:noWrap w:val="0"/>
            <w:vAlign w:val="center"/>
          </w:tcPr>
          <w:p w14:paraId="0BF5DF4D">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3D7960E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6AA4FA4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三氯乙烯</w:t>
            </w:r>
            <w:r>
              <w:rPr>
                <w:rFonts w:hint="default" w:ascii="Times New Roman" w:hAnsi="Times New Roman" w:cs="Times New Roman"/>
                <w:color w:val="auto"/>
                <w:sz w:val="18"/>
                <w:szCs w:val="18"/>
                <w:lang w:eastAsia="zh-CN"/>
              </w:rPr>
              <w:t>（µ</w:t>
            </w:r>
            <w:r>
              <w:rPr>
                <w:rFonts w:hint="default" w:ascii="Times New Roman" w:hAnsi="Times New Roman" w:cs="Times New Roman"/>
                <w:color w:val="auto"/>
                <w:sz w:val="18"/>
                <w:szCs w:val="18"/>
                <w:lang w:val="en-US" w:eastAsia="zh-CN"/>
              </w:rPr>
              <w:t>g/kg</w:t>
            </w:r>
            <w:r>
              <w:rPr>
                <w:rFonts w:hint="default" w:ascii="Times New Roman" w:hAnsi="Times New Roman" w:cs="Times New Roman"/>
                <w:color w:val="auto"/>
                <w:sz w:val="18"/>
                <w:szCs w:val="18"/>
                <w:lang w:eastAsia="zh-CN"/>
              </w:rPr>
              <w:t>）</w:t>
            </w:r>
          </w:p>
        </w:tc>
        <w:tc>
          <w:tcPr>
            <w:tcW w:w="336" w:type="pct"/>
            <w:tcBorders>
              <w:tl2br w:val="nil"/>
              <w:tr2bl w:val="nil"/>
            </w:tcBorders>
            <w:noWrap w:val="0"/>
            <w:vAlign w:val="center"/>
          </w:tcPr>
          <w:p w14:paraId="088750E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DF5610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5AE1F6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FDDF40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5B4E49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222806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28617C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6B69A2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0478F1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013C9463">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6CA30FA2">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w:t>
            </w:r>
          </w:p>
        </w:tc>
        <w:tc>
          <w:tcPr>
            <w:tcW w:w="332" w:type="pct"/>
            <w:tcBorders>
              <w:tl2br w:val="nil"/>
              <w:tr2bl w:val="nil"/>
            </w:tcBorders>
            <w:noWrap w:val="0"/>
            <w:vAlign w:val="center"/>
          </w:tcPr>
          <w:p w14:paraId="1DAC6FE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81" w:type="pct"/>
            <w:tcBorders>
              <w:tl2br w:val="nil"/>
              <w:tr2bl w:val="nil"/>
            </w:tcBorders>
            <w:noWrap w:val="0"/>
            <w:vAlign w:val="center"/>
          </w:tcPr>
          <w:p w14:paraId="2F13D9C2">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CD9E35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2756E6C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1,1,2-三氯乙烷</w:t>
            </w:r>
          </w:p>
        </w:tc>
        <w:tc>
          <w:tcPr>
            <w:tcW w:w="336" w:type="pct"/>
            <w:tcBorders>
              <w:tl2br w:val="nil"/>
              <w:tr2bl w:val="nil"/>
            </w:tcBorders>
            <w:noWrap w:val="0"/>
            <w:vAlign w:val="center"/>
          </w:tcPr>
          <w:p w14:paraId="1530CE6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39821D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C9B492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492D65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1CC7B1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28BA16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F88A37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E18512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762749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7C0EF8CD">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629978ED">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w:t>
            </w:r>
          </w:p>
        </w:tc>
        <w:tc>
          <w:tcPr>
            <w:tcW w:w="332" w:type="pct"/>
            <w:tcBorders>
              <w:tl2br w:val="nil"/>
              <w:tr2bl w:val="nil"/>
            </w:tcBorders>
            <w:noWrap w:val="0"/>
            <w:vAlign w:val="center"/>
          </w:tcPr>
          <w:p w14:paraId="7AAC74D2">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81" w:type="pct"/>
            <w:tcBorders>
              <w:tl2br w:val="nil"/>
              <w:tr2bl w:val="nil"/>
            </w:tcBorders>
            <w:noWrap w:val="0"/>
            <w:vAlign w:val="center"/>
          </w:tcPr>
          <w:p w14:paraId="12BDC3AC">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0AEC99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1869BE8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甲苯</w:t>
            </w:r>
          </w:p>
        </w:tc>
        <w:tc>
          <w:tcPr>
            <w:tcW w:w="336" w:type="pct"/>
            <w:tcBorders>
              <w:tl2br w:val="nil"/>
              <w:tr2bl w:val="nil"/>
            </w:tcBorders>
            <w:noWrap w:val="0"/>
            <w:vAlign w:val="center"/>
          </w:tcPr>
          <w:p w14:paraId="21DFB71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2AA57C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0E9A83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4B3365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22CCBA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48AB03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1C6F1D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7E7701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9E68BD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741C3085">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336B38B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1200</w:t>
            </w:r>
          </w:p>
        </w:tc>
        <w:tc>
          <w:tcPr>
            <w:tcW w:w="332" w:type="pct"/>
            <w:tcBorders>
              <w:tl2br w:val="nil"/>
              <w:tr2bl w:val="nil"/>
            </w:tcBorders>
            <w:noWrap w:val="0"/>
            <w:vAlign w:val="center"/>
          </w:tcPr>
          <w:p w14:paraId="17D4D72C">
            <w:pPr>
              <w:pStyle w:val="17"/>
              <w:spacing w:line="240" w:lineRule="auto"/>
              <w:ind w:left="0" w:leftChars="0" w:firstLine="185" w:firstLineChars="10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1200</w:t>
            </w:r>
          </w:p>
        </w:tc>
        <w:tc>
          <w:tcPr>
            <w:tcW w:w="381" w:type="pct"/>
            <w:tcBorders>
              <w:tl2br w:val="nil"/>
              <w:tr2bl w:val="nil"/>
            </w:tcBorders>
            <w:noWrap w:val="0"/>
            <w:vAlign w:val="center"/>
          </w:tcPr>
          <w:p w14:paraId="0DC19082">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629F581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105B68B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四氯乙烯</w:t>
            </w:r>
          </w:p>
        </w:tc>
        <w:tc>
          <w:tcPr>
            <w:tcW w:w="336" w:type="pct"/>
            <w:tcBorders>
              <w:tl2br w:val="nil"/>
              <w:tr2bl w:val="nil"/>
            </w:tcBorders>
            <w:noWrap w:val="0"/>
            <w:vAlign w:val="center"/>
          </w:tcPr>
          <w:p w14:paraId="60A0780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B09AA6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87315D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C08820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DCDCEA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34E396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44038F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13D100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9242EB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5864F14A">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55F4B0D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w:t>
            </w:r>
          </w:p>
        </w:tc>
        <w:tc>
          <w:tcPr>
            <w:tcW w:w="332" w:type="pct"/>
            <w:tcBorders>
              <w:tl2br w:val="nil"/>
              <w:tr2bl w:val="nil"/>
            </w:tcBorders>
            <w:noWrap w:val="0"/>
            <w:vAlign w:val="center"/>
          </w:tcPr>
          <w:p w14:paraId="037C2B63">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183</w:t>
            </w:r>
          </w:p>
        </w:tc>
        <w:tc>
          <w:tcPr>
            <w:tcW w:w="381" w:type="pct"/>
            <w:tcBorders>
              <w:tl2br w:val="nil"/>
              <w:tr2bl w:val="nil"/>
            </w:tcBorders>
            <w:noWrap w:val="0"/>
            <w:vAlign w:val="center"/>
          </w:tcPr>
          <w:p w14:paraId="08824CB2">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AD04F8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79B1743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1,1,1,2-四氯乙烯</w:t>
            </w:r>
          </w:p>
        </w:tc>
        <w:tc>
          <w:tcPr>
            <w:tcW w:w="336" w:type="pct"/>
            <w:tcBorders>
              <w:tl2br w:val="nil"/>
              <w:tr2bl w:val="nil"/>
            </w:tcBorders>
            <w:noWrap w:val="0"/>
            <w:vAlign w:val="center"/>
          </w:tcPr>
          <w:p w14:paraId="4CFFE76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9B2DC6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03D6E0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14C8AC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8C0BDB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0762B1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C55927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3E3146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C4AB50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2F9A01EC">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0B991D8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332" w:type="pct"/>
            <w:tcBorders>
              <w:tl2br w:val="nil"/>
              <w:tr2bl w:val="nil"/>
            </w:tcBorders>
            <w:noWrap w:val="0"/>
            <w:vAlign w:val="center"/>
          </w:tcPr>
          <w:p w14:paraId="6EFD82C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381" w:type="pct"/>
            <w:tcBorders>
              <w:tl2br w:val="nil"/>
              <w:tr2bl w:val="nil"/>
            </w:tcBorders>
            <w:noWrap w:val="0"/>
            <w:vAlign w:val="center"/>
          </w:tcPr>
          <w:p w14:paraId="540A4F13">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376D65A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4406652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氯苯</w:t>
            </w:r>
          </w:p>
        </w:tc>
        <w:tc>
          <w:tcPr>
            <w:tcW w:w="336" w:type="pct"/>
            <w:tcBorders>
              <w:tl2br w:val="nil"/>
              <w:tr2bl w:val="nil"/>
            </w:tcBorders>
            <w:noWrap w:val="0"/>
            <w:vAlign w:val="center"/>
          </w:tcPr>
          <w:p w14:paraId="0A26971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BBC5C6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051BFB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1F9956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4CDF96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9175AC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84C610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13AD52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9444D5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492A9E3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4012D037">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270</w:t>
            </w:r>
          </w:p>
        </w:tc>
        <w:tc>
          <w:tcPr>
            <w:tcW w:w="332" w:type="pct"/>
            <w:tcBorders>
              <w:tl2br w:val="nil"/>
              <w:tr2bl w:val="nil"/>
            </w:tcBorders>
            <w:noWrap w:val="0"/>
            <w:vAlign w:val="center"/>
          </w:tcPr>
          <w:p w14:paraId="35B5641C">
            <w:pPr>
              <w:pStyle w:val="17"/>
              <w:spacing w:line="240" w:lineRule="auto"/>
              <w:ind w:left="0" w:leftChars="0" w:firstLine="185" w:firstLineChars="10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1000</w:t>
            </w:r>
          </w:p>
        </w:tc>
        <w:tc>
          <w:tcPr>
            <w:tcW w:w="381" w:type="pct"/>
            <w:tcBorders>
              <w:tl2br w:val="nil"/>
              <w:tr2bl w:val="nil"/>
            </w:tcBorders>
            <w:noWrap w:val="0"/>
            <w:vAlign w:val="center"/>
          </w:tcPr>
          <w:p w14:paraId="41E13297">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5199546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3955189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乙苯</w:t>
            </w:r>
          </w:p>
        </w:tc>
        <w:tc>
          <w:tcPr>
            <w:tcW w:w="336" w:type="pct"/>
            <w:tcBorders>
              <w:tl2br w:val="nil"/>
              <w:tr2bl w:val="nil"/>
            </w:tcBorders>
            <w:noWrap w:val="0"/>
            <w:vAlign w:val="center"/>
          </w:tcPr>
          <w:p w14:paraId="50A9BC0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B9B4EE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55822E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75E7CD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82D8FA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5E77EC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31960B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FAAC40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D59105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3B2F8D6C">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7E1E9B6C">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w:t>
            </w:r>
          </w:p>
        </w:tc>
        <w:tc>
          <w:tcPr>
            <w:tcW w:w="332" w:type="pct"/>
            <w:tcBorders>
              <w:tl2br w:val="nil"/>
              <w:tr2bl w:val="nil"/>
            </w:tcBorders>
            <w:noWrap w:val="0"/>
            <w:vAlign w:val="center"/>
          </w:tcPr>
          <w:p w14:paraId="41511A7A">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280</w:t>
            </w:r>
          </w:p>
        </w:tc>
        <w:tc>
          <w:tcPr>
            <w:tcW w:w="381" w:type="pct"/>
            <w:tcBorders>
              <w:tl2br w:val="nil"/>
              <w:tr2bl w:val="nil"/>
            </w:tcBorders>
            <w:noWrap w:val="0"/>
            <w:vAlign w:val="center"/>
          </w:tcPr>
          <w:p w14:paraId="0C72CF96">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5BA5D3B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057709C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间，对</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二甲苯</w:t>
            </w:r>
          </w:p>
        </w:tc>
        <w:tc>
          <w:tcPr>
            <w:tcW w:w="336" w:type="pct"/>
            <w:tcBorders>
              <w:tl2br w:val="nil"/>
              <w:tr2bl w:val="nil"/>
            </w:tcBorders>
            <w:noWrap w:val="0"/>
            <w:vAlign w:val="center"/>
          </w:tcPr>
          <w:p w14:paraId="67E4C63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138025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3DA6BA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2AD674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30B125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F6E3A4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A2591B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B59D85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423902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324AB4EF">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1A8A54F6">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570</w:t>
            </w:r>
          </w:p>
        </w:tc>
        <w:tc>
          <w:tcPr>
            <w:tcW w:w="332" w:type="pct"/>
            <w:tcBorders>
              <w:tl2br w:val="nil"/>
              <w:tr2bl w:val="nil"/>
            </w:tcBorders>
            <w:noWrap w:val="0"/>
            <w:vAlign w:val="center"/>
          </w:tcPr>
          <w:p w14:paraId="14068881">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270</w:t>
            </w:r>
          </w:p>
        </w:tc>
        <w:tc>
          <w:tcPr>
            <w:tcW w:w="381" w:type="pct"/>
            <w:tcBorders>
              <w:tl2br w:val="nil"/>
              <w:tr2bl w:val="nil"/>
            </w:tcBorders>
            <w:noWrap w:val="0"/>
            <w:vAlign w:val="center"/>
          </w:tcPr>
          <w:p w14:paraId="34F1C594">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3E3C3FE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6F1AFE7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苯乙烯</w:t>
            </w:r>
          </w:p>
        </w:tc>
        <w:tc>
          <w:tcPr>
            <w:tcW w:w="336" w:type="pct"/>
            <w:tcBorders>
              <w:tl2br w:val="nil"/>
              <w:tr2bl w:val="nil"/>
            </w:tcBorders>
            <w:noWrap w:val="0"/>
            <w:vAlign w:val="center"/>
          </w:tcPr>
          <w:p w14:paraId="25481ED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839EC9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EEBCA0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98B89F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18109A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15FD58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4D5A16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0D17C5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5916ED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061D8620">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7C459FBA">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1290</w:t>
            </w:r>
          </w:p>
        </w:tc>
        <w:tc>
          <w:tcPr>
            <w:tcW w:w="332" w:type="pct"/>
            <w:tcBorders>
              <w:tl2br w:val="nil"/>
              <w:tr2bl w:val="nil"/>
            </w:tcBorders>
            <w:noWrap w:val="0"/>
            <w:vAlign w:val="center"/>
          </w:tcPr>
          <w:p w14:paraId="3F37D5A8">
            <w:pPr>
              <w:pStyle w:val="17"/>
              <w:spacing w:line="240" w:lineRule="auto"/>
              <w:ind w:left="0" w:leftChars="0" w:firstLine="185" w:firstLineChars="10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1290</w:t>
            </w:r>
          </w:p>
        </w:tc>
        <w:tc>
          <w:tcPr>
            <w:tcW w:w="381" w:type="pct"/>
            <w:tcBorders>
              <w:tl2br w:val="nil"/>
              <w:tr2bl w:val="nil"/>
            </w:tcBorders>
            <w:noWrap w:val="0"/>
            <w:vAlign w:val="center"/>
          </w:tcPr>
          <w:p w14:paraId="68FEF7E7">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6C3B57E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3ACA755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邻-二甲苯</w:t>
            </w:r>
          </w:p>
        </w:tc>
        <w:tc>
          <w:tcPr>
            <w:tcW w:w="336" w:type="pct"/>
            <w:tcBorders>
              <w:tl2br w:val="nil"/>
              <w:tr2bl w:val="nil"/>
            </w:tcBorders>
            <w:noWrap w:val="0"/>
            <w:vAlign w:val="center"/>
          </w:tcPr>
          <w:p w14:paraId="5E9C97E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1DAB24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6F2B5A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5FED0E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F9B8A5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BB3F34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A182F0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300CA9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B73830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77839128">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7BC4094B">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640</w:t>
            </w:r>
          </w:p>
        </w:tc>
        <w:tc>
          <w:tcPr>
            <w:tcW w:w="332" w:type="pct"/>
            <w:tcBorders>
              <w:tl2br w:val="nil"/>
              <w:tr2bl w:val="nil"/>
            </w:tcBorders>
            <w:noWrap w:val="0"/>
            <w:vAlign w:val="center"/>
          </w:tcPr>
          <w:p w14:paraId="3E31DA82">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640</w:t>
            </w:r>
          </w:p>
        </w:tc>
        <w:tc>
          <w:tcPr>
            <w:tcW w:w="381" w:type="pct"/>
            <w:tcBorders>
              <w:tl2br w:val="nil"/>
              <w:tr2bl w:val="nil"/>
            </w:tcBorders>
            <w:noWrap w:val="0"/>
            <w:vAlign w:val="center"/>
          </w:tcPr>
          <w:p w14:paraId="41793B73">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326982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4E96188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1,1,2,2-四氯乙烷</w:t>
            </w:r>
          </w:p>
        </w:tc>
        <w:tc>
          <w:tcPr>
            <w:tcW w:w="336" w:type="pct"/>
            <w:tcBorders>
              <w:tl2br w:val="nil"/>
              <w:tr2bl w:val="nil"/>
            </w:tcBorders>
            <w:noWrap w:val="0"/>
            <w:vAlign w:val="center"/>
          </w:tcPr>
          <w:p w14:paraId="4F417E2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BB7F0F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42A4F0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7510DA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523AE4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B9ADD8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391718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1DACFC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B2985A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6F4A2E9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581D344B">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6.8</w:t>
            </w:r>
          </w:p>
        </w:tc>
        <w:tc>
          <w:tcPr>
            <w:tcW w:w="332" w:type="pct"/>
            <w:tcBorders>
              <w:tl2br w:val="nil"/>
              <w:tr2bl w:val="nil"/>
            </w:tcBorders>
            <w:noWrap w:val="0"/>
            <w:vAlign w:val="center"/>
          </w:tcPr>
          <w:p w14:paraId="7DAAD9E5">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381" w:type="pct"/>
            <w:tcBorders>
              <w:tl2br w:val="nil"/>
              <w:tr2bl w:val="nil"/>
            </w:tcBorders>
            <w:noWrap w:val="0"/>
            <w:vAlign w:val="center"/>
          </w:tcPr>
          <w:p w14:paraId="39203888">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3D30BD0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1B77EFA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1,2,3-三氯丙烷</w:t>
            </w:r>
          </w:p>
        </w:tc>
        <w:tc>
          <w:tcPr>
            <w:tcW w:w="336" w:type="pct"/>
            <w:tcBorders>
              <w:tl2br w:val="nil"/>
              <w:tr2bl w:val="nil"/>
            </w:tcBorders>
            <w:noWrap w:val="0"/>
            <w:vAlign w:val="center"/>
          </w:tcPr>
          <w:p w14:paraId="4E4C677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1AAD47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FB21D8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772BAC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D4ED0D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2D05F1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851107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4135B1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CE2D16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4589A0CD">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64F1F82A">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332" w:type="pct"/>
            <w:tcBorders>
              <w:tl2br w:val="nil"/>
              <w:tr2bl w:val="nil"/>
            </w:tcBorders>
            <w:noWrap w:val="0"/>
            <w:vAlign w:val="center"/>
          </w:tcPr>
          <w:p w14:paraId="09648067">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381" w:type="pct"/>
            <w:tcBorders>
              <w:tl2br w:val="nil"/>
              <w:tr2bl w:val="nil"/>
            </w:tcBorders>
            <w:noWrap w:val="0"/>
            <w:vAlign w:val="center"/>
          </w:tcPr>
          <w:p w14:paraId="66866638">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18645B8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0AFB006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1,2-二氯苯</w:t>
            </w:r>
          </w:p>
        </w:tc>
        <w:tc>
          <w:tcPr>
            <w:tcW w:w="336" w:type="pct"/>
            <w:tcBorders>
              <w:tl2br w:val="nil"/>
              <w:tr2bl w:val="nil"/>
            </w:tcBorders>
            <w:noWrap w:val="0"/>
            <w:vAlign w:val="center"/>
          </w:tcPr>
          <w:p w14:paraId="58EDEC0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D7B85E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FA922F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3B6C63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B1420F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6C8C3C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EAB308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080B8D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C1DAFD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6181A597">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735BCD28">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560</w:t>
            </w:r>
          </w:p>
        </w:tc>
        <w:tc>
          <w:tcPr>
            <w:tcW w:w="332" w:type="pct"/>
            <w:tcBorders>
              <w:tl2br w:val="nil"/>
              <w:tr2bl w:val="nil"/>
            </w:tcBorders>
            <w:noWrap w:val="0"/>
            <w:vAlign w:val="center"/>
          </w:tcPr>
          <w:p w14:paraId="36A95FEC">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560</w:t>
            </w:r>
          </w:p>
        </w:tc>
        <w:tc>
          <w:tcPr>
            <w:tcW w:w="381" w:type="pct"/>
            <w:tcBorders>
              <w:tl2br w:val="nil"/>
              <w:tr2bl w:val="nil"/>
            </w:tcBorders>
            <w:noWrap w:val="0"/>
            <w:vAlign w:val="center"/>
          </w:tcPr>
          <w:p w14:paraId="59068DA6">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3F4AFDC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13B65F4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1,4-二氯苯</w:t>
            </w:r>
          </w:p>
        </w:tc>
        <w:tc>
          <w:tcPr>
            <w:tcW w:w="336" w:type="pct"/>
            <w:tcBorders>
              <w:tl2br w:val="nil"/>
              <w:tr2bl w:val="nil"/>
            </w:tcBorders>
            <w:noWrap w:val="0"/>
            <w:vAlign w:val="center"/>
          </w:tcPr>
          <w:p w14:paraId="768345A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B156AC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B7A11D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93033C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D1A44B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CAB947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83C841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BD7912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9C5337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625DF55E">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76C7974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32" w:type="pct"/>
            <w:tcBorders>
              <w:tl2br w:val="nil"/>
              <w:tr2bl w:val="nil"/>
            </w:tcBorders>
            <w:noWrap w:val="0"/>
            <w:vAlign w:val="center"/>
          </w:tcPr>
          <w:p w14:paraId="10975B21">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w:t>
            </w:r>
          </w:p>
        </w:tc>
        <w:tc>
          <w:tcPr>
            <w:tcW w:w="381" w:type="pct"/>
            <w:tcBorders>
              <w:tl2br w:val="nil"/>
              <w:tr2bl w:val="nil"/>
            </w:tcBorders>
            <w:noWrap w:val="0"/>
            <w:vAlign w:val="center"/>
          </w:tcPr>
          <w:p w14:paraId="00B2D5A9">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56EE84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1EC5936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2-氯苯酚</w:t>
            </w:r>
          </w:p>
        </w:tc>
        <w:tc>
          <w:tcPr>
            <w:tcW w:w="336" w:type="pct"/>
            <w:tcBorders>
              <w:tl2br w:val="nil"/>
              <w:tr2bl w:val="nil"/>
            </w:tcBorders>
            <w:noWrap w:val="0"/>
            <w:vAlign w:val="center"/>
          </w:tcPr>
          <w:p w14:paraId="4630E00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4FCAFB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FC2B05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9C2125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F3D976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9023C3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F2F2C4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A45FCE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0B9C2E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2041883B">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0EDDB87F">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2256</w:t>
            </w:r>
          </w:p>
        </w:tc>
        <w:tc>
          <w:tcPr>
            <w:tcW w:w="332" w:type="pct"/>
            <w:tcBorders>
              <w:tl2br w:val="nil"/>
              <w:tr2bl w:val="nil"/>
            </w:tcBorders>
            <w:noWrap w:val="0"/>
            <w:vAlign w:val="center"/>
          </w:tcPr>
          <w:p w14:paraId="65B2441F">
            <w:pPr>
              <w:pStyle w:val="17"/>
              <w:spacing w:line="240" w:lineRule="auto"/>
              <w:ind w:left="0" w:leftChars="0" w:firstLine="185" w:firstLineChars="10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4500</w:t>
            </w:r>
          </w:p>
        </w:tc>
        <w:tc>
          <w:tcPr>
            <w:tcW w:w="381" w:type="pct"/>
            <w:tcBorders>
              <w:tl2br w:val="nil"/>
              <w:tr2bl w:val="nil"/>
            </w:tcBorders>
            <w:noWrap w:val="0"/>
            <w:vAlign w:val="center"/>
          </w:tcPr>
          <w:p w14:paraId="32B54EB0">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C87110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7419A9D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硝基苯</w:t>
            </w:r>
          </w:p>
        </w:tc>
        <w:tc>
          <w:tcPr>
            <w:tcW w:w="336" w:type="pct"/>
            <w:tcBorders>
              <w:tl2br w:val="nil"/>
              <w:tr2bl w:val="nil"/>
            </w:tcBorders>
            <w:noWrap w:val="0"/>
            <w:vAlign w:val="center"/>
          </w:tcPr>
          <w:p w14:paraId="5445F30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275045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6C9C24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D640C5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D4A4B3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BC2256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C516B6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5F1749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13CE5E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3D52D927">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0FA92AE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w:t>
            </w:r>
          </w:p>
        </w:tc>
        <w:tc>
          <w:tcPr>
            <w:tcW w:w="332" w:type="pct"/>
            <w:tcBorders>
              <w:tl2br w:val="nil"/>
              <w:tr2bl w:val="nil"/>
            </w:tcBorders>
            <w:noWrap w:val="0"/>
            <w:vAlign w:val="center"/>
          </w:tcPr>
          <w:p w14:paraId="3C3E1FA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760</w:t>
            </w:r>
          </w:p>
        </w:tc>
        <w:tc>
          <w:tcPr>
            <w:tcW w:w="381" w:type="pct"/>
            <w:tcBorders>
              <w:tl2br w:val="nil"/>
              <w:tr2bl w:val="nil"/>
            </w:tcBorders>
            <w:noWrap w:val="0"/>
            <w:vAlign w:val="center"/>
          </w:tcPr>
          <w:p w14:paraId="12565D1E">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72F97B0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5172DB2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萘</w:t>
            </w:r>
          </w:p>
        </w:tc>
        <w:tc>
          <w:tcPr>
            <w:tcW w:w="336" w:type="pct"/>
            <w:tcBorders>
              <w:tl2br w:val="nil"/>
              <w:tr2bl w:val="nil"/>
            </w:tcBorders>
            <w:noWrap w:val="0"/>
            <w:vAlign w:val="center"/>
          </w:tcPr>
          <w:p w14:paraId="45546F9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C10618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3D2A41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80ACE7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DA8292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74A297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B185F0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8E8411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727ED4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51E80DAF">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03B1991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332" w:type="pct"/>
            <w:tcBorders>
              <w:tl2br w:val="nil"/>
              <w:tr2bl w:val="nil"/>
            </w:tcBorders>
            <w:noWrap w:val="0"/>
            <w:vAlign w:val="center"/>
          </w:tcPr>
          <w:p w14:paraId="211A88C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700</w:t>
            </w:r>
          </w:p>
        </w:tc>
        <w:tc>
          <w:tcPr>
            <w:tcW w:w="381" w:type="pct"/>
            <w:tcBorders>
              <w:tl2br w:val="nil"/>
              <w:tr2bl w:val="nil"/>
            </w:tcBorders>
            <w:noWrap w:val="0"/>
            <w:vAlign w:val="center"/>
          </w:tcPr>
          <w:p w14:paraId="41D799CC">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4856A0E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3F9777D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苯并（a）蒽</w:t>
            </w:r>
          </w:p>
        </w:tc>
        <w:tc>
          <w:tcPr>
            <w:tcW w:w="336" w:type="pct"/>
            <w:tcBorders>
              <w:tl2br w:val="nil"/>
              <w:tr2bl w:val="nil"/>
            </w:tcBorders>
            <w:noWrap w:val="0"/>
            <w:vAlign w:val="center"/>
          </w:tcPr>
          <w:p w14:paraId="15FD8EE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AE1984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977842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D6D86D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1E97F1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FB8625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BD2728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49FACC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09C492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565D0016">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1932854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32" w:type="pct"/>
            <w:tcBorders>
              <w:tl2br w:val="nil"/>
              <w:tr2bl w:val="nil"/>
            </w:tcBorders>
            <w:noWrap w:val="0"/>
            <w:vAlign w:val="center"/>
          </w:tcPr>
          <w:p w14:paraId="1A2CD1E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81" w:type="pct"/>
            <w:tcBorders>
              <w:tl2br w:val="nil"/>
              <w:tr2bl w:val="nil"/>
            </w:tcBorders>
            <w:noWrap w:val="0"/>
            <w:vAlign w:val="center"/>
          </w:tcPr>
          <w:p w14:paraId="76EB2BB8">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8A8340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208650F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䓛</w:t>
            </w:r>
          </w:p>
        </w:tc>
        <w:tc>
          <w:tcPr>
            <w:tcW w:w="336" w:type="pct"/>
            <w:tcBorders>
              <w:tl2br w:val="nil"/>
              <w:tr2bl w:val="nil"/>
            </w:tcBorders>
            <w:noWrap w:val="0"/>
            <w:vAlign w:val="center"/>
          </w:tcPr>
          <w:p w14:paraId="68180FB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F740B2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EA0E95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096DA2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12EA55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3D1586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5B8DA4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AEB23C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3B7A17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576B101E">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1F4544B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1293</w:t>
            </w:r>
          </w:p>
        </w:tc>
        <w:tc>
          <w:tcPr>
            <w:tcW w:w="332" w:type="pct"/>
            <w:tcBorders>
              <w:tl2br w:val="nil"/>
              <w:tr2bl w:val="nil"/>
            </w:tcBorders>
            <w:noWrap w:val="0"/>
            <w:vAlign w:val="center"/>
          </w:tcPr>
          <w:p w14:paraId="4B62C45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12900</w:t>
            </w:r>
          </w:p>
        </w:tc>
        <w:tc>
          <w:tcPr>
            <w:tcW w:w="381" w:type="pct"/>
            <w:tcBorders>
              <w:tl2br w:val="nil"/>
              <w:tr2bl w:val="nil"/>
            </w:tcBorders>
            <w:noWrap w:val="0"/>
            <w:vAlign w:val="center"/>
          </w:tcPr>
          <w:p w14:paraId="2B5B6F95">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1B71A8E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4914437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苯并（b）荧蒽</w:t>
            </w:r>
          </w:p>
        </w:tc>
        <w:tc>
          <w:tcPr>
            <w:tcW w:w="336" w:type="pct"/>
            <w:tcBorders>
              <w:tl2br w:val="nil"/>
              <w:tr2bl w:val="nil"/>
            </w:tcBorders>
            <w:noWrap w:val="0"/>
            <w:vAlign w:val="center"/>
          </w:tcPr>
          <w:p w14:paraId="0DE0C7F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139A95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4BC3F5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A214EC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831AA1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7A5043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B9A4B1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4CB15E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A245B0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53C336E7">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6312795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32" w:type="pct"/>
            <w:tcBorders>
              <w:tl2br w:val="nil"/>
              <w:tr2bl w:val="nil"/>
            </w:tcBorders>
            <w:noWrap w:val="0"/>
            <w:vAlign w:val="center"/>
          </w:tcPr>
          <w:p w14:paraId="78BF95C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81" w:type="pct"/>
            <w:tcBorders>
              <w:tl2br w:val="nil"/>
              <w:tr2bl w:val="nil"/>
            </w:tcBorders>
            <w:noWrap w:val="0"/>
            <w:vAlign w:val="center"/>
          </w:tcPr>
          <w:p w14:paraId="05DC7BEB">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0848F4F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163623A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苯并（k）荧蒽</w:t>
            </w:r>
          </w:p>
        </w:tc>
        <w:tc>
          <w:tcPr>
            <w:tcW w:w="336" w:type="pct"/>
            <w:tcBorders>
              <w:tl2br w:val="nil"/>
              <w:tr2bl w:val="nil"/>
            </w:tcBorders>
            <w:noWrap w:val="0"/>
            <w:vAlign w:val="center"/>
          </w:tcPr>
          <w:p w14:paraId="22CC62C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A3BF17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4A8B04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F9826B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29D79A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E756E2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2BC308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0732BE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699FAC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34FC604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598A5D0D">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32" w:type="pct"/>
            <w:tcBorders>
              <w:tl2br w:val="nil"/>
              <w:tr2bl w:val="nil"/>
            </w:tcBorders>
            <w:noWrap w:val="0"/>
            <w:vAlign w:val="center"/>
          </w:tcPr>
          <w:p w14:paraId="446BFC7D">
            <w:pPr>
              <w:pStyle w:val="17"/>
              <w:spacing w:line="240" w:lineRule="auto"/>
              <w:ind w:left="0" w:leftChars="0" w:firstLine="185" w:firstLineChars="10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1500</w:t>
            </w:r>
          </w:p>
        </w:tc>
        <w:tc>
          <w:tcPr>
            <w:tcW w:w="381" w:type="pct"/>
            <w:tcBorders>
              <w:tl2br w:val="nil"/>
              <w:tr2bl w:val="nil"/>
            </w:tcBorders>
            <w:noWrap w:val="0"/>
            <w:vAlign w:val="center"/>
          </w:tcPr>
          <w:p w14:paraId="3766A95C">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322E0A8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30AD38D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苯并（a）芘</w:t>
            </w:r>
          </w:p>
        </w:tc>
        <w:tc>
          <w:tcPr>
            <w:tcW w:w="336" w:type="pct"/>
            <w:tcBorders>
              <w:tl2br w:val="nil"/>
              <w:tr2bl w:val="nil"/>
            </w:tcBorders>
            <w:noWrap w:val="0"/>
            <w:vAlign w:val="center"/>
          </w:tcPr>
          <w:p w14:paraId="1763EC0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834EAA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088F4D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0A6ACC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C194E9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513183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0B765C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FED59D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8B7484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320D1851">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5F0AA934">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32" w:type="pct"/>
            <w:tcBorders>
              <w:tl2br w:val="nil"/>
              <w:tr2bl w:val="nil"/>
            </w:tcBorders>
            <w:noWrap w:val="0"/>
            <w:vAlign w:val="center"/>
          </w:tcPr>
          <w:p w14:paraId="5F29E9C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81" w:type="pct"/>
            <w:tcBorders>
              <w:tl2br w:val="nil"/>
              <w:tr2bl w:val="nil"/>
            </w:tcBorders>
            <w:noWrap w:val="0"/>
            <w:vAlign w:val="center"/>
          </w:tcPr>
          <w:p w14:paraId="10A3D397">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1AD25AF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6F30FAB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茚并（1,2,3-c,d）芘</w:t>
            </w:r>
          </w:p>
        </w:tc>
        <w:tc>
          <w:tcPr>
            <w:tcW w:w="336" w:type="pct"/>
            <w:tcBorders>
              <w:tl2br w:val="nil"/>
              <w:tr2bl w:val="nil"/>
            </w:tcBorders>
            <w:noWrap w:val="0"/>
            <w:vAlign w:val="center"/>
          </w:tcPr>
          <w:p w14:paraId="6348760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A0F7B5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35A998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E33D4F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D29143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6C1420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6442AF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72E5F3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0F5858C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21AA3F46">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60A687F7">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32" w:type="pct"/>
            <w:tcBorders>
              <w:tl2br w:val="nil"/>
              <w:tr2bl w:val="nil"/>
            </w:tcBorders>
            <w:noWrap w:val="0"/>
            <w:vAlign w:val="center"/>
          </w:tcPr>
          <w:p w14:paraId="612631D9">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81" w:type="pct"/>
            <w:tcBorders>
              <w:tl2br w:val="nil"/>
              <w:tr2bl w:val="nil"/>
            </w:tcBorders>
            <w:noWrap w:val="0"/>
            <w:vAlign w:val="center"/>
          </w:tcPr>
          <w:p w14:paraId="35CEE4BC">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683A295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61388A1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二苯</w:t>
            </w:r>
            <w:r>
              <w:rPr>
                <w:rFonts w:hint="default" w:ascii="Times New Roman" w:hAnsi="Times New Roman" w:cs="Times New Roman"/>
                <w:color w:val="auto"/>
                <w:sz w:val="18"/>
                <w:szCs w:val="18"/>
              </w:rPr>
              <w:t>并（a,h）蒽</w:t>
            </w:r>
          </w:p>
        </w:tc>
        <w:tc>
          <w:tcPr>
            <w:tcW w:w="336" w:type="pct"/>
            <w:tcBorders>
              <w:tl2br w:val="nil"/>
              <w:tr2bl w:val="nil"/>
            </w:tcBorders>
            <w:noWrap w:val="0"/>
            <w:vAlign w:val="center"/>
          </w:tcPr>
          <w:p w14:paraId="5BE9381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57DD68A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CDEF2A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346FFF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80C1B8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0569A7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A614CB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553F1B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7A5D5EC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6452793F">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340BE5E6">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32" w:type="pct"/>
            <w:tcBorders>
              <w:tl2br w:val="nil"/>
              <w:tr2bl w:val="nil"/>
            </w:tcBorders>
            <w:noWrap w:val="0"/>
            <w:vAlign w:val="center"/>
          </w:tcPr>
          <w:p w14:paraId="343B7D8A">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81" w:type="pct"/>
            <w:tcBorders>
              <w:tl2br w:val="nil"/>
              <w:tr2bl w:val="nil"/>
            </w:tcBorders>
            <w:noWrap w:val="0"/>
            <w:vAlign w:val="center"/>
          </w:tcPr>
          <w:p w14:paraId="1A9FE191">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r w14:paraId="24F28B9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2" w:type="pct"/>
            <w:tcBorders>
              <w:tl2br w:val="nil"/>
              <w:tr2bl w:val="nil"/>
            </w:tcBorders>
            <w:noWrap w:val="0"/>
            <w:vAlign w:val="center"/>
          </w:tcPr>
          <w:p w14:paraId="6D8F528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苯胺</w:t>
            </w:r>
          </w:p>
        </w:tc>
        <w:tc>
          <w:tcPr>
            <w:tcW w:w="336" w:type="pct"/>
            <w:tcBorders>
              <w:tl2br w:val="nil"/>
              <w:tr2bl w:val="nil"/>
            </w:tcBorders>
            <w:noWrap w:val="0"/>
            <w:vAlign w:val="center"/>
          </w:tcPr>
          <w:p w14:paraId="21B77AB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F21799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1810292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4E017C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297A0AC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F05314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39BB46D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427CA39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36" w:type="pct"/>
            <w:tcBorders>
              <w:tl2br w:val="nil"/>
              <w:tr2bl w:val="nil"/>
            </w:tcBorders>
            <w:noWrap w:val="0"/>
            <w:vAlign w:val="center"/>
          </w:tcPr>
          <w:p w14:paraId="631CF36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ND</w:t>
            </w:r>
          </w:p>
        </w:tc>
        <w:tc>
          <w:tcPr>
            <w:tcW w:w="344" w:type="pct"/>
            <w:tcBorders>
              <w:tl2br w:val="nil"/>
              <w:tr2bl w:val="nil"/>
            </w:tcBorders>
            <w:noWrap w:val="0"/>
            <w:vAlign w:val="center"/>
          </w:tcPr>
          <w:p w14:paraId="0DCF6EC6">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ND</w:t>
            </w:r>
          </w:p>
        </w:tc>
        <w:tc>
          <w:tcPr>
            <w:tcW w:w="405" w:type="pct"/>
            <w:tcBorders>
              <w:tl2br w:val="nil"/>
              <w:tr2bl w:val="nil"/>
            </w:tcBorders>
            <w:noWrap w:val="0"/>
            <w:vAlign w:val="center"/>
          </w:tcPr>
          <w:p w14:paraId="51680DBE">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260</w:t>
            </w:r>
          </w:p>
        </w:tc>
        <w:tc>
          <w:tcPr>
            <w:tcW w:w="332" w:type="pct"/>
            <w:tcBorders>
              <w:tl2br w:val="nil"/>
              <w:tr2bl w:val="nil"/>
            </w:tcBorders>
            <w:noWrap w:val="0"/>
            <w:vAlign w:val="center"/>
          </w:tcPr>
          <w:p w14:paraId="76FF3465">
            <w:pPr>
              <w:pStyle w:val="17"/>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663</w:t>
            </w:r>
          </w:p>
        </w:tc>
        <w:tc>
          <w:tcPr>
            <w:tcW w:w="381" w:type="pct"/>
            <w:tcBorders>
              <w:tl2br w:val="nil"/>
              <w:tr2bl w:val="nil"/>
            </w:tcBorders>
            <w:noWrap w:val="0"/>
            <w:vAlign w:val="center"/>
          </w:tcPr>
          <w:p w14:paraId="42D08B5B">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小于风险筛选值</w:t>
            </w:r>
          </w:p>
        </w:tc>
      </w:tr>
    </w:tbl>
    <w:p w14:paraId="25610D10">
      <w:pPr>
        <w:bidi w:val="0"/>
        <w:spacing w:line="360" w:lineRule="auto"/>
        <w:ind w:firstLine="490" w:firstLineChars="200"/>
        <w:rPr>
          <w:rFonts w:hint="default" w:ascii="Times New Roman" w:hAnsi="Times New Roman" w:cs="Times New Roman"/>
          <w:color w:val="auto"/>
          <w:sz w:val="24"/>
        </w:rPr>
        <w:sectPr>
          <w:headerReference r:id="rId7" w:type="default"/>
          <w:pgSz w:w="16838" w:h="11906" w:orient="landscape"/>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AndChars" w:linePitch="336" w:charSpace="1062"/>
        </w:sectPr>
      </w:pPr>
    </w:p>
    <w:p w14:paraId="1B81FB21">
      <w:pPr>
        <w:bidi w:val="0"/>
        <w:spacing w:line="360" w:lineRule="auto"/>
        <w:ind w:firstLine="49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根据监测结果，项目场地范围内柱状样和表层样土壤质量状况均低于《土壤环境质量</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建设用地土壤污染风险管控标准》（GB15618-2018）</w:t>
      </w:r>
      <w:r>
        <w:rPr>
          <w:rFonts w:hint="default" w:ascii="Times New Roman" w:hAnsi="Times New Roman" w:cs="Times New Roman"/>
          <w:color w:val="auto"/>
          <w:sz w:val="24"/>
          <w:lang w:val="en-US" w:eastAsia="zh-CN"/>
        </w:rPr>
        <w:t>第二类</w:t>
      </w:r>
      <w:r>
        <w:rPr>
          <w:rFonts w:hint="default" w:ascii="Times New Roman" w:hAnsi="Times New Roman" w:cs="Times New Roman"/>
          <w:color w:val="auto"/>
          <w:sz w:val="24"/>
        </w:rPr>
        <w:t>土壤污染风险筛选值</w:t>
      </w:r>
      <w:r>
        <w:rPr>
          <w:rFonts w:hint="default" w:ascii="Times New Roman" w:hAnsi="Times New Roman" w:cs="Times New Roman"/>
          <w:color w:val="auto"/>
          <w:sz w:val="24"/>
          <w:lang w:val="en-US" w:eastAsia="zh-CN"/>
        </w:rPr>
        <w:t>要求，</w:t>
      </w:r>
      <w:r>
        <w:rPr>
          <w:rFonts w:hint="default" w:ascii="Times New Roman" w:hAnsi="Times New Roman" w:cs="Times New Roman"/>
          <w:color w:val="auto"/>
          <w:sz w:val="24"/>
        </w:rPr>
        <w:t>项目场地范围</w:t>
      </w:r>
      <w:r>
        <w:rPr>
          <w:rFonts w:hint="default" w:ascii="Times New Roman" w:hAnsi="Times New Roman" w:cs="Times New Roman"/>
          <w:color w:val="auto"/>
          <w:sz w:val="24"/>
          <w:lang w:val="en-US" w:eastAsia="zh-CN"/>
        </w:rPr>
        <w:t>外建设用地</w:t>
      </w:r>
      <w:r>
        <w:rPr>
          <w:rFonts w:hint="default" w:ascii="Times New Roman" w:hAnsi="Times New Roman" w:cs="Times New Roman"/>
          <w:color w:val="auto"/>
          <w:sz w:val="24"/>
        </w:rPr>
        <w:t>表层样土壤质量状况均低于《土壤环境质量</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建设用地土壤污染风险管控标准》（GB15618-2018）</w:t>
      </w:r>
      <w:r>
        <w:rPr>
          <w:rFonts w:hint="default" w:ascii="Times New Roman" w:hAnsi="Times New Roman" w:cs="Times New Roman"/>
          <w:color w:val="auto"/>
          <w:sz w:val="24"/>
          <w:lang w:val="en-US" w:eastAsia="zh-CN"/>
        </w:rPr>
        <w:t>第二类</w:t>
      </w:r>
      <w:r>
        <w:rPr>
          <w:rFonts w:hint="default" w:ascii="Times New Roman" w:hAnsi="Times New Roman" w:cs="Times New Roman"/>
          <w:color w:val="auto"/>
          <w:sz w:val="24"/>
        </w:rPr>
        <w:t>土壤污染风险筛选值</w:t>
      </w:r>
      <w:r>
        <w:rPr>
          <w:rFonts w:hint="default" w:ascii="Times New Roman" w:hAnsi="Times New Roman" w:cs="Times New Roman"/>
          <w:color w:val="auto"/>
          <w:sz w:val="24"/>
          <w:lang w:val="en-US" w:eastAsia="zh-CN"/>
        </w:rPr>
        <w:t>要求，项目区周边土壤环境风险可控。</w:t>
      </w:r>
    </w:p>
    <w:p w14:paraId="21BF6908">
      <w:pPr>
        <w:bidi w:val="0"/>
        <w:spacing w:line="360" w:lineRule="auto"/>
        <w:ind w:firstLine="422" w:firstLineChars="200"/>
        <w:jc w:val="center"/>
        <w:rPr>
          <w:rFonts w:hint="default" w:ascii="Times New Roman" w:hAnsi="Times New Roman" w:eastAsia="黑体" w:cs="Times New Roman"/>
          <w:color w:val="auto"/>
          <w:spacing w:val="-2"/>
          <w:kern w:val="2"/>
          <w:sz w:val="21"/>
          <w:szCs w:val="22"/>
          <w:lang w:val="en-US" w:eastAsia="zh-CN"/>
        </w:rPr>
      </w:pPr>
      <w:r>
        <w:rPr>
          <w:rFonts w:hint="default" w:ascii="Times New Roman" w:hAnsi="Times New Roman" w:eastAsia="黑体" w:cs="Times New Roman"/>
          <w:color w:val="auto"/>
          <w:spacing w:val="-2"/>
          <w:kern w:val="2"/>
          <w:sz w:val="21"/>
          <w:szCs w:val="22"/>
          <w:lang w:val="en-US" w:eastAsia="zh-CN"/>
        </w:rPr>
        <w:t>表4.2.5-4  项目区占地范围外农用地土壤表层样监测结果一览表</w:t>
      </w:r>
    </w:p>
    <w:tbl>
      <w:tblPr>
        <w:tblStyle w:val="29"/>
        <w:tblW w:w="4998" w:type="pct"/>
        <w:jc w:val="center"/>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73"/>
        <w:gridCol w:w="1206"/>
        <w:gridCol w:w="1157"/>
        <w:gridCol w:w="1598"/>
        <w:gridCol w:w="1597"/>
        <w:gridCol w:w="1849"/>
        <w:gridCol w:w="911"/>
      </w:tblGrid>
      <w:tr w14:paraId="52BC2E9D">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5" w:type="pct"/>
            <w:vMerge w:val="restart"/>
            <w:tcBorders>
              <w:tl2br w:val="nil"/>
              <w:tr2bl w:val="nil"/>
            </w:tcBorders>
            <w:noWrap w:val="0"/>
            <w:tcMar>
              <w:top w:w="15" w:type="dxa"/>
              <w:left w:w="15" w:type="dxa"/>
              <w:bottom w:w="15" w:type="dxa"/>
              <w:right w:w="15" w:type="dxa"/>
            </w:tcMar>
            <w:vAlign w:val="center"/>
          </w:tcPr>
          <w:p w14:paraId="58A6679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分析项目</w:t>
            </w:r>
          </w:p>
        </w:tc>
        <w:tc>
          <w:tcPr>
            <w:tcW w:w="1285" w:type="pct"/>
            <w:gridSpan w:val="2"/>
            <w:tcBorders>
              <w:tl2br w:val="nil"/>
              <w:tr2bl w:val="nil"/>
            </w:tcBorders>
            <w:noWrap w:val="0"/>
            <w:vAlign w:val="center"/>
          </w:tcPr>
          <w:p w14:paraId="6E927180">
            <w:pPr>
              <w:widowControl w:val="0"/>
              <w:contextualSpacing/>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现状监测值</w:t>
            </w:r>
          </w:p>
        </w:tc>
        <w:tc>
          <w:tcPr>
            <w:tcW w:w="1737" w:type="pct"/>
            <w:gridSpan w:val="2"/>
            <w:tcBorders>
              <w:tl2br w:val="nil"/>
              <w:tr2bl w:val="nil"/>
            </w:tcBorders>
            <w:noWrap w:val="0"/>
            <w:vAlign w:val="center"/>
          </w:tcPr>
          <w:p w14:paraId="30A4D426">
            <w:pPr>
              <w:widowControl/>
              <w:adjustRightInd w:val="0"/>
              <w:snapToGrid w:val="0"/>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标准值</w:t>
            </w:r>
          </w:p>
        </w:tc>
        <w:tc>
          <w:tcPr>
            <w:tcW w:w="1005" w:type="pct"/>
            <w:vMerge w:val="restart"/>
            <w:tcBorders>
              <w:tl2br w:val="nil"/>
              <w:tr2bl w:val="nil"/>
            </w:tcBorders>
            <w:noWrap w:val="0"/>
            <w:vAlign w:val="center"/>
          </w:tcPr>
          <w:p w14:paraId="119A6030">
            <w:pPr>
              <w:widowControl w:val="0"/>
              <w:contextualSpacing/>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达标评价</w:t>
            </w:r>
          </w:p>
        </w:tc>
        <w:tc>
          <w:tcPr>
            <w:tcW w:w="495" w:type="pct"/>
            <w:tcBorders>
              <w:tl2br w:val="nil"/>
              <w:tr2bl w:val="nil"/>
            </w:tcBorders>
            <w:noWrap w:val="0"/>
            <w:vAlign w:val="center"/>
          </w:tcPr>
          <w:p w14:paraId="5A1813A0">
            <w:pPr>
              <w:jc w:val="center"/>
              <w:rPr>
                <w:rFonts w:hint="default" w:ascii="Times New Roman" w:hAnsi="Times New Roman" w:cs="Times New Roman"/>
                <w:color w:val="auto"/>
                <w:sz w:val="18"/>
                <w:szCs w:val="18"/>
              </w:rPr>
            </w:pPr>
          </w:p>
        </w:tc>
      </w:tr>
      <w:tr w14:paraId="46BC2A7A">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5" w:type="pct"/>
            <w:vMerge w:val="continue"/>
            <w:tcBorders>
              <w:tl2br w:val="nil"/>
              <w:tr2bl w:val="nil"/>
            </w:tcBorders>
            <w:noWrap w:val="0"/>
            <w:tcMar>
              <w:top w:w="15" w:type="dxa"/>
              <w:left w:w="15" w:type="dxa"/>
              <w:bottom w:w="15" w:type="dxa"/>
              <w:right w:w="15" w:type="dxa"/>
            </w:tcMar>
            <w:vAlign w:val="center"/>
          </w:tcPr>
          <w:p w14:paraId="0CD672A9">
            <w:pPr>
              <w:jc w:val="center"/>
              <w:rPr>
                <w:rFonts w:hint="default" w:ascii="Times New Roman" w:hAnsi="Times New Roman" w:cs="Times New Roman"/>
                <w:color w:val="auto"/>
                <w:sz w:val="18"/>
                <w:szCs w:val="18"/>
              </w:rPr>
            </w:pPr>
          </w:p>
        </w:tc>
        <w:tc>
          <w:tcPr>
            <w:tcW w:w="656" w:type="pct"/>
            <w:tcBorders>
              <w:tl2br w:val="nil"/>
              <w:tr2bl w:val="nil"/>
            </w:tcBorders>
            <w:noWrap w:val="0"/>
            <w:vAlign w:val="center"/>
          </w:tcPr>
          <w:p w14:paraId="2F154D9C">
            <w:pPr>
              <w:widowControl w:val="0"/>
              <w:contextualSpacing/>
              <w:jc w:val="center"/>
              <w:rPr>
                <w:rFonts w:hint="default" w:ascii="Times New Roman" w:hAnsi="Times New Roman" w:cs="Times New Roman"/>
                <w:color w:val="auto"/>
                <w:kern w:val="2"/>
                <w:sz w:val="18"/>
                <w:szCs w:val="18"/>
              </w:rPr>
            </w:pPr>
            <w:r>
              <w:rPr>
                <w:rFonts w:hint="default" w:ascii="Times New Roman" w:hAnsi="Times New Roman" w:cs="Times New Roman"/>
                <w:color w:val="auto"/>
                <w:sz w:val="18"/>
                <w:szCs w:val="18"/>
                <w:highlight w:val="none"/>
              </w:rPr>
              <w:t>TR</w:t>
            </w:r>
            <w:r>
              <w:rPr>
                <w:rFonts w:hint="default" w:ascii="Times New Roman" w:hAnsi="Times New Roman" w:cs="Times New Roman"/>
                <w:color w:val="auto"/>
                <w:sz w:val="18"/>
                <w:szCs w:val="18"/>
                <w:highlight w:val="none"/>
                <w:lang w:val="en-US" w:eastAsia="zh-CN"/>
              </w:rPr>
              <w:t>10</w:t>
            </w:r>
            <w:r>
              <w:rPr>
                <w:rFonts w:hint="default" w:ascii="Times New Roman" w:hAnsi="Times New Roman" w:cs="Times New Roman"/>
                <w:color w:val="auto"/>
                <w:sz w:val="18"/>
                <w:szCs w:val="18"/>
                <w:highlight w:val="none"/>
              </w:rPr>
              <w:t>-1-</w:t>
            </w:r>
            <w:r>
              <w:rPr>
                <w:rFonts w:hint="default" w:ascii="Times New Roman" w:hAnsi="Times New Roman" w:cs="Times New Roman"/>
                <w:color w:val="auto"/>
                <w:sz w:val="18"/>
                <w:szCs w:val="18"/>
                <w:highlight w:val="none"/>
                <w:lang w:val="en-US" w:eastAsia="zh-CN"/>
              </w:rPr>
              <w:t>1</w:t>
            </w:r>
          </w:p>
        </w:tc>
        <w:tc>
          <w:tcPr>
            <w:tcW w:w="629" w:type="pct"/>
            <w:tcBorders>
              <w:tl2br w:val="nil"/>
              <w:tr2bl w:val="nil"/>
            </w:tcBorders>
            <w:noWrap w:val="0"/>
            <w:vAlign w:val="center"/>
          </w:tcPr>
          <w:p w14:paraId="1656DA9A">
            <w:pPr>
              <w:widowControl w:val="0"/>
              <w:contextualSpacing/>
              <w:jc w:val="center"/>
              <w:rPr>
                <w:rFonts w:hint="default" w:ascii="Times New Roman" w:hAnsi="Times New Roman" w:cs="Times New Roman"/>
                <w:color w:val="auto"/>
                <w:kern w:val="2"/>
                <w:sz w:val="18"/>
                <w:szCs w:val="18"/>
              </w:rPr>
            </w:pPr>
            <w:r>
              <w:rPr>
                <w:rFonts w:hint="default" w:ascii="Times New Roman" w:hAnsi="Times New Roman" w:cs="Times New Roman"/>
                <w:color w:val="auto"/>
                <w:sz w:val="18"/>
                <w:szCs w:val="18"/>
                <w:highlight w:val="none"/>
              </w:rPr>
              <w:t>TR</w:t>
            </w:r>
            <w:r>
              <w:rPr>
                <w:rFonts w:hint="default" w:ascii="Times New Roman" w:hAnsi="Times New Roman" w:cs="Times New Roman"/>
                <w:color w:val="auto"/>
                <w:sz w:val="18"/>
                <w:szCs w:val="18"/>
                <w:highlight w:val="none"/>
                <w:lang w:val="en-US" w:eastAsia="zh-CN"/>
              </w:rPr>
              <w:t>11</w:t>
            </w:r>
            <w:r>
              <w:rPr>
                <w:rFonts w:hint="default" w:ascii="Times New Roman" w:hAnsi="Times New Roman" w:cs="Times New Roman"/>
                <w:color w:val="auto"/>
                <w:sz w:val="18"/>
                <w:szCs w:val="18"/>
                <w:highlight w:val="none"/>
              </w:rPr>
              <w:t>-1-</w:t>
            </w:r>
            <w:r>
              <w:rPr>
                <w:rFonts w:hint="default" w:ascii="Times New Roman" w:hAnsi="Times New Roman" w:cs="Times New Roman"/>
                <w:color w:val="auto"/>
                <w:sz w:val="18"/>
                <w:szCs w:val="18"/>
                <w:highlight w:val="none"/>
                <w:lang w:val="en-US" w:eastAsia="zh-CN"/>
              </w:rPr>
              <w:t>1</w:t>
            </w:r>
          </w:p>
        </w:tc>
        <w:tc>
          <w:tcPr>
            <w:tcW w:w="869" w:type="pct"/>
            <w:tcBorders>
              <w:tl2br w:val="nil"/>
              <w:tr2bl w:val="nil"/>
            </w:tcBorders>
            <w:noWrap w:val="0"/>
            <w:vAlign w:val="center"/>
          </w:tcPr>
          <w:p w14:paraId="22942108">
            <w:pPr>
              <w:widowControl/>
              <w:adjustRightInd w:val="0"/>
              <w:snapToGrid w:val="0"/>
              <w:jc w:val="center"/>
              <w:textAlignment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0"/>
                <w:sz w:val="18"/>
                <w:szCs w:val="18"/>
                <w:highlight w:val="none"/>
              </w:rPr>
              <w:t>风险筛选值标准</w:t>
            </w:r>
          </w:p>
        </w:tc>
        <w:tc>
          <w:tcPr>
            <w:tcW w:w="868" w:type="pct"/>
            <w:tcBorders>
              <w:tl2br w:val="nil"/>
              <w:tr2bl w:val="nil"/>
            </w:tcBorders>
            <w:noWrap w:val="0"/>
            <w:vAlign w:val="center"/>
          </w:tcPr>
          <w:p w14:paraId="1AC23483">
            <w:pPr>
              <w:widowControl/>
              <w:adjustRightInd w:val="0"/>
              <w:snapToGrid w:val="0"/>
              <w:jc w:val="center"/>
              <w:textAlignment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0"/>
                <w:sz w:val="18"/>
                <w:szCs w:val="18"/>
                <w:highlight w:val="none"/>
              </w:rPr>
              <w:t>风险管制值标准</w:t>
            </w:r>
          </w:p>
        </w:tc>
        <w:tc>
          <w:tcPr>
            <w:tcW w:w="1005" w:type="pct"/>
            <w:vMerge w:val="continue"/>
            <w:tcBorders>
              <w:tl2br w:val="nil"/>
              <w:tr2bl w:val="nil"/>
            </w:tcBorders>
            <w:noWrap w:val="0"/>
            <w:vAlign w:val="center"/>
          </w:tcPr>
          <w:p w14:paraId="72FC8177">
            <w:pPr>
              <w:widowControl w:val="0"/>
              <w:contextualSpacing/>
              <w:jc w:val="center"/>
              <w:rPr>
                <w:rFonts w:hint="default" w:ascii="Times New Roman" w:hAnsi="Times New Roman" w:cs="Times New Roman"/>
                <w:color w:val="auto"/>
                <w:kern w:val="2"/>
                <w:sz w:val="18"/>
                <w:szCs w:val="18"/>
              </w:rPr>
            </w:pPr>
          </w:p>
        </w:tc>
        <w:tc>
          <w:tcPr>
            <w:tcW w:w="495" w:type="pct"/>
            <w:tcBorders>
              <w:tl2br w:val="nil"/>
              <w:tr2bl w:val="nil"/>
            </w:tcBorders>
            <w:noWrap w:val="0"/>
            <w:vAlign w:val="center"/>
          </w:tcPr>
          <w:p w14:paraId="433C0B3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单位</w:t>
            </w:r>
          </w:p>
        </w:tc>
      </w:tr>
      <w:tr w14:paraId="0992E46F">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0" w:hRule="atLeast"/>
          <w:jc w:val="center"/>
        </w:trPr>
        <w:tc>
          <w:tcPr>
            <w:tcW w:w="475" w:type="pct"/>
            <w:tcBorders>
              <w:tl2br w:val="nil"/>
              <w:tr2bl w:val="nil"/>
            </w:tcBorders>
            <w:noWrap w:val="0"/>
            <w:tcMar>
              <w:top w:w="15" w:type="dxa"/>
              <w:left w:w="15" w:type="dxa"/>
              <w:bottom w:w="15" w:type="dxa"/>
              <w:right w:w="15" w:type="dxa"/>
            </w:tcMar>
            <w:vAlign w:val="center"/>
          </w:tcPr>
          <w:p w14:paraId="48170406">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pH</w:t>
            </w:r>
          </w:p>
        </w:tc>
        <w:tc>
          <w:tcPr>
            <w:tcW w:w="656" w:type="pct"/>
            <w:tcBorders>
              <w:tl2br w:val="nil"/>
              <w:tr2bl w:val="nil"/>
            </w:tcBorders>
            <w:noWrap w:val="0"/>
            <w:vAlign w:val="center"/>
          </w:tcPr>
          <w:p w14:paraId="721C3A91">
            <w:pPr>
              <w:widowControl w:val="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kern w:val="2"/>
                <w:sz w:val="18"/>
                <w:szCs w:val="18"/>
                <w:highlight w:val="none"/>
                <w:lang w:val="en-US" w:eastAsia="zh-CN"/>
              </w:rPr>
              <w:t>6.25</w:t>
            </w:r>
          </w:p>
        </w:tc>
        <w:tc>
          <w:tcPr>
            <w:tcW w:w="629" w:type="pct"/>
            <w:tcBorders>
              <w:tl2br w:val="nil"/>
              <w:tr2bl w:val="nil"/>
            </w:tcBorders>
            <w:noWrap w:val="0"/>
            <w:vAlign w:val="center"/>
          </w:tcPr>
          <w:p w14:paraId="41BBB514">
            <w:pPr>
              <w:widowControl w:val="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kern w:val="2"/>
                <w:sz w:val="18"/>
                <w:szCs w:val="18"/>
                <w:highlight w:val="none"/>
                <w:lang w:val="en-US" w:eastAsia="zh-CN"/>
              </w:rPr>
              <w:t>6.28</w:t>
            </w:r>
          </w:p>
        </w:tc>
        <w:tc>
          <w:tcPr>
            <w:tcW w:w="1737" w:type="pct"/>
            <w:gridSpan w:val="2"/>
            <w:tcBorders>
              <w:tl2br w:val="nil"/>
              <w:tr2bl w:val="nil"/>
            </w:tcBorders>
            <w:noWrap w:val="0"/>
            <w:vAlign w:val="center"/>
          </w:tcPr>
          <w:p w14:paraId="1CCF5FA4">
            <w:pPr>
              <w:widowControl w:val="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5</w:t>
            </w:r>
            <w:r>
              <w:rPr>
                <w:rFonts w:hint="default" w:ascii="Times New Roman" w:hAnsi="Times New Roman" w:cs="Times New Roman"/>
                <w:color w:val="auto"/>
                <w:sz w:val="18"/>
                <w:szCs w:val="18"/>
                <w:highlight w:val="none"/>
              </w:rPr>
              <w:t>.5&lt; pH≤</w:t>
            </w:r>
            <w:r>
              <w:rPr>
                <w:rFonts w:hint="default" w:ascii="Times New Roman" w:hAnsi="Times New Roman"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5</w:t>
            </w:r>
          </w:p>
        </w:tc>
        <w:tc>
          <w:tcPr>
            <w:tcW w:w="1005" w:type="pct"/>
            <w:tcBorders>
              <w:tl2br w:val="nil"/>
              <w:tr2bl w:val="nil"/>
            </w:tcBorders>
            <w:noWrap w:val="0"/>
            <w:vAlign w:val="center"/>
          </w:tcPr>
          <w:p w14:paraId="6A7208FB">
            <w:pPr>
              <w:widowControl w:val="0"/>
              <w:contextualSpacing/>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495" w:type="pct"/>
            <w:tcBorders>
              <w:tl2br w:val="nil"/>
              <w:tr2bl w:val="nil"/>
            </w:tcBorders>
            <w:noWrap w:val="0"/>
            <w:vAlign w:val="center"/>
          </w:tcPr>
          <w:p w14:paraId="424E44D4">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无量纲</w:t>
            </w:r>
          </w:p>
        </w:tc>
      </w:tr>
      <w:tr w14:paraId="6222D93B">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5" w:type="pct"/>
            <w:tcBorders>
              <w:tl2br w:val="nil"/>
              <w:tr2bl w:val="nil"/>
            </w:tcBorders>
            <w:noWrap w:val="0"/>
            <w:tcMar>
              <w:top w:w="15" w:type="dxa"/>
              <w:left w:w="15" w:type="dxa"/>
              <w:bottom w:w="15" w:type="dxa"/>
              <w:right w:w="15" w:type="dxa"/>
            </w:tcMar>
            <w:vAlign w:val="center"/>
          </w:tcPr>
          <w:p w14:paraId="0623EF6E">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砷</w:t>
            </w:r>
          </w:p>
        </w:tc>
        <w:tc>
          <w:tcPr>
            <w:tcW w:w="656" w:type="pct"/>
            <w:tcBorders>
              <w:tl2br w:val="nil"/>
              <w:tr2bl w:val="nil"/>
            </w:tcBorders>
            <w:noWrap w:val="0"/>
            <w:vAlign w:val="center"/>
          </w:tcPr>
          <w:p w14:paraId="5B09F4D0">
            <w:pPr>
              <w:widowControl w:val="0"/>
              <w:contextualSpacing/>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sz w:val="18"/>
                <w:szCs w:val="18"/>
                <w:highlight w:val="none"/>
                <w:lang w:val="en-US" w:eastAsia="zh-CN"/>
              </w:rPr>
              <w:t>8.75</w:t>
            </w:r>
          </w:p>
        </w:tc>
        <w:tc>
          <w:tcPr>
            <w:tcW w:w="629" w:type="pct"/>
            <w:tcBorders>
              <w:tl2br w:val="nil"/>
              <w:tr2bl w:val="nil"/>
            </w:tcBorders>
            <w:noWrap w:val="0"/>
            <w:vAlign w:val="center"/>
          </w:tcPr>
          <w:p w14:paraId="21C51D76">
            <w:pPr>
              <w:widowControl w:val="0"/>
              <w:contextualSpacing/>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z w:val="18"/>
                <w:szCs w:val="18"/>
                <w:highlight w:val="none"/>
                <w:lang w:val="en-US" w:eastAsia="zh-CN"/>
              </w:rPr>
              <w:t>12.1</w:t>
            </w:r>
          </w:p>
        </w:tc>
        <w:tc>
          <w:tcPr>
            <w:tcW w:w="869" w:type="pct"/>
            <w:tcBorders>
              <w:tl2br w:val="nil"/>
              <w:tr2bl w:val="nil"/>
            </w:tcBorders>
            <w:noWrap w:val="0"/>
            <w:vAlign w:val="center"/>
          </w:tcPr>
          <w:p w14:paraId="34EA39B8">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w:t>
            </w:r>
          </w:p>
        </w:tc>
        <w:tc>
          <w:tcPr>
            <w:tcW w:w="868" w:type="pct"/>
            <w:tcBorders>
              <w:tl2br w:val="nil"/>
              <w:tr2bl w:val="nil"/>
            </w:tcBorders>
            <w:noWrap w:val="0"/>
            <w:vAlign w:val="center"/>
          </w:tcPr>
          <w:p w14:paraId="417BEDBF">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150</w:t>
            </w:r>
          </w:p>
        </w:tc>
        <w:tc>
          <w:tcPr>
            <w:tcW w:w="1005" w:type="pct"/>
            <w:tcBorders>
              <w:tl2br w:val="nil"/>
              <w:tr2bl w:val="nil"/>
            </w:tcBorders>
            <w:noWrap w:val="0"/>
            <w:vAlign w:val="center"/>
          </w:tcPr>
          <w:p w14:paraId="776B674B">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小于风险筛选值</w:t>
            </w:r>
          </w:p>
        </w:tc>
        <w:tc>
          <w:tcPr>
            <w:tcW w:w="495" w:type="pct"/>
            <w:tcBorders>
              <w:tl2br w:val="nil"/>
              <w:tr2bl w:val="nil"/>
            </w:tcBorders>
            <w:noWrap w:val="0"/>
            <w:vAlign w:val="center"/>
          </w:tcPr>
          <w:p w14:paraId="64205834">
            <w:pPr>
              <w:jc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rPr>
              <w:t>mg/kg</w:t>
            </w:r>
          </w:p>
        </w:tc>
      </w:tr>
      <w:tr w14:paraId="125DEB07">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5" w:type="pct"/>
            <w:tcBorders>
              <w:tl2br w:val="nil"/>
              <w:tr2bl w:val="nil"/>
            </w:tcBorders>
            <w:noWrap w:val="0"/>
            <w:tcMar>
              <w:top w:w="15" w:type="dxa"/>
              <w:left w:w="15" w:type="dxa"/>
              <w:bottom w:w="15" w:type="dxa"/>
              <w:right w:w="15" w:type="dxa"/>
            </w:tcMar>
            <w:vAlign w:val="center"/>
          </w:tcPr>
          <w:p w14:paraId="752B8115">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汞</w:t>
            </w:r>
          </w:p>
        </w:tc>
        <w:tc>
          <w:tcPr>
            <w:tcW w:w="656" w:type="pct"/>
            <w:tcBorders>
              <w:tl2br w:val="nil"/>
              <w:tr2bl w:val="nil"/>
            </w:tcBorders>
            <w:noWrap w:val="0"/>
            <w:vAlign w:val="center"/>
          </w:tcPr>
          <w:p w14:paraId="117EF5E6">
            <w:pPr>
              <w:widowControl w:val="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lang w:val="en-US" w:eastAsia="zh-CN"/>
              </w:rPr>
              <w:t>0.070</w:t>
            </w:r>
          </w:p>
        </w:tc>
        <w:tc>
          <w:tcPr>
            <w:tcW w:w="629" w:type="pct"/>
            <w:tcBorders>
              <w:tl2br w:val="nil"/>
              <w:tr2bl w:val="nil"/>
            </w:tcBorders>
            <w:noWrap w:val="0"/>
            <w:vAlign w:val="center"/>
          </w:tcPr>
          <w:p w14:paraId="7928BDE4">
            <w:pPr>
              <w:widowControl w:val="0"/>
              <w:contextualSpacing/>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sz w:val="18"/>
                <w:szCs w:val="18"/>
                <w:highlight w:val="none"/>
                <w:lang w:val="en-US" w:eastAsia="zh-CN"/>
              </w:rPr>
              <w:t>0.102</w:t>
            </w:r>
          </w:p>
        </w:tc>
        <w:tc>
          <w:tcPr>
            <w:tcW w:w="869" w:type="pct"/>
            <w:tcBorders>
              <w:tl2br w:val="nil"/>
              <w:tr2bl w:val="nil"/>
            </w:tcBorders>
            <w:noWrap w:val="0"/>
            <w:vAlign w:val="center"/>
          </w:tcPr>
          <w:p w14:paraId="7ACEF892">
            <w:pPr>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1.8</w:t>
            </w:r>
          </w:p>
        </w:tc>
        <w:tc>
          <w:tcPr>
            <w:tcW w:w="868" w:type="pct"/>
            <w:tcBorders>
              <w:tl2br w:val="nil"/>
              <w:tr2bl w:val="nil"/>
            </w:tcBorders>
            <w:noWrap w:val="0"/>
            <w:vAlign w:val="center"/>
          </w:tcPr>
          <w:p w14:paraId="271012F8">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2.5</w:t>
            </w:r>
          </w:p>
        </w:tc>
        <w:tc>
          <w:tcPr>
            <w:tcW w:w="1005" w:type="pct"/>
            <w:tcBorders>
              <w:tl2br w:val="nil"/>
              <w:tr2bl w:val="nil"/>
            </w:tcBorders>
            <w:noWrap w:val="0"/>
            <w:vAlign w:val="center"/>
          </w:tcPr>
          <w:p w14:paraId="0163353E">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小于风险筛选值</w:t>
            </w:r>
          </w:p>
        </w:tc>
        <w:tc>
          <w:tcPr>
            <w:tcW w:w="495" w:type="pct"/>
            <w:tcBorders>
              <w:tl2br w:val="nil"/>
              <w:tr2bl w:val="nil"/>
            </w:tcBorders>
            <w:noWrap w:val="0"/>
            <w:vAlign w:val="center"/>
          </w:tcPr>
          <w:p w14:paraId="395302BF">
            <w:pPr>
              <w:jc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rPr>
              <w:t>mg/kg</w:t>
            </w:r>
          </w:p>
        </w:tc>
      </w:tr>
      <w:tr w14:paraId="127EDE80">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5" w:type="pct"/>
            <w:tcBorders>
              <w:tl2br w:val="nil"/>
              <w:tr2bl w:val="nil"/>
            </w:tcBorders>
            <w:noWrap w:val="0"/>
            <w:tcMar>
              <w:top w:w="15" w:type="dxa"/>
              <w:left w:w="15" w:type="dxa"/>
              <w:bottom w:w="15" w:type="dxa"/>
              <w:right w:w="15" w:type="dxa"/>
            </w:tcMar>
            <w:vAlign w:val="center"/>
          </w:tcPr>
          <w:p w14:paraId="43687AE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铜</w:t>
            </w:r>
          </w:p>
        </w:tc>
        <w:tc>
          <w:tcPr>
            <w:tcW w:w="656" w:type="pct"/>
            <w:tcBorders>
              <w:tl2br w:val="nil"/>
              <w:tr2bl w:val="nil"/>
            </w:tcBorders>
            <w:noWrap w:val="0"/>
            <w:vAlign w:val="center"/>
          </w:tcPr>
          <w:p w14:paraId="2BC2AF3B">
            <w:pPr>
              <w:widowControl w:val="0"/>
              <w:contextualSpacing/>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39</w:t>
            </w:r>
          </w:p>
        </w:tc>
        <w:tc>
          <w:tcPr>
            <w:tcW w:w="629" w:type="pct"/>
            <w:tcBorders>
              <w:tl2br w:val="nil"/>
              <w:tr2bl w:val="nil"/>
            </w:tcBorders>
            <w:noWrap w:val="0"/>
            <w:vAlign w:val="center"/>
          </w:tcPr>
          <w:p w14:paraId="4ADC332D">
            <w:pPr>
              <w:widowControl w:val="0"/>
              <w:contextualSpacing/>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42</w:t>
            </w:r>
          </w:p>
        </w:tc>
        <w:tc>
          <w:tcPr>
            <w:tcW w:w="869" w:type="pct"/>
            <w:tcBorders>
              <w:tl2br w:val="nil"/>
              <w:tr2bl w:val="nil"/>
            </w:tcBorders>
            <w:noWrap w:val="0"/>
            <w:vAlign w:val="center"/>
          </w:tcPr>
          <w:p w14:paraId="2C8D6616">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w:t>
            </w:r>
          </w:p>
        </w:tc>
        <w:tc>
          <w:tcPr>
            <w:tcW w:w="868" w:type="pct"/>
            <w:tcBorders>
              <w:tl2br w:val="nil"/>
              <w:tr2bl w:val="nil"/>
            </w:tcBorders>
            <w:noWrap w:val="0"/>
            <w:vAlign w:val="center"/>
          </w:tcPr>
          <w:p w14:paraId="468C56B6">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005" w:type="pct"/>
            <w:tcBorders>
              <w:tl2br w:val="nil"/>
              <w:tr2bl w:val="nil"/>
            </w:tcBorders>
            <w:noWrap w:val="0"/>
            <w:vAlign w:val="center"/>
          </w:tcPr>
          <w:p w14:paraId="2B5C9787">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小于风险筛选值</w:t>
            </w:r>
          </w:p>
        </w:tc>
        <w:tc>
          <w:tcPr>
            <w:tcW w:w="495" w:type="pct"/>
            <w:tcBorders>
              <w:tl2br w:val="nil"/>
              <w:tr2bl w:val="nil"/>
            </w:tcBorders>
            <w:noWrap w:val="0"/>
            <w:vAlign w:val="center"/>
          </w:tcPr>
          <w:p w14:paraId="1B33D6BB">
            <w:pPr>
              <w:jc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rPr>
              <w:t>mg/kg</w:t>
            </w:r>
          </w:p>
        </w:tc>
      </w:tr>
      <w:tr w14:paraId="01215074">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5" w:type="pct"/>
            <w:tcBorders>
              <w:tl2br w:val="nil"/>
              <w:tr2bl w:val="nil"/>
            </w:tcBorders>
            <w:noWrap w:val="0"/>
            <w:tcMar>
              <w:top w:w="15" w:type="dxa"/>
              <w:left w:w="15" w:type="dxa"/>
              <w:bottom w:w="15" w:type="dxa"/>
              <w:right w:w="15" w:type="dxa"/>
            </w:tcMar>
            <w:vAlign w:val="center"/>
          </w:tcPr>
          <w:p w14:paraId="70690406">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锌</w:t>
            </w:r>
          </w:p>
        </w:tc>
        <w:tc>
          <w:tcPr>
            <w:tcW w:w="656" w:type="pct"/>
            <w:tcBorders>
              <w:tl2br w:val="nil"/>
              <w:tr2bl w:val="nil"/>
            </w:tcBorders>
            <w:noWrap w:val="0"/>
            <w:vAlign w:val="center"/>
          </w:tcPr>
          <w:p w14:paraId="7AA0765F">
            <w:pPr>
              <w:widowControl w:val="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kern w:val="2"/>
                <w:sz w:val="18"/>
                <w:szCs w:val="18"/>
                <w:highlight w:val="none"/>
                <w:lang w:val="en-US" w:eastAsia="zh-CN"/>
              </w:rPr>
              <w:t>139</w:t>
            </w:r>
          </w:p>
        </w:tc>
        <w:tc>
          <w:tcPr>
            <w:tcW w:w="629" w:type="pct"/>
            <w:tcBorders>
              <w:tl2br w:val="nil"/>
              <w:tr2bl w:val="nil"/>
            </w:tcBorders>
            <w:noWrap w:val="0"/>
            <w:vAlign w:val="center"/>
          </w:tcPr>
          <w:p w14:paraId="52CD78DB">
            <w:pPr>
              <w:widowControl w:val="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kern w:val="2"/>
                <w:sz w:val="18"/>
                <w:szCs w:val="18"/>
                <w:highlight w:val="none"/>
                <w:lang w:val="en-US" w:eastAsia="zh-CN"/>
              </w:rPr>
              <w:t>144</w:t>
            </w:r>
          </w:p>
        </w:tc>
        <w:tc>
          <w:tcPr>
            <w:tcW w:w="869" w:type="pct"/>
            <w:tcBorders>
              <w:tl2br w:val="nil"/>
              <w:tr2bl w:val="nil"/>
            </w:tcBorders>
            <w:noWrap w:val="0"/>
            <w:vAlign w:val="center"/>
          </w:tcPr>
          <w:p w14:paraId="4B71312C">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250</w:t>
            </w:r>
          </w:p>
        </w:tc>
        <w:tc>
          <w:tcPr>
            <w:tcW w:w="868" w:type="pct"/>
            <w:tcBorders>
              <w:tl2br w:val="nil"/>
              <w:tr2bl w:val="nil"/>
            </w:tcBorders>
            <w:noWrap w:val="0"/>
            <w:vAlign w:val="center"/>
          </w:tcPr>
          <w:p w14:paraId="5CBB457D">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005" w:type="pct"/>
            <w:tcBorders>
              <w:tl2br w:val="nil"/>
              <w:tr2bl w:val="nil"/>
            </w:tcBorders>
            <w:noWrap w:val="0"/>
            <w:vAlign w:val="center"/>
          </w:tcPr>
          <w:p w14:paraId="601BF55A">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小于风险筛选值</w:t>
            </w:r>
          </w:p>
        </w:tc>
        <w:tc>
          <w:tcPr>
            <w:tcW w:w="495" w:type="pct"/>
            <w:tcBorders>
              <w:tl2br w:val="nil"/>
              <w:tr2bl w:val="nil"/>
            </w:tcBorders>
            <w:noWrap w:val="0"/>
            <w:vAlign w:val="center"/>
          </w:tcPr>
          <w:p w14:paraId="46519F72">
            <w:pPr>
              <w:jc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rPr>
              <w:t>mg/kg</w:t>
            </w:r>
          </w:p>
        </w:tc>
      </w:tr>
      <w:tr w14:paraId="1CEC1342">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5" w:type="pct"/>
            <w:tcBorders>
              <w:tl2br w:val="nil"/>
              <w:tr2bl w:val="nil"/>
            </w:tcBorders>
            <w:noWrap w:val="0"/>
            <w:tcMar>
              <w:top w:w="15" w:type="dxa"/>
              <w:left w:w="15" w:type="dxa"/>
              <w:bottom w:w="15" w:type="dxa"/>
              <w:right w:w="15" w:type="dxa"/>
            </w:tcMar>
            <w:vAlign w:val="center"/>
          </w:tcPr>
          <w:p w14:paraId="4E9BBA1C">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镍</w:t>
            </w:r>
          </w:p>
        </w:tc>
        <w:tc>
          <w:tcPr>
            <w:tcW w:w="656" w:type="pct"/>
            <w:tcBorders>
              <w:tl2br w:val="nil"/>
              <w:tr2bl w:val="nil"/>
            </w:tcBorders>
            <w:noWrap w:val="0"/>
            <w:vAlign w:val="center"/>
          </w:tcPr>
          <w:p w14:paraId="2DA8BB6A">
            <w:pPr>
              <w:widowControl w:val="0"/>
              <w:contextualSpacing/>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kern w:val="2"/>
                <w:sz w:val="18"/>
                <w:szCs w:val="18"/>
                <w:highlight w:val="none"/>
                <w:lang w:val="en-US" w:eastAsia="zh-CN"/>
              </w:rPr>
              <w:t>41</w:t>
            </w:r>
          </w:p>
        </w:tc>
        <w:tc>
          <w:tcPr>
            <w:tcW w:w="629" w:type="pct"/>
            <w:tcBorders>
              <w:tl2br w:val="nil"/>
              <w:tr2bl w:val="nil"/>
            </w:tcBorders>
            <w:noWrap w:val="0"/>
            <w:vAlign w:val="center"/>
          </w:tcPr>
          <w:p w14:paraId="5A05E51E">
            <w:pPr>
              <w:widowControl w:val="0"/>
              <w:contextualSpacing/>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kern w:val="2"/>
                <w:sz w:val="18"/>
                <w:szCs w:val="18"/>
                <w:highlight w:val="none"/>
                <w:lang w:val="en-US" w:eastAsia="zh-CN"/>
              </w:rPr>
              <w:t>56</w:t>
            </w:r>
          </w:p>
        </w:tc>
        <w:tc>
          <w:tcPr>
            <w:tcW w:w="869" w:type="pct"/>
            <w:tcBorders>
              <w:tl2br w:val="nil"/>
              <w:tr2bl w:val="nil"/>
            </w:tcBorders>
            <w:noWrap w:val="0"/>
            <w:vAlign w:val="center"/>
          </w:tcPr>
          <w:p w14:paraId="716A9AC6">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100</w:t>
            </w:r>
          </w:p>
        </w:tc>
        <w:tc>
          <w:tcPr>
            <w:tcW w:w="868" w:type="pct"/>
            <w:tcBorders>
              <w:tl2br w:val="nil"/>
              <w:tr2bl w:val="nil"/>
            </w:tcBorders>
            <w:noWrap w:val="0"/>
            <w:vAlign w:val="center"/>
          </w:tcPr>
          <w:p w14:paraId="1458C503">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005" w:type="pct"/>
            <w:tcBorders>
              <w:tl2br w:val="nil"/>
              <w:tr2bl w:val="nil"/>
            </w:tcBorders>
            <w:noWrap w:val="0"/>
            <w:vAlign w:val="center"/>
          </w:tcPr>
          <w:p w14:paraId="245B3F4B">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小于风险筛选值</w:t>
            </w:r>
          </w:p>
        </w:tc>
        <w:tc>
          <w:tcPr>
            <w:tcW w:w="495" w:type="pct"/>
            <w:tcBorders>
              <w:tl2br w:val="nil"/>
              <w:tr2bl w:val="nil"/>
            </w:tcBorders>
            <w:noWrap w:val="0"/>
            <w:vAlign w:val="center"/>
          </w:tcPr>
          <w:p w14:paraId="00673422">
            <w:pPr>
              <w:jc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rPr>
              <w:t>mg/kg</w:t>
            </w:r>
          </w:p>
        </w:tc>
      </w:tr>
      <w:tr w14:paraId="3E720683">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5" w:type="pct"/>
            <w:tcBorders>
              <w:tl2br w:val="nil"/>
              <w:tr2bl w:val="nil"/>
            </w:tcBorders>
            <w:noWrap w:val="0"/>
            <w:tcMar>
              <w:top w:w="15" w:type="dxa"/>
              <w:left w:w="15" w:type="dxa"/>
              <w:bottom w:w="15" w:type="dxa"/>
              <w:right w:w="15" w:type="dxa"/>
            </w:tcMar>
            <w:vAlign w:val="center"/>
          </w:tcPr>
          <w:p w14:paraId="09827CE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总铬</w:t>
            </w:r>
          </w:p>
        </w:tc>
        <w:tc>
          <w:tcPr>
            <w:tcW w:w="656" w:type="pct"/>
            <w:tcBorders>
              <w:tl2br w:val="nil"/>
              <w:tr2bl w:val="nil"/>
            </w:tcBorders>
            <w:noWrap w:val="0"/>
            <w:vAlign w:val="center"/>
          </w:tcPr>
          <w:p w14:paraId="6A429AC5">
            <w:pPr>
              <w:widowControl w:val="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kern w:val="2"/>
                <w:sz w:val="18"/>
                <w:szCs w:val="18"/>
                <w:highlight w:val="none"/>
                <w:lang w:val="en-US" w:eastAsia="zh-CN"/>
              </w:rPr>
              <w:t>75</w:t>
            </w:r>
          </w:p>
        </w:tc>
        <w:tc>
          <w:tcPr>
            <w:tcW w:w="629" w:type="pct"/>
            <w:tcBorders>
              <w:tl2br w:val="nil"/>
              <w:tr2bl w:val="nil"/>
            </w:tcBorders>
            <w:noWrap w:val="0"/>
            <w:vAlign w:val="center"/>
          </w:tcPr>
          <w:p w14:paraId="5470B1E2">
            <w:pPr>
              <w:widowControl w:val="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kern w:val="2"/>
                <w:sz w:val="18"/>
                <w:szCs w:val="18"/>
                <w:highlight w:val="none"/>
                <w:lang w:val="en-US" w:eastAsia="zh-CN"/>
              </w:rPr>
              <w:t>72</w:t>
            </w:r>
          </w:p>
        </w:tc>
        <w:tc>
          <w:tcPr>
            <w:tcW w:w="869" w:type="pct"/>
            <w:tcBorders>
              <w:tl2br w:val="nil"/>
              <w:tr2bl w:val="nil"/>
            </w:tcBorders>
            <w:noWrap w:val="0"/>
            <w:vAlign w:val="center"/>
          </w:tcPr>
          <w:p w14:paraId="335D6A11">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150</w:t>
            </w:r>
          </w:p>
        </w:tc>
        <w:tc>
          <w:tcPr>
            <w:tcW w:w="868" w:type="pct"/>
            <w:tcBorders>
              <w:tl2br w:val="nil"/>
              <w:tr2bl w:val="nil"/>
            </w:tcBorders>
            <w:noWrap w:val="0"/>
            <w:vAlign w:val="center"/>
          </w:tcPr>
          <w:p w14:paraId="6C275A15">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850</w:t>
            </w:r>
          </w:p>
        </w:tc>
        <w:tc>
          <w:tcPr>
            <w:tcW w:w="1005" w:type="pct"/>
            <w:tcBorders>
              <w:tl2br w:val="nil"/>
              <w:tr2bl w:val="nil"/>
            </w:tcBorders>
            <w:noWrap w:val="0"/>
            <w:vAlign w:val="center"/>
          </w:tcPr>
          <w:p w14:paraId="707E4737">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小于风险筛选值</w:t>
            </w:r>
          </w:p>
        </w:tc>
        <w:tc>
          <w:tcPr>
            <w:tcW w:w="495" w:type="pct"/>
            <w:tcBorders>
              <w:tl2br w:val="nil"/>
              <w:tr2bl w:val="nil"/>
            </w:tcBorders>
            <w:noWrap w:val="0"/>
            <w:vAlign w:val="center"/>
          </w:tcPr>
          <w:p w14:paraId="0674872F">
            <w:pPr>
              <w:jc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rPr>
              <w:t>mg/kg</w:t>
            </w:r>
          </w:p>
        </w:tc>
      </w:tr>
      <w:tr w14:paraId="683E3C9A">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5" w:type="pct"/>
            <w:tcBorders>
              <w:tl2br w:val="nil"/>
              <w:tr2bl w:val="nil"/>
            </w:tcBorders>
            <w:noWrap w:val="0"/>
            <w:tcMar>
              <w:top w:w="15" w:type="dxa"/>
              <w:left w:w="15" w:type="dxa"/>
              <w:bottom w:w="15" w:type="dxa"/>
              <w:right w:w="15" w:type="dxa"/>
            </w:tcMar>
            <w:vAlign w:val="center"/>
          </w:tcPr>
          <w:p w14:paraId="14B24815">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铅</w:t>
            </w:r>
          </w:p>
        </w:tc>
        <w:tc>
          <w:tcPr>
            <w:tcW w:w="656" w:type="pct"/>
            <w:tcBorders>
              <w:tl2br w:val="nil"/>
              <w:tr2bl w:val="nil"/>
            </w:tcBorders>
            <w:noWrap w:val="0"/>
            <w:vAlign w:val="center"/>
          </w:tcPr>
          <w:p w14:paraId="59E68499">
            <w:pPr>
              <w:widowControl w:val="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kern w:val="2"/>
                <w:sz w:val="18"/>
                <w:szCs w:val="18"/>
                <w:highlight w:val="none"/>
                <w:lang w:val="en-US" w:eastAsia="zh-CN"/>
              </w:rPr>
              <w:t>1.5</w:t>
            </w:r>
          </w:p>
        </w:tc>
        <w:tc>
          <w:tcPr>
            <w:tcW w:w="629" w:type="pct"/>
            <w:tcBorders>
              <w:tl2br w:val="nil"/>
              <w:tr2bl w:val="nil"/>
            </w:tcBorders>
            <w:noWrap w:val="0"/>
            <w:vAlign w:val="center"/>
          </w:tcPr>
          <w:p w14:paraId="2AD9994C">
            <w:pPr>
              <w:widowControl w:val="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kern w:val="2"/>
                <w:sz w:val="18"/>
                <w:szCs w:val="18"/>
                <w:highlight w:val="none"/>
                <w:lang w:val="en-US" w:eastAsia="zh-CN"/>
              </w:rPr>
              <w:t>2.8</w:t>
            </w:r>
          </w:p>
        </w:tc>
        <w:tc>
          <w:tcPr>
            <w:tcW w:w="869" w:type="pct"/>
            <w:tcBorders>
              <w:tl2br w:val="nil"/>
              <w:tr2bl w:val="nil"/>
            </w:tcBorders>
            <w:noWrap w:val="0"/>
            <w:vAlign w:val="center"/>
          </w:tcPr>
          <w:p w14:paraId="0FE122BC">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90</w:t>
            </w:r>
          </w:p>
        </w:tc>
        <w:tc>
          <w:tcPr>
            <w:tcW w:w="868" w:type="pct"/>
            <w:tcBorders>
              <w:tl2br w:val="nil"/>
              <w:tr2bl w:val="nil"/>
            </w:tcBorders>
            <w:noWrap w:val="0"/>
            <w:vAlign w:val="center"/>
          </w:tcPr>
          <w:p w14:paraId="13D6D7EB">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500</w:t>
            </w:r>
          </w:p>
        </w:tc>
        <w:tc>
          <w:tcPr>
            <w:tcW w:w="1005" w:type="pct"/>
            <w:tcBorders>
              <w:tl2br w:val="nil"/>
              <w:tr2bl w:val="nil"/>
            </w:tcBorders>
            <w:noWrap w:val="0"/>
            <w:vAlign w:val="center"/>
          </w:tcPr>
          <w:p w14:paraId="2B06C7A9">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小于风险筛选值</w:t>
            </w:r>
          </w:p>
        </w:tc>
        <w:tc>
          <w:tcPr>
            <w:tcW w:w="495" w:type="pct"/>
            <w:tcBorders>
              <w:tl2br w:val="nil"/>
              <w:tr2bl w:val="nil"/>
            </w:tcBorders>
            <w:noWrap w:val="0"/>
            <w:vAlign w:val="center"/>
          </w:tcPr>
          <w:p w14:paraId="4DBA86D4">
            <w:pPr>
              <w:jc w:val="center"/>
              <w:rPr>
                <w:rFonts w:hint="default" w:ascii="Times New Roman" w:hAnsi="Times New Roman" w:cs="Times New Roman"/>
                <w:color w:val="auto"/>
                <w:sz w:val="18"/>
                <w:szCs w:val="18"/>
                <w:highlight w:val="none"/>
              </w:rPr>
            </w:pPr>
            <w:r>
              <w:rPr>
                <w:rFonts w:hint="default" w:ascii="Times New Roman" w:hAnsi="Times New Roman" w:cs="Times New Roman"/>
                <w:sz w:val="18"/>
                <w:szCs w:val="18"/>
                <w:highlight w:val="none"/>
              </w:rPr>
              <w:t>mg/kg</w:t>
            </w:r>
          </w:p>
        </w:tc>
      </w:tr>
      <w:tr w14:paraId="6A085A5B">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5" w:type="pct"/>
            <w:tcBorders>
              <w:tl2br w:val="nil"/>
              <w:tr2bl w:val="nil"/>
            </w:tcBorders>
            <w:noWrap w:val="0"/>
            <w:tcMar>
              <w:top w:w="15" w:type="dxa"/>
              <w:left w:w="15" w:type="dxa"/>
              <w:bottom w:w="15" w:type="dxa"/>
              <w:right w:w="15" w:type="dxa"/>
            </w:tcMar>
            <w:vAlign w:val="center"/>
          </w:tcPr>
          <w:p w14:paraId="080258D3">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镉</w:t>
            </w:r>
          </w:p>
        </w:tc>
        <w:tc>
          <w:tcPr>
            <w:tcW w:w="656" w:type="pct"/>
            <w:tcBorders>
              <w:tl2br w:val="nil"/>
              <w:tr2bl w:val="nil"/>
            </w:tcBorders>
            <w:noWrap w:val="0"/>
            <w:vAlign w:val="center"/>
          </w:tcPr>
          <w:p w14:paraId="3056E40E">
            <w:pPr>
              <w:widowControl w:val="0"/>
              <w:contextualSpacing/>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0.07</w:t>
            </w:r>
          </w:p>
        </w:tc>
        <w:tc>
          <w:tcPr>
            <w:tcW w:w="629" w:type="pct"/>
            <w:tcBorders>
              <w:tl2br w:val="nil"/>
              <w:tr2bl w:val="nil"/>
            </w:tcBorders>
            <w:noWrap w:val="0"/>
            <w:vAlign w:val="center"/>
          </w:tcPr>
          <w:p w14:paraId="5C24A0DA">
            <w:pPr>
              <w:widowControl w:val="0"/>
              <w:contextualSpacing/>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0.08</w:t>
            </w:r>
          </w:p>
        </w:tc>
        <w:tc>
          <w:tcPr>
            <w:tcW w:w="869" w:type="pct"/>
            <w:tcBorders>
              <w:tl2br w:val="nil"/>
              <w:tr2bl w:val="nil"/>
            </w:tcBorders>
            <w:noWrap w:val="0"/>
            <w:vAlign w:val="center"/>
          </w:tcPr>
          <w:p w14:paraId="3AA8671D">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0.3</w:t>
            </w:r>
          </w:p>
        </w:tc>
        <w:tc>
          <w:tcPr>
            <w:tcW w:w="868" w:type="pct"/>
            <w:tcBorders>
              <w:tl2br w:val="nil"/>
              <w:tr2bl w:val="nil"/>
            </w:tcBorders>
            <w:noWrap w:val="0"/>
            <w:vAlign w:val="center"/>
          </w:tcPr>
          <w:p w14:paraId="14B90B4C">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1005" w:type="pct"/>
            <w:tcBorders>
              <w:tl2br w:val="nil"/>
              <w:tr2bl w:val="nil"/>
            </w:tcBorders>
            <w:noWrap w:val="0"/>
            <w:vAlign w:val="center"/>
          </w:tcPr>
          <w:p w14:paraId="707B05FF">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小于风险筛选值</w:t>
            </w:r>
          </w:p>
        </w:tc>
        <w:tc>
          <w:tcPr>
            <w:tcW w:w="495" w:type="pct"/>
            <w:tcBorders>
              <w:tl2br w:val="nil"/>
              <w:tr2bl w:val="nil"/>
            </w:tcBorders>
            <w:noWrap w:val="0"/>
            <w:vAlign w:val="center"/>
          </w:tcPr>
          <w:p w14:paraId="1896AFB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mg/kg</w:t>
            </w:r>
          </w:p>
        </w:tc>
      </w:tr>
      <w:tr w14:paraId="16E086F7">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5" w:type="pct"/>
            <w:tcBorders>
              <w:tl2br w:val="nil"/>
              <w:tr2bl w:val="nil"/>
            </w:tcBorders>
            <w:noWrap w:val="0"/>
            <w:tcMar>
              <w:top w:w="15" w:type="dxa"/>
              <w:left w:w="15" w:type="dxa"/>
              <w:bottom w:w="15" w:type="dxa"/>
              <w:right w:w="15" w:type="dxa"/>
            </w:tcMar>
            <w:vAlign w:val="center"/>
          </w:tcPr>
          <w:p w14:paraId="6F64A54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铁</w:t>
            </w:r>
          </w:p>
        </w:tc>
        <w:tc>
          <w:tcPr>
            <w:tcW w:w="656" w:type="pct"/>
            <w:tcBorders>
              <w:tl2br w:val="nil"/>
              <w:tr2bl w:val="nil"/>
            </w:tcBorders>
            <w:noWrap w:val="0"/>
            <w:vAlign w:val="center"/>
          </w:tcPr>
          <w:p w14:paraId="4C24A8C7">
            <w:pPr>
              <w:widowControl w:val="0"/>
              <w:contextualSpacing/>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44.4</w:t>
            </w:r>
          </w:p>
        </w:tc>
        <w:tc>
          <w:tcPr>
            <w:tcW w:w="629" w:type="pct"/>
            <w:tcBorders>
              <w:tl2br w:val="nil"/>
              <w:tr2bl w:val="nil"/>
            </w:tcBorders>
            <w:noWrap w:val="0"/>
            <w:vAlign w:val="center"/>
          </w:tcPr>
          <w:p w14:paraId="541C30B8">
            <w:pPr>
              <w:widowControl w:val="0"/>
              <w:contextualSpacing/>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1.62</w:t>
            </w:r>
          </w:p>
        </w:tc>
        <w:tc>
          <w:tcPr>
            <w:tcW w:w="869" w:type="pct"/>
            <w:tcBorders>
              <w:tl2br w:val="nil"/>
              <w:tr2bl w:val="nil"/>
            </w:tcBorders>
            <w:noWrap w:val="0"/>
            <w:vAlign w:val="center"/>
          </w:tcPr>
          <w:p w14:paraId="6C0419A5">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68" w:type="pct"/>
            <w:tcBorders>
              <w:tl2br w:val="nil"/>
              <w:tr2bl w:val="nil"/>
            </w:tcBorders>
            <w:noWrap w:val="0"/>
            <w:vAlign w:val="center"/>
          </w:tcPr>
          <w:p w14:paraId="1280117B">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005" w:type="pct"/>
            <w:tcBorders>
              <w:tl2br w:val="nil"/>
              <w:tr2bl w:val="nil"/>
            </w:tcBorders>
            <w:noWrap w:val="0"/>
            <w:vAlign w:val="center"/>
          </w:tcPr>
          <w:p w14:paraId="677CFD6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495" w:type="pct"/>
            <w:tcBorders>
              <w:tl2br w:val="nil"/>
              <w:tr2bl w:val="nil"/>
            </w:tcBorders>
            <w:noWrap w:val="0"/>
            <w:vAlign w:val="center"/>
          </w:tcPr>
          <w:p w14:paraId="1DACFD74">
            <w:pPr>
              <w:jc w:val="center"/>
              <w:rPr>
                <w:rFonts w:hint="default" w:ascii="Times New Roman" w:hAnsi="Times New Roman" w:cs="Times New Roman"/>
                <w:color w:val="auto"/>
                <w:sz w:val="18"/>
                <w:szCs w:val="18"/>
                <w:highlight w:val="none"/>
              </w:rPr>
            </w:pPr>
          </w:p>
        </w:tc>
      </w:tr>
      <w:tr w14:paraId="507E478B">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5" w:type="pct"/>
            <w:tcBorders>
              <w:tl2br w:val="nil"/>
              <w:tr2bl w:val="nil"/>
            </w:tcBorders>
            <w:noWrap w:val="0"/>
            <w:tcMar>
              <w:top w:w="15" w:type="dxa"/>
              <w:left w:w="15" w:type="dxa"/>
              <w:bottom w:w="15" w:type="dxa"/>
              <w:right w:w="15" w:type="dxa"/>
            </w:tcMar>
            <w:vAlign w:val="center"/>
          </w:tcPr>
          <w:p w14:paraId="7DBD682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锰</w:t>
            </w:r>
          </w:p>
        </w:tc>
        <w:tc>
          <w:tcPr>
            <w:tcW w:w="656" w:type="pct"/>
            <w:tcBorders>
              <w:tl2br w:val="nil"/>
              <w:tr2bl w:val="nil"/>
            </w:tcBorders>
            <w:noWrap w:val="0"/>
            <w:vAlign w:val="center"/>
          </w:tcPr>
          <w:p w14:paraId="52A9239D">
            <w:pPr>
              <w:widowControl w:val="0"/>
              <w:contextualSpacing/>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49.8</w:t>
            </w:r>
          </w:p>
        </w:tc>
        <w:tc>
          <w:tcPr>
            <w:tcW w:w="629" w:type="pct"/>
            <w:tcBorders>
              <w:tl2br w:val="nil"/>
              <w:tr2bl w:val="nil"/>
            </w:tcBorders>
            <w:noWrap w:val="0"/>
            <w:vAlign w:val="center"/>
          </w:tcPr>
          <w:p w14:paraId="14C6A6FB">
            <w:pPr>
              <w:widowControl w:val="0"/>
              <w:contextualSpacing/>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43.6</w:t>
            </w:r>
          </w:p>
        </w:tc>
        <w:tc>
          <w:tcPr>
            <w:tcW w:w="869" w:type="pct"/>
            <w:tcBorders>
              <w:tl2br w:val="nil"/>
              <w:tr2bl w:val="nil"/>
            </w:tcBorders>
            <w:noWrap w:val="0"/>
            <w:vAlign w:val="center"/>
          </w:tcPr>
          <w:p w14:paraId="4C69928F">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68" w:type="pct"/>
            <w:tcBorders>
              <w:tl2br w:val="nil"/>
              <w:tr2bl w:val="nil"/>
            </w:tcBorders>
            <w:noWrap w:val="0"/>
            <w:vAlign w:val="center"/>
          </w:tcPr>
          <w:p w14:paraId="1C39A233">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005" w:type="pct"/>
            <w:tcBorders>
              <w:tl2br w:val="nil"/>
              <w:tr2bl w:val="nil"/>
            </w:tcBorders>
            <w:noWrap w:val="0"/>
            <w:vAlign w:val="center"/>
          </w:tcPr>
          <w:p w14:paraId="1F6E38F0">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495" w:type="pct"/>
            <w:tcBorders>
              <w:tl2br w:val="nil"/>
              <w:tr2bl w:val="nil"/>
            </w:tcBorders>
            <w:noWrap w:val="0"/>
            <w:vAlign w:val="center"/>
          </w:tcPr>
          <w:p w14:paraId="563351E0">
            <w:pPr>
              <w:jc w:val="center"/>
              <w:rPr>
                <w:rFonts w:hint="default" w:ascii="Times New Roman" w:hAnsi="Times New Roman" w:cs="Times New Roman"/>
                <w:color w:val="auto"/>
                <w:sz w:val="18"/>
                <w:szCs w:val="18"/>
                <w:highlight w:val="none"/>
              </w:rPr>
            </w:pPr>
          </w:p>
        </w:tc>
      </w:tr>
      <w:tr w14:paraId="7847E506">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5" w:type="pct"/>
            <w:tcBorders>
              <w:tl2br w:val="nil"/>
              <w:tr2bl w:val="nil"/>
            </w:tcBorders>
            <w:noWrap w:val="0"/>
            <w:tcMar>
              <w:top w:w="15" w:type="dxa"/>
              <w:left w:w="15" w:type="dxa"/>
              <w:bottom w:w="15" w:type="dxa"/>
              <w:right w:w="15" w:type="dxa"/>
            </w:tcMar>
            <w:vAlign w:val="center"/>
          </w:tcPr>
          <w:p w14:paraId="707C002C">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石油烃</w:t>
            </w:r>
          </w:p>
        </w:tc>
        <w:tc>
          <w:tcPr>
            <w:tcW w:w="656" w:type="pct"/>
            <w:tcBorders>
              <w:tl2br w:val="nil"/>
              <w:tr2bl w:val="nil"/>
            </w:tcBorders>
            <w:noWrap w:val="0"/>
            <w:vAlign w:val="center"/>
          </w:tcPr>
          <w:p w14:paraId="2C3EAA85">
            <w:pPr>
              <w:widowControl w:val="0"/>
              <w:contextualSpacing/>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63</w:t>
            </w:r>
          </w:p>
        </w:tc>
        <w:tc>
          <w:tcPr>
            <w:tcW w:w="629" w:type="pct"/>
            <w:tcBorders>
              <w:tl2br w:val="nil"/>
              <w:tr2bl w:val="nil"/>
            </w:tcBorders>
            <w:noWrap w:val="0"/>
            <w:vAlign w:val="center"/>
          </w:tcPr>
          <w:p w14:paraId="01852392">
            <w:pPr>
              <w:widowControl w:val="0"/>
              <w:contextualSpacing/>
              <w:jc w:val="center"/>
              <w:rPr>
                <w:rFonts w:hint="default" w:ascii="Times New Roman" w:hAnsi="Times New Roman"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60</w:t>
            </w:r>
          </w:p>
        </w:tc>
        <w:tc>
          <w:tcPr>
            <w:tcW w:w="869" w:type="pct"/>
            <w:tcBorders>
              <w:tl2br w:val="nil"/>
              <w:tr2bl w:val="nil"/>
            </w:tcBorders>
            <w:noWrap w:val="0"/>
            <w:vAlign w:val="center"/>
          </w:tcPr>
          <w:p w14:paraId="4A84FEA3">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68" w:type="pct"/>
            <w:tcBorders>
              <w:tl2br w:val="nil"/>
              <w:tr2bl w:val="nil"/>
            </w:tcBorders>
            <w:noWrap w:val="0"/>
            <w:vAlign w:val="center"/>
          </w:tcPr>
          <w:p w14:paraId="6B430353">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005" w:type="pct"/>
            <w:tcBorders>
              <w:tl2br w:val="nil"/>
              <w:tr2bl w:val="nil"/>
            </w:tcBorders>
            <w:noWrap w:val="0"/>
            <w:vAlign w:val="center"/>
          </w:tcPr>
          <w:p w14:paraId="539D174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495" w:type="pct"/>
            <w:tcBorders>
              <w:tl2br w:val="nil"/>
              <w:tr2bl w:val="nil"/>
            </w:tcBorders>
            <w:noWrap w:val="0"/>
            <w:vAlign w:val="center"/>
          </w:tcPr>
          <w:p w14:paraId="739A0F3D">
            <w:pPr>
              <w:jc w:val="center"/>
              <w:rPr>
                <w:rFonts w:hint="default" w:ascii="Times New Roman" w:hAnsi="Times New Roman" w:cs="Times New Roman"/>
                <w:color w:val="auto"/>
                <w:sz w:val="18"/>
                <w:szCs w:val="18"/>
                <w:highlight w:val="none"/>
              </w:rPr>
            </w:pPr>
          </w:p>
        </w:tc>
      </w:tr>
    </w:tbl>
    <w:p w14:paraId="18649ECF">
      <w:pPr>
        <w:pStyle w:val="17"/>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项目占地范围外的农用地各监测点的</w:t>
      </w:r>
      <w:r>
        <w:rPr>
          <w:rFonts w:hint="default" w:ascii="Times New Roman" w:hAnsi="Times New Roman" w:cs="Times New Roman"/>
          <w:color w:val="auto"/>
          <w:sz w:val="24"/>
          <w:szCs w:val="24"/>
          <w:highlight w:val="none"/>
        </w:rPr>
        <w:t>各监测因子均低于《土壤环境质量  农用地土壤污染风险管控标准（试行）》（GB15618-2018）筛选值限值标准。</w:t>
      </w:r>
    </w:p>
    <w:p w14:paraId="29854FB3">
      <w:pPr>
        <w:pStyle w:val="17"/>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本项目评价范围内土壤环境质量状况良好。</w:t>
      </w:r>
    </w:p>
    <w:p w14:paraId="5F2B61F1">
      <w:pPr>
        <w:pStyle w:val="6"/>
        <w:bidi w:val="0"/>
        <w:rPr>
          <w:rFonts w:hint="default" w:ascii="Times New Roman" w:hAnsi="Times New Roman" w:cs="Times New Roman"/>
        </w:rPr>
      </w:pPr>
      <w:bookmarkStart w:id="389" w:name="_Toc580"/>
      <w:r>
        <w:rPr>
          <w:rFonts w:hint="default" w:ascii="Times New Roman" w:hAnsi="Times New Roman" w:cs="Times New Roman"/>
          <w:lang w:val="en-US" w:eastAsia="zh-CN"/>
        </w:rPr>
        <w:t>4</w:t>
      </w:r>
      <w:r>
        <w:rPr>
          <w:rFonts w:hint="default" w:ascii="Times New Roman" w:hAnsi="Times New Roman" w:cs="Times New Roman"/>
        </w:rPr>
        <w:t>.2.6生态环境现状调查及评价</w:t>
      </w:r>
      <w:bookmarkEnd w:id="388"/>
      <w:bookmarkEnd w:id="389"/>
    </w:p>
    <w:p w14:paraId="6B25E45D">
      <w:pPr>
        <w:spacing w:line="360" w:lineRule="auto"/>
        <w:ind w:firstLine="490"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、调查范围、调查时间、调查方法</w:t>
      </w:r>
    </w:p>
    <w:p w14:paraId="2FD05A8E">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本次调查范围为项目占地范围内及占地范围外0.2 km范围。</w:t>
      </w:r>
    </w:p>
    <w:p w14:paraId="14354E1D">
      <w:pPr>
        <w:widowControl/>
        <w:adjustRightInd w:val="0"/>
        <w:snapToGrid w:val="0"/>
        <w:spacing w:line="360" w:lineRule="auto"/>
        <w:ind w:firstLine="49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本评价调查方法采用资料收集法和现场校验法，根据《新平鲁电矿业有限公司自走铁矿80万t/a地下采矿工程改扩建项目</w:t>
      </w:r>
      <w:r>
        <w:rPr>
          <w:rFonts w:hint="default" w:ascii="Times New Roman" w:hAnsi="Times New Roman" w:cs="Times New Roman"/>
          <w:color w:val="auto"/>
          <w:sz w:val="24"/>
          <w:szCs w:val="24"/>
          <w:lang w:val="en-US" w:eastAsia="zh-CN"/>
        </w:rPr>
        <w:t>环境影响报告书</w:t>
      </w:r>
      <w:r>
        <w:rPr>
          <w:rFonts w:hint="default" w:ascii="Times New Roman" w:hAnsi="Times New Roman" w:cs="Times New Roman"/>
          <w:color w:val="auto"/>
          <w:sz w:val="24"/>
          <w:szCs w:val="24"/>
        </w:rPr>
        <w:t>》中</w:t>
      </w:r>
      <w:bookmarkStart w:id="390" w:name="_Hlk182578913"/>
      <w:r>
        <w:rPr>
          <w:rFonts w:hint="default" w:ascii="Times New Roman" w:hAnsi="Times New Roman" w:cs="Times New Roman"/>
          <w:color w:val="auto"/>
          <w:sz w:val="24"/>
        </w:rPr>
        <w:t>2023年10月12日～14日</w:t>
      </w:r>
      <w:bookmarkEnd w:id="390"/>
      <w:bookmarkStart w:id="391" w:name="_Hlk182578928"/>
      <w:r>
        <w:rPr>
          <w:rFonts w:hint="default" w:ascii="Times New Roman" w:hAnsi="Times New Roman" w:cs="Times New Roman"/>
          <w:color w:val="auto"/>
          <w:sz w:val="24"/>
          <w:lang w:val="en-US" w:eastAsia="zh-CN"/>
        </w:rPr>
        <w:t>及</w:t>
      </w:r>
      <w:r>
        <w:rPr>
          <w:rFonts w:hint="default" w:ascii="Times New Roman" w:hAnsi="Times New Roman" w:cs="Times New Roman"/>
          <w:color w:val="auto"/>
          <w:sz w:val="24"/>
        </w:rPr>
        <w:t>2024年5月15日～18日</w:t>
      </w:r>
      <w:bookmarkEnd w:id="391"/>
      <w:r>
        <w:rPr>
          <w:rFonts w:hint="default" w:ascii="Times New Roman" w:hAnsi="Times New Roman" w:cs="Times New Roman"/>
          <w:color w:val="auto"/>
          <w:sz w:val="24"/>
          <w:szCs w:val="24"/>
        </w:rPr>
        <w:t>对项目区域生态现状调查资料，对照已有的资料进行现场校验。</w:t>
      </w:r>
    </w:p>
    <w:p w14:paraId="6B9E2F63">
      <w:pPr>
        <w:spacing w:line="360" w:lineRule="auto"/>
        <w:ind w:firstLine="49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本次生态现场校验时间为202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月25日。</w:t>
      </w:r>
    </w:p>
    <w:p w14:paraId="213DE8E7">
      <w:pPr>
        <w:spacing w:line="360" w:lineRule="auto"/>
        <w:ind w:firstLine="49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、植被现状调查</w:t>
      </w:r>
    </w:p>
    <w:p w14:paraId="5B12ECED">
      <w:pPr>
        <w:spacing w:line="360" w:lineRule="auto"/>
        <w:ind w:firstLine="490" w:firstLineChars="200"/>
        <w:rPr>
          <w:rFonts w:hint="default" w:ascii="Times New Roman" w:hAnsi="Times New Roman" w:cs="Times New Roman" w:eastAsiaTheme="minorEastAsia"/>
          <w:color w:val="auto"/>
          <w:sz w:val="24"/>
          <w:szCs w:val="24"/>
        </w:rPr>
      </w:pPr>
      <w:bookmarkStart w:id="392" w:name="_Hlk162370362"/>
      <w:r>
        <w:rPr>
          <w:rFonts w:hint="default" w:ascii="Times New Roman" w:hAnsi="Times New Roman" w:cs="Times New Roman" w:eastAsiaTheme="minorEastAsia"/>
          <w:color w:val="auto"/>
          <w:sz w:val="24"/>
          <w:szCs w:val="24"/>
        </w:rPr>
        <w:t>项目</w:t>
      </w:r>
      <w:r>
        <w:rPr>
          <w:rFonts w:hint="default" w:ascii="Times New Roman" w:hAnsi="Times New Roman" w:cs="Times New Roman" w:eastAsiaTheme="minorEastAsia"/>
          <w:color w:val="auto"/>
          <w:sz w:val="24"/>
          <w:szCs w:val="24"/>
          <w:lang w:val="en-US" w:eastAsia="zh-CN"/>
        </w:rPr>
        <w:t>评价范围</w:t>
      </w:r>
      <w:r>
        <w:rPr>
          <w:rFonts w:hint="default" w:ascii="Times New Roman" w:hAnsi="Times New Roman" w:cs="Times New Roman" w:eastAsiaTheme="minorEastAsia"/>
          <w:color w:val="auto"/>
          <w:sz w:val="24"/>
          <w:szCs w:val="24"/>
        </w:rPr>
        <w:t>内的主要植被类型为</w:t>
      </w:r>
      <w:r>
        <w:rPr>
          <w:rFonts w:hint="default" w:ascii="Times New Roman" w:hAnsi="Times New Roman" w:cs="Times New Roman" w:eastAsiaTheme="minorEastAsia"/>
          <w:color w:val="auto"/>
          <w:sz w:val="24"/>
          <w:szCs w:val="24"/>
          <w:lang w:val="en-US" w:eastAsia="zh-CN"/>
        </w:rPr>
        <w:t>暖性针叶林</w:t>
      </w:r>
      <w:r>
        <w:rPr>
          <w:rFonts w:hint="default" w:ascii="Times New Roman" w:hAnsi="Times New Roman" w:cs="Times New Roman" w:eastAsiaTheme="minorEastAsia"/>
          <w:color w:val="auto"/>
          <w:sz w:val="24"/>
          <w:szCs w:val="24"/>
        </w:rPr>
        <w:t>和干热性稀疏灌木草丛，</w:t>
      </w:r>
      <w:bookmarkEnd w:id="392"/>
      <w:r>
        <w:rPr>
          <w:rFonts w:hint="default" w:ascii="Times New Roman" w:hAnsi="Times New Roman" w:cs="Times New Roman" w:eastAsiaTheme="minorEastAsia"/>
          <w:color w:val="auto"/>
          <w:sz w:val="24"/>
          <w:szCs w:val="24"/>
        </w:rPr>
        <w:t>其主要特征如下：</w:t>
      </w:r>
    </w:p>
    <w:p w14:paraId="5CB46B50">
      <w:pPr>
        <w:spacing w:line="360" w:lineRule="auto"/>
        <w:ind w:firstLine="49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①自然植被</w:t>
      </w:r>
      <w:bookmarkStart w:id="393" w:name="_Hlk162370336"/>
    </w:p>
    <w:bookmarkEnd w:id="393"/>
    <w:p w14:paraId="7AE2BEC1">
      <w:pPr>
        <w:spacing w:line="360" w:lineRule="auto"/>
        <w:ind w:firstLine="49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项目区人为活动较频繁，原生的季风常绿阔叶林经多次破坏后即形成了以云南松（Pinus yunnanensis）为单一优势树种的云南松林。云南松林群落结构简单，一般分三层，即乔木层、灌木层、草本层。乔木层以云南松为单一优势树种，乔木层盖度在50%—70%。灌木层亦不发达，灌木层中以虾子花（Woodfordia fruticosa）、山合欢（Albizia kalkora）、余甘子（Phyllanthus emblica）等为主。草本层有白茅（Imperata cylindica）、扭黄茅（Heteropogon contortus）、紫茎泽兰（Ageratina adenophora）等。</w:t>
      </w:r>
    </w:p>
    <w:p w14:paraId="5A28FBDA">
      <w:pPr>
        <w:spacing w:line="360" w:lineRule="auto"/>
        <w:ind w:firstLine="49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C</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干热性稀树灌木草丛在项目区所在区域西南季风受山脉屏障，在背风面形成雨影区和地形的焚风效应，加之峡谷地貌的封闭性，促成干热谷风，形成了谷底特殊的“干热”气候。又由于坡地陡峻，土壤易受冲刷，土层浅薄，有机质含量小，表土多砾石，促成这个地带的植被长期保持为稀树灌木草丛。在此气候、地形条件下的自然植被以喜热耐旱类型的干热稀树灌木草丛为主。</w:t>
      </w:r>
    </w:p>
    <w:p w14:paraId="480D731C">
      <w:pPr>
        <w:spacing w:line="360" w:lineRule="auto"/>
        <w:ind w:firstLine="49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评价范围</w:t>
      </w:r>
      <w:r>
        <w:rPr>
          <w:rFonts w:hint="default" w:ascii="Times New Roman" w:hAnsi="Times New Roman" w:cs="Times New Roman" w:eastAsiaTheme="minorEastAsia"/>
          <w:color w:val="auto"/>
          <w:sz w:val="24"/>
          <w:szCs w:val="24"/>
        </w:rPr>
        <w:t>内存在的干热稀树灌木草丛为木棉━虾子花━黄茅群落。群落中乔木稀疏，乔木层高度一般在3—7 m，乔木覆盖度仅10％左右。乔木层常见的树种有：木棉（Bombax malabarica）、毛叶黄杞（Engelhardtia colebrookiana）、火绳树（Eriolaena malvacea）、毛枝青冈（Cyclobalanopsis helferiana）等。灌丛分散、丛生，一般高1～2m，混生在草丛之间，灌木层主要树种有余甘子，黑心树（Cassia siamea）、野漆（Toxic odendron succedcmeum）、虾子花（Woodfordia fruticosa）、灯台树（Alstonia pachycarpa）、清香木（Pistacia weinmannifolia）等。草本植物有黄茅（Heteropogan contortus）、飞机草（Eupatorium odoratum）、云南葛藤（Pueraia peduncularis）等。这些类型的植物，从河谷底一直分至海拔1000m以下的山坡地段。</w:t>
      </w:r>
    </w:p>
    <w:p w14:paraId="06BE8DD5">
      <w:pPr>
        <w:spacing w:line="360" w:lineRule="auto"/>
        <w:ind w:firstLine="49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②</w:t>
      </w:r>
      <w:r>
        <w:rPr>
          <w:rFonts w:hint="default" w:ascii="Times New Roman" w:hAnsi="Times New Roman" w:cs="Times New Roman" w:eastAsiaTheme="minorEastAsia"/>
          <w:color w:val="auto"/>
          <w:sz w:val="24"/>
          <w:szCs w:val="24"/>
        </w:rPr>
        <w:t>名树古木</w:t>
      </w:r>
    </w:p>
    <w:p w14:paraId="708F1041">
      <w:pPr>
        <w:spacing w:line="360" w:lineRule="auto"/>
        <w:ind w:firstLine="49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根据云南省林业厅文件云林保护字（1996）第 65 号关于印发云南省古树名木名录的通知和实地走访，在项目区范围内没有</w:t>
      </w:r>
      <w:bookmarkStart w:id="394" w:name="_Hlk162370479"/>
      <w:r>
        <w:rPr>
          <w:rFonts w:hint="default" w:ascii="Times New Roman" w:hAnsi="Times New Roman" w:cs="Times New Roman" w:eastAsiaTheme="minorEastAsia"/>
          <w:color w:val="auto"/>
          <w:sz w:val="24"/>
          <w:szCs w:val="24"/>
        </w:rPr>
        <w:t>古树名木</w:t>
      </w:r>
      <w:bookmarkEnd w:id="394"/>
      <w:r>
        <w:rPr>
          <w:rFonts w:hint="default" w:ascii="Times New Roman" w:hAnsi="Times New Roman" w:cs="Times New Roman" w:eastAsiaTheme="minorEastAsia"/>
          <w:color w:val="auto"/>
          <w:sz w:val="24"/>
          <w:szCs w:val="24"/>
        </w:rPr>
        <w:t>。</w:t>
      </w:r>
    </w:p>
    <w:p w14:paraId="137E417E">
      <w:pPr>
        <w:spacing w:line="360" w:lineRule="auto"/>
        <w:ind w:firstLine="49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评价区范围内不属于风景名胜区和自然保护区，没有需要特殊保护植物、古树名木分布。</w:t>
      </w:r>
    </w:p>
    <w:p w14:paraId="7CB91E5B">
      <w:pPr>
        <w:spacing w:line="360" w:lineRule="auto"/>
        <w:ind w:firstLine="49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、动物资源现状调查</w:t>
      </w:r>
    </w:p>
    <w:p w14:paraId="5AA6F410">
      <w:pPr>
        <w:spacing w:line="360" w:lineRule="auto"/>
        <w:ind w:firstLine="49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经询问当地居民和现场调查，以及查阅新平县动物分布的相关资料，项目所在区域主要的</w:t>
      </w:r>
      <w:bookmarkStart w:id="395" w:name="_Hlk162370679"/>
      <w:r>
        <w:rPr>
          <w:rFonts w:hint="default" w:ascii="Times New Roman" w:hAnsi="Times New Roman" w:cs="Times New Roman" w:eastAsiaTheme="minorEastAsia"/>
          <w:color w:val="auto"/>
          <w:sz w:val="24"/>
          <w:szCs w:val="24"/>
        </w:rPr>
        <w:t>陆栖哺乳动物有：棕果蝠（Rousettus leschenaulti）、普通长耳蝠（Plecotus auritus）、赤腹松鼠（Callosciurus erythraeus）、环齿鼠（Rattus sikkimensis）、大竹鼠（Rhizomys sumatrensis）等。</w:t>
      </w:r>
      <w:bookmarkEnd w:id="395"/>
      <w:bookmarkStart w:id="396" w:name="_Hlk162370706"/>
      <w:r>
        <w:rPr>
          <w:rFonts w:hint="default" w:ascii="Times New Roman" w:hAnsi="Times New Roman" w:cs="Times New Roman" w:eastAsiaTheme="minorEastAsia"/>
          <w:color w:val="auto"/>
          <w:sz w:val="24"/>
          <w:szCs w:val="24"/>
        </w:rPr>
        <w:t>陆栖爬行动物有：腹斑腹链蛇（Amphiesma modesta）、竹叶青云南亚种（Trimeresurus stejnegeri yunnanensis）等。项目区内的两栖动物有：宽头短腿蟾（Brachytarsophrys carinensis）、掌突蟾（Leptolalax pelodytoides）、黑眶蟾蜍（Bufo melanostictus）、华西雨蛙（Hyla annectans）、棘胸蛙（Paa spinosa）等。项目区内主要鸟类有：点斑林鸽（Columba hodgsonii）、山斑鸠指名亚种（Streptopelia orientalis orientalis）、小杜鹃指名亚种（Cuculus poliocephalus poliocephalus）、褐鸦雀（Paradoxornis unicolor）。</w:t>
      </w:r>
    </w:p>
    <w:p w14:paraId="439380F1">
      <w:pPr>
        <w:spacing w:line="360" w:lineRule="auto"/>
        <w:ind w:firstLine="49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项目</w:t>
      </w:r>
      <w:r>
        <w:rPr>
          <w:rFonts w:hint="default" w:ascii="Times New Roman" w:hAnsi="Times New Roman" w:cs="Times New Roman" w:eastAsiaTheme="minorEastAsia"/>
          <w:bCs/>
          <w:color w:val="auto"/>
          <w:sz w:val="24"/>
          <w:szCs w:val="24"/>
          <w:lang w:val="en-US" w:eastAsia="zh-CN"/>
        </w:rPr>
        <w:t>评价范围</w:t>
      </w:r>
      <w:r>
        <w:rPr>
          <w:rFonts w:hint="default" w:ascii="Times New Roman" w:hAnsi="Times New Roman" w:cs="Times New Roman" w:eastAsiaTheme="minorEastAsia"/>
          <w:bCs/>
          <w:color w:val="auto"/>
          <w:sz w:val="24"/>
          <w:szCs w:val="24"/>
        </w:rPr>
        <w:t>无列入国家和省级重点保护、珍稀濒危、当地特有的野生动物，</w:t>
      </w:r>
      <w:r>
        <w:rPr>
          <w:rFonts w:hint="default" w:ascii="Times New Roman" w:hAnsi="Times New Roman" w:cs="Times New Roman" w:eastAsiaTheme="minorEastAsia"/>
          <w:bCs/>
          <w:color w:val="auto"/>
          <w:sz w:val="24"/>
          <w:szCs w:val="24"/>
          <w:lang w:eastAsia="zh-CN"/>
        </w:rPr>
        <w:t>也不</w:t>
      </w:r>
      <w:r>
        <w:rPr>
          <w:rFonts w:hint="default" w:ascii="Times New Roman" w:hAnsi="Times New Roman" w:cs="Times New Roman" w:eastAsiaTheme="minorEastAsia"/>
          <w:bCs/>
          <w:color w:val="auto"/>
          <w:sz w:val="24"/>
          <w:szCs w:val="24"/>
        </w:rPr>
        <w:t>涉及重点保护动物的重要生境。</w:t>
      </w:r>
    </w:p>
    <w:bookmarkEnd w:id="396"/>
    <w:p w14:paraId="0FB7ABE2">
      <w:pPr>
        <w:spacing w:line="360" w:lineRule="auto"/>
        <w:ind w:firstLine="551" w:firstLineChars="225"/>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、土地利用现状</w:t>
      </w:r>
    </w:p>
    <w:p w14:paraId="075A963F">
      <w:pPr>
        <w:spacing w:line="360" w:lineRule="auto"/>
        <w:ind w:firstLine="551" w:firstLineChars="225"/>
        <w:rPr>
          <w:rFonts w:hint="default" w:ascii="Times New Roman" w:hAnsi="Times New Roman" w:eastAsia="宋体" w:cs="Times New Roman"/>
          <w:color w:val="auto"/>
          <w:lang w:eastAsia="zh-CN"/>
        </w:rPr>
      </w:pPr>
      <w:r>
        <w:rPr>
          <w:rFonts w:hint="default" w:ascii="Times New Roman" w:hAnsi="Times New Roman" w:cs="Times New Roman" w:eastAsiaTheme="minorEastAsia"/>
          <w:bCs/>
          <w:color w:val="auto"/>
          <w:szCs w:val="24"/>
          <w:lang w:val="en-US" w:eastAsia="zh-CN"/>
        </w:rPr>
        <w:t>项目区</w:t>
      </w:r>
      <w:r>
        <w:rPr>
          <w:rFonts w:hint="default" w:ascii="Times New Roman" w:hAnsi="Times New Roman" w:cs="Times New Roman" w:eastAsiaTheme="minorEastAsia"/>
          <w:bCs/>
          <w:color w:val="auto"/>
          <w:szCs w:val="24"/>
        </w:rPr>
        <w:t>土地利用现状</w:t>
      </w:r>
      <w:r>
        <w:rPr>
          <w:rFonts w:hint="default" w:ascii="Times New Roman" w:hAnsi="Times New Roman" w:cs="Times New Roman" w:eastAsiaTheme="minorEastAsia"/>
          <w:bCs/>
          <w:color w:val="auto"/>
          <w:szCs w:val="24"/>
          <w:lang w:val="en-US" w:eastAsia="zh-CN"/>
        </w:rPr>
        <w:t>为采矿用地</w:t>
      </w:r>
      <w:r>
        <w:rPr>
          <w:rFonts w:hint="default" w:ascii="Times New Roman" w:hAnsi="Times New Roman" w:cs="Times New Roman" w:eastAsiaTheme="minorEastAsia"/>
          <w:bCs/>
          <w:color w:val="auto"/>
          <w:szCs w:val="24"/>
        </w:rPr>
        <w:t>，在评价区内</w:t>
      </w:r>
      <w:r>
        <w:rPr>
          <w:rFonts w:hint="default" w:ascii="Times New Roman" w:hAnsi="Times New Roman" w:cs="Times New Roman" w:eastAsiaTheme="minorEastAsia"/>
          <w:bCs/>
          <w:color w:val="auto"/>
          <w:szCs w:val="24"/>
          <w:lang w:val="en-US" w:eastAsia="zh-CN"/>
        </w:rPr>
        <w:t>有</w:t>
      </w:r>
      <w:r>
        <w:rPr>
          <w:rFonts w:hint="default" w:ascii="Times New Roman" w:hAnsi="Times New Roman" w:cs="Times New Roman"/>
          <w:color w:val="auto"/>
          <w:spacing w:val="4"/>
          <w:sz w:val="24"/>
        </w:rPr>
        <w:t>乔木林地、采矿用地、</w:t>
      </w:r>
      <w:r>
        <w:rPr>
          <w:rFonts w:hint="default" w:ascii="Times New Roman" w:hAnsi="Times New Roman" w:cs="Times New Roman"/>
          <w:color w:val="auto"/>
          <w:spacing w:val="4"/>
          <w:sz w:val="24"/>
          <w:lang w:val="en-US" w:eastAsia="zh-CN"/>
        </w:rPr>
        <w:t>其他草地、</w:t>
      </w:r>
      <w:r>
        <w:rPr>
          <w:rFonts w:hint="default" w:ascii="Times New Roman" w:hAnsi="Times New Roman" w:cs="Times New Roman"/>
          <w:color w:val="auto"/>
          <w:spacing w:val="4"/>
          <w:sz w:val="24"/>
        </w:rPr>
        <w:t>交通运输用地</w:t>
      </w:r>
      <w:r>
        <w:rPr>
          <w:rFonts w:hint="default" w:ascii="Times New Roman" w:hAnsi="Times New Roman" w:cs="Times New Roman"/>
          <w:color w:val="auto"/>
          <w:spacing w:val="4"/>
          <w:sz w:val="24"/>
          <w:lang w:eastAsia="zh-CN"/>
        </w:rPr>
        <w:t>、</w:t>
      </w:r>
      <w:r>
        <w:rPr>
          <w:rFonts w:hint="default" w:ascii="Times New Roman" w:hAnsi="Times New Roman" w:cs="Times New Roman"/>
          <w:color w:val="auto"/>
          <w:spacing w:val="4"/>
          <w:sz w:val="24"/>
          <w:lang w:val="en-US" w:eastAsia="zh-CN"/>
        </w:rPr>
        <w:t>裸岩地</w:t>
      </w:r>
      <w:r>
        <w:rPr>
          <w:rFonts w:hint="default" w:ascii="Times New Roman" w:hAnsi="Times New Roman" w:cs="Times New Roman"/>
          <w:color w:val="auto"/>
          <w:spacing w:val="4"/>
          <w:sz w:val="24"/>
          <w:lang w:eastAsia="zh-CN"/>
        </w:rPr>
        <w:t>。</w:t>
      </w:r>
    </w:p>
    <w:p w14:paraId="29870338">
      <w:pPr>
        <w:tabs>
          <w:tab w:val="center" w:pos="4465"/>
          <w:tab w:val="right" w:pos="7832"/>
        </w:tabs>
        <w:adjustRightInd w:val="0"/>
        <w:snapToGrid w:val="0"/>
        <w:spacing w:line="360" w:lineRule="auto"/>
        <w:ind w:firstLine="482"/>
        <w:jc w:val="center"/>
        <w:rPr>
          <w:rFonts w:hint="default" w:ascii="Times New Roman" w:hAnsi="Times New Roman" w:eastAsia="黑体" w:cs="Times New Roman"/>
          <w:b w:val="0"/>
          <w:bCs/>
          <w:color w:val="auto"/>
          <w:sz w:val="21"/>
          <w:szCs w:val="21"/>
          <w:vertAlign w:val="superscript"/>
        </w:rPr>
      </w:pPr>
      <w:r>
        <w:rPr>
          <w:rFonts w:hint="default" w:ascii="Times New Roman" w:hAnsi="Times New Roman" w:eastAsia="黑体" w:cs="Times New Roman"/>
          <w:b w:val="0"/>
          <w:bCs/>
          <w:color w:val="auto"/>
          <w:sz w:val="21"/>
          <w:szCs w:val="21"/>
        </w:rPr>
        <w:t>表</w:t>
      </w:r>
      <w:r>
        <w:rPr>
          <w:rFonts w:hint="default" w:ascii="Times New Roman" w:hAnsi="Times New Roman" w:eastAsia="黑体" w:cs="Times New Roman"/>
          <w:b w:val="0"/>
          <w:bCs/>
          <w:color w:val="auto"/>
          <w:sz w:val="21"/>
          <w:szCs w:val="21"/>
          <w:lang w:val="en-US" w:eastAsia="zh-CN"/>
        </w:rPr>
        <w:t>4.2.6</w:t>
      </w:r>
      <w:r>
        <w:rPr>
          <w:rFonts w:hint="default" w:ascii="Times New Roman" w:hAnsi="Times New Roman" w:eastAsia="黑体" w:cs="Times New Roman"/>
          <w:b w:val="0"/>
          <w:bCs/>
          <w:color w:val="auto"/>
          <w:sz w:val="21"/>
          <w:szCs w:val="21"/>
        </w:rPr>
        <w:t>-1  评价区土地利用及面积统计表</w:t>
      </w:r>
    </w:p>
    <w:tbl>
      <w:tblPr>
        <w:tblStyle w:val="29"/>
        <w:tblW w:w="4997" w:type="pct"/>
        <w:tblInd w:w="0" w:type="dxa"/>
        <w:tblBorders>
          <w:top w:val="single" w:color="000000" w:sz="12" w:space="0"/>
          <w:left w:val="single" w:color="000000" w:sz="12"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32"/>
        <w:gridCol w:w="2765"/>
        <w:gridCol w:w="2350"/>
        <w:gridCol w:w="2250"/>
      </w:tblGrid>
      <w:tr w14:paraId="42961B18">
        <w:tblPrEx>
          <w:tblBorders>
            <w:top w:val="single" w:color="000000" w:sz="12" w:space="0"/>
            <w:left w:val="single" w:color="000000" w:sz="12"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52" w:type="pct"/>
            <w:vMerge w:val="restart"/>
            <w:tcBorders>
              <w:top w:val="single" w:color="000000" w:sz="2" w:space="0"/>
              <w:left w:val="nil"/>
              <w:bottom w:val="single" w:color="000000" w:sz="2" w:space="0"/>
              <w:right w:val="single" w:color="000000" w:sz="2" w:space="0"/>
            </w:tcBorders>
            <w:noWrap w:val="0"/>
            <w:tcMar>
              <w:top w:w="15" w:type="dxa"/>
              <w:left w:w="15" w:type="dxa"/>
              <w:right w:w="15" w:type="dxa"/>
            </w:tcMar>
            <w:vAlign w:val="center"/>
          </w:tcPr>
          <w:p w14:paraId="0B33D9E9">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序号</w:t>
            </w:r>
          </w:p>
        </w:tc>
        <w:tc>
          <w:tcPr>
            <w:tcW w:w="1519" w:type="pct"/>
            <w:vMerge w:val="restart"/>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0A926200">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名称</w:t>
            </w:r>
          </w:p>
        </w:tc>
        <w:tc>
          <w:tcPr>
            <w:tcW w:w="1291" w:type="pct"/>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23714391">
            <w:pPr>
              <w:widowControl/>
              <w:adjustRightInd w:val="0"/>
              <w:snapToGrid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kern w:val="0"/>
                <w:sz w:val="18"/>
                <w:szCs w:val="18"/>
                <w:lang w:val="en-US" w:eastAsia="zh-CN" w:bidi="ar"/>
              </w:rPr>
              <w:t>项目占地范围内</w:t>
            </w:r>
          </w:p>
        </w:tc>
        <w:tc>
          <w:tcPr>
            <w:tcW w:w="1236" w:type="pct"/>
            <w:tcBorders>
              <w:top w:val="single" w:color="000000" w:sz="2" w:space="0"/>
              <w:left w:val="single" w:color="000000" w:sz="2" w:space="0"/>
              <w:bottom w:val="single" w:color="000000" w:sz="2" w:space="0"/>
            </w:tcBorders>
            <w:noWrap w:val="0"/>
            <w:tcMar>
              <w:top w:w="15" w:type="dxa"/>
              <w:left w:w="15" w:type="dxa"/>
              <w:right w:w="15" w:type="dxa"/>
            </w:tcMar>
            <w:vAlign w:val="center"/>
          </w:tcPr>
          <w:p w14:paraId="2ED94A36">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生态评价范围内</w:t>
            </w:r>
          </w:p>
        </w:tc>
      </w:tr>
      <w:tr w14:paraId="07F5EC4B">
        <w:tblPrEx>
          <w:tblBorders>
            <w:top w:val="single" w:color="000000" w:sz="12" w:space="0"/>
            <w:left w:val="single" w:color="000000" w:sz="12"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52" w:type="pct"/>
            <w:vMerge w:val="continue"/>
            <w:tcBorders>
              <w:top w:val="single" w:color="000000" w:sz="2" w:space="0"/>
              <w:left w:val="nil"/>
              <w:bottom w:val="single" w:color="000000" w:sz="2" w:space="0"/>
              <w:right w:val="single" w:color="000000" w:sz="2" w:space="0"/>
            </w:tcBorders>
            <w:noWrap w:val="0"/>
            <w:tcMar>
              <w:top w:w="15" w:type="dxa"/>
              <w:left w:w="15" w:type="dxa"/>
              <w:right w:w="15" w:type="dxa"/>
            </w:tcMar>
            <w:vAlign w:val="center"/>
          </w:tcPr>
          <w:p w14:paraId="216C4509">
            <w:pPr>
              <w:adjustRightInd w:val="0"/>
              <w:snapToGrid w:val="0"/>
              <w:jc w:val="center"/>
              <w:rPr>
                <w:rFonts w:hint="default" w:ascii="Times New Roman" w:hAnsi="Times New Roman" w:cs="Times New Roman"/>
                <w:color w:val="auto"/>
                <w:sz w:val="18"/>
                <w:szCs w:val="18"/>
              </w:rPr>
            </w:pPr>
          </w:p>
        </w:tc>
        <w:tc>
          <w:tcPr>
            <w:tcW w:w="1519" w:type="pct"/>
            <w:vMerge w:val="continue"/>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5D678186">
            <w:pPr>
              <w:adjustRightInd w:val="0"/>
              <w:snapToGrid w:val="0"/>
              <w:jc w:val="center"/>
              <w:rPr>
                <w:rFonts w:hint="default" w:ascii="Times New Roman" w:hAnsi="Times New Roman" w:cs="Times New Roman"/>
                <w:color w:val="auto"/>
                <w:sz w:val="18"/>
                <w:szCs w:val="18"/>
              </w:rPr>
            </w:pPr>
          </w:p>
        </w:tc>
        <w:tc>
          <w:tcPr>
            <w:tcW w:w="1291" w:type="pct"/>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035988D9">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面积（hm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w:t>
            </w:r>
          </w:p>
        </w:tc>
        <w:tc>
          <w:tcPr>
            <w:tcW w:w="1236" w:type="pct"/>
            <w:tcBorders>
              <w:top w:val="single" w:color="000000" w:sz="2" w:space="0"/>
              <w:left w:val="single" w:color="000000" w:sz="2" w:space="0"/>
              <w:bottom w:val="single" w:color="000000" w:sz="2" w:space="0"/>
            </w:tcBorders>
            <w:noWrap w:val="0"/>
            <w:tcMar>
              <w:top w:w="15" w:type="dxa"/>
              <w:left w:w="15" w:type="dxa"/>
              <w:right w:w="15" w:type="dxa"/>
            </w:tcMar>
            <w:vAlign w:val="center"/>
          </w:tcPr>
          <w:p w14:paraId="143DB07E">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面积（hm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w:t>
            </w:r>
          </w:p>
        </w:tc>
      </w:tr>
      <w:tr w14:paraId="33088A4D">
        <w:tblPrEx>
          <w:tblBorders>
            <w:top w:val="single" w:color="000000" w:sz="12" w:space="0"/>
            <w:left w:val="single" w:color="000000" w:sz="12"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52" w:type="pct"/>
            <w:tcBorders>
              <w:top w:val="single" w:color="000000" w:sz="2" w:space="0"/>
              <w:left w:val="nil"/>
              <w:bottom w:val="single" w:color="000000" w:sz="2" w:space="0"/>
              <w:right w:val="single" w:color="000000" w:sz="2" w:space="0"/>
            </w:tcBorders>
            <w:noWrap w:val="0"/>
            <w:tcMar>
              <w:top w:w="15" w:type="dxa"/>
              <w:left w:w="15" w:type="dxa"/>
              <w:right w:w="15" w:type="dxa"/>
            </w:tcMar>
            <w:vAlign w:val="center"/>
          </w:tcPr>
          <w:p w14:paraId="5697C7C8">
            <w:pPr>
              <w:widowControl/>
              <w:adjustRightInd w:val="0"/>
              <w:snapToGrid w:val="0"/>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cs="Times New Roman"/>
                <w:color w:val="auto"/>
                <w:kern w:val="0"/>
                <w:sz w:val="18"/>
                <w:szCs w:val="18"/>
                <w:lang w:val="en-US" w:eastAsia="zh-CN" w:bidi="ar"/>
              </w:rPr>
              <w:t>1</w:t>
            </w:r>
          </w:p>
        </w:tc>
        <w:tc>
          <w:tcPr>
            <w:tcW w:w="1519" w:type="pct"/>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723344BE">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采矿用地</w:t>
            </w:r>
          </w:p>
        </w:tc>
        <w:tc>
          <w:tcPr>
            <w:tcW w:w="1291" w:type="pct"/>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6F4C4ECA">
            <w:pPr>
              <w:widowControl/>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0.3</w:t>
            </w:r>
          </w:p>
        </w:tc>
        <w:tc>
          <w:tcPr>
            <w:tcW w:w="1236" w:type="pct"/>
            <w:tcBorders>
              <w:top w:val="single" w:color="000000" w:sz="2" w:space="0"/>
              <w:left w:val="single" w:color="000000" w:sz="2" w:space="0"/>
              <w:bottom w:val="single" w:color="000000" w:sz="2" w:space="0"/>
            </w:tcBorders>
            <w:noWrap w:val="0"/>
            <w:tcMar>
              <w:top w:w="15" w:type="dxa"/>
              <w:left w:w="15" w:type="dxa"/>
              <w:right w:w="15" w:type="dxa"/>
            </w:tcMar>
            <w:vAlign w:val="center"/>
          </w:tcPr>
          <w:p w14:paraId="4EFA0FF1">
            <w:pPr>
              <w:widowControl/>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14.6</w:t>
            </w:r>
          </w:p>
        </w:tc>
      </w:tr>
      <w:tr w14:paraId="14F6D6F5">
        <w:tblPrEx>
          <w:tblBorders>
            <w:top w:val="single" w:color="000000" w:sz="12" w:space="0"/>
            <w:left w:val="single" w:color="000000" w:sz="12"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52" w:type="pct"/>
            <w:tcBorders>
              <w:top w:val="single" w:color="000000" w:sz="2" w:space="0"/>
              <w:left w:val="nil"/>
              <w:bottom w:val="single" w:color="000000" w:sz="2" w:space="0"/>
              <w:right w:val="single" w:color="000000" w:sz="2" w:space="0"/>
            </w:tcBorders>
            <w:noWrap w:val="0"/>
            <w:tcMar>
              <w:top w:w="15" w:type="dxa"/>
              <w:left w:w="15" w:type="dxa"/>
              <w:right w:w="15" w:type="dxa"/>
            </w:tcMar>
            <w:vAlign w:val="center"/>
          </w:tcPr>
          <w:p w14:paraId="292EA212">
            <w:pPr>
              <w:widowControl/>
              <w:adjustRightInd w:val="0"/>
              <w:snapToGrid w:val="0"/>
              <w:jc w:val="center"/>
              <w:textAlignment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kern w:val="0"/>
                <w:sz w:val="18"/>
                <w:szCs w:val="18"/>
                <w:lang w:val="en-US" w:eastAsia="zh-CN" w:bidi="ar"/>
              </w:rPr>
              <w:t>2</w:t>
            </w:r>
          </w:p>
        </w:tc>
        <w:tc>
          <w:tcPr>
            <w:tcW w:w="1519" w:type="pct"/>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55E57CDC">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乔木林地</w:t>
            </w:r>
          </w:p>
        </w:tc>
        <w:tc>
          <w:tcPr>
            <w:tcW w:w="1291" w:type="pct"/>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0FC7C920">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w:t>
            </w:r>
          </w:p>
        </w:tc>
        <w:tc>
          <w:tcPr>
            <w:tcW w:w="1236" w:type="pct"/>
            <w:tcBorders>
              <w:top w:val="single" w:color="000000" w:sz="2" w:space="0"/>
              <w:left w:val="single" w:color="000000" w:sz="2" w:space="0"/>
              <w:bottom w:val="single" w:color="000000" w:sz="2" w:space="0"/>
            </w:tcBorders>
            <w:noWrap w:val="0"/>
            <w:tcMar>
              <w:top w:w="15" w:type="dxa"/>
              <w:left w:w="15" w:type="dxa"/>
              <w:right w:w="15" w:type="dxa"/>
            </w:tcMar>
            <w:vAlign w:val="center"/>
          </w:tcPr>
          <w:p w14:paraId="1C1607B1">
            <w:pPr>
              <w:widowControl/>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4.8</w:t>
            </w:r>
          </w:p>
        </w:tc>
      </w:tr>
      <w:tr w14:paraId="02AC2955">
        <w:tblPrEx>
          <w:tblBorders>
            <w:top w:val="single" w:color="000000" w:sz="12" w:space="0"/>
            <w:left w:val="single" w:color="000000" w:sz="12"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952" w:type="pct"/>
            <w:tcBorders>
              <w:top w:val="single" w:color="000000" w:sz="2" w:space="0"/>
              <w:left w:val="nil"/>
              <w:bottom w:val="single" w:color="000000" w:sz="2" w:space="0"/>
              <w:right w:val="single" w:color="000000" w:sz="2" w:space="0"/>
            </w:tcBorders>
            <w:noWrap w:val="0"/>
            <w:tcMar>
              <w:top w:w="15" w:type="dxa"/>
              <w:left w:w="15" w:type="dxa"/>
              <w:right w:w="15" w:type="dxa"/>
            </w:tcMar>
            <w:vAlign w:val="center"/>
          </w:tcPr>
          <w:p w14:paraId="64A1AC43">
            <w:pPr>
              <w:widowControl/>
              <w:adjustRightInd w:val="0"/>
              <w:snapToGrid w:val="0"/>
              <w:jc w:val="center"/>
              <w:textAlignment w:val="center"/>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3</w:t>
            </w:r>
          </w:p>
        </w:tc>
        <w:tc>
          <w:tcPr>
            <w:tcW w:w="1519" w:type="pct"/>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1F43810F">
            <w:pPr>
              <w:widowControl/>
              <w:adjustRightInd w:val="0"/>
              <w:snapToGrid w:val="0"/>
              <w:jc w:val="center"/>
              <w:textAlignment w:val="center"/>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其他草地</w:t>
            </w:r>
          </w:p>
        </w:tc>
        <w:tc>
          <w:tcPr>
            <w:tcW w:w="1291" w:type="pct"/>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47783F19">
            <w:pPr>
              <w:widowControl/>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0</w:t>
            </w:r>
          </w:p>
        </w:tc>
        <w:tc>
          <w:tcPr>
            <w:tcW w:w="1236" w:type="pct"/>
            <w:tcBorders>
              <w:top w:val="single" w:color="000000" w:sz="2" w:space="0"/>
              <w:left w:val="single" w:color="000000" w:sz="2" w:space="0"/>
              <w:bottom w:val="single" w:color="000000" w:sz="2" w:space="0"/>
            </w:tcBorders>
            <w:noWrap w:val="0"/>
            <w:tcMar>
              <w:top w:w="15" w:type="dxa"/>
              <w:left w:w="15" w:type="dxa"/>
              <w:right w:w="15" w:type="dxa"/>
            </w:tcMar>
            <w:vAlign w:val="center"/>
          </w:tcPr>
          <w:p w14:paraId="5D5B17C4">
            <w:pPr>
              <w:widowControl/>
              <w:adjustRightInd w:val="0"/>
              <w:snapToGrid w:val="0"/>
              <w:jc w:val="center"/>
              <w:textAlignment w:val="center"/>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1.5</w:t>
            </w:r>
          </w:p>
        </w:tc>
      </w:tr>
      <w:tr w14:paraId="5D3E61DB">
        <w:tblPrEx>
          <w:tblBorders>
            <w:top w:val="single" w:color="000000" w:sz="12" w:space="0"/>
            <w:left w:val="single" w:color="000000" w:sz="12"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952" w:type="pct"/>
            <w:tcBorders>
              <w:top w:val="single" w:color="000000" w:sz="2" w:space="0"/>
              <w:left w:val="nil"/>
              <w:bottom w:val="single" w:color="000000" w:sz="2" w:space="0"/>
              <w:right w:val="single" w:color="000000" w:sz="2" w:space="0"/>
            </w:tcBorders>
            <w:noWrap w:val="0"/>
            <w:tcMar>
              <w:top w:w="15" w:type="dxa"/>
              <w:left w:w="15" w:type="dxa"/>
              <w:right w:w="15" w:type="dxa"/>
            </w:tcMar>
            <w:vAlign w:val="center"/>
          </w:tcPr>
          <w:p w14:paraId="19FE14F0">
            <w:pPr>
              <w:widowControl/>
              <w:adjustRightInd w:val="0"/>
              <w:snapToGrid w:val="0"/>
              <w:jc w:val="center"/>
              <w:textAlignment w:val="center"/>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4</w:t>
            </w:r>
          </w:p>
        </w:tc>
        <w:tc>
          <w:tcPr>
            <w:tcW w:w="1519" w:type="pct"/>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1E9F8417">
            <w:pPr>
              <w:widowControl/>
              <w:adjustRightInd w:val="0"/>
              <w:snapToGrid w:val="0"/>
              <w:jc w:val="center"/>
              <w:textAlignment w:val="center"/>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spacing w:val="4"/>
                <w:sz w:val="18"/>
                <w:szCs w:val="18"/>
                <w:lang w:val="en-US" w:eastAsia="zh-CN"/>
              </w:rPr>
              <w:t>裸岩地</w:t>
            </w:r>
          </w:p>
        </w:tc>
        <w:tc>
          <w:tcPr>
            <w:tcW w:w="1291" w:type="pct"/>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3372F694">
            <w:pPr>
              <w:widowControl/>
              <w:adjustRightInd w:val="0"/>
              <w:snapToGrid w:val="0"/>
              <w:jc w:val="center"/>
              <w:textAlignment w:val="center"/>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0</w:t>
            </w:r>
          </w:p>
        </w:tc>
        <w:tc>
          <w:tcPr>
            <w:tcW w:w="1236" w:type="pct"/>
            <w:tcBorders>
              <w:top w:val="single" w:color="000000" w:sz="2" w:space="0"/>
              <w:left w:val="single" w:color="000000" w:sz="2" w:space="0"/>
              <w:bottom w:val="single" w:color="000000" w:sz="2" w:space="0"/>
            </w:tcBorders>
            <w:noWrap w:val="0"/>
            <w:tcMar>
              <w:top w:w="15" w:type="dxa"/>
              <w:left w:w="15" w:type="dxa"/>
              <w:right w:w="15" w:type="dxa"/>
            </w:tcMar>
            <w:vAlign w:val="center"/>
          </w:tcPr>
          <w:p w14:paraId="6E4A6A03">
            <w:pPr>
              <w:widowControl/>
              <w:adjustRightInd w:val="0"/>
              <w:snapToGrid w:val="0"/>
              <w:jc w:val="center"/>
              <w:textAlignment w:val="center"/>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0.45</w:t>
            </w:r>
          </w:p>
        </w:tc>
      </w:tr>
      <w:tr w14:paraId="497E71A6">
        <w:tblPrEx>
          <w:tblBorders>
            <w:top w:val="single" w:color="000000" w:sz="12" w:space="0"/>
            <w:left w:val="single" w:color="000000" w:sz="12"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52" w:type="pct"/>
            <w:tcBorders>
              <w:top w:val="single" w:color="000000" w:sz="2" w:space="0"/>
              <w:left w:val="nil"/>
              <w:bottom w:val="single" w:color="000000" w:sz="2" w:space="0"/>
              <w:right w:val="single" w:color="000000" w:sz="2" w:space="0"/>
            </w:tcBorders>
            <w:noWrap w:val="0"/>
            <w:tcMar>
              <w:top w:w="15" w:type="dxa"/>
              <w:left w:w="15" w:type="dxa"/>
              <w:right w:w="15" w:type="dxa"/>
            </w:tcMar>
            <w:vAlign w:val="center"/>
          </w:tcPr>
          <w:p w14:paraId="3FD3FEE1">
            <w:pPr>
              <w:widowControl/>
              <w:adjustRightInd w:val="0"/>
              <w:snapToGrid w:val="0"/>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cs="Times New Roman"/>
                <w:color w:val="auto"/>
                <w:kern w:val="0"/>
                <w:sz w:val="18"/>
                <w:szCs w:val="18"/>
                <w:lang w:val="en-US" w:eastAsia="zh-CN" w:bidi="ar"/>
              </w:rPr>
              <w:t>5</w:t>
            </w:r>
          </w:p>
        </w:tc>
        <w:tc>
          <w:tcPr>
            <w:tcW w:w="1519" w:type="pct"/>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72E118C4">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交通运输用地</w:t>
            </w:r>
          </w:p>
        </w:tc>
        <w:tc>
          <w:tcPr>
            <w:tcW w:w="1291" w:type="pct"/>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2692DA28">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w:t>
            </w:r>
          </w:p>
        </w:tc>
        <w:tc>
          <w:tcPr>
            <w:tcW w:w="1236" w:type="pct"/>
            <w:tcBorders>
              <w:top w:val="single" w:color="000000" w:sz="2" w:space="0"/>
              <w:left w:val="single" w:color="000000" w:sz="2" w:space="0"/>
              <w:bottom w:val="single" w:color="000000" w:sz="2" w:space="0"/>
            </w:tcBorders>
            <w:noWrap w:val="0"/>
            <w:tcMar>
              <w:top w:w="15" w:type="dxa"/>
              <w:left w:w="15" w:type="dxa"/>
              <w:right w:w="15" w:type="dxa"/>
            </w:tcMar>
            <w:vAlign w:val="center"/>
          </w:tcPr>
          <w:p w14:paraId="08FA93E1">
            <w:pPr>
              <w:widowControl/>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0.5</w:t>
            </w:r>
          </w:p>
        </w:tc>
      </w:tr>
      <w:tr w14:paraId="13667A06">
        <w:tblPrEx>
          <w:tblBorders>
            <w:top w:val="single" w:color="000000" w:sz="12" w:space="0"/>
            <w:left w:val="single" w:color="000000" w:sz="12"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71" w:type="pct"/>
            <w:gridSpan w:val="2"/>
            <w:tcBorders>
              <w:top w:val="single" w:color="000000" w:sz="2" w:space="0"/>
              <w:left w:val="nil"/>
              <w:bottom w:val="single" w:color="000000" w:sz="2" w:space="0"/>
              <w:right w:val="single" w:color="000000" w:sz="2" w:space="0"/>
            </w:tcBorders>
            <w:noWrap w:val="0"/>
            <w:tcMar>
              <w:top w:w="15" w:type="dxa"/>
              <w:left w:w="15" w:type="dxa"/>
              <w:right w:w="15" w:type="dxa"/>
            </w:tcMar>
            <w:vAlign w:val="center"/>
          </w:tcPr>
          <w:p w14:paraId="4AB3EB0E">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合计</w:t>
            </w:r>
          </w:p>
        </w:tc>
        <w:tc>
          <w:tcPr>
            <w:tcW w:w="1291" w:type="pct"/>
            <w:tcBorders>
              <w:top w:val="single" w:color="000000" w:sz="2" w:space="0"/>
              <w:left w:val="single" w:color="000000" w:sz="2" w:space="0"/>
              <w:bottom w:val="single" w:color="000000" w:sz="2" w:space="0"/>
              <w:right w:val="single" w:color="000000" w:sz="2" w:space="0"/>
            </w:tcBorders>
            <w:noWrap w:val="0"/>
            <w:tcMar>
              <w:top w:w="15" w:type="dxa"/>
              <w:left w:w="15" w:type="dxa"/>
              <w:right w:w="15" w:type="dxa"/>
            </w:tcMar>
            <w:vAlign w:val="center"/>
          </w:tcPr>
          <w:p w14:paraId="1DB86CEF">
            <w:pPr>
              <w:widowControl/>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0.3</w:t>
            </w:r>
          </w:p>
        </w:tc>
        <w:tc>
          <w:tcPr>
            <w:tcW w:w="1236" w:type="pct"/>
            <w:tcBorders>
              <w:top w:val="single" w:color="000000" w:sz="2" w:space="0"/>
              <w:left w:val="single" w:color="000000" w:sz="2" w:space="0"/>
              <w:bottom w:val="single" w:color="000000" w:sz="2" w:space="0"/>
            </w:tcBorders>
            <w:noWrap w:val="0"/>
            <w:tcMar>
              <w:top w:w="15" w:type="dxa"/>
              <w:left w:w="15" w:type="dxa"/>
              <w:right w:w="15" w:type="dxa"/>
            </w:tcMar>
            <w:vAlign w:val="center"/>
          </w:tcPr>
          <w:p w14:paraId="2ED6F61A">
            <w:pPr>
              <w:widowControl/>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21.85</w:t>
            </w:r>
          </w:p>
        </w:tc>
      </w:tr>
    </w:tbl>
    <w:p w14:paraId="5FB1129A">
      <w:pP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br w:type="page"/>
      </w:r>
    </w:p>
    <w:p w14:paraId="19E4CC07">
      <w:pPr>
        <w:spacing w:line="360" w:lineRule="auto"/>
        <w:ind w:firstLine="49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、生态环境现状评价</w:t>
      </w:r>
    </w:p>
    <w:p w14:paraId="199A8152">
      <w:pPr>
        <w:bidi w:val="0"/>
        <w:spacing w:line="360" w:lineRule="auto"/>
        <w:ind w:firstLine="490" w:firstLineChars="200"/>
        <w:rPr>
          <w:rFonts w:hint="default" w:ascii="Times New Roman" w:hAnsi="Times New Roman" w:cs="Times New Roman"/>
          <w:sz w:val="24"/>
          <w:szCs w:val="24"/>
        </w:rPr>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AndChars" w:linePitch="336" w:charSpace="1062"/>
        </w:sectPr>
      </w:pPr>
      <w:r>
        <w:rPr>
          <w:rFonts w:hint="default" w:ascii="Times New Roman" w:hAnsi="Times New Roman" w:cs="Times New Roman"/>
          <w:color w:val="auto"/>
          <w:sz w:val="24"/>
          <w:szCs w:val="24"/>
        </w:rPr>
        <w:t>根据现场调查，评价区自然</w:t>
      </w:r>
      <w:r>
        <w:rPr>
          <w:rFonts w:hint="default" w:ascii="Times New Roman" w:hAnsi="Times New Roman" w:cs="Times New Roman"/>
          <w:sz w:val="24"/>
          <w:szCs w:val="24"/>
        </w:rPr>
        <w:t>植被主要类型为</w:t>
      </w:r>
      <w:r>
        <w:rPr>
          <w:rFonts w:hint="default" w:ascii="Times New Roman" w:hAnsi="Times New Roman" w:cs="Times New Roman"/>
          <w:sz w:val="24"/>
          <w:szCs w:val="24"/>
          <w:lang w:val="en-US" w:eastAsia="zh-CN"/>
        </w:rPr>
        <w:t>暖性针叶林</w:t>
      </w:r>
      <w:r>
        <w:rPr>
          <w:rFonts w:hint="default" w:ascii="Times New Roman" w:hAnsi="Times New Roman" w:cs="Times New Roman"/>
          <w:sz w:val="24"/>
          <w:szCs w:val="24"/>
        </w:rPr>
        <w:t>、干热性稀疏灌木草丛；多为滇中地区和山地常见的物种；项目区域无列入国家和省级重点保护、珍稀濒危、当地特有的野生动物，</w:t>
      </w:r>
      <w:r>
        <w:rPr>
          <w:rFonts w:hint="default" w:ascii="Times New Roman" w:hAnsi="Times New Roman" w:cs="Times New Roman"/>
          <w:sz w:val="24"/>
          <w:szCs w:val="24"/>
          <w:lang w:eastAsia="zh-CN"/>
        </w:rPr>
        <w:t>也不</w:t>
      </w:r>
      <w:r>
        <w:rPr>
          <w:rFonts w:hint="default" w:ascii="Times New Roman" w:hAnsi="Times New Roman" w:cs="Times New Roman"/>
          <w:sz w:val="24"/>
          <w:szCs w:val="24"/>
        </w:rPr>
        <w:t>涉及重点保护动物的重要生境。</w:t>
      </w:r>
    </w:p>
    <w:p w14:paraId="6BFD01F8">
      <w:pPr>
        <w:pStyle w:val="4"/>
        <w:bidi w:val="0"/>
        <w:rPr>
          <w:rFonts w:hint="default" w:ascii="Times New Roman" w:hAnsi="Times New Roman" w:cs="Times New Roman"/>
        </w:rPr>
      </w:pPr>
      <w:bookmarkStart w:id="397" w:name="_Toc11717"/>
      <w:bookmarkStart w:id="398" w:name="_Toc165816771"/>
      <w:bookmarkStart w:id="399" w:name="_Toc22841"/>
      <w:bookmarkStart w:id="400" w:name="_Toc16329"/>
      <w:bookmarkStart w:id="401" w:name="_Toc701"/>
      <w:bookmarkStart w:id="402" w:name="_Toc1824"/>
      <w:r>
        <w:rPr>
          <w:rFonts w:hint="default" w:ascii="Times New Roman" w:hAnsi="Times New Roman" w:cs="Times New Roman"/>
          <w:lang w:val="en-US" w:eastAsia="zh-CN"/>
        </w:rPr>
        <w:t>5</w:t>
      </w:r>
      <w:r>
        <w:rPr>
          <w:rFonts w:hint="default" w:ascii="Times New Roman" w:hAnsi="Times New Roman" w:cs="Times New Roman"/>
        </w:rPr>
        <w:t>环境影响预测与评价</w:t>
      </w:r>
      <w:bookmarkEnd w:id="397"/>
      <w:bookmarkEnd w:id="398"/>
      <w:bookmarkEnd w:id="399"/>
      <w:bookmarkEnd w:id="400"/>
      <w:bookmarkEnd w:id="401"/>
      <w:bookmarkEnd w:id="402"/>
    </w:p>
    <w:p w14:paraId="15E1D687">
      <w:pPr>
        <w:pStyle w:val="5"/>
        <w:bidi w:val="0"/>
        <w:rPr>
          <w:rFonts w:hint="default" w:ascii="Times New Roman" w:hAnsi="Times New Roman" w:cs="Times New Roman"/>
        </w:rPr>
      </w:pPr>
      <w:bookmarkStart w:id="403" w:name="_Toc4215"/>
      <w:bookmarkStart w:id="404" w:name="_Toc17447"/>
      <w:bookmarkStart w:id="405" w:name="_Toc6387"/>
      <w:bookmarkStart w:id="406" w:name="_Toc165816772"/>
      <w:bookmarkStart w:id="407" w:name="_Toc2402"/>
      <w:bookmarkStart w:id="408" w:name="_Toc27936"/>
      <w:r>
        <w:rPr>
          <w:rFonts w:hint="default" w:ascii="Times New Roman" w:hAnsi="Times New Roman" w:cs="Times New Roman"/>
          <w:lang w:val="en-US" w:eastAsia="zh-CN"/>
        </w:rPr>
        <w:t>5</w:t>
      </w:r>
      <w:r>
        <w:rPr>
          <w:rFonts w:hint="default" w:ascii="Times New Roman" w:hAnsi="Times New Roman" w:cs="Times New Roman"/>
        </w:rPr>
        <w:t>.1施工期环境影响预测与评价</w:t>
      </w:r>
      <w:bookmarkEnd w:id="403"/>
      <w:bookmarkEnd w:id="404"/>
      <w:bookmarkEnd w:id="405"/>
      <w:bookmarkEnd w:id="406"/>
      <w:bookmarkEnd w:id="407"/>
      <w:bookmarkEnd w:id="408"/>
    </w:p>
    <w:p w14:paraId="3E7918E3">
      <w:pPr>
        <w:pStyle w:val="6"/>
        <w:bidi w:val="0"/>
        <w:rPr>
          <w:rFonts w:hint="default" w:ascii="Times New Roman" w:hAnsi="Times New Roman" w:cs="Times New Roman"/>
        </w:rPr>
      </w:pPr>
      <w:bookmarkStart w:id="409" w:name="_Toc165816773"/>
      <w:bookmarkStart w:id="410" w:name="_Toc299"/>
      <w:r>
        <w:rPr>
          <w:rFonts w:hint="default" w:ascii="Times New Roman" w:hAnsi="Times New Roman" w:cs="Times New Roman"/>
          <w:lang w:val="en-US" w:eastAsia="zh-CN"/>
        </w:rPr>
        <w:t>5.1.1</w:t>
      </w:r>
      <w:r>
        <w:rPr>
          <w:rFonts w:hint="default" w:ascii="Times New Roman" w:hAnsi="Times New Roman" w:cs="Times New Roman"/>
        </w:rPr>
        <w:t>施工期回顾性评价</w:t>
      </w:r>
    </w:p>
    <w:p w14:paraId="51204424">
      <w:pPr>
        <w:spacing w:line="360" w:lineRule="auto"/>
        <w:ind w:firstLine="49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eastAsiaTheme="minorEastAsia"/>
          <w:color w:val="auto"/>
          <w:lang w:val="en-US" w:eastAsia="zh-CN"/>
        </w:rPr>
        <w:t>通过现场勘察</w:t>
      </w:r>
      <w:r>
        <w:rPr>
          <w:rFonts w:hint="default" w:ascii="Times New Roman" w:hAnsi="Times New Roman" w:cs="Times New Roman" w:eastAsiaTheme="minorEastAsia"/>
          <w:color w:val="auto"/>
        </w:rPr>
        <w:t>，项目生产设备已经建设完成</w:t>
      </w:r>
      <w:r>
        <w:rPr>
          <w:rFonts w:hint="default" w:ascii="Times New Roman" w:hAnsi="Times New Roman" w:eastAsia="宋体" w:cs="Times New Roman"/>
          <w:color w:val="auto"/>
          <w:sz w:val="24"/>
          <w:szCs w:val="24"/>
        </w:rPr>
        <w:t>。现对项目施工期进行回顾性评价</w:t>
      </w:r>
      <w:r>
        <w:rPr>
          <w:rFonts w:hint="default" w:ascii="Times New Roman" w:hAnsi="Times New Roman" w:eastAsia="宋体" w:cs="Times New Roman"/>
          <w:color w:val="auto"/>
          <w:sz w:val="24"/>
          <w:szCs w:val="24"/>
          <w:lang w:eastAsia="zh-CN"/>
        </w:rPr>
        <w:t>。</w:t>
      </w:r>
    </w:p>
    <w:p w14:paraId="1086C797">
      <w:pPr>
        <w:pStyle w:val="7"/>
        <w:bidi w:val="0"/>
        <w:rPr>
          <w:rFonts w:hint="default" w:ascii="Times New Roman" w:hAnsi="Times New Roman" w:cs="Times New Roman"/>
          <w:lang w:val="en-US" w:eastAsia="zh-CN"/>
        </w:rPr>
      </w:pPr>
      <w:r>
        <w:rPr>
          <w:rFonts w:hint="default" w:ascii="Times New Roman" w:hAnsi="Times New Roman" w:cs="Times New Roman"/>
          <w:lang w:val="en-US" w:eastAsia="zh-CN"/>
        </w:rPr>
        <w:t>5.1.1.1施工期大气环境影响和保护措施</w:t>
      </w:r>
    </w:p>
    <w:p w14:paraId="5D282D12">
      <w:pPr>
        <w:spacing w:line="360" w:lineRule="auto"/>
        <w:ind w:firstLine="49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w:t>
      </w:r>
      <w:r>
        <w:rPr>
          <w:rFonts w:hint="default" w:ascii="Times New Roman" w:hAnsi="Times New Roman" w:eastAsia="宋体" w:cs="Times New Roman"/>
          <w:bCs/>
          <w:color w:val="auto"/>
          <w:sz w:val="24"/>
          <w:szCs w:val="24"/>
        </w:rPr>
        <w:t>施工期扬尘主要来自土方开挖及物料运输</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根据建设单位所述，</w:t>
      </w:r>
      <w:r>
        <w:rPr>
          <w:rFonts w:hint="default" w:ascii="Times New Roman" w:hAnsi="Times New Roman" w:eastAsia="宋体" w:cs="Times New Roman"/>
          <w:color w:val="auto"/>
          <w:sz w:val="24"/>
          <w:szCs w:val="24"/>
        </w:rPr>
        <w:t>针对施工扬尘，</w:t>
      </w:r>
      <w:r>
        <w:rPr>
          <w:rFonts w:hint="default" w:ascii="Times New Roman" w:hAnsi="Times New Roman" w:eastAsia="宋体" w:cs="Times New Roman"/>
          <w:color w:val="auto"/>
          <w:sz w:val="24"/>
          <w:szCs w:val="24"/>
          <w:lang w:val="en-US" w:eastAsia="zh-CN"/>
        </w:rPr>
        <w:t>施工单位在施工期</w:t>
      </w:r>
      <w:r>
        <w:rPr>
          <w:rFonts w:hint="default" w:ascii="Times New Roman" w:hAnsi="Times New Roman" w:eastAsia="宋体" w:cs="Times New Roman"/>
          <w:color w:val="auto"/>
          <w:sz w:val="24"/>
          <w:szCs w:val="24"/>
        </w:rPr>
        <w:t>采取的大气污染防治措施如下：a.施工场地每天定期洒水，以有效防止扬尘产生；b.运输车辆进入施工场地限速行驶，采用封闭车斗，车斗用</w:t>
      </w:r>
      <w:r>
        <w:rPr>
          <w:rFonts w:hint="default" w:ascii="Times New Roman" w:hAnsi="Times New Roman" w:cs="Times New Roman"/>
          <w:color w:val="auto"/>
          <w:sz w:val="24"/>
          <w:szCs w:val="24"/>
          <w:lang w:eastAsia="zh-CN"/>
        </w:rPr>
        <w:t>篷布</w:t>
      </w:r>
      <w:r>
        <w:rPr>
          <w:rFonts w:hint="default" w:ascii="Times New Roman" w:hAnsi="Times New Roman" w:eastAsia="宋体" w:cs="Times New Roman"/>
          <w:color w:val="auto"/>
          <w:sz w:val="24"/>
          <w:szCs w:val="24"/>
        </w:rPr>
        <w:t>遮盖严实，</w:t>
      </w:r>
      <w:r>
        <w:rPr>
          <w:rFonts w:hint="default" w:ascii="Times New Roman" w:hAnsi="Times New Roman" w:eastAsia="宋体" w:cs="Times New Roman"/>
          <w:color w:val="auto"/>
          <w:sz w:val="24"/>
          <w:szCs w:val="24"/>
          <w:lang w:val="en-US" w:eastAsia="zh-CN"/>
        </w:rPr>
        <w:t>有效</w:t>
      </w:r>
      <w:r>
        <w:rPr>
          <w:rFonts w:hint="default" w:ascii="Times New Roman" w:hAnsi="Times New Roman" w:eastAsia="宋体" w:cs="Times New Roman"/>
          <w:color w:val="auto"/>
          <w:sz w:val="24"/>
          <w:szCs w:val="24"/>
        </w:rPr>
        <w:t>减少</w:t>
      </w:r>
      <w:r>
        <w:rPr>
          <w:rFonts w:hint="default" w:ascii="Times New Roman" w:hAnsi="Times New Roman" w:eastAsia="宋体" w:cs="Times New Roman"/>
          <w:color w:val="auto"/>
          <w:sz w:val="24"/>
          <w:szCs w:val="24"/>
          <w:lang w:val="en-US" w:eastAsia="zh-CN"/>
        </w:rPr>
        <w:t>了</w:t>
      </w:r>
      <w:r>
        <w:rPr>
          <w:rFonts w:hint="default" w:ascii="Times New Roman" w:hAnsi="Times New Roman" w:eastAsia="宋体" w:cs="Times New Roman"/>
          <w:color w:val="auto"/>
          <w:sz w:val="24"/>
          <w:szCs w:val="24"/>
        </w:rPr>
        <w:t>扬尘产生量。</w:t>
      </w:r>
      <w:r>
        <w:rPr>
          <w:rFonts w:hint="default" w:ascii="Times New Roman" w:hAnsi="Times New Roman" w:eastAsia="宋体" w:cs="Times New Roman"/>
          <w:color w:val="auto"/>
          <w:sz w:val="24"/>
          <w:szCs w:val="24"/>
          <w:lang w:val="en-US" w:eastAsia="zh-CN"/>
        </w:rPr>
        <w:t>在采取上述措施情况下，环评分析，</w:t>
      </w:r>
      <w:r>
        <w:rPr>
          <w:rFonts w:hint="default" w:ascii="Times New Roman" w:hAnsi="Times New Roman" w:eastAsia="宋体" w:cs="Times New Roman"/>
          <w:color w:val="auto"/>
          <w:sz w:val="24"/>
          <w:szCs w:val="24"/>
        </w:rPr>
        <w:t>施工扬尘对周边环境敏感点影响</w:t>
      </w:r>
      <w:r>
        <w:rPr>
          <w:rFonts w:hint="default" w:ascii="Times New Roman" w:hAnsi="Times New Roman" w:eastAsia="宋体" w:cs="Times New Roman"/>
          <w:color w:val="auto"/>
          <w:sz w:val="24"/>
          <w:szCs w:val="24"/>
          <w:lang w:val="en-US" w:eastAsia="zh-CN"/>
        </w:rPr>
        <w:t>极</w:t>
      </w:r>
      <w:r>
        <w:rPr>
          <w:rFonts w:hint="default" w:ascii="Times New Roman" w:hAnsi="Times New Roman" w:eastAsia="宋体" w:cs="Times New Roman"/>
          <w:color w:val="auto"/>
          <w:sz w:val="24"/>
          <w:szCs w:val="24"/>
        </w:rPr>
        <w:t>低</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且</w:t>
      </w:r>
      <w:r>
        <w:rPr>
          <w:rFonts w:hint="default" w:ascii="Times New Roman" w:hAnsi="Times New Roman" w:eastAsia="宋体" w:cs="Times New Roman"/>
          <w:color w:val="auto"/>
          <w:sz w:val="24"/>
          <w:szCs w:val="24"/>
        </w:rPr>
        <w:t>施工期产生的扬尘污染是短期的，随着施工活动的结束，施工扬尘对环境空气的影响随之结束。</w:t>
      </w:r>
    </w:p>
    <w:p w14:paraId="71C90575">
      <w:pPr>
        <w:pStyle w:val="7"/>
        <w:bidi w:val="0"/>
        <w:rPr>
          <w:rFonts w:hint="default" w:ascii="Times New Roman" w:hAnsi="Times New Roman" w:cs="Times New Roman"/>
        </w:rPr>
      </w:pPr>
      <w:r>
        <w:rPr>
          <w:rFonts w:hint="default" w:ascii="Times New Roman" w:hAnsi="Times New Roman" w:cs="Times New Roman"/>
          <w:lang w:val="en-US" w:eastAsia="zh-CN"/>
        </w:rPr>
        <w:t>5.1.1.2</w:t>
      </w:r>
      <w:r>
        <w:rPr>
          <w:rFonts w:hint="default" w:ascii="Times New Roman" w:hAnsi="Times New Roman" w:cs="Times New Roman"/>
        </w:rPr>
        <w:t>施工期废水环境影响和保护措施</w:t>
      </w:r>
    </w:p>
    <w:p w14:paraId="0A7BD18D">
      <w:pPr>
        <w:spacing w:line="360" w:lineRule="auto"/>
        <w:ind w:firstLine="49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项目施工期间产生的废水主要为施工废水及施工人员生活污水。</w:t>
      </w:r>
    </w:p>
    <w:p w14:paraId="6680604B">
      <w:pPr>
        <w:spacing w:line="360" w:lineRule="auto"/>
        <w:ind w:firstLine="49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根据建设单位所述，项目施工期施工废水设置1个5m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沉淀池沉淀后回用于洒水降尘。施工期人员利用矿山旱厕，洗手废水通过5m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沉淀池沉淀后回用于洒水降尘。对周围环境影响较小。经调查核实，施工期间无相关环保投诉。</w:t>
      </w:r>
    </w:p>
    <w:p w14:paraId="58D5B5B2">
      <w:pPr>
        <w:pStyle w:val="7"/>
        <w:bidi w:val="0"/>
        <w:rPr>
          <w:rFonts w:hint="default" w:ascii="Times New Roman" w:hAnsi="Times New Roman" w:cs="Times New Roman"/>
        </w:rPr>
      </w:pPr>
      <w:r>
        <w:rPr>
          <w:rFonts w:hint="default" w:ascii="Times New Roman" w:hAnsi="Times New Roman" w:cs="Times New Roman"/>
          <w:lang w:val="en-US" w:eastAsia="zh-CN"/>
        </w:rPr>
        <w:t>5.1.1.3</w:t>
      </w:r>
      <w:r>
        <w:rPr>
          <w:rFonts w:hint="default" w:ascii="Times New Roman" w:hAnsi="Times New Roman" w:cs="Times New Roman"/>
        </w:rPr>
        <w:t>施工期噪声环境影响和保护措施</w:t>
      </w:r>
    </w:p>
    <w:p w14:paraId="24258685">
      <w:pPr>
        <w:pStyle w:val="74"/>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w:t>
      </w:r>
      <w:r>
        <w:rPr>
          <w:rFonts w:hint="default" w:ascii="Times New Roman" w:hAnsi="Times New Roman" w:eastAsia="宋体" w:cs="Times New Roman"/>
          <w:color w:val="auto"/>
          <w:sz w:val="24"/>
          <w:szCs w:val="24"/>
        </w:rPr>
        <w:t>使用的设备主要有挖掘机、装载机、电钻、手工钻、运输车辆等，源强80~</w:t>
      </w:r>
      <w:r>
        <w:rPr>
          <w:rFonts w:hint="default"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rPr>
        <w:t>dB（A）。这些设备在施工时将对施工区附近的声环境造成一定影响。施工在白天进行，夜间不施工，项目周边无声环境敏感点，项目施工对声环境噪声影响较小。</w:t>
      </w:r>
      <w:r>
        <w:rPr>
          <w:rFonts w:hint="default" w:ascii="Times New Roman" w:hAnsi="Times New Roman" w:eastAsia="宋体" w:cs="Times New Roman"/>
          <w:color w:val="auto"/>
          <w:sz w:val="24"/>
          <w:szCs w:val="24"/>
          <w:lang w:val="en-US" w:eastAsia="zh-CN"/>
        </w:rPr>
        <w:t>经调查核实，施工期间无相关环保投诉。</w:t>
      </w:r>
    </w:p>
    <w:p w14:paraId="3E9CFEA7">
      <w:pPr>
        <w:pStyle w:val="7"/>
        <w:bidi w:val="0"/>
        <w:rPr>
          <w:rFonts w:hint="default" w:ascii="Times New Roman" w:hAnsi="Times New Roman" w:cs="Times New Roman"/>
        </w:rPr>
      </w:pPr>
      <w:r>
        <w:rPr>
          <w:rFonts w:hint="default" w:ascii="Times New Roman" w:hAnsi="Times New Roman" w:cs="Times New Roman"/>
          <w:lang w:val="en-US" w:eastAsia="zh-CN"/>
        </w:rPr>
        <w:t>5.1.1.4</w:t>
      </w:r>
      <w:r>
        <w:rPr>
          <w:rFonts w:hint="default" w:ascii="Times New Roman" w:hAnsi="Times New Roman" w:cs="Times New Roman"/>
        </w:rPr>
        <w:t>施工期固废环境影响和保护措施</w:t>
      </w:r>
    </w:p>
    <w:p w14:paraId="7281D459">
      <w:pPr>
        <w:pStyle w:val="74"/>
        <w:spacing w:line="360" w:lineRule="auto"/>
        <w:ind w:firstLine="480"/>
        <w:rPr>
          <w:rFonts w:hint="default" w:ascii="Times New Roman" w:hAnsi="Times New Roman" w:cs="Times New Roman" w:eastAsiaTheme="minorEastAsia"/>
          <w:bCs/>
          <w:snapToGrid/>
          <w:color w:val="000000" w:themeColor="text1"/>
          <w:kern w:val="2"/>
          <w:sz w:val="24"/>
          <w:szCs w:val="32"/>
          <w:lang w:val="en-US" w:eastAsia="zh-CN" w:bidi="ar-SA"/>
          <w14:textFill>
            <w14:solidFill>
              <w14:schemeClr w14:val="tx1"/>
            </w14:solidFill>
          </w14:textFill>
        </w:rPr>
      </w:pPr>
      <w:r>
        <w:rPr>
          <w:rFonts w:hint="default" w:ascii="Times New Roman" w:hAnsi="Times New Roman" w:eastAsia="宋体" w:cs="Times New Roman"/>
          <w:color w:val="auto"/>
          <w:sz w:val="24"/>
          <w:szCs w:val="24"/>
        </w:rPr>
        <w:t>项目施工期产生的固体废物为施工现场的建筑垃圾、土石方、施工人员生活垃圾等。</w:t>
      </w:r>
      <w:r>
        <w:rPr>
          <w:rFonts w:hint="default" w:ascii="Times New Roman" w:hAnsi="Times New Roman" w:cs="Times New Roman" w:eastAsiaTheme="minorEastAsia"/>
          <w:bCs/>
          <w:snapToGrid/>
          <w:color w:val="auto"/>
          <w:kern w:val="2"/>
          <w:sz w:val="24"/>
          <w:szCs w:val="32"/>
          <w:lang w:val="en-US" w:eastAsia="zh-CN" w:bidi="ar-SA"/>
        </w:rPr>
        <w:t>根据建设单位所述，施工过程中产生土石方用</w:t>
      </w:r>
      <w:r>
        <w:rPr>
          <w:rFonts w:hint="default" w:ascii="Times New Roman" w:hAnsi="Times New Roman" w:cs="Times New Roman" w:eastAsiaTheme="minorEastAsia"/>
          <w:bCs/>
          <w:snapToGrid/>
          <w:color w:val="000000" w:themeColor="text1"/>
          <w:kern w:val="2"/>
          <w:sz w:val="24"/>
          <w:szCs w:val="32"/>
          <w:lang w:val="en-US" w:eastAsia="zh-CN" w:bidi="ar-SA"/>
          <w14:textFill>
            <w14:solidFill>
              <w14:schemeClr w14:val="tx1"/>
            </w14:solidFill>
          </w14:textFill>
        </w:rPr>
        <w:t>于回填，不外排，建筑垃圾经分拣后可回收利用的回收利用，不可回收利用的委托施工单位清运至环卫站处置。施工人员生活垃圾收集后暂存矿山生活垃圾池。经调查核实，施工期间无相关环保投诉。</w:t>
      </w:r>
    </w:p>
    <w:p w14:paraId="3D89A766">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w:t>
      </w:r>
      <w:r>
        <w:rPr>
          <w:rFonts w:hint="default" w:ascii="Times New Roman" w:hAnsi="Times New Roman" w:cs="Times New Roman"/>
        </w:rPr>
        <w:t>.1.</w:t>
      </w:r>
      <w:bookmarkEnd w:id="409"/>
      <w:bookmarkEnd w:id="410"/>
      <w:r>
        <w:rPr>
          <w:rFonts w:hint="default" w:ascii="Times New Roman" w:hAnsi="Times New Roman" w:cs="Times New Roman"/>
          <w:lang w:val="en-US" w:eastAsia="zh-CN"/>
        </w:rPr>
        <w:t>2环评新增措施施工影响分析</w:t>
      </w:r>
    </w:p>
    <w:p w14:paraId="3999C9DA">
      <w:pPr>
        <w:bidi w:val="0"/>
        <w:spacing w:line="360" w:lineRule="auto"/>
        <w:ind w:firstLine="490" w:firstLineChars="200"/>
        <w:rPr>
          <w:rFonts w:hint="default" w:ascii="Times New Roman" w:hAnsi="Times New Roman" w:cs="Times New Roman"/>
          <w:lang w:val="en-US" w:eastAsia="zh-CN"/>
        </w:rPr>
      </w:pPr>
      <w:r>
        <w:rPr>
          <w:rFonts w:hint="default" w:ascii="Times New Roman" w:hAnsi="Times New Roman" w:cs="Times New Roman"/>
        </w:rPr>
        <w:t>环评提出的整改措施</w:t>
      </w:r>
      <w:r>
        <w:rPr>
          <w:rFonts w:hint="default" w:ascii="Times New Roman" w:hAnsi="Times New Roman" w:cs="Times New Roman"/>
          <w:lang w:val="en-US" w:eastAsia="zh-CN"/>
        </w:rPr>
        <w:t>主要为</w:t>
      </w:r>
      <w:r>
        <w:rPr>
          <w:rFonts w:hint="default" w:ascii="Times New Roman" w:hAnsi="Times New Roman" w:cs="Times New Roman"/>
        </w:rPr>
        <w:t>环保设备建设，原料</w:t>
      </w:r>
      <w:r>
        <w:rPr>
          <w:rFonts w:hint="default" w:ascii="Times New Roman" w:hAnsi="Times New Roman" w:cs="Times New Roman"/>
          <w:lang w:val="en-US" w:eastAsia="zh-CN"/>
        </w:rPr>
        <w:t>及成品</w:t>
      </w:r>
      <w:r>
        <w:rPr>
          <w:rFonts w:hint="default" w:ascii="Times New Roman" w:hAnsi="Times New Roman" w:cs="Times New Roman"/>
        </w:rPr>
        <w:t>堆棚建设</w:t>
      </w:r>
      <w:r>
        <w:rPr>
          <w:rFonts w:hint="default" w:ascii="Times New Roman" w:hAnsi="Times New Roman" w:cs="Times New Roman"/>
          <w:lang w:eastAsia="zh-CN"/>
        </w:rPr>
        <w:t>，</w:t>
      </w:r>
      <w:r>
        <w:rPr>
          <w:rFonts w:hint="default" w:ascii="Times New Roman" w:hAnsi="Times New Roman" w:cs="Times New Roman"/>
          <w:lang w:val="en-US" w:eastAsia="zh-CN"/>
        </w:rPr>
        <w:t>地面防渗，初期雨水收集池建设</w:t>
      </w:r>
      <w:r>
        <w:rPr>
          <w:rFonts w:hint="default" w:ascii="Times New Roman" w:hAnsi="Times New Roman" w:cs="Times New Roman"/>
        </w:rPr>
        <w:t>。项目</w:t>
      </w:r>
      <w:r>
        <w:rPr>
          <w:rFonts w:hint="default" w:ascii="Times New Roman" w:hAnsi="Times New Roman" w:cs="Times New Roman"/>
          <w:lang w:val="en-US" w:eastAsia="zh-CN"/>
        </w:rPr>
        <w:t>利用鲁奎山铁矿6号料场空地，</w:t>
      </w:r>
      <w:r>
        <w:rPr>
          <w:rFonts w:hint="default" w:ascii="Times New Roman" w:hAnsi="Times New Roman" w:cs="Times New Roman"/>
        </w:rPr>
        <w:t>不新增占地。施工材料均由汽车运输进入施工现场。施工期主要污染为废气、废水、固废、噪声等。</w:t>
      </w:r>
    </w:p>
    <w:p w14:paraId="2D544127">
      <w:pPr>
        <w:pStyle w:val="7"/>
        <w:bidi w:val="0"/>
        <w:rPr>
          <w:rFonts w:hint="default" w:ascii="Times New Roman" w:hAnsi="Times New Roman" w:cs="Times New Roman"/>
        </w:rPr>
      </w:pPr>
      <w:r>
        <w:rPr>
          <w:rFonts w:hint="default" w:ascii="Times New Roman" w:hAnsi="Times New Roman" w:cs="Times New Roman"/>
          <w:lang w:val="en-US" w:eastAsia="zh-CN"/>
        </w:rPr>
        <w:t>5.1.2.1</w:t>
      </w:r>
      <w:r>
        <w:rPr>
          <w:rFonts w:hint="default" w:ascii="Times New Roman" w:hAnsi="Times New Roman" w:cs="Times New Roman"/>
        </w:rPr>
        <w:t>施工期环境空气影响分析</w:t>
      </w:r>
    </w:p>
    <w:p w14:paraId="404C8C47">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施工期产生大气污染物主要来自</w:t>
      </w:r>
      <w:bookmarkStart w:id="411" w:name="_Hlk162370927"/>
      <w:r>
        <w:rPr>
          <w:rFonts w:hint="default" w:ascii="Times New Roman" w:hAnsi="Times New Roman" w:eastAsia="宋体" w:cs="Times New Roman"/>
          <w:kern w:val="0"/>
          <w:sz w:val="24"/>
          <w:szCs w:val="24"/>
        </w:rPr>
        <w:t>施工扬尘、施工机械燃油烟气、轻钢焊接烟气、运输车辆产生的尾气</w:t>
      </w:r>
      <w:bookmarkEnd w:id="411"/>
      <w:r>
        <w:rPr>
          <w:rFonts w:hint="default" w:ascii="Times New Roman" w:hAnsi="Times New Roman" w:eastAsia="宋体" w:cs="Times New Roman"/>
          <w:kern w:val="0"/>
          <w:sz w:val="24"/>
          <w:szCs w:val="24"/>
        </w:rPr>
        <w:t>，其中以施工扬尘的产生量较大、影响范围也较广。</w:t>
      </w:r>
    </w:p>
    <w:p w14:paraId="37B078C8">
      <w:pPr>
        <w:bidi w:val="0"/>
        <w:spacing w:line="360" w:lineRule="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施工扬尘影响分析</w:t>
      </w:r>
    </w:p>
    <w:p w14:paraId="3AF3165F">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施工过程</w:t>
      </w:r>
      <w:bookmarkStart w:id="412" w:name="_Hlk162370956"/>
      <w:r>
        <w:rPr>
          <w:rFonts w:hint="default" w:ascii="Times New Roman" w:hAnsi="Times New Roman" w:eastAsia="宋体" w:cs="Times New Roman"/>
          <w:kern w:val="0"/>
          <w:sz w:val="24"/>
          <w:szCs w:val="24"/>
        </w:rPr>
        <w:t>建筑材料及土石方的运输、装卸、堆放等形成施工扬尘，</w:t>
      </w:r>
      <w:bookmarkEnd w:id="412"/>
      <w:r>
        <w:rPr>
          <w:rFonts w:hint="default" w:ascii="Times New Roman" w:hAnsi="Times New Roman" w:eastAsia="宋体" w:cs="Times New Roman"/>
          <w:kern w:val="0"/>
          <w:sz w:val="24"/>
          <w:szCs w:val="24"/>
        </w:rPr>
        <w:t>扬尘属无组织排放，使空气中粉尘颗粒物浓度升高，影响施工场地周围的空气环境质量。扬尘量的大小与诸多因素有关，难以界定，本分析采用类比法对空气环境影响进行分析。</w:t>
      </w:r>
    </w:p>
    <w:p w14:paraId="18613825">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施工所产生的粉尘颗粒粒径较大，在无风时其飞扬过程中沉降速度较大，很快就落至地面，影响的范围比较小，仅局限在施工现场及附近。但在有风时，施工场所附近地面空气中的悬浮颗粒物的浓度将比平时高出几倍或几十倍，因而将大大超过GB3095-2012《环境空气质量标准》二级标准的要求，局部区域短时间内甚至将超过二级标准的限值。施工期间产生的粉尘污染主要取决于施工作业方式、材料的堆放及风力等因素，其中受风力因素的影响最大。根据北京市环境科学研究院等单位在市政施工现场的实测资料，在一般气象条件下，平均风速为2.5m/s，建筑工地内TSP浓度为其上风向对照点的2～2.5倍，建筑施工扬尘的影响范围在其下风向可达150m，影响范围内TSP浓度平均值可达0.47mg/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。当施工场地设有</w:t>
      </w:r>
      <w:r>
        <w:rPr>
          <w:rFonts w:hint="default" w:ascii="Times New Roman" w:hAnsi="Times New Roman" w:eastAsia="宋体" w:cs="Times New Roman"/>
          <w:sz w:val="24"/>
          <w:szCs w:val="24"/>
        </w:rPr>
        <w:t>硬质连续</w:t>
      </w:r>
      <w:r>
        <w:rPr>
          <w:rFonts w:hint="default" w:ascii="Times New Roman" w:hAnsi="Times New Roman" w:eastAsia="宋体" w:cs="Times New Roman"/>
          <w:kern w:val="0"/>
          <w:sz w:val="24"/>
          <w:szCs w:val="24"/>
        </w:rPr>
        <w:t>围挡时，同等条件下其影响距离可缩短40%。当风速大于5m/s，施工现场及其下风向部分区域的TSP浓度将超过空气质量标准中的二级标准，而且随着风速的增加，施工扬尘产生的污染程度和超标范围也将随之增强和扩大。</w:t>
      </w:r>
    </w:p>
    <w:p w14:paraId="7E98DCE6">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本项目场址年平均风速为2.</w:t>
      </w:r>
      <w:r>
        <w:rPr>
          <w:rFonts w:hint="default" w:ascii="Times New Roman" w:hAnsi="Times New Roman" w:cs="Times New Roman"/>
          <w:kern w:val="0"/>
          <w:sz w:val="24"/>
          <w:szCs w:val="24"/>
          <w:lang w:val="en-US" w:eastAsia="zh-CN"/>
        </w:rPr>
        <w:t>0</w:t>
      </w:r>
      <w:r>
        <w:rPr>
          <w:rFonts w:hint="default" w:ascii="Times New Roman" w:hAnsi="Times New Roman" w:eastAsia="宋体" w:cs="Times New Roman"/>
          <w:kern w:val="0"/>
          <w:sz w:val="24"/>
          <w:szCs w:val="24"/>
        </w:rPr>
        <w:t>m/s，因此本项目施工现场产生的扬尘影响不会大于供类比的北京市建筑工地。施工期裸露地面较多，运输车辆在场地内行驶时会引起比较严重的扬尘污染。为减小施工扬尘对环境空气的影响，本环评要求建设方在施工时应做到以下几点：</w:t>
      </w:r>
    </w:p>
    <w:p w14:paraId="3CF8439F">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（1）项目施工期严格执行建筑施工场地扬尘污染管控“六个百分百”要求，工程建设施工现场设置</w:t>
      </w:r>
      <w:bookmarkStart w:id="413" w:name="_Hlk162371010"/>
      <w:r>
        <w:rPr>
          <w:rFonts w:hint="default" w:ascii="Times New Roman" w:hAnsi="Times New Roman" w:eastAsia="宋体" w:cs="Times New Roman"/>
          <w:kern w:val="0"/>
          <w:sz w:val="24"/>
          <w:szCs w:val="24"/>
        </w:rPr>
        <w:t>围挡墙、施工围网、防风抑尘网，施工现场道路进行地面硬化。对渣土运输车辆进出施工工地进行清洗，运输过程采取密闭措施，并按照指定路线运输。建筑施工场地设置“三池一设备”，建筑垃圾（含渣土）运输车辆驶离工地进行清洗保洁；运输过程采取密闭措施，达不到外运条件的坚决不予外运。</w:t>
      </w:r>
    </w:p>
    <w:bookmarkEnd w:id="413"/>
    <w:p w14:paraId="1D4E16FC">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防尘污染重在加强管理，施工队伍从招投标到现场作业必须明确环保责任。在施工过程中，建设工程工地周围必须设置不低于2.5米的连续硬质围挡；对施工场地洒水以减少扬尘的飞扬，洒水次数根据天气情况而定，当风速大于3级、夏季晴好的天气应每隔2个小时洒水一次；</w:t>
      </w:r>
    </w:p>
    <w:p w14:paraId="3607E7B3">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（3）粉性材料必须堆放在堆料棚内用帆布或编织布严密封盖，对无包装的料堆要定期洒水使之保持不易被风吹扬的状态；</w:t>
      </w:r>
    </w:p>
    <w:p w14:paraId="4F9F4AD3">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（4）对于48小时内不能完成清运的建筑垃圾、工程土渣等，应当在施工工地内设置临时堆放场，临时堆放场应当采取围挡、遮盖、洒水、喷洒覆盖剂或其他防尘措施；</w:t>
      </w:r>
    </w:p>
    <w:p w14:paraId="6DAD84B5">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（5）主体建筑施工时外面用草席、安全网及防尘帷幕，进行全封闭施工，减少粉尘的传播和飞扬；</w:t>
      </w:r>
    </w:p>
    <w:p w14:paraId="355E00E4">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（6）进出工地的运输车辆减速行驶，施工工地进出口处地面设置草垫、钢板并配备高压水枪冲洗带泥土的汽车轮胎和底盘下方；限制车辆行驶速度以及保持路面的清洁；</w:t>
      </w:r>
    </w:p>
    <w:p w14:paraId="7D5CCFCE">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（7）加强环境管理，合理安排施工进度并尽量缩短工期。</w:t>
      </w:r>
    </w:p>
    <w:p w14:paraId="6C2DE37B">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综上所述，通过采取合理有效的环保措施，可防止和最大限度地减缓扬尘等大气污染物对环境空气质量和周围保护目标的影响。</w:t>
      </w:r>
    </w:p>
    <w:p w14:paraId="71FC7273">
      <w:pPr>
        <w:bidi w:val="0"/>
        <w:spacing w:line="360" w:lineRule="auto"/>
        <w:rPr>
          <w:rFonts w:hint="default" w:ascii="Times New Roman" w:hAnsi="Times New Roman" w:cs="Times New Roman"/>
        </w:rPr>
      </w:pPr>
      <w:bookmarkStart w:id="414" w:name="_Toc450603592"/>
      <w:bookmarkStart w:id="415" w:name="_Toc424738942"/>
      <w:r>
        <w:rPr>
          <w:rFonts w:hint="default" w:ascii="Times New Roman" w:hAnsi="Times New Roman" w:cs="Times New Roman"/>
          <w:lang w:val="en-US" w:eastAsia="zh-CN"/>
        </w:rPr>
        <w:t>2、</w:t>
      </w:r>
      <w:r>
        <w:rPr>
          <w:rFonts w:hint="default" w:ascii="Times New Roman" w:hAnsi="Times New Roman" w:cs="Times New Roman"/>
        </w:rPr>
        <w:t>施工机械、焊接烟气、运输废气的影响分析</w:t>
      </w:r>
      <w:bookmarkEnd w:id="414"/>
      <w:bookmarkEnd w:id="415"/>
    </w:p>
    <w:p w14:paraId="2145C183">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施工机械及各型运输车辆使用汽油、柴油作为能源，在运行时排放的废气是主要的污染源。在主体施工及装修、安装阶段使用的机械一般都是以电为能源，如振捣器、电焊机、电钻、角向磨光机等，一般不会产生废气。</w:t>
      </w:r>
    </w:p>
    <w:p w14:paraId="69A11E5B">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施工机械废气主要是NOx、CO和烃类等，其产生量及废气中污染物浓度视其使用频率及发动机对燃料的燃烧情况而异。施工机械废气属低架点源，无组织排放性质，具有间断性产生、产生量较小、产生点相对分散、易被稀释扩散等特点，加之项目区施工范围相对较大，施工场地周围较空旷，大气扩散条件相对较好，故一般情况下，施工机械所产生污染物在空气中经自然扩散和稀释后，对评价区域的空气环境质量影响不大。</w:t>
      </w:r>
    </w:p>
    <w:p w14:paraId="7CC38CAB">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在施工过程中，原料的运输、建筑垃圾及多余弃土等运输过程中，运输物料的散落，超载等都会影响沿途的路面的整洁。建议优化施工期运输路线，运输车辆进入村庄限速、遮盖篷布、严禁超载以减轻对道路及周边的影响。遇到雨天时，必须保证车辆的车胎及车身的干净整洁，不对道路造成影响。此外项目施工过程中需采取限速行驶及保持路面清洁，同时适当洒水等措施来减少汽车扬尘对环境的影响。</w:t>
      </w:r>
    </w:p>
    <w:p w14:paraId="41D9DB7F">
      <w:pPr>
        <w:autoSpaceDE w:val="0"/>
        <w:autoSpaceDN w:val="0"/>
        <w:adjustRightInd w:val="0"/>
        <w:spacing w:line="360" w:lineRule="auto"/>
        <w:ind w:firstLine="490" w:firstLineChars="200"/>
        <w:rPr>
          <w:rFonts w:hint="default" w:ascii="Times New Roman" w:hAnsi="Times New Roman" w:eastAsia="宋体" w:cs="Times New Roman"/>
          <w:kern w:val="0"/>
          <w:sz w:val="24"/>
          <w:szCs w:val="24"/>
        </w:rPr>
      </w:pPr>
      <w:bookmarkStart w:id="416" w:name="_Hlk162371178"/>
      <w:r>
        <w:rPr>
          <w:rFonts w:hint="default" w:ascii="Times New Roman" w:hAnsi="Times New Roman" w:eastAsia="宋体" w:cs="Times New Roman"/>
          <w:kern w:val="0"/>
          <w:sz w:val="24"/>
          <w:szCs w:val="24"/>
        </w:rPr>
        <w:t>项目设备安装焊接工程量相对较小，</w:t>
      </w:r>
      <w:bookmarkEnd w:id="416"/>
      <w:r>
        <w:rPr>
          <w:rFonts w:hint="default" w:ascii="Times New Roman" w:hAnsi="Times New Roman" w:eastAsia="宋体" w:cs="Times New Roman"/>
          <w:kern w:val="0"/>
          <w:sz w:val="24"/>
          <w:szCs w:val="24"/>
        </w:rPr>
        <w:t>在采用合格的焊条进行焊接，产生的焊接烟尘较小，经自然扩散和稀释后，对评价区域的空气环境质量影响不大。</w:t>
      </w:r>
    </w:p>
    <w:p w14:paraId="60DE0835">
      <w:pPr>
        <w:pStyle w:val="7"/>
        <w:bidi w:val="0"/>
        <w:rPr>
          <w:rFonts w:hint="default" w:ascii="Times New Roman" w:hAnsi="Times New Roman" w:cs="Times New Roman"/>
        </w:rPr>
      </w:pPr>
      <w:bookmarkStart w:id="417" w:name="_Toc19297"/>
      <w:bookmarkStart w:id="418" w:name="_Toc165816774"/>
      <w:r>
        <w:rPr>
          <w:rFonts w:hint="default" w:ascii="Times New Roman" w:hAnsi="Times New Roman" w:cs="Times New Roman"/>
          <w:lang w:val="en-US" w:eastAsia="zh-CN"/>
        </w:rPr>
        <w:t>5</w:t>
      </w:r>
      <w:r>
        <w:rPr>
          <w:rFonts w:hint="default" w:ascii="Times New Roman" w:hAnsi="Times New Roman" w:cs="Times New Roman"/>
        </w:rPr>
        <w:t>.1.2</w:t>
      </w:r>
      <w:r>
        <w:rPr>
          <w:rFonts w:hint="default" w:ascii="Times New Roman" w:hAnsi="Times New Roman" w:cs="Times New Roman"/>
          <w:lang w:val="en-US" w:eastAsia="zh-CN"/>
        </w:rPr>
        <w:t>.2</w:t>
      </w:r>
      <w:r>
        <w:rPr>
          <w:rFonts w:hint="default" w:ascii="Times New Roman" w:hAnsi="Times New Roman" w:cs="Times New Roman"/>
        </w:rPr>
        <w:t>施工期水环境影响分析</w:t>
      </w:r>
      <w:bookmarkEnd w:id="417"/>
      <w:bookmarkEnd w:id="418"/>
    </w:p>
    <w:p w14:paraId="02B789D3">
      <w:pPr>
        <w:spacing w:line="360" w:lineRule="auto"/>
        <w:ind w:firstLine="490" w:firstLineChars="200"/>
        <w:rPr>
          <w:rFonts w:hint="default" w:ascii="Times New Roman" w:hAnsi="Times New Roman" w:eastAsia="宋体" w:cs="Times New Roman"/>
          <w:kern w:val="0"/>
          <w:sz w:val="24"/>
          <w:szCs w:val="24"/>
        </w:rPr>
      </w:pPr>
      <w:bookmarkStart w:id="419" w:name="_Toc450603594"/>
      <w:r>
        <w:rPr>
          <w:rFonts w:hint="default" w:ascii="Times New Roman" w:hAnsi="Times New Roman" w:eastAsia="宋体" w:cs="Times New Roman"/>
          <w:kern w:val="0"/>
          <w:sz w:val="24"/>
          <w:szCs w:val="24"/>
        </w:rPr>
        <w:t>施工期废水主要为施工人员生活污水、</w:t>
      </w:r>
      <w:bookmarkStart w:id="420" w:name="_Hlk162371273"/>
      <w:r>
        <w:rPr>
          <w:rFonts w:hint="default" w:ascii="Times New Roman" w:hAnsi="Times New Roman" w:eastAsia="宋体" w:cs="Times New Roman"/>
          <w:kern w:val="0"/>
          <w:sz w:val="24"/>
          <w:szCs w:val="24"/>
        </w:rPr>
        <w:t>施工废水和场地降雨冲刷水</w:t>
      </w:r>
      <w:bookmarkEnd w:id="420"/>
      <w:r>
        <w:rPr>
          <w:rFonts w:hint="default" w:ascii="Times New Roman" w:hAnsi="Times New Roman" w:eastAsia="宋体" w:cs="Times New Roman"/>
          <w:kern w:val="0"/>
          <w:sz w:val="24"/>
          <w:szCs w:val="24"/>
        </w:rPr>
        <w:t>。</w:t>
      </w:r>
    </w:p>
    <w:p w14:paraId="27C11976">
      <w:pPr>
        <w:bidi w:val="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施工生活污水影响分析</w:t>
      </w:r>
      <w:bookmarkEnd w:id="419"/>
    </w:p>
    <w:p w14:paraId="3AF71BD6">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eastAsia="宋体" w:cs="Times New Roman"/>
          <w:kern w:val="0"/>
          <w:sz w:val="24"/>
          <w:szCs w:val="24"/>
        </w:rPr>
        <w:t>项目施工期施工人员生活污水产生量很少，</w:t>
      </w:r>
      <w:r>
        <w:rPr>
          <w:rFonts w:hint="default" w:ascii="Times New Roman" w:hAnsi="Times New Roman" w:cs="Times New Roman" w:eastAsiaTheme="minorEastAsia"/>
          <w:color w:val="000000"/>
          <w:sz w:val="24"/>
          <w:szCs w:val="24"/>
        </w:rPr>
        <w:t>施工人员</w:t>
      </w:r>
      <w:r>
        <w:rPr>
          <w:rFonts w:hint="default" w:ascii="Times New Roman" w:hAnsi="Times New Roman" w:cs="Times New Roman" w:eastAsiaTheme="minorEastAsia"/>
          <w:color w:val="000000"/>
          <w:sz w:val="24"/>
          <w:szCs w:val="24"/>
          <w:lang w:val="en-US" w:eastAsia="zh-CN"/>
        </w:rPr>
        <w:t>使用矿山废石加工场旱厕，洗手废水</w:t>
      </w:r>
      <w:r>
        <w:rPr>
          <w:rFonts w:hint="default" w:ascii="Times New Roman" w:hAnsi="Times New Roman" w:cs="Times New Roman" w:eastAsiaTheme="minorEastAsia"/>
          <w:sz w:val="24"/>
          <w:szCs w:val="24"/>
        </w:rPr>
        <w:t>经临时沉淀池处理后回用于场地洒水抑尘等，不外排。</w:t>
      </w:r>
    </w:p>
    <w:p w14:paraId="2A7C4965">
      <w:pPr>
        <w:bidi w:val="0"/>
        <w:rPr>
          <w:rFonts w:hint="default" w:ascii="Times New Roman" w:hAnsi="Times New Roman" w:cs="Times New Roman"/>
        </w:rPr>
      </w:pPr>
      <w:bookmarkStart w:id="421" w:name="_Toc450603595"/>
      <w:r>
        <w:rPr>
          <w:rFonts w:hint="default" w:ascii="Times New Roman" w:hAnsi="Times New Roman" w:cs="Times New Roman"/>
          <w:lang w:val="en-US" w:eastAsia="zh-CN"/>
        </w:rPr>
        <w:t>2、</w:t>
      </w:r>
      <w:r>
        <w:rPr>
          <w:rFonts w:hint="default" w:ascii="Times New Roman" w:hAnsi="Times New Roman" w:cs="Times New Roman"/>
        </w:rPr>
        <w:t>施工废水影响分析</w:t>
      </w:r>
      <w:bookmarkEnd w:id="421"/>
    </w:p>
    <w:p w14:paraId="4FD9A149">
      <w:pPr>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施工废水主要为土石方阶段排水、混凝土养护污水、机械冲洗用水、场地冲洗用水、各种车辆冲洗水和少量施工机械及车辆在维修过程中产生的含油废水等。施工废水不含有毒物质，含大量泥沙悬浮物，主要污染因子为SS。</w:t>
      </w:r>
    </w:p>
    <w:p w14:paraId="3B5205B7">
      <w:pPr>
        <w:spacing w:line="360" w:lineRule="auto"/>
        <w:ind w:firstLine="49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施工时设置临时沉淀池，将废水进行沉淀处理，大大降低废水中SS的含量，全部回用于施工场地喷水降尘等，不外排。</w:t>
      </w:r>
    </w:p>
    <w:p w14:paraId="6BED341A">
      <w:pPr>
        <w:bidi w:val="0"/>
        <w:rPr>
          <w:rFonts w:hint="default" w:ascii="Times New Roman" w:hAnsi="Times New Roman" w:cs="Times New Roman"/>
        </w:rPr>
      </w:pPr>
      <w:bookmarkStart w:id="422" w:name="_Toc450603596"/>
      <w:r>
        <w:rPr>
          <w:rFonts w:hint="default" w:ascii="Times New Roman" w:hAnsi="Times New Roman" w:cs="Times New Roman"/>
          <w:lang w:val="en-US" w:eastAsia="zh-CN"/>
        </w:rPr>
        <w:t>3、</w:t>
      </w:r>
      <w:r>
        <w:rPr>
          <w:rFonts w:hint="default" w:ascii="Times New Roman" w:hAnsi="Times New Roman" w:cs="Times New Roman"/>
        </w:rPr>
        <w:t>场地降雨冲刷水影响分析</w:t>
      </w:r>
      <w:bookmarkEnd w:id="422"/>
    </w:p>
    <w:p w14:paraId="6A1B254D">
      <w:pPr>
        <w:spacing w:line="360" w:lineRule="auto"/>
        <w:ind w:firstLine="49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过程如遇下雨，施工场地不可避免会遭遇降雨冲刷，使得施工场地成为面源污染源。暴雨时，施工场地地表初期雨水径流冲刷浮土、建筑砂石等形成的泥浆水，会携带大量泥沙、土壤养分、水泥及其它地表固体污染物，初期雨水径流产生的主要污染物为SS。合理安排工期，避免在暴雨天进行作业，减小降雨冲刷水对地表水的影响。</w:t>
      </w:r>
    </w:p>
    <w:p w14:paraId="073891B5">
      <w:pPr>
        <w:spacing w:line="360" w:lineRule="auto"/>
        <w:ind w:firstLine="49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经采取以上措施后，施工废水对地表水环境影响不大。</w:t>
      </w:r>
    </w:p>
    <w:p w14:paraId="538916EA">
      <w:pPr>
        <w:pStyle w:val="7"/>
        <w:bidi w:val="0"/>
        <w:rPr>
          <w:rFonts w:hint="default" w:ascii="Times New Roman" w:hAnsi="Times New Roman" w:cs="Times New Roman"/>
        </w:rPr>
      </w:pPr>
      <w:bookmarkStart w:id="423" w:name="_Toc165816775"/>
      <w:bookmarkStart w:id="424" w:name="_Toc9145"/>
      <w:r>
        <w:rPr>
          <w:rFonts w:hint="default" w:ascii="Times New Roman" w:hAnsi="Times New Roman" w:cs="Times New Roman"/>
          <w:lang w:val="en-US" w:eastAsia="zh-CN"/>
        </w:rPr>
        <w:t>5</w:t>
      </w:r>
      <w:r>
        <w:rPr>
          <w:rFonts w:hint="default" w:ascii="Times New Roman" w:hAnsi="Times New Roman" w:cs="Times New Roman"/>
        </w:rPr>
        <w:t>.1.</w:t>
      </w:r>
      <w:r>
        <w:rPr>
          <w:rFonts w:hint="default" w:ascii="Times New Roman" w:hAnsi="Times New Roman" w:cs="Times New Roman"/>
          <w:lang w:val="en-US" w:eastAsia="zh-CN"/>
        </w:rPr>
        <w:t>2.3</w:t>
      </w:r>
      <w:r>
        <w:rPr>
          <w:rFonts w:hint="default" w:ascii="Times New Roman" w:hAnsi="Times New Roman" w:cs="Times New Roman"/>
        </w:rPr>
        <w:t>施工期对地下水环境影响分析</w:t>
      </w:r>
      <w:bookmarkEnd w:id="423"/>
      <w:bookmarkEnd w:id="424"/>
    </w:p>
    <w:p w14:paraId="76961E9E">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施工期废水主要为施工人员生活污水、施工废水和施工场地受暴雨冲刷产生的较高悬浮物的废水。施工人员生活污水、工具清洗废水、施工场地地表初期径流雨水均通过场区排水沟渠，回收于临时沉淀池内，沉淀处理后回用于场地洒水降尘等，不外排。暴雨时，场区地表径流雨水，不能完全收集、处理、回用，存在一定量地表冲刷水外排情况，该地表冲刷废水主要污染物为悬浮物，此外可能含有极少量机械用石油类污染物，属短期、临时排放，对地下水影响不大。</w:t>
      </w:r>
    </w:p>
    <w:p w14:paraId="2C468AF5">
      <w:pPr>
        <w:pStyle w:val="7"/>
        <w:bidi w:val="0"/>
        <w:spacing w:line="360" w:lineRule="auto"/>
        <w:rPr>
          <w:rFonts w:hint="default" w:ascii="Times New Roman" w:hAnsi="Times New Roman" w:cs="Times New Roman"/>
        </w:rPr>
      </w:pPr>
      <w:bookmarkStart w:id="425" w:name="_Toc4599"/>
      <w:bookmarkStart w:id="426" w:name="_Toc165816776"/>
      <w:r>
        <w:rPr>
          <w:rFonts w:hint="default" w:ascii="Times New Roman" w:hAnsi="Times New Roman" w:cs="Times New Roman"/>
          <w:lang w:val="en-US" w:eastAsia="zh-CN"/>
        </w:rPr>
        <w:t>5</w:t>
      </w:r>
      <w:r>
        <w:rPr>
          <w:rFonts w:hint="default" w:ascii="Times New Roman" w:hAnsi="Times New Roman" w:cs="Times New Roman"/>
        </w:rPr>
        <w:t>.1.</w:t>
      </w:r>
      <w:r>
        <w:rPr>
          <w:rFonts w:hint="default" w:ascii="Times New Roman" w:hAnsi="Times New Roman" w:cs="Times New Roman"/>
          <w:lang w:val="en-US" w:eastAsia="zh-CN"/>
        </w:rPr>
        <w:t>2.4</w:t>
      </w:r>
      <w:r>
        <w:rPr>
          <w:rFonts w:hint="default" w:ascii="Times New Roman" w:hAnsi="Times New Roman" w:cs="Times New Roman"/>
        </w:rPr>
        <w:t>施工期声环境影响分析</w:t>
      </w:r>
      <w:bookmarkEnd w:id="425"/>
      <w:bookmarkEnd w:id="426"/>
    </w:p>
    <w:p w14:paraId="2E78FF5A">
      <w:pPr>
        <w:bidi w:val="0"/>
        <w:spacing w:line="360" w:lineRule="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污染源强</w:t>
      </w:r>
    </w:p>
    <w:p w14:paraId="6680F40E">
      <w:pPr>
        <w:bidi w:val="0"/>
        <w:spacing w:line="360" w:lineRule="auto"/>
        <w:ind w:firstLine="490" w:firstLineChars="200"/>
        <w:rPr>
          <w:rFonts w:hint="default" w:ascii="Times New Roman" w:hAnsi="Times New Roman" w:cs="Times New Roman"/>
          <w:lang w:val="en-US" w:eastAsia="zh-CN"/>
        </w:rPr>
      </w:pPr>
      <w:r>
        <w:rPr>
          <w:rFonts w:hint="default" w:ascii="Times New Roman" w:hAnsi="Times New Roman" w:cs="Times New Roman"/>
          <w:lang w:val="en-US" w:eastAsia="zh-CN"/>
        </w:rPr>
        <w:t>本项目施工中的噪声源主要是各种工程施工机械，距这些机械1m处的声级测值详见表3.4.2-1。</w:t>
      </w:r>
    </w:p>
    <w:p w14:paraId="68F32213">
      <w:pPr>
        <w:bidi w:val="0"/>
        <w:spacing w:line="360" w:lineRule="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声环境影响预测</w:t>
      </w:r>
    </w:p>
    <w:p w14:paraId="29242567">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采用点源衰减模式，预测只计算声源至受声点的几何发散衰减，不考虑声屏障、空气吸收等衰减，预测公式如下：</w:t>
      </w:r>
    </w:p>
    <w:p w14:paraId="212391BC">
      <w:pPr>
        <w:spacing w:line="360" w:lineRule="auto"/>
        <w:ind w:firstLine="480"/>
        <w:rPr>
          <w:rFonts w:hint="default" w:ascii="Times New Roman" w:hAnsi="Times New Roman" w:eastAsia="宋体" w:cs="Times New Roman"/>
          <w:sz w:val="24"/>
          <w:szCs w:val="24"/>
        </w:rPr>
      </w:pPr>
      <w:bookmarkStart w:id="427" w:name="_Hlk69692329"/>
      <w:r>
        <w:rPr>
          <w:rFonts w:hint="default" w:ascii="Times New Roman" w:hAnsi="Times New Roman" w:eastAsia="宋体" w:cs="Times New Roman"/>
          <w:sz w:val="24"/>
          <w:szCs w:val="24"/>
        </w:rPr>
        <w:drawing>
          <wp:inline distT="0" distB="0" distL="0" distR="0">
            <wp:extent cx="2962275" cy="314325"/>
            <wp:effectExtent l="0" t="0" r="9525" b="952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a:blip r:embed="rId29"/>
                    <a:srcRect/>
                    <a:stretch>
                      <a:fillRect/>
                    </a:stretch>
                  </pic:blipFill>
                  <pic:spPr>
                    <a:xfrm>
                      <a:off x="0" y="0"/>
                      <a:ext cx="2962275" cy="314325"/>
                    </a:xfrm>
                    <a:prstGeom prst="rect">
                      <a:avLst/>
                    </a:prstGeom>
                    <a:noFill/>
                    <a:ln w="9525">
                      <a:noFill/>
                      <a:miter lim="800000"/>
                      <a:headEnd/>
                      <a:tailEnd/>
                    </a:ln>
                  </pic:spPr>
                </pic:pic>
              </a:graphicData>
            </a:graphic>
          </wp:inline>
        </w:drawing>
      </w:r>
      <w:bookmarkEnd w:id="427"/>
    </w:p>
    <w:p w14:paraId="1521CF70">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式中：Lr—距声源r处的A声压级，dB(A)；</w:t>
      </w:r>
    </w:p>
    <w:p w14:paraId="1D87446B">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Lr0—距声源r0处的A声压级，dB(A)；</w:t>
      </w:r>
    </w:p>
    <w:p w14:paraId="540520F6">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r—预测点与声源的距离，m；</w:t>
      </w:r>
    </w:p>
    <w:p w14:paraId="52313D60">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r0—监测设备噪声时的距离，m。</w:t>
      </w:r>
    </w:p>
    <w:p w14:paraId="4A824220">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同时，各受声点的声源叠加按下列公式计算：</w:t>
      </w:r>
    </w:p>
    <w:p w14:paraId="0DEB9721">
      <w:pPr>
        <w:spacing w:line="360" w:lineRule="auto"/>
        <w:ind w:firstLine="480"/>
        <w:rPr>
          <w:rFonts w:hint="default" w:ascii="Times New Roman" w:hAnsi="Times New Roman" w:eastAsia="宋体" w:cs="Times New Roman"/>
          <w:sz w:val="24"/>
          <w:szCs w:val="24"/>
        </w:rPr>
      </w:pPr>
      <w:bookmarkStart w:id="428" w:name="_Hlk69692336"/>
      <w:r>
        <w:rPr>
          <w:rFonts w:hint="default" w:ascii="Times New Roman" w:hAnsi="Times New Roman" w:eastAsia="宋体" w:cs="Times New Roman"/>
          <w:sz w:val="24"/>
          <w:szCs w:val="24"/>
        </w:rPr>
        <w:drawing>
          <wp:inline distT="0" distB="0" distL="0" distR="0">
            <wp:extent cx="2838450" cy="504825"/>
            <wp:effectExtent l="0" t="0" r="0" b="9525"/>
            <wp:docPr id="18" name="图片 9" descr="]QW%K}%@13_Q4UZ@GW@~2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QW%K}%@13_Q4UZ@GW@~24V"/>
                    <pic:cNvPicPr>
                      <a:picLocks noChangeAspect="1" noChangeArrowheads="1"/>
                    </pic:cNvPicPr>
                  </pic:nvPicPr>
                  <pic:blipFill>
                    <a:blip r:embed="rId30"/>
                    <a:srcRect/>
                    <a:stretch>
                      <a:fillRect/>
                    </a:stretch>
                  </pic:blipFill>
                  <pic:spPr>
                    <a:xfrm>
                      <a:off x="0" y="0"/>
                      <a:ext cx="2838450" cy="504825"/>
                    </a:xfrm>
                    <a:prstGeom prst="rect">
                      <a:avLst/>
                    </a:prstGeom>
                    <a:noFill/>
                    <a:ln w="9525">
                      <a:noFill/>
                      <a:miter lim="800000"/>
                      <a:headEnd/>
                      <a:tailEnd/>
                    </a:ln>
                  </pic:spPr>
                </pic:pic>
              </a:graphicData>
            </a:graphic>
          </wp:inline>
        </w:drawing>
      </w:r>
      <w:bookmarkEnd w:id="428"/>
    </w:p>
    <w:p w14:paraId="5FADF524">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式中：Li——第i个声源声值；</w:t>
      </w:r>
    </w:p>
    <w:p w14:paraId="297C454F">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LA——某点噪声总叠加值；</w:t>
      </w:r>
    </w:p>
    <w:p w14:paraId="45059754">
      <w:pPr>
        <w:spacing w:line="360" w:lineRule="auto"/>
        <w:ind w:firstLine="48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n——声源个数。</w:t>
      </w:r>
    </w:p>
    <w:p w14:paraId="4E2B3BA3">
      <w:pPr>
        <w:spacing w:line="360" w:lineRule="auto"/>
        <w:ind w:firstLine="48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由此，主要施工机械在不同距离处的贡献值预测结果见表</w:t>
      </w:r>
      <w:r>
        <w:rPr>
          <w:rFonts w:hint="default" w:ascii="Times New Roman" w:hAnsi="Times New Roman" w:eastAsia="宋体" w:cs="Times New Roman"/>
          <w:kern w:val="0"/>
          <w:sz w:val="24"/>
          <w:szCs w:val="24"/>
          <w:lang w:val="en-US" w:eastAsia="zh-CN"/>
        </w:rPr>
        <w:t>5</w:t>
      </w:r>
      <w:r>
        <w:rPr>
          <w:rFonts w:hint="default" w:ascii="Times New Roman" w:hAnsi="Times New Roman" w:eastAsia="宋体" w:cs="Times New Roman"/>
          <w:kern w:val="0"/>
          <w:sz w:val="24"/>
          <w:szCs w:val="24"/>
        </w:rPr>
        <w:t>.1</w:t>
      </w:r>
      <w:r>
        <w:rPr>
          <w:rFonts w:hint="default" w:ascii="Times New Roman" w:hAnsi="Times New Roman" w:cs="Times New Roman"/>
          <w:kern w:val="0"/>
          <w:sz w:val="24"/>
          <w:szCs w:val="24"/>
          <w:lang w:val="en-US" w:eastAsia="zh-CN"/>
        </w:rPr>
        <w:t>.4</w:t>
      </w:r>
      <w:r>
        <w:rPr>
          <w:rFonts w:hint="default" w:ascii="Times New Roman" w:hAnsi="Times New Roman" w:eastAsia="宋体" w:cs="Times New Roman"/>
          <w:kern w:val="0"/>
          <w:sz w:val="24"/>
          <w:szCs w:val="24"/>
        </w:rPr>
        <w:t>-</w:t>
      </w:r>
      <w:r>
        <w:rPr>
          <w:rFonts w:hint="default" w:ascii="Times New Roman" w:hAnsi="Times New Roman" w:cs="Times New Roman"/>
          <w:kern w:val="0"/>
          <w:sz w:val="24"/>
          <w:szCs w:val="24"/>
          <w:lang w:val="en-US" w:eastAsia="zh-CN"/>
        </w:rPr>
        <w:t>2</w:t>
      </w:r>
      <w:r>
        <w:rPr>
          <w:rFonts w:hint="default" w:ascii="Times New Roman" w:hAnsi="Times New Roman" w:eastAsia="宋体" w:cs="Times New Roman"/>
          <w:kern w:val="0"/>
          <w:sz w:val="24"/>
          <w:szCs w:val="24"/>
        </w:rPr>
        <w:t>。</w:t>
      </w:r>
    </w:p>
    <w:p w14:paraId="2FFCC689">
      <w:pPr>
        <w:spacing w:line="360" w:lineRule="auto"/>
        <w:jc w:val="center"/>
        <w:rPr>
          <w:rFonts w:hint="default" w:ascii="Times New Roman" w:hAnsi="Times New Roman" w:eastAsia="黑体" w:cs="Times New Roman"/>
          <w:b w:val="0"/>
          <w:bCs/>
          <w:sz w:val="21"/>
          <w:szCs w:val="21"/>
        </w:rPr>
      </w:pPr>
      <w:bookmarkStart w:id="429" w:name="_Hlk69692295"/>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5</w:t>
      </w:r>
      <w:r>
        <w:rPr>
          <w:rFonts w:hint="default" w:ascii="Times New Roman" w:hAnsi="Times New Roman" w:eastAsia="黑体" w:cs="Times New Roman"/>
          <w:b w:val="0"/>
          <w:bCs/>
          <w:sz w:val="21"/>
          <w:szCs w:val="21"/>
        </w:rPr>
        <w:t>.1</w:t>
      </w:r>
      <w:r>
        <w:rPr>
          <w:rFonts w:hint="default" w:ascii="Times New Roman" w:hAnsi="Times New Roman" w:eastAsia="黑体" w:cs="Times New Roman"/>
          <w:b w:val="0"/>
          <w:bCs/>
          <w:sz w:val="21"/>
          <w:szCs w:val="21"/>
          <w:lang w:val="en-US" w:eastAsia="zh-CN"/>
        </w:rPr>
        <w:t>.4</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2</w:t>
      </w:r>
      <w:r>
        <w:rPr>
          <w:rFonts w:hint="default" w:ascii="Times New Roman" w:hAnsi="Times New Roman" w:eastAsia="黑体" w:cs="Times New Roman"/>
          <w:b w:val="0"/>
          <w:bCs/>
          <w:sz w:val="21"/>
          <w:szCs w:val="21"/>
        </w:rPr>
        <w:t xml:space="preserve">  各主要施工机械在不同距离处的贡献值</w:t>
      </w:r>
    </w:p>
    <w:tbl>
      <w:tblPr>
        <w:tblStyle w:val="29"/>
        <w:tblW w:w="501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9"/>
        <w:gridCol w:w="559"/>
        <w:gridCol w:w="656"/>
        <w:gridCol w:w="679"/>
        <w:gridCol w:w="679"/>
        <w:gridCol w:w="679"/>
        <w:gridCol w:w="679"/>
        <w:gridCol w:w="679"/>
        <w:gridCol w:w="679"/>
        <w:gridCol w:w="681"/>
        <w:gridCol w:w="681"/>
        <w:gridCol w:w="682"/>
        <w:gridCol w:w="693"/>
        <w:gridCol w:w="539"/>
      </w:tblGrid>
      <w:tr w14:paraId="2D3B15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7" w:hRule="atLeast"/>
          <w:jc w:val="center"/>
        </w:trPr>
        <w:tc>
          <w:tcPr>
            <w:tcW w:w="296" w:type="pct"/>
            <w:vMerge w:val="restart"/>
            <w:vAlign w:val="center"/>
          </w:tcPr>
          <w:p w14:paraId="68D996AC">
            <w:pPr>
              <w:pStyle w:val="61"/>
              <w:spacing w:line="240" w:lineRule="auto"/>
              <w:ind w:left="0" w:leftChars="0" w:firstLine="0" w:firstLineChars="0"/>
              <w:jc w:val="left"/>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序号</w:t>
            </w:r>
          </w:p>
        </w:tc>
        <w:tc>
          <w:tcPr>
            <w:tcW w:w="307" w:type="pct"/>
            <w:vMerge w:val="restart"/>
            <w:vAlign w:val="center"/>
          </w:tcPr>
          <w:p w14:paraId="16E81992">
            <w:pPr>
              <w:pStyle w:val="61"/>
              <w:spacing w:line="240" w:lineRule="auto"/>
              <w:ind w:left="0" w:leftChars="0" w:firstLine="0" w:firstLineChars="0"/>
              <w:jc w:val="left"/>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机械名称</w:t>
            </w:r>
          </w:p>
        </w:tc>
        <w:tc>
          <w:tcPr>
            <w:tcW w:w="360" w:type="pct"/>
            <w:vMerge w:val="restart"/>
            <w:vAlign w:val="center"/>
          </w:tcPr>
          <w:p w14:paraId="150296B4">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1m处</w:t>
            </w:r>
          </w:p>
          <w:p w14:paraId="180DED6C">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噪声值</w:t>
            </w:r>
          </w:p>
        </w:tc>
        <w:tc>
          <w:tcPr>
            <w:tcW w:w="3740" w:type="pct"/>
            <w:gridSpan w:val="10"/>
            <w:vAlign w:val="center"/>
          </w:tcPr>
          <w:p w14:paraId="3803C636">
            <w:pPr>
              <w:pStyle w:val="61"/>
              <w:spacing w:line="240" w:lineRule="auto"/>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不同距离处的噪声预测(dB(A))</w:t>
            </w:r>
          </w:p>
        </w:tc>
        <w:tc>
          <w:tcPr>
            <w:tcW w:w="296" w:type="pct"/>
            <w:vMerge w:val="restart"/>
            <w:vAlign w:val="center"/>
          </w:tcPr>
          <w:p w14:paraId="148CEB29">
            <w:pPr>
              <w:pStyle w:val="61"/>
              <w:spacing w:line="240" w:lineRule="auto"/>
              <w:ind w:left="0" w:leftChars="0" w:firstLine="0" w:firstLineChars="0"/>
              <w:jc w:val="left"/>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施工阶段</w:t>
            </w:r>
          </w:p>
        </w:tc>
      </w:tr>
      <w:tr w14:paraId="21703E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7" w:hRule="atLeast"/>
          <w:jc w:val="center"/>
        </w:trPr>
        <w:tc>
          <w:tcPr>
            <w:tcW w:w="296" w:type="pct"/>
            <w:vMerge w:val="continue"/>
            <w:vAlign w:val="center"/>
          </w:tcPr>
          <w:p w14:paraId="272BD4C8">
            <w:pPr>
              <w:pStyle w:val="61"/>
              <w:spacing w:line="240" w:lineRule="auto"/>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307" w:type="pct"/>
            <w:vMerge w:val="continue"/>
            <w:vAlign w:val="center"/>
          </w:tcPr>
          <w:p w14:paraId="5873BA7C">
            <w:pPr>
              <w:pStyle w:val="61"/>
              <w:spacing w:line="240" w:lineRule="auto"/>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360" w:type="pct"/>
            <w:vMerge w:val="continue"/>
            <w:vAlign w:val="center"/>
          </w:tcPr>
          <w:p w14:paraId="624BD998">
            <w:pPr>
              <w:pStyle w:val="61"/>
              <w:spacing w:line="240" w:lineRule="auto"/>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372" w:type="pct"/>
            <w:vAlign w:val="center"/>
          </w:tcPr>
          <w:p w14:paraId="1A96656B">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10m</w:t>
            </w:r>
          </w:p>
        </w:tc>
        <w:tc>
          <w:tcPr>
            <w:tcW w:w="372" w:type="pct"/>
            <w:vAlign w:val="center"/>
          </w:tcPr>
          <w:p w14:paraId="61D7AA0C">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20m</w:t>
            </w:r>
          </w:p>
        </w:tc>
        <w:tc>
          <w:tcPr>
            <w:tcW w:w="372" w:type="pct"/>
            <w:vAlign w:val="center"/>
          </w:tcPr>
          <w:p w14:paraId="31445F5B">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30m</w:t>
            </w:r>
          </w:p>
        </w:tc>
        <w:tc>
          <w:tcPr>
            <w:tcW w:w="372" w:type="pct"/>
            <w:vAlign w:val="center"/>
          </w:tcPr>
          <w:p w14:paraId="22EC8439">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40m</w:t>
            </w:r>
          </w:p>
        </w:tc>
        <w:tc>
          <w:tcPr>
            <w:tcW w:w="372" w:type="pct"/>
            <w:vAlign w:val="center"/>
          </w:tcPr>
          <w:p w14:paraId="082C3857">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50m</w:t>
            </w:r>
          </w:p>
        </w:tc>
        <w:tc>
          <w:tcPr>
            <w:tcW w:w="372" w:type="pct"/>
            <w:vAlign w:val="center"/>
          </w:tcPr>
          <w:p w14:paraId="6466EE82">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100m</w:t>
            </w:r>
          </w:p>
        </w:tc>
        <w:tc>
          <w:tcPr>
            <w:tcW w:w="374" w:type="pct"/>
            <w:vAlign w:val="center"/>
          </w:tcPr>
          <w:p w14:paraId="56B8E461">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150m</w:t>
            </w:r>
          </w:p>
        </w:tc>
        <w:tc>
          <w:tcPr>
            <w:tcW w:w="374" w:type="pct"/>
            <w:vAlign w:val="center"/>
          </w:tcPr>
          <w:p w14:paraId="5E40FCE4">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200m</w:t>
            </w:r>
          </w:p>
        </w:tc>
        <w:tc>
          <w:tcPr>
            <w:tcW w:w="374" w:type="pct"/>
            <w:vAlign w:val="center"/>
          </w:tcPr>
          <w:p w14:paraId="185C3D38">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250m</w:t>
            </w:r>
          </w:p>
        </w:tc>
        <w:tc>
          <w:tcPr>
            <w:tcW w:w="380" w:type="pct"/>
            <w:vAlign w:val="center"/>
          </w:tcPr>
          <w:p w14:paraId="5DEA8A0E">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300m</w:t>
            </w:r>
          </w:p>
        </w:tc>
        <w:tc>
          <w:tcPr>
            <w:tcW w:w="296" w:type="pct"/>
            <w:vMerge w:val="continue"/>
            <w:vAlign w:val="center"/>
          </w:tcPr>
          <w:p w14:paraId="08B42D09">
            <w:pPr>
              <w:pStyle w:val="61"/>
              <w:spacing w:line="240" w:lineRule="auto"/>
              <w:rPr>
                <w:rFonts w:hint="default" w:ascii="Times New Roman" w:hAnsi="Times New Roman" w:eastAsia="宋体" w:cs="Times New Roman"/>
                <w:b w:val="0"/>
                <w:bCs/>
                <w:color w:val="000000" w:themeColor="text1"/>
                <w:sz w:val="18"/>
                <w:szCs w:val="18"/>
                <w14:textFill>
                  <w14:solidFill>
                    <w14:schemeClr w14:val="tx1"/>
                  </w14:solidFill>
                </w14:textFill>
              </w:rPr>
            </w:pPr>
          </w:p>
        </w:tc>
      </w:tr>
      <w:tr w14:paraId="311AC8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7" w:hRule="atLeast"/>
          <w:jc w:val="center"/>
        </w:trPr>
        <w:tc>
          <w:tcPr>
            <w:tcW w:w="296" w:type="pct"/>
            <w:vAlign w:val="center"/>
          </w:tcPr>
          <w:p w14:paraId="18A5E46C">
            <w:pPr>
              <w:pStyle w:val="61"/>
              <w:spacing w:line="360" w:lineRule="auto"/>
              <w:ind w:left="0" w:leftChars="0" w:firstLine="0" w:firstLineChars="0"/>
              <w:jc w:val="both"/>
              <w:rPr>
                <w:rFonts w:hint="default"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color w:val="000000" w:themeColor="text1"/>
                <w:sz w:val="18"/>
                <w:szCs w:val="18"/>
                <w:lang w:val="en-US" w:eastAsia="zh-CN"/>
                <w14:textFill>
                  <w14:solidFill>
                    <w14:schemeClr w14:val="tx1"/>
                  </w14:solidFill>
                </w14:textFill>
              </w:rPr>
              <w:t>1</w:t>
            </w:r>
          </w:p>
        </w:tc>
        <w:tc>
          <w:tcPr>
            <w:tcW w:w="307" w:type="pct"/>
            <w:vAlign w:val="center"/>
          </w:tcPr>
          <w:p w14:paraId="0C3ADE5B">
            <w:pPr>
              <w:pStyle w:val="61"/>
              <w:spacing w:line="240" w:lineRule="auto"/>
              <w:ind w:left="0" w:leftChars="0" w:firstLine="0" w:firstLineChars="0"/>
              <w:jc w:val="left"/>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电锯</w:t>
            </w:r>
          </w:p>
        </w:tc>
        <w:tc>
          <w:tcPr>
            <w:tcW w:w="360" w:type="pct"/>
            <w:vAlign w:val="center"/>
          </w:tcPr>
          <w:p w14:paraId="04A8CB21">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94</w:t>
            </w:r>
          </w:p>
        </w:tc>
        <w:tc>
          <w:tcPr>
            <w:tcW w:w="372" w:type="pct"/>
            <w:vAlign w:val="center"/>
          </w:tcPr>
          <w:p w14:paraId="6C8E81F4">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74</w:t>
            </w:r>
          </w:p>
        </w:tc>
        <w:tc>
          <w:tcPr>
            <w:tcW w:w="372" w:type="pct"/>
            <w:vAlign w:val="center"/>
          </w:tcPr>
          <w:p w14:paraId="3591BF42">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68</w:t>
            </w:r>
          </w:p>
        </w:tc>
        <w:tc>
          <w:tcPr>
            <w:tcW w:w="372" w:type="pct"/>
            <w:vAlign w:val="center"/>
          </w:tcPr>
          <w:p w14:paraId="167B9D4F">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64</w:t>
            </w:r>
          </w:p>
        </w:tc>
        <w:tc>
          <w:tcPr>
            <w:tcW w:w="372" w:type="pct"/>
            <w:vAlign w:val="center"/>
          </w:tcPr>
          <w:p w14:paraId="64721F2D">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62</w:t>
            </w:r>
          </w:p>
        </w:tc>
        <w:tc>
          <w:tcPr>
            <w:tcW w:w="372" w:type="pct"/>
            <w:vAlign w:val="center"/>
          </w:tcPr>
          <w:p w14:paraId="7CF17998">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60</w:t>
            </w:r>
          </w:p>
        </w:tc>
        <w:tc>
          <w:tcPr>
            <w:tcW w:w="372" w:type="pct"/>
            <w:vAlign w:val="center"/>
          </w:tcPr>
          <w:p w14:paraId="61102F5B">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54</w:t>
            </w:r>
          </w:p>
        </w:tc>
        <w:tc>
          <w:tcPr>
            <w:tcW w:w="374" w:type="pct"/>
            <w:vAlign w:val="center"/>
          </w:tcPr>
          <w:p w14:paraId="4D55FBBE">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50</w:t>
            </w:r>
          </w:p>
        </w:tc>
        <w:tc>
          <w:tcPr>
            <w:tcW w:w="374" w:type="pct"/>
            <w:vAlign w:val="center"/>
          </w:tcPr>
          <w:p w14:paraId="717D80DC">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48</w:t>
            </w:r>
          </w:p>
        </w:tc>
        <w:tc>
          <w:tcPr>
            <w:tcW w:w="374" w:type="pct"/>
            <w:vAlign w:val="center"/>
          </w:tcPr>
          <w:p w14:paraId="706DFF65">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46</w:t>
            </w:r>
          </w:p>
        </w:tc>
        <w:tc>
          <w:tcPr>
            <w:tcW w:w="380" w:type="pct"/>
            <w:vAlign w:val="center"/>
          </w:tcPr>
          <w:p w14:paraId="5ECFABBC">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44</w:t>
            </w:r>
          </w:p>
        </w:tc>
        <w:tc>
          <w:tcPr>
            <w:tcW w:w="296" w:type="pct"/>
            <w:vMerge w:val="restart"/>
            <w:vAlign w:val="center"/>
          </w:tcPr>
          <w:p w14:paraId="4DD96C97">
            <w:pPr>
              <w:pStyle w:val="61"/>
              <w:spacing w:line="240" w:lineRule="auto"/>
              <w:ind w:left="0" w:leftChars="0" w:firstLine="0" w:firstLineChars="0"/>
              <w:jc w:val="left"/>
              <w:rPr>
                <w:rFonts w:hint="default" w:ascii="Times New Roman" w:hAnsi="Times New Roman" w:eastAsia="宋体" w:cs="Times New Roman"/>
                <w:b w:val="0"/>
                <w:bCs/>
                <w:color w:val="000000" w:themeColor="text1"/>
                <w:sz w:val="18"/>
                <w:szCs w:val="18"/>
                <w:lang w:eastAsia="zh-CN"/>
                <w14:textFill>
                  <w14:solidFill>
                    <w14:schemeClr w14:val="tx1"/>
                  </w14:solidFill>
                </w14:textFill>
              </w:rPr>
            </w:pPr>
            <w:r>
              <w:rPr>
                <w:rFonts w:hint="default" w:ascii="Times New Roman" w:hAnsi="Times New Roman" w:eastAsia="宋体" w:cs="Times New Roman"/>
                <w:b w:val="0"/>
                <w:bCs/>
                <w:color w:val="000000" w:themeColor="text1"/>
                <w:sz w:val="18"/>
                <w:szCs w:val="18"/>
                <w:lang w:eastAsia="zh-CN"/>
                <w14:textFill>
                  <w14:solidFill>
                    <w14:schemeClr w14:val="tx1"/>
                  </w14:solidFill>
                </w14:textFill>
              </w:rPr>
              <w:t>棚库建设</w:t>
            </w:r>
          </w:p>
        </w:tc>
      </w:tr>
      <w:tr w14:paraId="638DA3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7" w:hRule="atLeast"/>
          <w:jc w:val="center"/>
        </w:trPr>
        <w:tc>
          <w:tcPr>
            <w:tcW w:w="296" w:type="pct"/>
            <w:vAlign w:val="center"/>
          </w:tcPr>
          <w:p w14:paraId="2E46A87B">
            <w:pPr>
              <w:pStyle w:val="61"/>
              <w:spacing w:line="360" w:lineRule="auto"/>
              <w:ind w:left="0" w:leftChars="0" w:firstLine="0" w:firstLineChars="0"/>
              <w:jc w:val="both"/>
              <w:rPr>
                <w:rFonts w:hint="default"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color w:val="000000" w:themeColor="text1"/>
                <w:sz w:val="18"/>
                <w:szCs w:val="18"/>
                <w:lang w:val="en-US" w:eastAsia="zh-CN"/>
                <w14:textFill>
                  <w14:solidFill>
                    <w14:schemeClr w14:val="tx1"/>
                  </w14:solidFill>
                </w14:textFill>
              </w:rPr>
              <w:t>2</w:t>
            </w:r>
          </w:p>
        </w:tc>
        <w:tc>
          <w:tcPr>
            <w:tcW w:w="307" w:type="pct"/>
            <w:vAlign w:val="center"/>
          </w:tcPr>
          <w:p w14:paraId="0C1CB0B0">
            <w:pPr>
              <w:pStyle w:val="61"/>
              <w:spacing w:line="240" w:lineRule="auto"/>
              <w:ind w:left="0" w:leftChars="0" w:firstLine="0" w:firstLineChars="0"/>
              <w:jc w:val="left"/>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电焊机</w:t>
            </w:r>
          </w:p>
        </w:tc>
        <w:tc>
          <w:tcPr>
            <w:tcW w:w="360" w:type="pct"/>
            <w:vAlign w:val="center"/>
          </w:tcPr>
          <w:p w14:paraId="48A4F5A5">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89</w:t>
            </w:r>
          </w:p>
        </w:tc>
        <w:tc>
          <w:tcPr>
            <w:tcW w:w="372" w:type="pct"/>
            <w:vAlign w:val="center"/>
          </w:tcPr>
          <w:p w14:paraId="2569DD23">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69</w:t>
            </w:r>
          </w:p>
        </w:tc>
        <w:tc>
          <w:tcPr>
            <w:tcW w:w="372" w:type="pct"/>
            <w:vAlign w:val="center"/>
          </w:tcPr>
          <w:p w14:paraId="1F64C854">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63</w:t>
            </w:r>
          </w:p>
        </w:tc>
        <w:tc>
          <w:tcPr>
            <w:tcW w:w="372" w:type="pct"/>
            <w:vAlign w:val="center"/>
          </w:tcPr>
          <w:p w14:paraId="7E7929CF">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59</w:t>
            </w:r>
          </w:p>
        </w:tc>
        <w:tc>
          <w:tcPr>
            <w:tcW w:w="372" w:type="pct"/>
            <w:vAlign w:val="center"/>
          </w:tcPr>
          <w:p w14:paraId="3FD52432">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57</w:t>
            </w:r>
          </w:p>
        </w:tc>
        <w:tc>
          <w:tcPr>
            <w:tcW w:w="372" w:type="pct"/>
            <w:vAlign w:val="center"/>
          </w:tcPr>
          <w:p w14:paraId="6C901F16">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55</w:t>
            </w:r>
          </w:p>
        </w:tc>
        <w:tc>
          <w:tcPr>
            <w:tcW w:w="372" w:type="pct"/>
            <w:vAlign w:val="center"/>
          </w:tcPr>
          <w:p w14:paraId="61B52926">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49</w:t>
            </w:r>
          </w:p>
        </w:tc>
        <w:tc>
          <w:tcPr>
            <w:tcW w:w="374" w:type="pct"/>
            <w:vAlign w:val="center"/>
          </w:tcPr>
          <w:p w14:paraId="5E4F702B">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45</w:t>
            </w:r>
          </w:p>
        </w:tc>
        <w:tc>
          <w:tcPr>
            <w:tcW w:w="374" w:type="pct"/>
            <w:vAlign w:val="center"/>
          </w:tcPr>
          <w:p w14:paraId="0D51A13F">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43</w:t>
            </w:r>
          </w:p>
        </w:tc>
        <w:tc>
          <w:tcPr>
            <w:tcW w:w="374" w:type="pct"/>
            <w:vAlign w:val="center"/>
          </w:tcPr>
          <w:p w14:paraId="18BF2DEE">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41</w:t>
            </w:r>
          </w:p>
        </w:tc>
        <w:tc>
          <w:tcPr>
            <w:tcW w:w="380" w:type="pct"/>
            <w:vAlign w:val="center"/>
          </w:tcPr>
          <w:p w14:paraId="4C6D0068">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39</w:t>
            </w:r>
          </w:p>
        </w:tc>
        <w:tc>
          <w:tcPr>
            <w:tcW w:w="296" w:type="pct"/>
            <w:vMerge w:val="continue"/>
            <w:vAlign w:val="center"/>
          </w:tcPr>
          <w:p w14:paraId="6513303B">
            <w:pPr>
              <w:pStyle w:val="61"/>
              <w:spacing w:line="240" w:lineRule="auto"/>
              <w:jc w:val="left"/>
              <w:rPr>
                <w:rFonts w:hint="default" w:ascii="Times New Roman" w:hAnsi="Times New Roman" w:eastAsia="宋体" w:cs="Times New Roman"/>
                <w:b w:val="0"/>
                <w:bCs/>
                <w:color w:val="000000" w:themeColor="text1"/>
                <w:sz w:val="18"/>
                <w:szCs w:val="18"/>
                <w14:textFill>
                  <w14:solidFill>
                    <w14:schemeClr w14:val="tx1"/>
                  </w14:solidFill>
                </w14:textFill>
              </w:rPr>
            </w:pPr>
          </w:p>
        </w:tc>
      </w:tr>
      <w:tr w14:paraId="73BE0E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7" w:hRule="atLeast"/>
          <w:jc w:val="center"/>
        </w:trPr>
        <w:tc>
          <w:tcPr>
            <w:tcW w:w="296" w:type="pct"/>
            <w:vAlign w:val="center"/>
          </w:tcPr>
          <w:p w14:paraId="532EF41C">
            <w:pPr>
              <w:pStyle w:val="61"/>
              <w:spacing w:line="360" w:lineRule="auto"/>
              <w:ind w:left="0" w:leftChars="0" w:firstLine="0" w:firstLineChars="0"/>
              <w:jc w:val="both"/>
              <w:rPr>
                <w:rFonts w:hint="default"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color w:val="000000" w:themeColor="text1"/>
                <w:sz w:val="18"/>
                <w:szCs w:val="18"/>
                <w:lang w:val="en-US" w:eastAsia="zh-CN"/>
                <w14:textFill>
                  <w14:solidFill>
                    <w14:schemeClr w14:val="tx1"/>
                  </w14:solidFill>
                </w14:textFill>
              </w:rPr>
              <w:t>3</w:t>
            </w:r>
          </w:p>
        </w:tc>
        <w:tc>
          <w:tcPr>
            <w:tcW w:w="307" w:type="pct"/>
            <w:vAlign w:val="center"/>
          </w:tcPr>
          <w:p w14:paraId="12F7E5A4">
            <w:pPr>
              <w:pStyle w:val="61"/>
              <w:spacing w:line="240" w:lineRule="auto"/>
              <w:ind w:left="0" w:leftChars="0" w:firstLine="0" w:firstLineChars="0"/>
              <w:jc w:val="left"/>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中型载重车</w:t>
            </w:r>
          </w:p>
        </w:tc>
        <w:tc>
          <w:tcPr>
            <w:tcW w:w="360" w:type="pct"/>
            <w:vAlign w:val="center"/>
          </w:tcPr>
          <w:p w14:paraId="101A269C">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74</w:t>
            </w:r>
          </w:p>
        </w:tc>
        <w:tc>
          <w:tcPr>
            <w:tcW w:w="372" w:type="pct"/>
            <w:vAlign w:val="center"/>
          </w:tcPr>
          <w:p w14:paraId="4AB73FDC">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54</w:t>
            </w:r>
          </w:p>
        </w:tc>
        <w:tc>
          <w:tcPr>
            <w:tcW w:w="372" w:type="pct"/>
            <w:vAlign w:val="center"/>
          </w:tcPr>
          <w:p w14:paraId="7819FF83">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48</w:t>
            </w:r>
          </w:p>
        </w:tc>
        <w:tc>
          <w:tcPr>
            <w:tcW w:w="372" w:type="pct"/>
            <w:vAlign w:val="center"/>
          </w:tcPr>
          <w:p w14:paraId="377D397B">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44</w:t>
            </w:r>
          </w:p>
        </w:tc>
        <w:tc>
          <w:tcPr>
            <w:tcW w:w="372" w:type="pct"/>
            <w:vAlign w:val="center"/>
          </w:tcPr>
          <w:p w14:paraId="765B27D6">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42</w:t>
            </w:r>
          </w:p>
        </w:tc>
        <w:tc>
          <w:tcPr>
            <w:tcW w:w="372" w:type="pct"/>
            <w:vAlign w:val="center"/>
          </w:tcPr>
          <w:p w14:paraId="07785464">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40</w:t>
            </w:r>
          </w:p>
        </w:tc>
        <w:tc>
          <w:tcPr>
            <w:tcW w:w="372" w:type="pct"/>
            <w:vAlign w:val="center"/>
          </w:tcPr>
          <w:p w14:paraId="53B96F08">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34</w:t>
            </w:r>
          </w:p>
        </w:tc>
        <w:tc>
          <w:tcPr>
            <w:tcW w:w="374" w:type="pct"/>
            <w:vAlign w:val="center"/>
          </w:tcPr>
          <w:p w14:paraId="538697D1">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30</w:t>
            </w:r>
          </w:p>
        </w:tc>
        <w:tc>
          <w:tcPr>
            <w:tcW w:w="374" w:type="pct"/>
            <w:vAlign w:val="center"/>
          </w:tcPr>
          <w:p w14:paraId="10A2CE6A">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28</w:t>
            </w:r>
          </w:p>
        </w:tc>
        <w:tc>
          <w:tcPr>
            <w:tcW w:w="374" w:type="pct"/>
            <w:vAlign w:val="center"/>
          </w:tcPr>
          <w:p w14:paraId="1C880C97">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26</w:t>
            </w:r>
          </w:p>
        </w:tc>
        <w:tc>
          <w:tcPr>
            <w:tcW w:w="380" w:type="pct"/>
            <w:vAlign w:val="center"/>
          </w:tcPr>
          <w:p w14:paraId="45FE6019">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24</w:t>
            </w:r>
          </w:p>
        </w:tc>
        <w:tc>
          <w:tcPr>
            <w:tcW w:w="296" w:type="pct"/>
            <w:vMerge w:val="continue"/>
            <w:vAlign w:val="center"/>
          </w:tcPr>
          <w:p w14:paraId="50BAE4A2">
            <w:pPr>
              <w:pStyle w:val="61"/>
              <w:spacing w:line="240" w:lineRule="auto"/>
              <w:jc w:val="left"/>
              <w:rPr>
                <w:rFonts w:hint="default" w:ascii="Times New Roman" w:hAnsi="Times New Roman" w:eastAsia="宋体" w:cs="Times New Roman"/>
                <w:b w:val="0"/>
                <w:bCs/>
                <w:color w:val="000000" w:themeColor="text1"/>
                <w:sz w:val="18"/>
                <w:szCs w:val="18"/>
                <w14:textFill>
                  <w14:solidFill>
                    <w14:schemeClr w14:val="tx1"/>
                  </w14:solidFill>
                </w14:textFill>
              </w:rPr>
            </w:pPr>
          </w:p>
        </w:tc>
      </w:tr>
      <w:tr w14:paraId="367159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7" w:hRule="atLeast"/>
          <w:jc w:val="center"/>
        </w:trPr>
        <w:tc>
          <w:tcPr>
            <w:tcW w:w="603" w:type="pct"/>
            <w:gridSpan w:val="2"/>
            <w:vAlign w:val="center"/>
          </w:tcPr>
          <w:p w14:paraId="3A838DD2">
            <w:pPr>
              <w:pStyle w:val="61"/>
              <w:spacing w:line="240" w:lineRule="auto"/>
              <w:ind w:left="0" w:leftChars="0" w:firstLine="0" w:firstLineChars="0"/>
              <w:jc w:val="left"/>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多声源叠加值</w:t>
            </w:r>
          </w:p>
        </w:tc>
        <w:tc>
          <w:tcPr>
            <w:tcW w:w="360" w:type="pct"/>
            <w:vAlign w:val="center"/>
          </w:tcPr>
          <w:p w14:paraId="6AC08F23">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100.5</w:t>
            </w:r>
          </w:p>
        </w:tc>
        <w:tc>
          <w:tcPr>
            <w:tcW w:w="372" w:type="pct"/>
            <w:vAlign w:val="center"/>
          </w:tcPr>
          <w:p w14:paraId="2C0F3D47">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80.5</w:t>
            </w:r>
          </w:p>
        </w:tc>
        <w:tc>
          <w:tcPr>
            <w:tcW w:w="372" w:type="pct"/>
            <w:vAlign w:val="center"/>
          </w:tcPr>
          <w:p w14:paraId="3A1F190C">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74.5</w:t>
            </w:r>
          </w:p>
        </w:tc>
        <w:tc>
          <w:tcPr>
            <w:tcW w:w="372" w:type="pct"/>
            <w:vAlign w:val="center"/>
          </w:tcPr>
          <w:p w14:paraId="2ADBC5DA">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70.5</w:t>
            </w:r>
          </w:p>
        </w:tc>
        <w:tc>
          <w:tcPr>
            <w:tcW w:w="372" w:type="pct"/>
            <w:vAlign w:val="center"/>
          </w:tcPr>
          <w:p w14:paraId="5FAEE841">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68.5</w:t>
            </w:r>
          </w:p>
        </w:tc>
        <w:tc>
          <w:tcPr>
            <w:tcW w:w="372" w:type="pct"/>
            <w:vAlign w:val="center"/>
          </w:tcPr>
          <w:p w14:paraId="683039D6">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66.5</w:t>
            </w:r>
          </w:p>
        </w:tc>
        <w:tc>
          <w:tcPr>
            <w:tcW w:w="372" w:type="pct"/>
            <w:vAlign w:val="center"/>
          </w:tcPr>
          <w:p w14:paraId="66B2B9BA">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60.5</w:t>
            </w:r>
          </w:p>
        </w:tc>
        <w:tc>
          <w:tcPr>
            <w:tcW w:w="374" w:type="pct"/>
            <w:vAlign w:val="center"/>
          </w:tcPr>
          <w:p w14:paraId="39044D96">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56.5</w:t>
            </w:r>
          </w:p>
        </w:tc>
        <w:tc>
          <w:tcPr>
            <w:tcW w:w="374" w:type="pct"/>
            <w:vAlign w:val="center"/>
          </w:tcPr>
          <w:p w14:paraId="4894ED5B">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54.5</w:t>
            </w:r>
          </w:p>
        </w:tc>
        <w:tc>
          <w:tcPr>
            <w:tcW w:w="374" w:type="pct"/>
            <w:vAlign w:val="center"/>
          </w:tcPr>
          <w:p w14:paraId="26CEDA42">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52.5</w:t>
            </w:r>
          </w:p>
        </w:tc>
        <w:tc>
          <w:tcPr>
            <w:tcW w:w="380" w:type="pct"/>
            <w:vAlign w:val="center"/>
          </w:tcPr>
          <w:p w14:paraId="6329F830">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50.5</w:t>
            </w:r>
          </w:p>
        </w:tc>
        <w:tc>
          <w:tcPr>
            <w:tcW w:w="296" w:type="pct"/>
            <w:vMerge w:val="continue"/>
            <w:vAlign w:val="center"/>
          </w:tcPr>
          <w:p w14:paraId="4C54E702">
            <w:pPr>
              <w:pStyle w:val="61"/>
              <w:spacing w:line="240" w:lineRule="auto"/>
              <w:jc w:val="left"/>
              <w:rPr>
                <w:rFonts w:hint="default" w:ascii="Times New Roman" w:hAnsi="Times New Roman" w:eastAsia="宋体" w:cs="Times New Roman"/>
                <w:b w:val="0"/>
                <w:bCs/>
                <w:color w:val="000000" w:themeColor="text1"/>
                <w:sz w:val="18"/>
                <w:szCs w:val="18"/>
                <w14:textFill>
                  <w14:solidFill>
                    <w14:schemeClr w14:val="tx1"/>
                  </w14:solidFill>
                </w14:textFill>
              </w:rPr>
            </w:pPr>
          </w:p>
        </w:tc>
      </w:tr>
      <w:tr w14:paraId="00C606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7" w:hRule="atLeast"/>
          <w:jc w:val="center"/>
        </w:trPr>
        <w:tc>
          <w:tcPr>
            <w:tcW w:w="296" w:type="pct"/>
            <w:vAlign w:val="center"/>
          </w:tcPr>
          <w:p w14:paraId="29AF3764">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w:t>
            </w:r>
          </w:p>
        </w:tc>
        <w:tc>
          <w:tcPr>
            <w:tcW w:w="307" w:type="pct"/>
            <w:vAlign w:val="center"/>
          </w:tcPr>
          <w:p w14:paraId="27B548AD">
            <w:pPr>
              <w:pStyle w:val="61"/>
              <w:spacing w:line="240" w:lineRule="auto"/>
              <w:ind w:left="0" w:leftChars="0" w:firstLine="0" w:firstLineChars="0"/>
              <w:jc w:val="left"/>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电钻</w:t>
            </w:r>
          </w:p>
        </w:tc>
        <w:tc>
          <w:tcPr>
            <w:tcW w:w="360" w:type="pct"/>
            <w:vAlign w:val="center"/>
          </w:tcPr>
          <w:p w14:paraId="0394129B">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104</w:t>
            </w:r>
          </w:p>
        </w:tc>
        <w:tc>
          <w:tcPr>
            <w:tcW w:w="372" w:type="pct"/>
            <w:vAlign w:val="center"/>
          </w:tcPr>
          <w:p w14:paraId="38A86A14">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84</w:t>
            </w:r>
          </w:p>
        </w:tc>
        <w:tc>
          <w:tcPr>
            <w:tcW w:w="372" w:type="pct"/>
            <w:vAlign w:val="center"/>
          </w:tcPr>
          <w:p w14:paraId="3E6E9186">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78</w:t>
            </w:r>
          </w:p>
        </w:tc>
        <w:tc>
          <w:tcPr>
            <w:tcW w:w="372" w:type="pct"/>
            <w:vAlign w:val="center"/>
          </w:tcPr>
          <w:p w14:paraId="32774148">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74</w:t>
            </w:r>
          </w:p>
        </w:tc>
        <w:tc>
          <w:tcPr>
            <w:tcW w:w="372" w:type="pct"/>
            <w:vAlign w:val="center"/>
          </w:tcPr>
          <w:p w14:paraId="4C4D9E57">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72</w:t>
            </w:r>
          </w:p>
        </w:tc>
        <w:tc>
          <w:tcPr>
            <w:tcW w:w="372" w:type="pct"/>
            <w:vAlign w:val="center"/>
          </w:tcPr>
          <w:p w14:paraId="1E3A2F57">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70</w:t>
            </w:r>
          </w:p>
        </w:tc>
        <w:tc>
          <w:tcPr>
            <w:tcW w:w="372" w:type="pct"/>
            <w:vAlign w:val="center"/>
          </w:tcPr>
          <w:p w14:paraId="298AE20D">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64</w:t>
            </w:r>
          </w:p>
        </w:tc>
        <w:tc>
          <w:tcPr>
            <w:tcW w:w="374" w:type="pct"/>
            <w:vAlign w:val="center"/>
          </w:tcPr>
          <w:p w14:paraId="6C590913">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60</w:t>
            </w:r>
          </w:p>
        </w:tc>
        <w:tc>
          <w:tcPr>
            <w:tcW w:w="374" w:type="pct"/>
            <w:vAlign w:val="center"/>
          </w:tcPr>
          <w:p w14:paraId="44B21E9A">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58</w:t>
            </w:r>
          </w:p>
        </w:tc>
        <w:tc>
          <w:tcPr>
            <w:tcW w:w="374" w:type="pct"/>
            <w:vAlign w:val="center"/>
          </w:tcPr>
          <w:p w14:paraId="3280EABB">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56</w:t>
            </w:r>
          </w:p>
        </w:tc>
        <w:tc>
          <w:tcPr>
            <w:tcW w:w="380" w:type="pct"/>
            <w:vAlign w:val="center"/>
          </w:tcPr>
          <w:p w14:paraId="7AC3E457">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54</w:t>
            </w:r>
          </w:p>
        </w:tc>
        <w:tc>
          <w:tcPr>
            <w:tcW w:w="296" w:type="pct"/>
            <w:vMerge w:val="restart"/>
            <w:vAlign w:val="center"/>
          </w:tcPr>
          <w:p w14:paraId="1F768A9D">
            <w:pPr>
              <w:pStyle w:val="61"/>
              <w:spacing w:line="240" w:lineRule="auto"/>
              <w:ind w:left="0" w:leftChars="0" w:firstLine="0" w:firstLineChars="0"/>
              <w:jc w:val="left"/>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lang w:eastAsia="zh-CN"/>
                <w14:textFill>
                  <w14:solidFill>
                    <w14:schemeClr w14:val="tx1"/>
                  </w14:solidFill>
                </w14:textFill>
              </w:rPr>
              <w:t>环保设备</w:t>
            </w:r>
            <w:r>
              <w:rPr>
                <w:rFonts w:hint="default" w:ascii="Times New Roman" w:hAnsi="Times New Roman" w:eastAsia="宋体" w:cs="Times New Roman"/>
                <w:b w:val="0"/>
                <w:bCs/>
                <w:color w:val="000000" w:themeColor="text1"/>
                <w:sz w:val="18"/>
                <w:szCs w:val="18"/>
                <w14:textFill>
                  <w14:solidFill>
                    <w14:schemeClr w14:val="tx1"/>
                  </w14:solidFill>
                </w14:textFill>
              </w:rPr>
              <w:t>安装</w:t>
            </w:r>
          </w:p>
        </w:tc>
      </w:tr>
      <w:tr w14:paraId="1C60AA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7" w:hRule="atLeast"/>
          <w:jc w:val="center"/>
        </w:trPr>
        <w:tc>
          <w:tcPr>
            <w:tcW w:w="296" w:type="pct"/>
            <w:vAlign w:val="center"/>
          </w:tcPr>
          <w:p w14:paraId="42775E65">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2</w:t>
            </w:r>
          </w:p>
        </w:tc>
        <w:tc>
          <w:tcPr>
            <w:tcW w:w="307" w:type="pct"/>
            <w:vAlign w:val="center"/>
          </w:tcPr>
          <w:p w14:paraId="0FDA3EBF">
            <w:pPr>
              <w:pStyle w:val="61"/>
              <w:spacing w:line="240" w:lineRule="auto"/>
              <w:ind w:left="0" w:leftChars="0" w:firstLine="0" w:firstLineChars="0"/>
              <w:jc w:val="left"/>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手工钻</w:t>
            </w:r>
          </w:p>
        </w:tc>
        <w:tc>
          <w:tcPr>
            <w:tcW w:w="360" w:type="pct"/>
            <w:vAlign w:val="center"/>
          </w:tcPr>
          <w:p w14:paraId="4D78EAC5">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99</w:t>
            </w:r>
          </w:p>
        </w:tc>
        <w:tc>
          <w:tcPr>
            <w:tcW w:w="372" w:type="pct"/>
            <w:vAlign w:val="center"/>
          </w:tcPr>
          <w:p w14:paraId="4796E0C6">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79</w:t>
            </w:r>
          </w:p>
        </w:tc>
        <w:tc>
          <w:tcPr>
            <w:tcW w:w="372" w:type="pct"/>
            <w:vAlign w:val="center"/>
          </w:tcPr>
          <w:p w14:paraId="09400916">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73</w:t>
            </w:r>
          </w:p>
        </w:tc>
        <w:tc>
          <w:tcPr>
            <w:tcW w:w="372" w:type="pct"/>
            <w:vAlign w:val="center"/>
          </w:tcPr>
          <w:p w14:paraId="2F0E8534">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69</w:t>
            </w:r>
          </w:p>
        </w:tc>
        <w:tc>
          <w:tcPr>
            <w:tcW w:w="372" w:type="pct"/>
            <w:vAlign w:val="center"/>
          </w:tcPr>
          <w:p w14:paraId="2EC64573">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67</w:t>
            </w:r>
          </w:p>
        </w:tc>
        <w:tc>
          <w:tcPr>
            <w:tcW w:w="372" w:type="pct"/>
            <w:vAlign w:val="center"/>
          </w:tcPr>
          <w:p w14:paraId="6A1459B0">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65</w:t>
            </w:r>
          </w:p>
        </w:tc>
        <w:tc>
          <w:tcPr>
            <w:tcW w:w="372" w:type="pct"/>
            <w:vAlign w:val="center"/>
          </w:tcPr>
          <w:p w14:paraId="00315AA9">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59</w:t>
            </w:r>
          </w:p>
        </w:tc>
        <w:tc>
          <w:tcPr>
            <w:tcW w:w="374" w:type="pct"/>
            <w:vAlign w:val="center"/>
          </w:tcPr>
          <w:p w14:paraId="71539975">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55</w:t>
            </w:r>
          </w:p>
        </w:tc>
        <w:tc>
          <w:tcPr>
            <w:tcW w:w="374" w:type="pct"/>
            <w:vAlign w:val="center"/>
          </w:tcPr>
          <w:p w14:paraId="6A60BE42">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53</w:t>
            </w:r>
          </w:p>
        </w:tc>
        <w:tc>
          <w:tcPr>
            <w:tcW w:w="374" w:type="pct"/>
            <w:vAlign w:val="center"/>
          </w:tcPr>
          <w:p w14:paraId="2D722676">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51</w:t>
            </w:r>
          </w:p>
        </w:tc>
        <w:tc>
          <w:tcPr>
            <w:tcW w:w="380" w:type="pct"/>
            <w:vAlign w:val="center"/>
          </w:tcPr>
          <w:p w14:paraId="199804EE">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49</w:t>
            </w:r>
          </w:p>
        </w:tc>
        <w:tc>
          <w:tcPr>
            <w:tcW w:w="296" w:type="pct"/>
            <w:vMerge w:val="continue"/>
            <w:vAlign w:val="center"/>
          </w:tcPr>
          <w:p w14:paraId="48AB197E">
            <w:pPr>
              <w:pStyle w:val="61"/>
              <w:spacing w:line="240" w:lineRule="auto"/>
              <w:rPr>
                <w:rFonts w:hint="default" w:ascii="Times New Roman" w:hAnsi="Times New Roman" w:eastAsia="宋体" w:cs="Times New Roman"/>
                <w:b w:val="0"/>
                <w:bCs/>
                <w:color w:val="000000" w:themeColor="text1"/>
                <w:sz w:val="18"/>
                <w:szCs w:val="18"/>
                <w14:textFill>
                  <w14:solidFill>
                    <w14:schemeClr w14:val="tx1"/>
                  </w14:solidFill>
                </w14:textFill>
              </w:rPr>
            </w:pPr>
          </w:p>
        </w:tc>
      </w:tr>
      <w:tr w14:paraId="308C8E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7" w:hRule="atLeast"/>
          <w:jc w:val="center"/>
        </w:trPr>
        <w:tc>
          <w:tcPr>
            <w:tcW w:w="603" w:type="pct"/>
            <w:gridSpan w:val="2"/>
            <w:vAlign w:val="center"/>
          </w:tcPr>
          <w:p w14:paraId="6AA3617C">
            <w:pPr>
              <w:pStyle w:val="61"/>
              <w:spacing w:line="240" w:lineRule="auto"/>
              <w:ind w:left="0" w:leftChars="0" w:firstLine="0" w:firstLineChars="0"/>
              <w:jc w:val="both"/>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多声源叠加值</w:t>
            </w:r>
          </w:p>
        </w:tc>
        <w:tc>
          <w:tcPr>
            <w:tcW w:w="360" w:type="pct"/>
            <w:vAlign w:val="center"/>
          </w:tcPr>
          <w:p w14:paraId="724F5932">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105.4</w:t>
            </w:r>
          </w:p>
        </w:tc>
        <w:tc>
          <w:tcPr>
            <w:tcW w:w="372" w:type="pct"/>
            <w:vAlign w:val="center"/>
          </w:tcPr>
          <w:p w14:paraId="239B6016">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85.4</w:t>
            </w:r>
          </w:p>
        </w:tc>
        <w:tc>
          <w:tcPr>
            <w:tcW w:w="372" w:type="pct"/>
            <w:vAlign w:val="center"/>
          </w:tcPr>
          <w:p w14:paraId="246B95A2">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79.4</w:t>
            </w:r>
          </w:p>
        </w:tc>
        <w:tc>
          <w:tcPr>
            <w:tcW w:w="372" w:type="pct"/>
            <w:vAlign w:val="center"/>
          </w:tcPr>
          <w:p w14:paraId="1973185F">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75.4</w:t>
            </w:r>
          </w:p>
        </w:tc>
        <w:tc>
          <w:tcPr>
            <w:tcW w:w="372" w:type="pct"/>
            <w:vAlign w:val="center"/>
          </w:tcPr>
          <w:p w14:paraId="167AA8B0">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73.4</w:t>
            </w:r>
          </w:p>
        </w:tc>
        <w:tc>
          <w:tcPr>
            <w:tcW w:w="372" w:type="pct"/>
            <w:vAlign w:val="center"/>
          </w:tcPr>
          <w:p w14:paraId="456C0C3C">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71.4</w:t>
            </w:r>
          </w:p>
        </w:tc>
        <w:tc>
          <w:tcPr>
            <w:tcW w:w="372" w:type="pct"/>
            <w:vAlign w:val="center"/>
          </w:tcPr>
          <w:p w14:paraId="38AA349D">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65.4</w:t>
            </w:r>
          </w:p>
        </w:tc>
        <w:tc>
          <w:tcPr>
            <w:tcW w:w="374" w:type="pct"/>
            <w:vAlign w:val="center"/>
          </w:tcPr>
          <w:p w14:paraId="36A515C4">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61.4</w:t>
            </w:r>
          </w:p>
        </w:tc>
        <w:tc>
          <w:tcPr>
            <w:tcW w:w="374" w:type="pct"/>
            <w:vAlign w:val="center"/>
          </w:tcPr>
          <w:p w14:paraId="7BD2351D">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59.4</w:t>
            </w:r>
          </w:p>
        </w:tc>
        <w:tc>
          <w:tcPr>
            <w:tcW w:w="374" w:type="pct"/>
            <w:vAlign w:val="center"/>
          </w:tcPr>
          <w:p w14:paraId="4DE451A7">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57.4</w:t>
            </w:r>
          </w:p>
        </w:tc>
        <w:tc>
          <w:tcPr>
            <w:tcW w:w="380" w:type="pct"/>
            <w:vAlign w:val="center"/>
          </w:tcPr>
          <w:p w14:paraId="7F71E89C">
            <w:pPr>
              <w:pStyle w:val="61"/>
              <w:spacing w:line="24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55.4</w:t>
            </w:r>
          </w:p>
        </w:tc>
        <w:tc>
          <w:tcPr>
            <w:tcW w:w="296" w:type="pct"/>
            <w:vMerge w:val="continue"/>
            <w:vAlign w:val="center"/>
          </w:tcPr>
          <w:p w14:paraId="31502213">
            <w:pPr>
              <w:pStyle w:val="61"/>
              <w:spacing w:line="240" w:lineRule="auto"/>
              <w:rPr>
                <w:rFonts w:hint="default" w:ascii="Times New Roman" w:hAnsi="Times New Roman" w:eastAsia="宋体" w:cs="Times New Roman"/>
                <w:b w:val="0"/>
                <w:bCs/>
                <w:color w:val="000000" w:themeColor="text1"/>
                <w:sz w:val="18"/>
                <w:szCs w:val="18"/>
                <w14:textFill>
                  <w14:solidFill>
                    <w14:schemeClr w14:val="tx1"/>
                  </w14:solidFill>
                </w14:textFill>
              </w:rPr>
            </w:pPr>
          </w:p>
        </w:tc>
      </w:tr>
      <w:bookmarkEnd w:id="429"/>
    </w:tbl>
    <w:p w14:paraId="41E5E536">
      <w:pPr>
        <w:bidi w:val="0"/>
        <w:spacing w:line="360" w:lineRule="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声环境影响预测分析</w:t>
      </w:r>
    </w:p>
    <w:p w14:paraId="020FDEE1">
      <w:pPr>
        <w:widowControl/>
        <w:spacing w:line="360" w:lineRule="auto"/>
        <w:ind w:firstLine="49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由预测结果可以看出，在建设期，大部分施工设备的昼间噪声在厂界200m以外基本符合《建筑施工场界环境噪声排放标准》（GB12523—2011）中所规定的标准，而夜间施工时则可能超出标准限值。</w:t>
      </w:r>
    </w:p>
    <w:p w14:paraId="6A2894B1">
      <w:pPr>
        <w:widowControl/>
        <w:spacing w:line="360" w:lineRule="auto"/>
        <w:ind w:firstLine="49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同的施工阶段所投入的机械设备不同，对环境噪声的影响也不同。在施工阶段，主要是挖、填土方、平整土地阶段，以各种推土机、挖土机和运输车辆噪声为主，施工设备噪声具有流动性和不稳定性，对周围环境的影响不太明显；</w:t>
      </w:r>
    </w:p>
    <w:p w14:paraId="20744210">
      <w:pPr>
        <w:widowControl/>
        <w:spacing w:line="360" w:lineRule="auto"/>
        <w:ind w:firstLine="49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施工噪声对环境的影响很大程度上，取决于施工点与敏感点的距离和施工时间，距离越近，或在夜间施工时间越长，产生影响也就越大、越明显。</w:t>
      </w:r>
    </w:p>
    <w:p w14:paraId="609B0E61">
      <w:pPr>
        <w:widowControl/>
        <w:spacing w:line="360" w:lineRule="auto"/>
        <w:ind w:firstLine="49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由于施工量较小，施工期不长，而且随着施工结束而消失，周围无声环境敏感目标，对当地声环境的影响不太明显。</w:t>
      </w:r>
    </w:p>
    <w:p w14:paraId="4E0BD499">
      <w:pPr>
        <w:widowControl/>
        <w:spacing w:line="360" w:lineRule="auto"/>
        <w:ind w:firstLine="49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为了减轻施工噪声对周围环境的影响，建议采取以下措施：</w:t>
      </w:r>
    </w:p>
    <w:p w14:paraId="27FE818A">
      <w:pPr>
        <w:adjustRightInd w:val="0"/>
        <w:snapToGrid w:val="0"/>
        <w:spacing w:line="360" w:lineRule="auto"/>
        <w:ind w:firstLine="490" w:firstLineChars="200"/>
        <w:rPr>
          <w:rFonts w:hint="default" w:ascii="Times New Roman" w:hAnsi="Times New Roman" w:eastAsia="宋体" w:cs="Times New Roman"/>
          <w:kern w:val="24"/>
          <w:sz w:val="24"/>
          <w:szCs w:val="24"/>
        </w:rPr>
      </w:pPr>
      <w:r>
        <w:rPr>
          <w:rFonts w:hint="default" w:ascii="Times New Roman" w:hAnsi="Times New Roman" w:eastAsia="宋体" w:cs="Times New Roman"/>
          <w:kern w:val="24"/>
          <w:sz w:val="24"/>
          <w:szCs w:val="24"/>
        </w:rPr>
        <w:t>（1）合理布局施工机械设备，并进行一定的隔声及减振处理；在不影响施工情况下将噪声设备尽量不集中安排；固定的机械设备尽量入棚操作。选用低噪声的施工机械和工艺，振动较大的固定机械设备应加装减振机座，同时加强各类施工设备的维护和保养，保持其良好的运转，以便从根本上降低噪声源强。</w:t>
      </w:r>
    </w:p>
    <w:p w14:paraId="0D58158F">
      <w:pPr>
        <w:adjustRightInd w:val="0"/>
        <w:snapToGrid w:val="0"/>
        <w:spacing w:line="360" w:lineRule="auto"/>
        <w:ind w:firstLine="490" w:firstLineChars="200"/>
        <w:rPr>
          <w:rFonts w:hint="default" w:ascii="Times New Roman" w:hAnsi="Times New Roman" w:eastAsia="宋体" w:cs="Times New Roman"/>
          <w:kern w:val="24"/>
          <w:sz w:val="24"/>
          <w:szCs w:val="24"/>
        </w:rPr>
      </w:pPr>
      <w:r>
        <w:rPr>
          <w:rFonts w:hint="default" w:ascii="Times New Roman" w:hAnsi="Times New Roman" w:eastAsia="宋体" w:cs="Times New Roman"/>
          <w:kern w:val="24"/>
          <w:sz w:val="24"/>
          <w:szCs w:val="24"/>
        </w:rPr>
        <w:t>（2）</w:t>
      </w:r>
      <w:r>
        <w:rPr>
          <w:rFonts w:hint="default" w:ascii="Times New Roman" w:hAnsi="Times New Roman" w:eastAsia="宋体" w:cs="Times New Roman"/>
          <w:sz w:val="24"/>
          <w:szCs w:val="24"/>
        </w:rPr>
        <w:t>加强施工管理，合理安排施工作业时间，严格按照施工噪声管理的有关规定执行，</w:t>
      </w:r>
      <w:bookmarkStart w:id="430" w:name="_Hlk162431478"/>
      <w:r>
        <w:rPr>
          <w:rFonts w:hint="default" w:ascii="Times New Roman" w:hAnsi="Times New Roman" w:eastAsia="宋体" w:cs="Times New Roman"/>
          <w:sz w:val="24"/>
          <w:szCs w:val="24"/>
        </w:rPr>
        <w:t>严禁夜间进行高噪声施工作业</w:t>
      </w:r>
      <w:bookmarkEnd w:id="430"/>
      <w:r>
        <w:rPr>
          <w:rFonts w:hint="default" w:ascii="Times New Roman" w:hAnsi="Times New Roman" w:eastAsia="宋体" w:cs="Times New Roman"/>
          <w:sz w:val="24"/>
          <w:szCs w:val="24"/>
        </w:rPr>
        <w:t>。</w:t>
      </w:r>
      <w:r>
        <w:rPr>
          <w:rFonts w:hint="default" w:ascii="Times New Roman" w:hAnsi="Times New Roman" w:eastAsia="宋体" w:cs="Times New Roman"/>
          <w:kern w:val="24"/>
          <w:sz w:val="24"/>
          <w:szCs w:val="24"/>
        </w:rPr>
        <w:t>科学合理地安排施工步骤，采取诸如分段浇筑等方式，尽量减短噪声持续排放的时间。</w:t>
      </w:r>
    </w:p>
    <w:p w14:paraId="4D5D28C7">
      <w:pPr>
        <w:adjustRightInd w:val="0"/>
        <w:snapToGrid w:val="0"/>
        <w:spacing w:line="360" w:lineRule="auto"/>
        <w:ind w:firstLine="490" w:firstLineChars="200"/>
        <w:rPr>
          <w:rFonts w:hint="default" w:ascii="Times New Roman" w:hAnsi="Times New Roman" w:eastAsia="宋体" w:cs="Times New Roman"/>
          <w:kern w:val="24"/>
          <w:sz w:val="24"/>
          <w:szCs w:val="24"/>
        </w:rPr>
      </w:pPr>
      <w:r>
        <w:rPr>
          <w:rFonts w:hint="default" w:ascii="Times New Roman" w:hAnsi="Times New Roman" w:eastAsia="宋体" w:cs="Times New Roman"/>
          <w:kern w:val="24"/>
          <w:sz w:val="24"/>
          <w:szCs w:val="24"/>
        </w:rPr>
        <w:t>（3）采用噪声阻隔措施：应在施工场界设置临时挡墙及隔声屏障，挡墙高度应在2.5m以上，以进一步减轻噪声对周围环境的影响。</w:t>
      </w:r>
    </w:p>
    <w:p w14:paraId="114AE2E8">
      <w:pPr>
        <w:adjustRightInd w:val="0"/>
        <w:snapToGrid w:val="0"/>
        <w:spacing w:line="360" w:lineRule="auto"/>
        <w:ind w:firstLine="490" w:firstLineChars="200"/>
        <w:rPr>
          <w:rFonts w:hint="default" w:ascii="Times New Roman" w:hAnsi="Times New Roman" w:eastAsia="宋体" w:cs="Times New Roman"/>
          <w:kern w:val="24"/>
          <w:sz w:val="24"/>
          <w:szCs w:val="24"/>
        </w:rPr>
      </w:pPr>
      <w:r>
        <w:rPr>
          <w:rFonts w:hint="default" w:ascii="Times New Roman" w:hAnsi="Times New Roman" w:eastAsia="宋体" w:cs="Times New Roman"/>
          <w:kern w:val="24"/>
          <w:sz w:val="24"/>
          <w:szCs w:val="24"/>
        </w:rPr>
        <w:t>（4）施工期运输车辆应尽量保持良好车况，合理调度，尽可能匀速慢行；施工场地的施工车辆出入现场时应低速、禁鸣，以减小载重汽车噪声对环境的影响。</w:t>
      </w:r>
    </w:p>
    <w:p w14:paraId="461AC77C">
      <w:pPr>
        <w:pStyle w:val="7"/>
        <w:bidi w:val="0"/>
        <w:rPr>
          <w:rFonts w:hint="default" w:ascii="Times New Roman" w:hAnsi="Times New Roman" w:cs="Times New Roman"/>
        </w:rPr>
      </w:pPr>
      <w:bookmarkStart w:id="431" w:name="_Toc19681"/>
      <w:bookmarkStart w:id="432" w:name="_Toc165816777"/>
      <w:r>
        <w:rPr>
          <w:rFonts w:hint="default" w:ascii="Times New Roman" w:hAnsi="Times New Roman" w:cs="Times New Roman"/>
          <w:lang w:val="en-US" w:eastAsia="zh-CN"/>
        </w:rPr>
        <w:t>5</w:t>
      </w:r>
      <w:r>
        <w:rPr>
          <w:rFonts w:hint="default" w:ascii="Times New Roman" w:hAnsi="Times New Roman" w:cs="Times New Roman"/>
        </w:rPr>
        <w:t>.1.</w:t>
      </w:r>
      <w:r>
        <w:rPr>
          <w:rFonts w:hint="default" w:ascii="Times New Roman" w:hAnsi="Times New Roman" w:cs="Times New Roman"/>
          <w:lang w:val="en-US" w:eastAsia="zh-CN"/>
        </w:rPr>
        <w:t>2.5</w:t>
      </w:r>
      <w:r>
        <w:rPr>
          <w:rFonts w:hint="default" w:ascii="Times New Roman" w:hAnsi="Times New Roman" w:cs="Times New Roman"/>
        </w:rPr>
        <w:t>施工期固体废物环境影响分析</w:t>
      </w:r>
      <w:bookmarkEnd w:id="431"/>
      <w:bookmarkEnd w:id="432"/>
    </w:p>
    <w:p w14:paraId="39E60160">
      <w:pPr>
        <w:autoSpaceDE w:val="0"/>
        <w:autoSpaceDN w:val="0"/>
        <w:adjustRightInd w:val="0"/>
        <w:spacing w:line="360" w:lineRule="auto"/>
        <w:ind w:firstLine="48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项目施工期主要固体废弃物为开挖土石方、建筑垃圾和施工人员产生的生活垃圾。</w:t>
      </w:r>
    </w:p>
    <w:p w14:paraId="2E5728D5">
      <w:pPr>
        <w:autoSpaceDE w:val="0"/>
        <w:autoSpaceDN w:val="0"/>
        <w:adjustRightInd w:val="0"/>
        <w:spacing w:line="360" w:lineRule="auto"/>
        <w:ind w:firstLine="480"/>
        <w:rPr>
          <w:rFonts w:hint="default" w:ascii="Times New Roman" w:hAnsi="Times New Roman" w:eastAsia="宋体" w:cs="Times New Roman"/>
          <w:kern w:val="0"/>
          <w:sz w:val="24"/>
          <w:szCs w:val="24"/>
        </w:rPr>
      </w:pPr>
      <w:bookmarkStart w:id="433" w:name="_Hlk162431505"/>
      <w:r>
        <w:rPr>
          <w:rFonts w:hint="default" w:ascii="Times New Roman" w:hAnsi="Times New Roman" w:eastAsia="宋体" w:cs="Times New Roman"/>
          <w:kern w:val="0"/>
          <w:sz w:val="24"/>
          <w:szCs w:val="24"/>
        </w:rPr>
        <w:t>（1）开挖土石方</w:t>
      </w:r>
    </w:p>
    <w:p w14:paraId="230B1F50">
      <w:pPr>
        <w:autoSpaceDE w:val="0"/>
        <w:autoSpaceDN w:val="0"/>
        <w:adjustRightInd w:val="0"/>
        <w:spacing w:line="360" w:lineRule="auto"/>
        <w:ind w:firstLine="48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根据现场勘查及建设单位提供信息，项目地块已开展场地平整工作</w:t>
      </w:r>
      <w:r>
        <w:rPr>
          <w:rFonts w:hint="default" w:ascii="Times New Roman" w:hAnsi="Times New Roman" w:cs="Times New Roman"/>
          <w:kern w:val="0"/>
          <w:sz w:val="24"/>
          <w:szCs w:val="24"/>
          <w:lang w:eastAsia="zh-CN"/>
        </w:rPr>
        <w:t>。</w:t>
      </w:r>
      <w:r>
        <w:rPr>
          <w:rFonts w:hint="default" w:ascii="Times New Roman" w:hAnsi="Times New Roman" w:eastAsia="宋体" w:cs="Times New Roman"/>
          <w:kern w:val="0"/>
          <w:sz w:val="24"/>
          <w:szCs w:val="24"/>
        </w:rPr>
        <w:t>建筑主要依据地势而建，建筑桩基建设过程中会产生少量的土石方，经分压填实后无废弃土方产生。</w:t>
      </w:r>
    </w:p>
    <w:p w14:paraId="49F9CCD2">
      <w:pPr>
        <w:autoSpaceDE w:val="0"/>
        <w:autoSpaceDN w:val="0"/>
        <w:adjustRightInd w:val="0"/>
        <w:spacing w:line="360" w:lineRule="auto"/>
        <w:ind w:firstLine="48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（2）建筑垃圾</w:t>
      </w:r>
    </w:p>
    <w:p w14:paraId="0FEC73C2">
      <w:pPr>
        <w:autoSpaceDE w:val="0"/>
        <w:autoSpaceDN w:val="0"/>
        <w:adjustRightInd w:val="0"/>
        <w:spacing w:line="360" w:lineRule="auto"/>
        <w:ind w:firstLine="48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w:t>
      </w:r>
      <w:r>
        <w:rPr>
          <w:rFonts w:hint="default" w:ascii="Times New Roman" w:hAnsi="Times New Roman" w:eastAsia="宋体" w:cs="Times New Roman"/>
          <w:bCs/>
          <w:kern w:val="0"/>
          <w:sz w:val="24"/>
          <w:szCs w:val="24"/>
        </w:rPr>
        <w:t>施工期产生的另一固体废物主要为建筑废弃材料，包括砂石、石块、碎砖、废木料、废金属、废钢筋等杂物，产生的建筑垃圾采用分类清理、及时处置，如钢材和塑料等，可回收利用的回收利用，对残余混凝土等不可回收的建筑垃圾集中收集后按当地管理部门要求进行处置。禁止与生活垃圾混合处置，禁止随意丢弃。</w:t>
      </w:r>
    </w:p>
    <w:p w14:paraId="41878414">
      <w:pPr>
        <w:autoSpaceDE w:val="0"/>
        <w:autoSpaceDN w:val="0"/>
        <w:adjustRightInd w:val="0"/>
        <w:spacing w:line="360" w:lineRule="auto"/>
        <w:ind w:firstLine="48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w:t>
      </w:r>
      <w:r>
        <w:rPr>
          <w:rFonts w:hint="default" w:ascii="Times New Roman" w:hAnsi="Times New Roman" w:eastAsia="宋体" w:cs="Times New Roman"/>
          <w:kern w:val="0"/>
          <w:sz w:val="24"/>
          <w:szCs w:val="24"/>
          <w:lang w:val="en-US" w:eastAsia="zh-CN"/>
        </w:rPr>
        <w:t>3</w:t>
      </w:r>
      <w:r>
        <w:rPr>
          <w:rFonts w:hint="default" w:ascii="Times New Roman" w:hAnsi="Times New Roman" w:eastAsia="宋体" w:cs="Times New Roman"/>
          <w:kern w:val="0"/>
          <w:sz w:val="24"/>
          <w:szCs w:val="24"/>
        </w:rPr>
        <w:t>）生活垃圾</w:t>
      </w:r>
    </w:p>
    <w:p w14:paraId="51A3C10E">
      <w:pPr>
        <w:autoSpaceDE w:val="0"/>
        <w:autoSpaceDN w:val="0"/>
        <w:adjustRightInd w:val="0"/>
        <w:spacing w:line="360" w:lineRule="auto"/>
        <w:ind w:firstLine="480"/>
        <w:rPr>
          <w:rFonts w:hint="default" w:ascii="Times New Roman" w:hAnsi="Times New Roman" w:eastAsia="宋体" w:cs="Times New Roman"/>
          <w:kern w:val="0"/>
          <w:sz w:val="24"/>
          <w:szCs w:val="24"/>
        </w:rPr>
      </w:pPr>
      <w:bookmarkStart w:id="434" w:name="_Hlk162431605"/>
      <w:r>
        <w:rPr>
          <w:rFonts w:hint="default" w:ascii="Times New Roman" w:hAnsi="Times New Roman" w:eastAsia="宋体" w:cs="Times New Roman"/>
          <w:kern w:val="0"/>
          <w:sz w:val="24"/>
          <w:szCs w:val="24"/>
        </w:rPr>
        <w:t>项目工程施工人员生活垃圾并入</w:t>
      </w:r>
      <w:r>
        <w:rPr>
          <w:rFonts w:hint="default" w:ascii="Times New Roman" w:hAnsi="Times New Roman" w:cs="Times New Roman"/>
          <w:kern w:val="0"/>
          <w:sz w:val="24"/>
          <w:szCs w:val="24"/>
          <w:lang w:val="en-US" w:eastAsia="zh-CN"/>
        </w:rPr>
        <w:t>矿山</w:t>
      </w:r>
      <w:r>
        <w:rPr>
          <w:rFonts w:hint="default" w:ascii="Times New Roman" w:hAnsi="Times New Roman" w:eastAsia="宋体" w:cs="Times New Roman"/>
          <w:kern w:val="0"/>
          <w:sz w:val="24"/>
          <w:szCs w:val="24"/>
        </w:rPr>
        <w:t>生活垃圾处理系统，严禁随意乱丢及焚烧。</w:t>
      </w:r>
    </w:p>
    <w:bookmarkEnd w:id="434"/>
    <w:p w14:paraId="23E1C96C">
      <w:pPr>
        <w:autoSpaceDE w:val="0"/>
        <w:autoSpaceDN w:val="0"/>
        <w:adjustRightInd w:val="0"/>
        <w:spacing w:line="360" w:lineRule="auto"/>
        <w:ind w:firstLine="48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施工期固体废物都能得到合理处置，对环境影响不大。</w:t>
      </w:r>
    </w:p>
    <w:bookmarkEnd w:id="433"/>
    <w:p w14:paraId="41FBA874">
      <w:pPr>
        <w:pStyle w:val="7"/>
        <w:bidi w:val="0"/>
        <w:rPr>
          <w:rFonts w:hint="default" w:ascii="Times New Roman" w:hAnsi="Times New Roman" w:cs="Times New Roman"/>
        </w:rPr>
      </w:pPr>
      <w:bookmarkStart w:id="435" w:name="_Toc2279"/>
      <w:bookmarkStart w:id="436" w:name="_Toc165816778"/>
      <w:r>
        <w:rPr>
          <w:rFonts w:hint="default" w:ascii="Times New Roman" w:hAnsi="Times New Roman" w:cs="Times New Roman"/>
          <w:lang w:val="en-US" w:eastAsia="zh-CN"/>
        </w:rPr>
        <w:t>5</w:t>
      </w:r>
      <w:r>
        <w:rPr>
          <w:rFonts w:hint="default" w:ascii="Times New Roman" w:hAnsi="Times New Roman" w:cs="Times New Roman"/>
        </w:rPr>
        <w:t>.1.</w:t>
      </w:r>
      <w:r>
        <w:rPr>
          <w:rFonts w:hint="default" w:ascii="Times New Roman" w:hAnsi="Times New Roman" w:cs="Times New Roman"/>
          <w:lang w:val="en-US" w:eastAsia="zh-CN"/>
        </w:rPr>
        <w:t>2.6</w:t>
      </w:r>
      <w:r>
        <w:rPr>
          <w:rFonts w:hint="default" w:ascii="Times New Roman" w:hAnsi="Times New Roman" w:cs="Times New Roman"/>
        </w:rPr>
        <w:t>生态环境影响分析</w:t>
      </w:r>
      <w:bookmarkEnd w:id="435"/>
      <w:bookmarkEnd w:id="436"/>
    </w:p>
    <w:p w14:paraId="088E0CC4">
      <w:pPr>
        <w:spacing w:line="360" w:lineRule="auto"/>
        <w:ind w:firstLine="49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（1）生态环境影响分析</w:t>
      </w:r>
    </w:p>
    <w:p w14:paraId="56BF2FC1">
      <w:pPr>
        <w:pStyle w:val="63"/>
        <w:spacing w:line="360" w:lineRule="auto"/>
        <w:ind w:leftChars="0" w:firstLine="480"/>
        <w:rPr>
          <w:rFonts w:hint="default" w:ascii="Times New Roman" w:hAnsi="Times New Roman" w:eastAsia="宋体" w:cs="Times New Roman"/>
          <w:sz w:val="24"/>
          <w:szCs w:val="24"/>
        </w:rPr>
      </w:pPr>
      <w:bookmarkStart w:id="437" w:name="_Hlk162431693"/>
      <w:r>
        <w:rPr>
          <w:rFonts w:hint="default" w:ascii="Times New Roman" w:hAnsi="Times New Roman" w:eastAsia="宋体" w:cs="Times New Roman"/>
          <w:sz w:val="24"/>
          <w:szCs w:val="24"/>
        </w:rPr>
        <w:t>项目在施工开挖过程中，会造成地面裸露，加深土壤侵蚀和水土流失，将施工区域植被产生一定的影响</w:t>
      </w:r>
      <w:bookmarkEnd w:id="437"/>
      <w:r>
        <w:rPr>
          <w:rFonts w:hint="default" w:ascii="Times New Roman" w:hAnsi="Times New Roman" w:eastAsia="宋体" w:cs="Times New Roman"/>
          <w:sz w:val="24"/>
          <w:szCs w:val="24"/>
        </w:rPr>
        <w:t>，可能产生的影响如下：</w:t>
      </w:r>
    </w:p>
    <w:p w14:paraId="68E882DE">
      <w:pPr>
        <w:pStyle w:val="63"/>
        <w:spacing w:line="360" w:lineRule="auto"/>
        <w:ind w:leftChars="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①地块开挖与填筑</w:t>
      </w:r>
    </w:p>
    <w:p w14:paraId="5FD9D48B">
      <w:pPr>
        <w:pStyle w:val="63"/>
        <w:spacing w:line="360" w:lineRule="auto"/>
        <w:ind w:leftChars="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建设过程中，对现有地块的开挖和填筑将会对周边的地形地貌造成较大的变化，产生一些光滑、松散不稳定、裸露的边坡。同时，施工直接导致地表土壤结构的破坏，地表土壤的抗冲蚀能力降低，形成水土流失危害。</w:t>
      </w:r>
    </w:p>
    <w:p w14:paraId="38E38A2E">
      <w:pPr>
        <w:pStyle w:val="63"/>
        <w:spacing w:line="360" w:lineRule="auto"/>
        <w:ind w:leftChars="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②土方堆放</w:t>
      </w:r>
    </w:p>
    <w:p w14:paraId="7BC11F55">
      <w:pPr>
        <w:pStyle w:val="63"/>
        <w:spacing w:line="360" w:lineRule="auto"/>
        <w:ind w:leftChars="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开挖过程中，部分土方需暂时堆放，土质松散，孔隙率大，且表面无植被防护，遇暴雨时，易造成侵蚀。</w:t>
      </w:r>
    </w:p>
    <w:p w14:paraId="4450F69B">
      <w:pPr>
        <w:pStyle w:val="63"/>
        <w:spacing w:line="360" w:lineRule="auto"/>
        <w:ind w:leftChars="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③其它临时占用土地</w:t>
      </w:r>
    </w:p>
    <w:p w14:paraId="4ECB2BDA">
      <w:pPr>
        <w:spacing w:line="360" w:lineRule="auto"/>
        <w:ind w:firstLine="49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项目施工过程中，料渣临时堆置场等一些临时占地行为，也将对占地范围内的植被和地表土壤造成一定程度的破坏，也会造成水土流失的发生。</w:t>
      </w:r>
    </w:p>
    <w:p w14:paraId="1349CC71">
      <w:pPr>
        <w:spacing w:line="360" w:lineRule="auto"/>
        <w:ind w:firstLine="49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（2）环保措施</w:t>
      </w:r>
    </w:p>
    <w:p w14:paraId="5537CAD3">
      <w:pPr>
        <w:spacing w:line="360" w:lineRule="auto"/>
        <w:ind w:firstLine="49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、土方施工应采取边挖、边运、边调运回填的方式，避免大量松散土存在而造成严重的土壤侵蚀流失。</w:t>
      </w:r>
    </w:p>
    <w:p w14:paraId="2FB52D1C">
      <w:pPr>
        <w:spacing w:line="360" w:lineRule="auto"/>
        <w:ind w:firstLine="49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、严格控制施工范围，在工程场区内调运填土前，应在需填方处采取先护后填，防止土方滑落和水土流失发生。</w:t>
      </w:r>
    </w:p>
    <w:p w14:paraId="3FADF0B5">
      <w:pPr>
        <w:spacing w:line="360" w:lineRule="auto"/>
        <w:ind w:firstLine="49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、施工完成后，不得闲置土地，应尽快对建设区进行水土保持设施和环境绿化工程等建设，使场地</w:t>
      </w:r>
      <w:r>
        <w:rPr>
          <w:rFonts w:hint="default" w:ascii="Times New Roman" w:hAnsi="Times New Roman" w:cs="Times New Roman"/>
          <w:sz w:val="24"/>
          <w:szCs w:val="24"/>
          <w:lang w:eastAsia="zh-CN"/>
        </w:rPr>
        <w:t>地面</w:t>
      </w:r>
      <w:r>
        <w:rPr>
          <w:rFonts w:hint="default" w:ascii="Times New Roman" w:hAnsi="Times New Roman" w:eastAsia="宋体" w:cs="Times New Roman"/>
          <w:sz w:val="24"/>
          <w:szCs w:val="24"/>
        </w:rPr>
        <w:t>及时得到绿化覆盖，并采取临时防护措施，如在场地</w:t>
      </w:r>
      <w:bookmarkStart w:id="438" w:name="_Hlk162431806"/>
      <w:r>
        <w:rPr>
          <w:rFonts w:hint="default" w:ascii="Times New Roman" w:hAnsi="Times New Roman" w:eastAsia="宋体" w:cs="Times New Roman"/>
          <w:sz w:val="24"/>
          <w:szCs w:val="24"/>
        </w:rPr>
        <w:t>设置临时排水沟、沉渣池，用草席、砂袋、挡土墙等对开挖坡面进行护坡，以稳定边坡，减少水土流失。</w:t>
      </w:r>
      <w:bookmarkEnd w:id="438"/>
    </w:p>
    <w:p w14:paraId="5EBE434E">
      <w:pPr>
        <w:rPr>
          <w:rFonts w:hint="default" w:ascii="Times New Roman" w:hAnsi="Times New Roman" w:cs="Times New Roman"/>
          <w:color w:val="auto"/>
          <w:sz w:val="32"/>
          <w:szCs w:val="32"/>
          <w:highlight w:val="none"/>
          <w:lang w:val="en-US" w:eastAsia="zh-CN"/>
        </w:rPr>
      </w:pPr>
      <w:bookmarkStart w:id="439" w:name="_Toc27801"/>
      <w:r>
        <w:rPr>
          <w:rFonts w:hint="default" w:ascii="Times New Roman" w:hAnsi="Times New Roman" w:cs="Times New Roman"/>
          <w:color w:val="auto"/>
          <w:sz w:val="32"/>
          <w:szCs w:val="32"/>
          <w:highlight w:val="none"/>
          <w:lang w:val="en-US" w:eastAsia="zh-CN"/>
        </w:rPr>
        <w:br w:type="page"/>
      </w:r>
    </w:p>
    <w:p w14:paraId="33E8F45D">
      <w:pPr>
        <w:pStyle w:val="4"/>
        <w:bidi w:val="0"/>
        <w:rPr>
          <w:rFonts w:hint="default" w:ascii="Times New Roman" w:hAnsi="Times New Roman" w:cs="Times New Roman"/>
          <w:lang w:val="en-US" w:eastAsia="zh-CN"/>
        </w:rPr>
      </w:pPr>
      <w:bookmarkStart w:id="440" w:name="_Toc14519"/>
      <w:bookmarkStart w:id="441" w:name="_Toc9786"/>
      <w:bookmarkStart w:id="442" w:name="_Toc9148"/>
      <w:bookmarkStart w:id="443" w:name="_Toc8649"/>
      <w:bookmarkStart w:id="444" w:name="_Toc21876"/>
      <w:r>
        <w:rPr>
          <w:rFonts w:hint="default" w:ascii="Times New Roman" w:hAnsi="Times New Roman" w:cs="Times New Roman"/>
          <w:lang w:val="en-US" w:eastAsia="zh-CN"/>
        </w:rPr>
        <w:t>6运营期环境要素影响分析</w:t>
      </w:r>
      <w:bookmarkEnd w:id="439"/>
      <w:bookmarkEnd w:id="440"/>
      <w:bookmarkEnd w:id="441"/>
      <w:bookmarkEnd w:id="442"/>
      <w:bookmarkEnd w:id="443"/>
      <w:bookmarkEnd w:id="444"/>
    </w:p>
    <w:p w14:paraId="3B4A41DE">
      <w:pPr>
        <w:pStyle w:val="5"/>
        <w:bidi w:val="0"/>
        <w:rPr>
          <w:rFonts w:hint="default" w:ascii="Times New Roman" w:hAnsi="Times New Roman" w:cs="Times New Roman"/>
        </w:rPr>
      </w:pPr>
      <w:bookmarkStart w:id="445" w:name="_Toc28110"/>
      <w:bookmarkStart w:id="446" w:name="_Toc7198"/>
      <w:bookmarkStart w:id="447" w:name="_Toc2633"/>
      <w:bookmarkStart w:id="448" w:name="_Toc22811"/>
      <w:bookmarkStart w:id="449" w:name="_Toc27562"/>
      <w:bookmarkStart w:id="450" w:name="_Toc24037"/>
      <w:bookmarkStart w:id="451" w:name="_Toc26362"/>
      <w:r>
        <w:rPr>
          <w:rFonts w:hint="default" w:ascii="Times New Roman" w:hAnsi="Times New Roman" w:cs="Times New Roman"/>
          <w:lang w:val="en-US" w:eastAsia="zh-CN"/>
        </w:rPr>
        <w:t>6.1</w:t>
      </w:r>
      <w:r>
        <w:rPr>
          <w:rFonts w:hint="default" w:ascii="Times New Roman" w:hAnsi="Times New Roman" w:cs="Times New Roman"/>
        </w:rPr>
        <w:t>环境空气环境影响分析</w:t>
      </w:r>
      <w:bookmarkEnd w:id="445"/>
      <w:bookmarkEnd w:id="446"/>
      <w:bookmarkEnd w:id="447"/>
      <w:bookmarkEnd w:id="448"/>
      <w:bookmarkEnd w:id="449"/>
      <w:bookmarkEnd w:id="450"/>
      <w:bookmarkEnd w:id="451"/>
    </w:p>
    <w:p w14:paraId="36A0885B">
      <w:pPr>
        <w:pStyle w:val="6"/>
        <w:bidi w:val="0"/>
        <w:rPr>
          <w:rFonts w:hint="default" w:ascii="Times New Roman" w:hAnsi="Times New Roman" w:cs="Times New Roman"/>
          <w:lang w:val="en-US" w:eastAsia="zh-CN"/>
        </w:rPr>
      </w:pPr>
      <w:bookmarkStart w:id="452" w:name="_Toc4273"/>
      <w:bookmarkStart w:id="453" w:name="_Toc4049"/>
      <w:bookmarkStart w:id="454" w:name="_Toc9271"/>
      <w:bookmarkStart w:id="455" w:name="_Toc30807"/>
      <w:r>
        <w:rPr>
          <w:rFonts w:hint="default" w:ascii="Times New Roman" w:hAnsi="Times New Roman" w:cs="Times New Roman"/>
          <w:lang w:val="en-US" w:eastAsia="zh-CN"/>
        </w:rPr>
        <w:t>6.1.1评价工作等级及评价范围确定</w:t>
      </w:r>
      <w:bookmarkEnd w:id="452"/>
    </w:p>
    <w:p w14:paraId="2A920B3C">
      <w:pPr>
        <w:autoSpaceDE w:val="0"/>
        <w:spacing w:line="360" w:lineRule="auto"/>
        <w:ind w:firstLine="490" w:firstLineChars="200"/>
        <w:jc w:val="left"/>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（1）评价工作分级方法</w:t>
      </w:r>
    </w:p>
    <w:p w14:paraId="3227048E">
      <w:pPr>
        <w:autoSpaceDE w:val="0"/>
        <w:spacing w:line="360" w:lineRule="auto"/>
        <w:ind w:firstLine="490" w:firstLineChars="200"/>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根据项目工程分析结果，选择TSP、PM</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PM</w:t>
      </w:r>
      <w:r>
        <w:rPr>
          <w:rFonts w:hint="default" w:ascii="Times New Roman" w:hAnsi="Times New Roman" w:cs="Times New Roman"/>
          <w:color w:val="auto"/>
          <w:sz w:val="24"/>
          <w:szCs w:val="24"/>
          <w:highlight w:val="none"/>
          <w:vertAlign w:val="subscript"/>
          <w:lang w:val="en-US" w:eastAsia="zh-CN"/>
        </w:rPr>
        <w:t>2.5</w:t>
      </w:r>
      <w:r>
        <w:rPr>
          <w:rFonts w:hint="default" w:ascii="Times New Roman" w:hAnsi="Times New Roman" w:cs="Times New Roman"/>
          <w:color w:val="auto"/>
          <w:sz w:val="24"/>
          <w:szCs w:val="24"/>
          <w:highlight w:val="none"/>
          <w:lang w:val="en-US" w:eastAsia="zh-CN"/>
        </w:rPr>
        <w:t>作为评价因子，计算所有废气排放源各污染因子的最大地面浓度占标率Pi （第i个污染物），及第i个污染物地面浓度的标准限值10%时所对应的最大D10%。</w:t>
      </w:r>
    </w:p>
    <w:p w14:paraId="3D75B460">
      <w:pPr>
        <w:autoSpaceDE w:val="0"/>
        <w:spacing w:line="360" w:lineRule="auto"/>
        <w:ind w:firstLine="490"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（2）评价工作等级划分</w:t>
      </w:r>
    </w:p>
    <w:p w14:paraId="5819742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9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cs="Times New Roman"/>
          <w:color w:val="auto"/>
          <w:sz w:val="24"/>
          <w:szCs w:val="24"/>
          <w:highlight w:val="none"/>
          <w:lang w:val="en-US" w:eastAsia="zh-CN"/>
        </w:rPr>
        <w:t>评价工作等级</w:t>
      </w:r>
    </w:p>
    <w:p w14:paraId="4716D88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9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大气环境》（HJ2.2-2018）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评价工作等级的判定依据见下表。</w:t>
      </w:r>
    </w:p>
    <w:p w14:paraId="0950CA67">
      <w:pPr>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w:t>
      </w:r>
      <w:r>
        <w:rPr>
          <w:rFonts w:hint="default" w:ascii="Times New Roman" w:hAnsi="Times New Roman" w:eastAsia="黑体" w:cs="Times New Roman"/>
          <w:color w:val="auto"/>
          <w:sz w:val="21"/>
          <w:szCs w:val="21"/>
          <w:highlight w:val="none"/>
          <w:lang w:val="en-US" w:eastAsia="zh-CN"/>
        </w:rPr>
        <w:t>6.1.1-1</w:t>
      </w:r>
      <w:r>
        <w:rPr>
          <w:rFonts w:hint="default" w:ascii="Times New Roman" w:hAnsi="Times New Roman" w:eastAsia="黑体" w:cs="Times New Roman"/>
          <w:color w:val="auto"/>
          <w:sz w:val="21"/>
          <w:szCs w:val="21"/>
          <w:highlight w:val="none"/>
        </w:rPr>
        <w:t xml:space="preserve">  评价等级判别表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7209"/>
      </w:tblGrid>
      <w:tr w14:paraId="5FB072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19" w:type="pct"/>
            <w:noWrap w:val="0"/>
            <w:vAlign w:val="center"/>
          </w:tcPr>
          <w:p w14:paraId="368D959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评价工作等级</w:t>
            </w:r>
          </w:p>
        </w:tc>
        <w:tc>
          <w:tcPr>
            <w:tcW w:w="3880" w:type="pct"/>
            <w:noWrap w:val="0"/>
            <w:vAlign w:val="center"/>
          </w:tcPr>
          <w:p w14:paraId="1A53FCF1">
            <w:pPr>
              <w:ind w:firstLine="370" w:firstLineChars="20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评价工作分级判据</w:t>
            </w:r>
          </w:p>
        </w:tc>
      </w:tr>
      <w:tr w14:paraId="2B45FC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19" w:type="pct"/>
            <w:noWrap w:val="0"/>
            <w:vAlign w:val="center"/>
          </w:tcPr>
          <w:p w14:paraId="11DA0FF6">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一级</w:t>
            </w:r>
          </w:p>
        </w:tc>
        <w:tc>
          <w:tcPr>
            <w:tcW w:w="3880" w:type="pct"/>
            <w:noWrap w:val="0"/>
            <w:vAlign w:val="center"/>
          </w:tcPr>
          <w:p w14:paraId="1C2EFBD4">
            <w:pPr>
              <w:ind w:firstLine="370" w:firstLineChars="20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Pmax≥10%</w:t>
            </w:r>
          </w:p>
        </w:tc>
      </w:tr>
      <w:tr w14:paraId="3EB88C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19" w:type="pct"/>
            <w:noWrap w:val="0"/>
            <w:vAlign w:val="center"/>
          </w:tcPr>
          <w:p w14:paraId="30267D0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二级</w:t>
            </w:r>
          </w:p>
        </w:tc>
        <w:tc>
          <w:tcPr>
            <w:tcW w:w="3880" w:type="pct"/>
            <w:noWrap w:val="0"/>
            <w:vAlign w:val="center"/>
          </w:tcPr>
          <w:p w14:paraId="2605DF55">
            <w:pPr>
              <w:ind w:firstLine="370" w:firstLineChars="20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1%≤Pmax＜10%</w:t>
            </w:r>
          </w:p>
        </w:tc>
      </w:tr>
      <w:tr w14:paraId="7F4DB6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19" w:type="pct"/>
            <w:noWrap w:val="0"/>
            <w:vAlign w:val="center"/>
          </w:tcPr>
          <w:p w14:paraId="58FB3E15">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三级</w:t>
            </w:r>
          </w:p>
        </w:tc>
        <w:tc>
          <w:tcPr>
            <w:tcW w:w="3880" w:type="pct"/>
            <w:noWrap w:val="0"/>
            <w:vAlign w:val="center"/>
          </w:tcPr>
          <w:p w14:paraId="13A94BD6">
            <w:pPr>
              <w:ind w:firstLine="370" w:firstLineChars="20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Pmax＜1%</w:t>
            </w:r>
          </w:p>
        </w:tc>
      </w:tr>
    </w:tbl>
    <w:p w14:paraId="49076FAC">
      <w:pPr>
        <w:keepNext w:val="0"/>
        <w:keepLines w:val="0"/>
        <w:pageBreakBefore w:val="0"/>
        <w:widowControl w:val="0"/>
        <w:kinsoku/>
        <w:wordWrap/>
        <w:overflowPunct/>
        <w:topLinePunct w:val="0"/>
        <w:autoSpaceDE w:val="0"/>
        <w:autoSpaceDN/>
        <w:bidi w:val="0"/>
        <w:adjustRightInd/>
        <w:snapToGrid/>
        <w:spacing w:before="157" w:beforeLines="50" w:line="360" w:lineRule="auto"/>
        <w:ind w:firstLine="49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b</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评价工作等级的确定</w:t>
      </w:r>
    </w:p>
    <w:p w14:paraId="2690E0A5">
      <w:pPr>
        <w:autoSpaceDE w:val="0"/>
        <w:spacing w:line="360" w:lineRule="auto"/>
        <w:ind w:firstLine="49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根据《环境影响评价技术导则-大气环境》(HJ2.2-2018) ，有多个排放源排放同一种污染物时，按各污染源分别确定其评价等级，并取评价等级最高者作为项目的评价等级。</w:t>
      </w:r>
    </w:p>
    <w:p w14:paraId="44D286F6">
      <w:pPr>
        <w:ind w:firstLine="480"/>
        <w:rPr>
          <w:rFonts w:hint="default" w:ascii="Times New Roman" w:hAnsi="Times New Roman" w:cs="Times New Roman"/>
        </w:rPr>
      </w:pPr>
      <w:r>
        <w:rPr>
          <w:rFonts w:hint="default" w:ascii="Times New Roman" w:hAnsi="Times New Roman" w:cs="Times New Roman"/>
        </w:rPr>
        <w:t>（3）污染物评价标准</w:t>
      </w:r>
    </w:p>
    <w:p w14:paraId="6A0F4871">
      <w:pPr>
        <w:ind w:firstLine="480"/>
        <w:rPr>
          <w:rFonts w:hint="default" w:ascii="Times New Roman" w:hAnsi="Times New Roman" w:cs="Times New Roman"/>
        </w:rPr>
      </w:pPr>
      <w:r>
        <w:rPr>
          <w:rFonts w:hint="default" w:ascii="Times New Roman" w:hAnsi="Times New Roman" w:cs="Times New Roman"/>
        </w:rPr>
        <w:t>污染物评价标准和来源见下表。</w:t>
      </w:r>
    </w:p>
    <w:p w14:paraId="5BBB141C">
      <w:pPr>
        <w:jc w:val="center"/>
        <w:rPr>
          <w:rFonts w:hint="default" w:ascii="Times New Roman" w:hAnsi="Times New Roman" w:cs="Times New Roman"/>
          <w:b/>
        </w:rPr>
      </w:pPr>
      <w:r>
        <w:rPr>
          <w:rFonts w:hint="default" w:ascii="Times New Roman" w:hAnsi="Times New Roman" w:eastAsia="黑体" w:cs="Times New Roman"/>
          <w:b w:val="0"/>
          <w:bCs w:val="0"/>
          <w:color w:val="auto"/>
          <w:sz w:val="21"/>
          <w:szCs w:val="21"/>
          <w:highlight w:val="none"/>
        </w:rPr>
        <w:t>表</w:t>
      </w:r>
      <w:r>
        <w:rPr>
          <w:rFonts w:hint="default" w:ascii="Times New Roman" w:hAnsi="Times New Roman" w:eastAsia="黑体" w:cs="Times New Roman"/>
          <w:b w:val="0"/>
          <w:bCs w:val="0"/>
          <w:color w:val="auto"/>
          <w:sz w:val="21"/>
          <w:szCs w:val="21"/>
          <w:highlight w:val="none"/>
          <w:lang w:val="en-US" w:eastAsia="zh-CN"/>
        </w:rPr>
        <w:t>6.1.1-2</w:t>
      </w:r>
      <w:r>
        <w:rPr>
          <w:rFonts w:hint="default" w:ascii="Times New Roman" w:hAnsi="Times New Roman" w:eastAsia="黑体" w:cs="Times New Roman"/>
          <w:b w:val="0"/>
          <w:bCs w:val="0"/>
          <w:sz w:val="21"/>
          <w:szCs w:val="21"/>
        </w:rPr>
        <w:t xml:space="preserve">  污染物评价标准表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1604"/>
        <w:gridCol w:w="1836"/>
        <w:gridCol w:w="4187"/>
      </w:tblGrid>
      <w:tr w14:paraId="164FC2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tcBorders>
              <w:tl2br w:val="nil"/>
              <w:tr2bl w:val="nil"/>
            </w:tcBorders>
            <w:shd w:val="clear" w:color="auto" w:fill="auto"/>
            <w:vAlign w:val="center"/>
          </w:tcPr>
          <w:p w14:paraId="5174D2BD">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污染物名称</w:t>
            </w:r>
          </w:p>
        </w:tc>
        <w:tc>
          <w:tcPr>
            <w:tcW w:w="863" w:type="pct"/>
            <w:tcBorders>
              <w:tl2br w:val="nil"/>
              <w:tr2bl w:val="nil"/>
            </w:tcBorders>
            <w:shd w:val="clear" w:color="auto" w:fill="auto"/>
            <w:vAlign w:val="center"/>
          </w:tcPr>
          <w:p w14:paraId="1BC8D5CD">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平均时段</w:t>
            </w:r>
          </w:p>
        </w:tc>
        <w:tc>
          <w:tcPr>
            <w:tcW w:w="988" w:type="pct"/>
            <w:tcBorders>
              <w:tl2br w:val="nil"/>
              <w:tr2bl w:val="nil"/>
            </w:tcBorders>
            <w:shd w:val="clear" w:color="auto" w:fill="auto"/>
            <w:vAlign w:val="center"/>
          </w:tcPr>
          <w:p w14:paraId="1175C6C8">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标准值</w:t>
            </w:r>
            <w:r>
              <w:rPr>
                <w:rFonts w:hint="default" w:ascii="Times New Roman" w:hAnsi="Times New Roman" w:cs="Times New Roman"/>
                <w:sz w:val="18"/>
                <w:szCs w:val="18"/>
                <w:lang w:eastAsia="zh-CN"/>
              </w:rPr>
              <w:t>（</w:t>
            </w:r>
            <w:r>
              <w:rPr>
                <w:rFonts w:hint="default" w:ascii="Times New Roman" w:hAnsi="Times New Roman" w:cs="Times New Roman"/>
                <w:sz w:val="18"/>
                <w:szCs w:val="18"/>
              </w:rPr>
              <w:t>μg/m</w:t>
            </w:r>
            <w:r>
              <w:rPr>
                <w:rFonts w:hint="default" w:ascii="Times New Roman" w:hAnsi="Times New Roman" w:cs="Times New Roman"/>
                <w:sz w:val="18"/>
                <w:szCs w:val="18"/>
                <w:vertAlign w:val="superscript"/>
              </w:rPr>
              <w:t>3</w:t>
            </w:r>
            <w:r>
              <w:rPr>
                <w:rFonts w:hint="default" w:ascii="Times New Roman" w:hAnsi="Times New Roman" w:cs="Times New Roman"/>
                <w:sz w:val="18"/>
                <w:szCs w:val="18"/>
                <w:vertAlign w:val="baseline"/>
                <w:lang w:eastAsia="zh-CN"/>
              </w:rPr>
              <w:t>）</w:t>
            </w:r>
          </w:p>
        </w:tc>
        <w:tc>
          <w:tcPr>
            <w:tcW w:w="2253" w:type="pct"/>
            <w:tcBorders>
              <w:tl2br w:val="nil"/>
              <w:tr2bl w:val="nil"/>
            </w:tcBorders>
            <w:shd w:val="clear" w:color="auto" w:fill="auto"/>
            <w:vAlign w:val="center"/>
          </w:tcPr>
          <w:p w14:paraId="12BED44B">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标准来源</w:t>
            </w:r>
          </w:p>
        </w:tc>
      </w:tr>
      <w:tr w14:paraId="318BCA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restart"/>
            <w:tcBorders>
              <w:tl2br w:val="nil"/>
              <w:tr2bl w:val="nil"/>
            </w:tcBorders>
            <w:shd w:val="clear" w:color="auto" w:fill="auto"/>
            <w:vAlign w:val="center"/>
          </w:tcPr>
          <w:p w14:paraId="64121541">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颗粒物（PM</w:t>
            </w:r>
            <w:r>
              <w:rPr>
                <w:rFonts w:hint="default" w:ascii="Times New Roman" w:hAnsi="Times New Roman" w:cs="Times New Roman"/>
                <w:sz w:val="18"/>
                <w:szCs w:val="18"/>
                <w:vertAlign w:val="subscript"/>
              </w:rPr>
              <w:t>10</w:t>
            </w:r>
            <w:r>
              <w:rPr>
                <w:rFonts w:hint="default" w:ascii="Times New Roman" w:hAnsi="Times New Roman" w:cs="Times New Roman"/>
                <w:sz w:val="18"/>
                <w:szCs w:val="18"/>
              </w:rPr>
              <w:t>）</w:t>
            </w:r>
          </w:p>
        </w:tc>
        <w:tc>
          <w:tcPr>
            <w:tcW w:w="863" w:type="pct"/>
            <w:tcBorders>
              <w:tl2br w:val="nil"/>
              <w:tr2bl w:val="nil"/>
            </w:tcBorders>
            <w:shd w:val="clear" w:color="auto" w:fill="auto"/>
            <w:vAlign w:val="center"/>
          </w:tcPr>
          <w:p w14:paraId="0C38D044">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24小时平均</w:t>
            </w:r>
          </w:p>
        </w:tc>
        <w:tc>
          <w:tcPr>
            <w:tcW w:w="988" w:type="pct"/>
            <w:tcBorders>
              <w:tl2br w:val="nil"/>
              <w:tr2bl w:val="nil"/>
            </w:tcBorders>
            <w:shd w:val="clear" w:color="auto" w:fill="auto"/>
            <w:vAlign w:val="center"/>
          </w:tcPr>
          <w:p w14:paraId="4FE67D8F">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150</w:t>
            </w:r>
          </w:p>
        </w:tc>
        <w:tc>
          <w:tcPr>
            <w:tcW w:w="2253" w:type="pct"/>
            <w:tcBorders>
              <w:tl2br w:val="nil"/>
              <w:tr2bl w:val="nil"/>
            </w:tcBorders>
            <w:shd w:val="clear" w:color="auto" w:fill="auto"/>
            <w:vAlign w:val="center"/>
          </w:tcPr>
          <w:p w14:paraId="1B0DD485">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《环境空气质量标准》(GB 3095-2012)</w:t>
            </w:r>
          </w:p>
        </w:tc>
      </w:tr>
      <w:tr w14:paraId="400226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continue"/>
            <w:tcBorders>
              <w:tl2br w:val="nil"/>
              <w:tr2bl w:val="nil"/>
            </w:tcBorders>
            <w:shd w:val="clear" w:color="auto" w:fill="auto"/>
            <w:vAlign w:val="center"/>
          </w:tcPr>
          <w:p w14:paraId="3099BBB2">
            <w:pPr>
              <w:adjustRightInd w:val="0"/>
              <w:spacing w:line="240" w:lineRule="auto"/>
              <w:jc w:val="center"/>
              <w:textAlignment w:val="center"/>
              <w:rPr>
                <w:rFonts w:hint="default" w:ascii="Times New Roman" w:hAnsi="Times New Roman" w:cs="Times New Roman"/>
                <w:sz w:val="18"/>
                <w:szCs w:val="18"/>
              </w:rPr>
            </w:pPr>
          </w:p>
        </w:tc>
        <w:tc>
          <w:tcPr>
            <w:tcW w:w="863" w:type="pct"/>
            <w:tcBorders>
              <w:tl2br w:val="nil"/>
              <w:tr2bl w:val="nil"/>
            </w:tcBorders>
            <w:shd w:val="clear" w:color="auto" w:fill="auto"/>
            <w:vAlign w:val="center"/>
          </w:tcPr>
          <w:p w14:paraId="2CD42E1B">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24小时平均折算1h平均</w:t>
            </w:r>
          </w:p>
        </w:tc>
        <w:tc>
          <w:tcPr>
            <w:tcW w:w="988" w:type="pct"/>
            <w:tcBorders>
              <w:tl2br w:val="nil"/>
              <w:tr2bl w:val="nil"/>
            </w:tcBorders>
            <w:shd w:val="clear" w:color="auto" w:fill="auto"/>
            <w:vAlign w:val="center"/>
          </w:tcPr>
          <w:p w14:paraId="2D7B6EC8">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450</w:t>
            </w:r>
          </w:p>
        </w:tc>
        <w:tc>
          <w:tcPr>
            <w:tcW w:w="2253" w:type="pct"/>
            <w:tcBorders>
              <w:tl2br w:val="nil"/>
              <w:tr2bl w:val="nil"/>
            </w:tcBorders>
            <w:shd w:val="clear" w:color="auto" w:fill="auto"/>
            <w:vAlign w:val="center"/>
          </w:tcPr>
          <w:p w14:paraId="34C77364">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按《环境空气质量标准》</w:t>
            </w:r>
            <w:r>
              <w:rPr>
                <w:rFonts w:hint="default" w:ascii="Times New Roman" w:hAnsi="Times New Roman" w:cs="Times New Roman"/>
                <w:sz w:val="18"/>
                <w:szCs w:val="18"/>
                <w:lang w:eastAsia="zh-CN"/>
              </w:rPr>
              <w:t>（</w:t>
            </w:r>
            <w:r>
              <w:rPr>
                <w:rFonts w:hint="default" w:ascii="Times New Roman" w:hAnsi="Times New Roman" w:cs="Times New Roman"/>
                <w:sz w:val="18"/>
                <w:szCs w:val="18"/>
              </w:rPr>
              <w:t>GB 3095-2012</w:t>
            </w:r>
            <w:r>
              <w:rPr>
                <w:rFonts w:hint="default" w:ascii="Times New Roman" w:hAnsi="Times New Roman" w:cs="Times New Roman"/>
                <w:sz w:val="18"/>
                <w:szCs w:val="18"/>
                <w:lang w:eastAsia="zh-CN"/>
              </w:rPr>
              <w:t>）</w:t>
            </w:r>
            <w:r>
              <w:rPr>
                <w:rFonts w:hint="default" w:ascii="Times New Roman" w:hAnsi="Times New Roman" w:cs="Times New Roman"/>
                <w:sz w:val="18"/>
                <w:szCs w:val="18"/>
              </w:rPr>
              <w:t>中PM</w:t>
            </w:r>
            <w:r>
              <w:rPr>
                <w:rFonts w:hint="default" w:ascii="Times New Roman" w:hAnsi="Times New Roman" w:cs="Times New Roman"/>
                <w:sz w:val="18"/>
                <w:szCs w:val="18"/>
                <w:vertAlign w:val="subscript"/>
              </w:rPr>
              <w:t>10</w:t>
            </w:r>
            <w:r>
              <w:rPr>
                <w:rFonts w:hint="default" w:ascii="Times New Roman" w:hAnsi="Times New Roman" w:cs="Times New Roman"/>
                <w:sz w:val="18"/>
                <w:szCs w:val="18"/>
              </w:rPr>
              <w:t>日平均质量浓度限值的3倍折算为1h平均质量浓度限值</w:t>
            </w:r>
          </w:p>
        </w:tc>
      </w:tr>
      <w:tr w14:paraId="0CF849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restart"/>
            <w:tcBorders>
              <w:tl2br w:val="nil"/>
              <w:tr2bl w:val="nil"/>
            </w:tcBorders>
            <w:shd w:val="clear" w:color="auto" w:fill="auto"/>
            <w:vAlign w:val="center"/>
          </w:tcPr>
          <w:p w14:paraId="35CBC644">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颗粒物（PM</w:t>
            </w:r>
            <w:r>
              <w:rPr>
                <w:rFonts w:hint="default" w:ascii="Times New Roman" w:hAnsi="Times New Roman" w:cs="Times New Roman"/>
                <w:sz w:val="18"/>
                <w:szCs w:val="18"/>
                <w:vertAlign w:val="subscript"/>
              </w:rPr>
              <w:t>2.5</w:t>
            </w:r>
            <w:r>
              <w:rPr>
                <w:rFonts w:hint="default" w:ascii="Times New Roman" w:hAnsi="Times New Roman" w:cs="Times New Roman"/>
                <w:sz w:val="18"/>
                <w:szCs w:val="18"/>
              </w:rPr>
              <w:t>）</w:t>
            </w:r>
          </w:p>
        </w:tc>
        <w:tc>
          <w:tcPr>
            <w:tcW w:w="863" w:type="pct"/>
            <w:tcBorders>
              <w:tl2br w:val="nil"/>
              <w:tr2bl w:val="nil"/>
            </w:tcBorders>
            <w:shd w:val="clear" w:color="auto" w:fill="auto"/>
            <w:vAlign w:val="center"/>
          </w:tcPr>
          <w:p w14:paraId="4E33056D">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24小时平均</w:t>
            </w:r>
          </w:p>
        </w:tc>
        <w:tc>
          <w:tcPr>
            <w:tcW w:w="988" w:type="pct"/>
            <w:tcBorders>
              <w:tl2br w:val="nil"/>
              <w:tr2bl w:val="nil"/>
            </w:tcBorders>
            <w:shd w:val="clear" w:color="auto" w:fill="auto"/>
            <w:vAlign w:val="center"/>
          </w:tcPr>
          <w:p w14:paraId="3341178F">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75</w:t>
            </w:r>
          </w:p>
        </w:tc>
        <w:tc>
          <w:tcPr>
            <w:tcW w:w="2253" w:type="pct"/>
            <w:tcBorders>
              <w:tl2br w:val="nil"/>
              <w:tr2bl w:val="nil"/>
            </w:tcBorders>
            <w:shd w:val="clear" w:color="auto" w:fill="auto"/>
            <w:vAlign w:val="center"/>
          </w:tcPr>
          <w:p w14:paraId="697B3EDB">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《环境空气质量标准》(GB 3095-2012)</w:t>
            </w:r>
          </w:p>
        </w:tc>
      </w:tr>
      <w:tr w14:paraId="16E67F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continue"/>
            <w:tcBorders>
              <w:tl2br w:val="nil"/>
              <w:tr2bl w:val="nil"/>
            </w:tcBorders>
            <w:shd w:val="clear" w:color="auto" w:fill="auto"/>
            <w:vAlign w:val="center"/>
          </w:tcPr>
          <w:p w14:paraId="21895358">
            <w:pPr>
              <w:adjustRightInd w:val="0"/>
              <w:spacing w:line="240" w:lineRule="auto"/>
              <w:jc w:val="center"/>
              <w:textAlignment w:val="center"/>
              <w:rPr>
                <w:rFonts w:hint="default" w:ascii="Times New Roman" w:hAnsi="Times New Roman" w:cs="Times New Roman"/>
                <w:sz w:val="18"/>
                <w:szCs w:val="18"/>
              </w:rPr>
            </w:pPr>
          </w:p>
        </w:tc>
        <w:tc>
          <w:tcPr>
            <w:tcW w:w="863" w:type="pct"/>
            <w:tcBorders>
              <w:tl2br w:val="nil"/>
              <w:tr2bl w:val="nil"/>
            </w:tcBorders>
            <w:shd w:val="clear" w:color="auto" w:fill="auto"/>
            <w:vAlign w:val="center"/>
          </w:tcPr>
          <w:p w14:paraId="1132ECD7">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24小时平均折算1h平均</w:t>
            </w:r>
          </w:p>
        </w:tc>
        <w:tc>
          <w:tcPr>
            <w:tcW w:w="988" w:type="pct"/>
            <w:tcBorders>
              <w:tl2br w:val="nil"/>
              <w:tr2bl w:val="nil"/>
            </w:tcBorders>
            <w:shd w:val="clear" w:color="auto" w:fill="auto"/>
            <w:vAlign w:val="center"/>
          </w:tcPr>
          <w:p w14:paraId="4D928C6F">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225</w:t>
            </w:r>
          </w:p>
        </w:tc>
        <w:tc>
          <w:tcPr>
            <w:tcW w:w="2253" w:type="pct"/>
            <w:tcBorders>
              <w:tl2br w:val="nil"/>
              <w:tr2bl w:val="nil"/>
            </w:tcBorders>
            <w:shd w:val="clear" w:color="auto" w:fill="auto"/>
            <w:vAlign w:val="center"/>
          </w:tcPr>
          <w:p w14:paraId="14D75210">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按《环境空气质量标准》</w:t>
            </w:r>
            <w:r>
              <w:rPr>
                <w:rFonts w:hint="default" w:ascii="Times New Roman" w:hAnsi="Times New Roman" w:cs="Times New Roman"/>
                <w:sz w:val="18"/>
                <w:szCs w:val="18"/>
                <w:lang w:eastAsia="zh-CN"/>
              </w:rPr>
              <w:t>（</w:t>
            </w:r>
            <w:r>
              <w:rPr>
                <w:rFonts w:hint="default" w:ascii="Times New Roman" w:hAnsi="Times New Roman" w:cs="Times New Roman"/>
                <w:sz w:val="18"/>
                <w:szCs w:val="18"/>
              </w:rPr>
              <w:t>GB 3095-2012</w:t>
            </w:r>
            <w:r>
              <w:rPr>
                <w:rFonts w:hint="default" w:ascii="Times New Roman" w:hAnsi="Times New Roman" w:cs="Times New Roman"/>
                <w:sz w:val="18"/>
                <w:szCs w:val="18"/>
                <w:lang w:eastAsia="zh-CN"/>
              </w:rPr>
              <w:t>）</w:t>
            </w:r>
            <w:r>
              <w:rPr>
                <w:rFonts w:hint="default" w:ascii="Times New Roman" w:hAnsi="Times New Roman" w:cs="Times New Roman"/>
                <w:sz w:val="18"/>
                <w:szCs w:val="18"/>
              </w:rPr>
              <w:t>中PM</w:t>
            </w:r>
            <w:r>
              <w:rPr>
                <w:rFonts w:hint="default" w:ascii="Times New Roman" w:hAnsi="Times New Roman" w:cs="Times New Roman"/>
                <w:sz w:val="18"/>
                <w:szCs w:val="18"/>
                <w:vertAlign w:val="subscript"/>
              </w:rPr>
              <w:t>2.5</w:t>
            </w:r>
            <w:r>
              <w:rPr>
                <w:rFonts w:hint="default" w:ascii="Times New Roman" w:hAnsi="Times New Roman" w:cs="Times New Roman"/>
                <w:sz w:val="18"/>
                <w:szCs w:val="18"/>
              </w:rPr>
              <w:t>日平均质量浓度限值的3倍折算为1h平均质量浓度限值</w:t>
            </w:r>
          </w:p>
        </w:tc>
      </w:tr>
      <w:tr w14:paraId="717D5B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restart"/>
            <w:tcBorders>
              <w:tl2br w:val="nil"/>
              <w:tr2bl w:val="nil"/>
            </w:tcBorders>
            <w:shd w:val="clear" w:color="auto" w:fill="auto"/>
            <w:vAlign w:val="center"/>
          </w:tcPr>
          <w:p w14:paraId="186B4D96">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颗粒物（TSP）</w:t>
            </w:r>
          </w:p>
        </w:tc>
        <w:tc>
          <w:tcPr>
            <w:tcW w:w="863" w:type="pct"/>
            <w:tcBorders>
              <w:tl2br w:val="nil"/>
              <w:tr2bl w:val="nil"/>
            </w:tcBorders>
            <w:shd w:val="clear" w:color="auto" w:fill="auto"/>
            <w:vAlign w:val="center"/>
          </w:tcPr>
          <w:p w14:paraId="60D6456E">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24小时平均</w:t>
            </w:r>
          </w:p>
        </w:tc>
        <w:tc>
          <w:tcPr>
            <w:tcW w:w="988" w:type="pct"/>
            <w:tcBorders>
              <w:tl2br w:val="nil"/>
              <w:tr2bl w:val="nil"/>
            </w:tcBorders>
            <w:shd w:val="clear" w:color="auto" w:fill="auto"/>
            <w:vAlign w:val="center"/>
          </w:tcPr>
          <w:p w14:paraId="07184052">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300</w:t>
            </w:r>
          </w:p>
        </w:tc>
        <w:tc>
          <w:tcPr>
            <w:tcW w:w="2253" w:type="pct"/>
            <w:tcBorders>
              <w:tl2br w:val="nil"/>
              <w:tr2bl w:val="nil"/>
            </w:tcBorders>
            <w:shd w:val="clear" w:color="auto" w:fill="auto"/>
            <w:vAlign w:val="center"/>
          </w:tcPr>
          <w:p w14:paraId="26D97EFE">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《环境空气质量标准》(GB 3095-2012)</w:t>
            </w:r>
          </w:p>
        </w:tc>
      </w:tr>
      <w:tr w14:paraId="598123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continue"/>
            <w:tcBorders>
              <w:tl2br w:val="nil"/>
              <w:tr2bl w:val="nil"/>
            </w:tcBorders>
            <w:shd w:val="clear" w:color="auto" w:fill="auto"/>
            <w:vAlign w:val="center"/>
          </w:tcPr>
          <w:p w14:paraId="6E0DC6BA">
            <w:pPr>
              <w:adjustRightInd w:val="0"/>
              <w:spacing w:line="240" w:lineRule="auto"/>
              <w:jc w:val="center"/>
              <w:textAlignment w:val="center"/>
              <w:rPr>
                <w:rFonts w:hint="default" w:ascii="Times New Roman" w:hAnsi="Times New Roman" w:cs="Times New Roman"/>
                <w:sz w:val="18"/>
                <w:szCs w:val="18"/>
              </w:rPr>
            </w:pPr>
          </w:p>
        </w:tc>
        <w:tc>
          <w:tcPr>
            <w:tcW w:w="863" w:type="pct"/>
            <w:tcBorders>
              <w:tl2br w:val="nil"/>
              <w:tr2bl w:val="nil"/>
            </w:tcBorders>
            <w:shd w:val="clear" w:color="auto" w:fill="auto"/>
            <w:vAlign w:val="center"/>
          </w:tcPr>
          <w:p w14:paraId="068C4756">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24小时平均折算1h平均</w:t>
            </w:r>
          </w:p>
        </w:tc>
        <w:tc>
          <w:tcPr>
            <w:tcW w:w="988" w:type="pct"/>
            <w:tcBorders>
              <w:tl2br w:val="nil"/>
              <w:tr2bl w:val="nil"/>
            </w:tcBorders>
            <w:shd w:val="clear" w:color="auto" w:fill="auto"/>
            <w:vAlign w:val="center"/>
          </w:tcPr>
          <w:p w14:paraId="410D8FD3">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900</w:t>
            </w:r>
          </w:p>
        </w:tc>
        <w:tc>
          <w:tcPr>
            <w:tcW w:w="2253" w:type="pct"/>
            <w:tcBorders>
              <w:tl2br w:val="nil"/>
              <w:tr2bl w:val="nil"/>
            </w:tcBorders>
            <w:shd w:val="clear" w:color="auto" w:fill="auto"/>
            <w:vAlign w:val="center"/>
          </w:tcPr>
          <w:p w14:paraId="0A00DEEE">
            <w:pPr>
              <w:adjustRightInd w:val="0"/>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按《环境空气质量标准》</w:t>
            </w:r>
            <w:r>
              <w:rPr>
                <w:rFonts w:hint="default" w:ascii="Times New Roman" w:hAnsi="Times New Roman" w:cs="Times New Roman"/>
                <w:sz w:val="18"/>
                <w:szCs w:val="18"/>
                <w:lang w:eastAsia="zh-CN"/>
              </w:rPr>
              <w:t>（</w:t>
            </w:r>
            <w:r>
              <w:rPr>
                <w:rFonts w:hint="default" w:ascii="Times New Roman" w:hAnsi="Times New Roman" w:cs="Times New Roman"/>
                <w:sz w:val="18"/>
                <w:szCs w:val="18"/>
              </w:rPr>
              <w:t>GB 3095-2012</w:t>
            </w:r>
            <w:r>
              <w:rPr>
                <w:rFonts w:hint="default" w:ascii="Times New Roman" w:hAnsi="Times New Roman" w:cs="Times New Roman"/>
                <w:sz w:val="18"/>
                <w:szCs w:val="18"/>
                <w:lang w:eastAsia="zh-CN"/>
              </w:rPr>
              <w:t>）</w:t>
            </w:r>
            <w:r>
              <w:rPr>
                <w:rFonts w:hint="default" w:ascii="Times New Roman" w:hAnsi="Times New Roman" w:cs="Times New Roman"/>
                <w:sz w:val="18"/>
                <w:szCs w:val="18"/>
              </w:rPr>
              <w:t>中TSP日平均质量浓度限值的3倍折算为1h平均质量浓度限值</w:t>
            </w:r>
          </w:p>
        </w:tc>
      </w:tr>
    </w:tbl>
    <w:p w14:paraId="7EFBC3A4">
      <w:pPr>
        <w:autoSpaceDE w:val="0"/>
        <w:spacing w:line="360" w:lineRule="auto"/>
        <w:ind w:firstLine="490"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（3）估算结果</w:t>
      </w:r>
    </w:p>
    <w:p w14:paraId="5958E6CA">
      <w:pPr>
        <w:autoSpaceDE w:val="0"/>
        <w:spacing w:line="360" w:lineRule="auto"/>
        <w:ind w:firstLine="49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污染源强</w:t>
      </w:r>
    </w:p>
    <w:p w14:paraId="1784D4C1">
      <w:pPr>
        <w:spacing w:line="360" w:lineRule="auto"/>
        <w:ind w:firstLine="480"/>
        <w:rPr>
          <w:rFonts w:hint="default" w:ascii="Times New Roman" w:hAnsi="Times New Roman" w:eastAsia="宋体" w:cs="Times New Roman"/>
          <w:color w:val="auto"/>
          <w:lang w:bidi="zh-CN"/>
        </w:rPr>
      </w:pPr>
      <w:r>
        <w:rPr>
          <w:rFonts w:hint="default" w:ascii="Times New Roman" w:hAnsi="Times New Roman" w:cs="Times New Roman"/>
          <w:color w:val="auto"/>
          <w:sz w:val="24"/>
          <w:szCs w:val="24"/>
          <w:highlight w:val="none"/>
        </w:rPr>
        <w:t>通过工程分析</w:t>
      </w:r>
      <w:r>
        <w:rPr>
          <w:rFonts w:hint="default" w:ascii="Times New Roman" w:hAnsi="Times New Roman" w:eastAsia="宋体" w:cs="Times New Roman"/>
          <w:color w:val="auto"/>
          <w:sz w:val="24"/>
          <w:szCs w:val="24"/>
          <w:highlight w:val="none"/>
        </w:rPr>
        <w:t>以及根据《环境影响评价技术导则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大气环境》（HJ2.2-2018）</w:t>
      </w:r>
      <w:r>
        <w:rPr>
          <w:rFonts w:hint="default" w:ascii="Times New Roman" w:hAnsi="Times New Roman" w:cs="Times New Roman"/>
          <w:color w:val="auto"/>
          <w:sz w:val="24"/>
          <w:szCs w:val="24"/>
          <w:highlight w:val="none"/>
        </w:rPr>
        <w:t>要求，本项目</w:t>
      </w:r>
      <w:r>
        <w:rPr>
          <w:rFonts w:hint="default" w:ascii="Times New Roman" w:hAnsi="Times New Roman" w:cs="Times New Roman"/>
          <w:color w:val="auto"/>
          <w:kern w:val="0"/>
          <w:sz w:val="24"/>
          <w:szCs w:val="24"/>
          <w:highlight w:val="none"/>
          <w:lang w:val="en-US" w:eastAsia="zh-CN"/>
        </w:rPr>
        <w:t>运营</w:t>
      </w:r>
      <w:r>
        <w:rPr>
          <w:rFonts w:hint="default" w:ascii="Times New Roman" w:hAnsi="Times New Roman" w:cs="Times New Roman"/>
          <w:color w:val="auto"/>
          <w:kern w:val="0"/>
          <w:sz w:val="24"/>
          <w:szCs w:val="24"/>
          <w:highlight w:val="none"/>
        </w:rPr>
        <w:t>期产生的大气污染物主要为</w:t>
      </w:r>
      <w:r>
        <w:rPr>
          <w:rFonts w:hint="default" w:ascii="Times New Roman" w:hAnsi="Times New Roman" w:cs="Times New Roman"/>
          <w:color w:val="auto"/>
          <w:kern w:val="0"/>
          <w:sz w:val="24"/>
          <w:szCs w:val="24"/>
          <w:highlight w:val="none"/>
          <w:lang w:val="en-US" w:eastAsia="zh-CN"/>
        </w:rPr>
        <w:t>破碎机排放的有组织颗粒物以及破碎、筛分、给料、堆放等过程中无组织颗粒物</w:t>
      </w:r>
      <w:r>
        <w:rPr>
          <w:rFonts w:hint="default" w:ascii="Times New Roman" w:hAnsi="Times New Roman" w:cs="Times New Roman"/>
          <w:color w:val="auto"/>
          <w:sz w:val="24"/>
          <w:szCs w:val="24"/>
          <w:highlight w:val="none"/>
        </w:rPr>
        <w:t>，大气环境影响预测评价的污染因子按TSP</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PM</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PM</w:t>
      </w:r>
      <w:r>
        <w:rPr>
          <w:rFonts w:hint="default" w:ascii="Times New Roman" w:hAnsi="Times New Roman" w:cs="Times New Roman"/>
          <w:color w:val="auto"/>
          <w:sz w:val="24"/>
          <w:szCs w:val="24"/>
          <w:highlight w:val="none"/>
          <w:vertAlign w:val="subscript"/>
          <w:lang w:val="en-US" w:eastAsia="zh-CN"/>
        </w:rPr>
        <w:t>2.5</w:t>
      </w:r>
      <w:r>
        <w:rPr>
          <w:rFonts w:hint="default" w:ascii="Times New Roman" w:hAnsi="Times New Roman" w:cs="Times New Roman"/>
          <w:color w:val="auto"/>
          <w:sz w:val="24"/>
          <w:szCs w:val="24"/>
          <w:highlight w:val="none"/>
        </w:rPr>
        <w:t>进行预测评价分析。</w:t>
      </w:r>
      <w:r>
        <w:rPr>
          <w:rFonts w:hint="default" w:ascii="Times New Roman" w:hAnsi="Times New Roman" w:eastAsia="宋体" w:cs="Times New Roman"/>
          <w:b w:val="0"/>
          <w:bCs w:val="0"/>
          <w:color w:val="auto"/>
          <w:sz w:val="24"/>
          <w:szCs w:val="24"/>
        </w:rPr>
        <w:t>考虑到</w:t>
      </w:r>
      <w:r>
        <w:rPr>
          <w:rFonts w:hint="default" w:ascii="Times New Roman" w:hAnsi="Times New Roman"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rPr>
        <w:t>项</w:t>
      </w:r>
      <w:r>
        <w:rPr>
          <w:rFonts w:hint="default" w:ascii="Times New Roman" w:hAnsi="Times New Roman" w:eastAsia="宋体" w:cs="Times New Roman"/>
          <w:b w:val="0"/>
          <w:bCs w:val="0"/>
          <w:color w:val="auto"/>
          <w:sz w:val="24"/>
          <w:szCs w:val="24"/>
          <w:lang w:val="en-US" w:eastAsia="zh-CN"/>
        </w:rPr>
        <w:t>目布局紧凑，</w:t>
      </w:r>
      <w:r>
        <w:rPr>
          <w:rFonts w:hint="default" w:ascii="Times New Roman" w:hAnsi="Times New Roman" w:cs="Times New Roman"/>
          <w:b w:val="0"/>
          <w:bCs w:val="0"/>
          <w:color w:val="auto"/>
          <w:sz w:val="24"/>
          <w:szCs w:val="24"/>
          <w:lang w:val="en-US" w:eastAsia="zh-CN"/>
        </w:rPr>
        <w:t>将依托的原料堆场作为一个矩形面源进行估算预测，其它无组织排放源</w:t>
      </w:r>
      <w:r>
        <w:rPr>
          <w:rFonts w:hint="default" w:ascii="Times New Roman" w:hAnsi="Times New Roman" w:eastAsia="宋体" w:cs="Times New Roman"/>
          <w:b w:val="0"/>
          <w:bCs w:val="0"/>
          <w:color w:val="auto"/>
          <w:sz w:val="24"/>
          <w:szCs w:val="24"/>
        </w:rPr>
        <w:t>作为一个</w:t>
      </w:r>
      <w:r>
        <w:rPr>
          <w:rFonts w:hint="default" w:ascii="Times New Roman" w:hAnsi="Times New Roman" w:cs="Times New Roman"/>
          <w:b w:val="0"/>
          <w:bCs w:val="0"/>
          <w:color w:val="auto"/>
          <w:sz w:val="24"/>
          <w:szCs w:val="24"/>
          <w:lang w:val="en-US" w:eastAsia="zh-CN"/>
        </w:rPr>
        <w:t>矩形</w:t>
      </w:r>
      <w:r>
        <w:rPr>
          <w:rFonts w:hint="default" w:ascii="Times New Roman" w:hAnsi="Times New Roman" w:eastAsia="宋体" w:cs="Times New Roman"/>
          <w:b w:val="0"/>
          <w:bCs w:val="0"/>
          <w:color w:val="auto"/>
          <w:sz w:val="24"/>
          <w:szCs w:val="24"/>
        </w:rPr>
        <w:t>面源进行估算预测</w:t>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宋体" w:cs="Times New Roman"/>
          <w:iCs/>
          <w:color w:val="auto"/>
          <w:lang w:bidi="zh-CN"/>
        </w:rPr>
        <w:t>根据</w:t>
      </w:r>
      <w:r>
        <w:rPr>
          <w:rFonts w:hint="default" w:ascii="Times New Roman" w:hAnsi="Times New Roman" w:eastAsia="宋体" w:cs="Times New Roman"/>
          <w:color w:val="auto"/>
          <w:lang w:bidi="zh-CN"/>
        </w:rPr>
        <w:t>《环境影响评价技术导则 大气环境》（HJ2.2-2018）及生态环境部环境工程评估中心发布的大气估算模型AERSCREEN手册，当污染源为矩形面源时不能使用复杂地形选项，将矩形面源按面积相等的圆形面积计算，换算情况如下表所示。</w:t>
      </w:r>
    </w:p>
    <w:p w14:paraId="6751E0E5">
      <w:pPr>
        <w:autoSpaceDE w:val="0"/>
        <w:spacing w:before="0" w:after="0" w:line="360" w:lineRule="auto"/>
        <w:jc w:val="center"/>
        <w:outlineLvl w:val="9"/>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表6.1.1-3项目无组织排放源与圆形面源换算情况一览表</w:t>
      </w:r>
    </w:p>
    <w:tbl>
      <w:tblPr>
        <w:tblStyle w:val="2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2426"/>
        <w:gridCol w:w="2452"/>
        <w:gridCol w:w="2455"/>
      </w:tblGrid>
      <w:tr w14:paraId="2750EC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20" w:hRule="atLeast"/>
        </w:trPr>
        <w:tc>
          <w:tcPr>
            <w:tcW w:w="1052" w:type="pct"/>
            <w:shd w:val="clear" w:color="auto" w:fill="auto"/>
            <w:vAlign w:val="center"/>
          </w:tcPr>
          <w:p w14:paraId="78E03994">
            <w:pPr>
              <w:spacing w:line="240" w:lineRule="auto"/>
              <w:ind w:firstLine="0" w:firstLineChars="0"/>
              <w:jc w:val="center"/>
              <w:rPr>
                <w:rFonts w:hint="default" w:ascii="Times New Roman" w:hAnsi="Times New Roman" w:eastAsia="宋体" w:cs="Times New Roman"/>
                <w:b/>
                <w:color w:val="auto"/>
                <w:sz w:val="18"/>
                <w:szCs w:val="18"/>
                <w:lang w:bidi="zh-CN"/>
              </w:rPr>
            </w:pPr>
            <w:r>
              <w:rPr>
                <w:rFonts w:hint="default" w:ascii="Times New Roman" w:hAnsi="Times New Roman" w:eastAsia="宋体" w:cs="Times New Roman"/>
                <w:b/>
                <w:color w:val="auto"/>
                <w:sz w:val="18"/>
                <w:szCs w:val="18"/>
                <w:lang w:bidi="zh-CN"/>
              </w:rPr>
              <w:t>区域名称</w:t>
            </w:r>
          </w:p>
        </w:tc>
        <w:tc>
          <w:tcPr>
            <w:tcW w:w="1305" w:type="pct"/>
            <w:shd w:val="clear" w:color="auto" w:fill="auto"/>
            <w:vAlign w:val="center"/>
          </w:tcPr>
          <w:p w14:paraId="34E66039">
            <w:pPr>
              <w:spacing w:line="240" w:lineRule="auto"/>
              <w:ind w:firstLine="0" w:firstLineChars="0"/>
              <w:jc w:val="center"/>
              <w:rPr>
                <w:rFonts w:hint="default" w:ascii="Times New Roman" w:hAnsi="Times New Roman" w:eastAsia="宋体" w:cs="Times New Roman"/>
                <w:b/>
                <w:color w:val="auto"/>
                <w:sz w:val="18"/>
                <w:szCs w:val="18"/>
                <w:lang w:bidi="zh-CN"/>
              </w:rPr>
            </w:pPr>
            <w:r>
              <w:rPr>
                <w:rFonts w:hint="default" w:ascii="Times New Roman" w:hAnsi="Times New Roman" w:eastAsia="宋体" w:cs="Times New Roman"/>
                <w:b/>
                <w:color w:val="auto"/>
                <w:sz w:val="18"/>
                <w:szCs w:val="18"/>
                <w:lang w:bidi="zh-CN"/>
              </w:rPr>
              <w:t>区域面积（m</w:t>
            </w:r>
            <w:r>
              <w:rPr>
                <w:rFonts w:hint="default" w:ascii="Times New Roman" w:hAnsi="Times New Roman" w:eastAsia="宋体" w:cs="Times New Roman"/>
                <w:b/>
                <w:color w:val="auto"/>
                <w:sz w:val="18"/>
                <w:szCs w:val="18"/>
                <w:vertAlign w:val="superscript"/>
                <w:lang w:bidi="zh-CN"/>
              </w:rPr>
              <w:t>2</w:t>
            </w:r>
            <w:r>
              <w:rPr>
                <w:rFonts w:hint="default" w:ascii="Times New Roman" w:hAnsi="Times New Roman" w:eastAsia="宋体" w:cs="Times New Roman"/>
                <w:b/>
                <w:color w:val="auto"/>
                <w:sz w:val="18"/>
                <w:szCs w:val="18"/>
                <w:lang w:bidi="zh-CN"/>
              </w:rPr>
              <w:t>）</w:t>
            </w:r>
          </w:p>
        </w:tc>
        <w:tc>
          <w:tcPr>
            <w:tcW w:w="1319" w:type="pct"/>
            <w:shd w:val="clear" w:color="auto" w:fill="auto"/>
            <w:vAlign w:val="center"/>
          </w:tcPr>
          <w:p w14:paraId="6725DB0E">
            <w:pPr>
              <w:spacing w:line="240" w:lineRule="auto"/>
              <w:ind w:firstLine="0" w:firstLineChars="0"/>
              <w:jc w:val="center"/>
              <w:rPr>
                <w:rFonts w:hint="default" w:ascii="Times New Roman" w:hAnsi="Times New Roman" w:eastAsia="宋体" w:cs="Times New Roman"/>
                <w:b/>
                <w:color w:val="auto"/>
                <w:sz w:val="18"/>
                <w:szCs w:val="18"/>
                <w:lang w:bidi="zh-CN"/>
              </w:rPr>
            </w:pPr>
            <w:r>
              <w:rPr>
                <w:rFonts w:hint="default" w:ascii="Times New Roman" w:hAnsi="Times New Roman" w:eastAsia="宋体" w:cs="Times New Roman"/>
                <w:b/>
                <w:color w:val="auto"/>
                <w:sz w:val="18"/>
                <w:szCs w:val="18"/>
                <w:lang w:bidi="zh-CN"/>
              </w:rPr>
              <w:t>同等面积</w:t>
            </w:r>
            <w:r>
              <w:rPr>
                <w:rFonts w:hint="default" w:ascii="Times New Roman" w:hAnsi="Times New Roman" w:eastAsia="宋体" w:cs="Times New Roman"/>
                <w:b/>
                <w:color w:val="auto"/>
                <w:sz w:val="18"/>
                <w:szCs w:val="18"/>
                <w:lang w:val="en-US" w:bidi="zh-CN"/>
              </w:rPr>
              <w:t>换</w:t>
            </w:r>
            <w:r>
              <w:rPr>
                <w:rFonts w:hint="default" w:ascii="Times New Roman" w:hAnsi="Times New Roman" w:eastAsia="宋体" w:cs="Times New Roman"/>
                <w:b/>
                <w:color w:val="auto"/>
                <w:sz w:val="18"/>
                <w:szCs w:val="18"/>
                <w:lang w:bidi="zh-CN"/>
              </w:rPr>
              <w:t>算后圆形的半径（m）</w:t>
            </w:r>
          </w:p>
        </w:tc>
        <w:tc>
          <w:tcPr>
            <w:tcW w:w="1321" w:type="pct"/>
          </w:tcPr>
          <w:p w14:paraId="43B95A6D">
            <w:pPr>
              <w:spacing w:line="240" w:lineRule="auto"/>
              <w:ind w:firstLine="0" w:firstLineChars="0"/>
              <w:jc w:val="center"/>
              <w:rPr>
                <w:rFonts w:hint="default" w:ascii="Times New Roman" w:hAnsi="Times New Roman" w:eastAsia="宋体" w:cs="Times New Roman"/>
                <w:b/>
                <w:color w:val="auto"/>
                <w:sz w:val="18"/>
                <w:szCs w:val="18"/>
                <w:lang w:bidi="zh-CN"/>
              </w:rPr>
            </w:pPr>
            <w:r>
              <w:rPr>
                <w:rFonts w:hint="default" w:ascii="Times New Roman" w:hAnsi="Times New Roman" w:eastAsia="宋体" w:cs="Times New Roman"/>
                <w:b/>
                <w:color w:val="auto"/>
                <w:sz w:val="18"/>
                <w:szCs w:val="18"/>
                <w:lang w:bidi="zh-CN"/>
              </w:rPr>
              <w:t>备注</w:t>
            </w:r>
          </w:p>
        </w:tc>
      </w:tr>
      <w:tr w14:paraId="3AE10B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2" w:type="pct"/>
            <w:shd w:val="clear" w:color="auto" w:fill="auto"/>
            <w:vAlign w:val="center"/>
          </w:tcPr>
          <w:p w14:paraId="08ED9EDF">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原料堆场</w:t>
            </w:r>
          </w:p>
        </w:tc>
        <w:tc>
          <w:tcPr>
            <w:tcW w:w="1305" w:type="pct"/>
            <w:shd w:val="clear" w:color="auto" w:fill="auto"/>
            <w:vAlign w:val="center"/>
          </w:tcPr>
          <w:p w14:paraId="2A82C976">
            <w:pPr>
              <w:spacing w:line="240" w:lineRule="auto"/>
              <w:ind w:firstLine="0" w:firstLineChars="0"/>
              <w:jc w:val="center"/>
              <w:rPr>
                <w:rFonts w:hint="default" w:ascii="Times New Roman" w:hAnsi="Times New Roman" w:eastAsia="宋体" w:cs="Times New Roman"/>
                <w:color w:val="auto"/>
                <w:sz w:val="18"/>
                <w:szCs w:val="18"/>
                <w:lang w:val="en-US" w:bidi="zh-CN"/>
              </w:rPr>
            </w:pPr>
            <w:r>
              <w:rPr>
                <w:rFonts w:hint="default" w:ascii="Times New Roman" w:hAnsi="Times New Roman" w:cs="Times New Roman"/>
                <w:color w:val="auto"/>
                <w:sz w:val="18"/>
                <w:szCs w:val="18"/>
                <w:lang w:val="en-US" w:bidi="zh-CN"/>
              </w:rPr>
              <w:t>4000</w:t>
            </w:r>
          </w:p>
        </w:tc>
        <w:tc>
          <w:tcPr>
            <w:tcW w:w="1319" w:type="pct"/>
            <w:shd w:val="clear" w:color="auto" w:fill="auto"/>
            <w:vAlign w:val="center"/>
          </w:tcPr>
          <w:p w14:paraId="52219A50">
            <w:pPr>
              <w:spacing w:line="240" w:lineRule="auto"/>
              <w:ind w:firstLine="0" w:firstLineChars="0"/>
              <w:jc w:val="center"/>
              <w:rPr>
                <w:rFonts w:hint="default" w:ascii="Times New Roman" w:hAnsi="Times New Roman" w:eastAsia="宋体" w:cs="Times New Roman"/>
                <w:color w:val="auto"/>
                <w:sz w:val="18"/>
                <w:szCs w:val="18"/>
                <w:lang w:val="en-US" w:bidi="zh-CN"/>
              </w:rPr>
            </w:pPr>
            <w:r>
              <w:rPr>
                <w:rFonts w:hint="default" w:ascii="Times New Roman" w:hAnsi="Times New Roman" w:cs="Times New Roman"/>
                <w:color w:val="auto"/>
                <w:sz w:val="18"/>
                <w:szCs w:val="18"/>
                <w:lang w:val="en-US" w:bidi="zh-CN"/>
              </w:rPr>
              <w:t>35.7</w:t>
            </w:r>
          </w:p>
        </w:tc>
        <w:tc>
          <w:tcPr>
            <w:tcW w:w="1321" w:type="pct"/>
          </w:tcPr>
          <w:p w14:paraId="5F8EDFDE">
            <w:pPr>
              <w:spacing w:line="240" w:lineRule="auto"/>
              <w:ind w:firstLine="0" w:firstLineChars="0"/>
              <w:jc w:val="center"/>
              <w:rPr>
                <w:rFonts w:hint="default" w:ascii="Times New Roman" w:hAnsi="Times New Roman" w:cs="Times New Roman"/>
                <w:color w:val="auto"/>
                <w:sz w:val="18"/>
                <w:szCs w:val="18"/>
                <w:lang w:val="en-US" w:bidi="zh-CN"/>
              </w:rPr>
            </w:pPr>
          </w:p>
        </w:tc>
      </w:tr>
      <w:tr w14:paraId="272FBD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2" w:type="pct"/>
            <w:shd w:val="clear" w:color="auto" w:fill="auto"/>
            <w:vAlign w:val="center"/>
          </w:tcPr>
          <w:p w14:paraId="117BC497">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除原料堆场外其它无组织排放源</w:t>
            </w:r>
          </w:p>
        </w:tc>
        <w:tc>
          <w:tcPr>
            <w:tcW w:w="1305" w:type="pct"/>
            <w:shd w:val="clear" w:color="auto" w:fill="auto"/>
            <w:vAlign w:val="center"/>
          </w:tcPr>
          <w:p w14:paraId="531969E4">
            <w:pPr>
              <w:spacing w:line="240" w:lineRule="auto"/>
              <w:ind w:firstLine="0" w:firstLineChars="0"/>
              <w:jc w:val="center"/>
              <w:rPr>
                <w:rFonts w:hint="default" w:ascii="Times New Roman" w:hAnsi="Times New Roman" w:eastAsia="宋体" w:cs="Times New Roman"/>
                <w:color w:val="auto"/>
                <w:sz w:val="18"/>
                <w:szCs w:val="18"/>
                <w:lang w:val="en-US" w:bidi="zh-CN"/>
              </w:rPr>
            </w:pPr>
            <w:r>
              <w:rPr>
                <w:rFonts w:hint="default" w:ascii="Times New Roman" w:hAnsi="Times New Roman" w:eastAsia="宋体" w:cs="Times New Roman"/>
                <w:color w:val="auto"/>
                <w:sz w:val="18"/>
                <w:szCs w:val="18"/>
                <w:lang w:val="en-US" w:bidi="zh-CN"/>
              </w:rPr>
              <w:t>2300</w:t>
            </w:r>
          </w:p>
        </w:tc>
        <w:tc>
          <w:tcPr>
            <w:tcW w:w="1319" w:type="pct"/>
            <w:shd w:val="clear" w:color="auto" w:fill="auto"/>
            <w:vAlign w:val="center"/>
          </w:tcPr>
          <w:p w14:paraId="73714D26">
            <w:pPr>
              <w:spacing w:line="240" w:lineRule="auto"/>
              <w:ind w:firstLine="0" w:firstLineChars="0"/>
              <w:jc w:val="center"/>
              <w:rPr>
                <w:rFonts w:hint="default" w:ascii="Times New Roman" w:hAnsi="Times New Roman" w:eastAsia="宋体" w:cs="Times New Roman"/>
                <w:color w:val="auto"/>
                <w:sz w:val="18"/>
                <w:szCs w:val="18"/>
                <w:lang w:val="en-US" w:bidi="zh-CN"/>
              </w:rPr>
            </w:pPr>
            <w:r>
              <w:rPr>
                <w:rFonts w:hint="default" w:ascii="Times New Roman" w:hAnsi="Times New Roman" w:eastAsia="宋体" w:cs="Times New Roman"/>
                <w:color w:val="auto"/>
                <w:sz w:val="18"/>
                <w:szCs w:val="18"/>
                <w:lang w:val="en-US" w:bidi="zh-CN"/>
              </w:rPr>
              <w:t>27.06</w:t>
            </w:r>
          </w:p>
        </w:tc>
        <w:tc>
          <w:tcPr>
            <w:tcW w:w="1321" w:type="pct"/>
            <w:vAlign w:val="top"/>
          </w:tcPr>
          <w:p w14:paraId="3A38172C">
            <w:pPr>
              <w:spacing w:line="240" w:lineRule="auto"/>
              <w:ind w:firstLine="0" w:firstLineChars="0"/>
              <w:jc w:val="center"/>
              <w:rPr>
                <w:rFonts w:hint="default" w:ascii="Times New Roman" w:hAnsi="Times New Roman" w:cs="Times New Roman"/>
                <w:color w:val="auto"/>
                <w:sz w:val="18"/>
                <w:szCs w:val="18"/>
                <w:lang w:val="en-US" w:bidi="zh-CN"/>
              </w:rPr>
            </w:pPr>
            <w:r>
              <w:rPr>
                <w:rFonts w:hint="default" w:ascii="Times New Roman" w:hAnsi="Times New Roman" w:cs="Times New Roman"/>
                <w:color w:val="auto"/>
                <w:sz w:val="18"/>
                <w:szCs w:val="18"/>
                <w:lang w:val="en-US" w:bidi="zh-CN"/>
              </w:rPr>
              <w:t>/</w:t>
            </w:r>
          </w:p>
        </w:tc>
      </w:tr>
    </w:tbl>
    <w:p w14:paraId="249707EB">
      <w:pPr>
        <w:autoSpaceDE w:val="0"/>
        <w:spacing w:line="360" w:lineRule="auto"/>
        <w:ind w:firstLine="49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本项目污染源排放参数见</w:t>
      </w:r>
      <w:r>
        <w:rPr>
          <w:rFonts w:hint="default"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rPr>
        <w:t>表：</w:t>
      </w:r>
    </w:p>
    <w:p w14:paraId="30A09018">
      <w:pPr>
        <w:autoSpaceDE w:val="0"/>
        <w:spacing w:before="0" w:after="0" w:line="360" w:lineRule="auto"/>
        <w:jc w:val="center"/>
        <w:outlineLvl w:val="9"/>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表6.1.1-4  项目有组织排放口基本情况一览表</w:t>
      </w:r>
    </w:p>
    <w:tbl>
      <w:tblPr>
        <w:tblStyle w:val="29"/>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86"/>
        <w:gridCol w:w="1030"/>
        <w:gridCol w:w="538"/>
        <w:gridCol w:w="606"/>
        <w:gridCol w:w="829"/>
        <w:gridCol w:w="690"/>
        <w:gridCol w:w="654"/>
        <w:gridCol w:w="746"/>
        <w:gridCol w:w="794"/>
        <w:gridCol w:w="689"/>
        <w:gridCol w:w="673"/>
        <w:gridCol w:w="625"/>
        <w:gridCol w:w="625"/>
      </w:tblGrid>
      <w:tr w14:paraId="509BC6C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423" w:type="pct"/>
            <w:vMerge w:val="restart"/>
            <w:tcBorders>
              <w:tl2br w:val="nil"/>
              <w:tr2bl w:val="nil"/>
            </w:tcBorders>
            <w:shd w:val="clear" w:color="auto" w:fill="auto"/>
            <w:vAlign w:val="center"/>
          </w:tcPr>
          <w:p w14:paraId="65E949E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i w:val="0"/>
                <w:iCs w:val="0"/>
                <w:color w:val="auto"/>
                <w:kern w:val="0"/>
                <w:sz w:val="18"/>
                <w:szCs w:val="18"/>
                <w:u w:val="none"/>
                <w:lang w:val="en-US" w:eastAsia="zh-CN" w:bidi="ar"/>
              </w:rPr>
              <w:t>编号</w:t>
            </w:r>
          </w:p>
        </w:tc>
        <w:tc>
          <w:tcPr>
            <w:tcW w:w="554" w:type="pct"/>
            <w:vMerge w:val="restart"/>
            <w:tcBorders>
              <w:tl2br w:val="nil"/>
              <w:tr2bl w:val="nil"/>
            </w:tcBorders>
            <w:shd w:val="clear" w:color="auto" w:fill="auto"/>
            <w:vAlign w:val="center"/>
          </w:tcPr>
          <w:p w14:paraId="12B98BB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i w:val="0"/>
                <w:iCs w:val="0"/>
                <w:color w:val="auto"/>
                <w:kern w:val="0"/>
                <w:sz w:val="18"/>
                <w:szCs w:val="18"/>
                <w:u w:val="none"/>
                <w:lang w:val="en-US" w:eastAsia="zh-CN" w:bidi="ar"/>
              </w:rPr>
              <w:t>名称</w:t>
            </w:r>
          </w:p>
        </w:tc>
        <w:tc>
          <w:tcPr>
            <w:tcW w:w="616" w:type="pct"/>
            <w:gridSpan w:val="2"/>
            <w:vMerge w:val="restart"/>
            <w:tcBorders>
              <w:tl2br w:val="nil"/>
              <w:tr2bl w:val="nil"/>
            </w:tcBorders>
            <w:shd w:val="clear" w:color="auto" w:fill="auto"/>
            <w:vAlign w:val="center"/>
          </w:tcPr>
          <w:p w14:paraId="57F7ABB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i w:val="0"/>
                <w:iCs w:val="0"/>
                <w:color w:val="auto"/>
                <w:kern w:val="0"/>
                <w:sz w:val="18"/>
                <w:szCs w:val="18"/>
                <w:u w:val="none"/>
                <w:lang w:val="en-US" w:eastAsia="zh-CN" w:bidi="ar"/>
              </w:rPr>
              <w:t>排气筒底部中心坐标（m）</w:t>
            </w:r>
          </w:p>
        </w:tc>
        <w:tc>
          <w:tcPr>
            <w:tcW w:w="446" w:type="pct"/>
            <w:vMerge w:val="restart"/>
            <w:tcBorders>
              <w:tl2br w:val="nil"/>
              <w:tr2bl w:val="nil"/>
            </w:tcBorders>
            <w:shd w:val="clear" w:color="auto" w:fill="auto"/>
            <w:vAlign w:val="center"/>
          </w:tcPr>
          <w:p w14:paraId="51B272D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i w:val="0"/>
                <w:iCs w:val="0"/>
                <w:color w:val="auto"/>
                <w:kern w:val="0"/>
                <w:sz w:val="18"/>
                <w:szCs w:val="18"/>
                <w:u w:val="none"/>
                <w:lang w:val="en-US" w:eastAsia="zh-CN" w:bidi="ar"/>
              </w:rPr>
              <w:t>排气筒底部海拔高度/m</w:t>
            </w:r>
          </w:p>
        </w:tc>
        <w:tc>
          <w:tcPr>
            <w:tcW w:w="371" w:type="pct"/>
            <w:vMerge w:val="restart"/>
            <w:tcBorders>
              <w:tl2br w:val="nil"/>
              <w:tr2bl w:val="nil"/>
            </w:tcBorders>
            <w:shd w:val="clear" w:color="auto" w:fill="auto"/>
            <w:vAlign w:val="center"/>
          </w:tcPr>
          <w:p w14:paraId="104A8E3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i w:val="0"/>
                <w:iCs w:val="0"/>
                <w:color w:val="auto"/>
                <w:kern w:val="0"/>
                <w:sz w:val="18"/>
                <w:szCs w:val="18"/>
                <w:u w:val="none"/>
                <w:lang w:val="en-US" w:eastAsia="zh-CN" w:bidi="ar"/>
              </w:rPr>
              <w:t>排气筒高度/m</w:t>
            </w:r>
          </w:p>
        </w:tc>
        <w:tc>
          <w:tcPr>
            <w:tcW w:w="352" w:type="pct"/>
            <w:vMerge w:val="restart"/>
            <w:tcBorders>
              <w:tl2br w:val="nil"/>
              <w:tr2bl w:val="nil"/>
            </w:tcBorders>
            <w:shd w:val="clear" w:color="auto" w:fill="auto"/>
            <w:vAlign w:val="center"/>
          </w:tcPr>
          <w:p w14:paraId="4751262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i w:val="0"/>
                <w:iCs w:val="0"/>
                <w:color w:val="auto"/>
                <w:kern w:val="0"/>
                <w:sz w:val="18"/>
                <w:szCs w:val="18"/>
                <w:u w:val="none"/>
                <w:lang w:val="en-US" w:eastAsia="zh-CN" w:bidi="ar"/>
              </w:rPr>
              <w:t>排气筒出口内径/m</w:t>
            </w:r>
          </w:p>
        </w:tc>
        <w:tc>
          <w:tcPr>
            <w:tcW w:w="401" w:type="pct"/>
            <w:vMerge w:val="restart"/>
            <w:tcBorders>
              <w:tl2br w:val="nil"/>
              <w:tr2bl w:val="nil"/>
            </w:tcBorders>
            <w:shd w:val="clear" w:color="auto" w:fill="auto"/>
            <w:vAlign w:val="center"/>
          </w:tcPr>
          <w:p w14:paraId="10D008B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i w:val="0"/>
                <w:iCs w:val="0"/>
                <w:color w:val="auto"/>
                <w:kern w:val="0"/>
                <w:sz w:val="18"/>
                <w:szCs w:val="18"/>
                <w:u w:val="none"/>
                <w:lang w:val="en-US" w:eastAsia="zh-CN" w:bidi="ar"/>
              </w:rPr>
              <w:t>烟气流速/（m/s）</w:t>
            </w:r>
          </w:p>
        </w:tc>
        <w:tc>
          <w:tcPr>
            <w:tcW w:w="427" w:type="pct"/>
            <w:vMerge w:val="restart"/>
            <w:tcBorders>
              <w:tl2br w:val="nil"/>
              <w:tr2bl w:val="nil"/>
            </w:tcBorders>
            <w:shd w:val="clear" w:color="auto" w:fill="auto"/>
            <w:vAlign w:val="center"/>
          </w:tcPr>
          <w:p w14:paraId="6542998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i w:val="0"/>
                <w:iCs w:val="0"/>
                <w:color w:val="auto"/>
                <w:kern w:val="0"/>
                <w:sz w:val="18"/>
                <w:szCs w:val="18"/>
                <w:u w:val="none"/>
                <w:lang w:val="en-US" w:eastAsia="zh-CN" w:bidi="ar"/>
              </w:rPr>
              <w:t>烟气温度/℃</w:t>
            </w:r>
          </w:p>
        </w:tc>
        <w:tc>
          <w:tcPr>
            <w:tcW w:w="371" w:type="pct"/>
            <w:vMerge w:val="restart"/>
            <w:tcBorders>
              <w:tl2br w:val="nil"/>
              <w:tr2bl w:val="nil"/>
            </w:tcBorders>
            <w:shd w:val="clear" w:color="auto" w:fill="auto"/>
            <w:vAlign w:val="center"/>
          </w:tcPr>
          <w:p w14:paraId="7DA8B67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i w:val="0"/>
                <w:iCs w:val="0"/>
                <w:color w:val="auto"/>
                <w:kern w:val="0"/>
                <w:sz w:val="18"/>
                <w:szCs w:val="18"/>
                <w:u w:val="none"/>
                <w:lang w:val="en-US" w:eastAsia="zh-CN" w:bidi="ar"/>
              </w:rPr>
              <w:t>年排放小时数/h</w:t>
            </w:r>
          </w:p>
        </w:tc>
        <w:tc>
          <w:tcPr>
            <w:tcW w:w="362" w:type="pct"/>
            <w:vMerge w:val="restart"/>
            <w:tcBorders>
              <w:tl2br w:val="nil"/>
              <w:tr2bl w:val="nil"/>
            </w:tcBorders>
            <w:shd w:val="clear" w:color="auto" w:fill="auto"/>
            <w:vAlign w:val="center"/>
          </w:tcPr>
          <w:p w14:paraId="0D34D78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i w:val="0"/>
                <w:iCs w:val="0"/>
                <w:color w:val="auto"/>
                <w:kern w:val="0"/>
                <w:sz w:val="18"/>
                <w:szCs w:val="18"/>
                <w:u w:val="none"/>
                <w:lang w:val="en-US" w:eastAsia="zh-CN" w:bidi="ar"/>
              </w:rPr>
              <w:t>排放工况</w:t>
            </w:r>
          </w:p>
        </w:tc>
        <w:tc>
          <w:tcPr>
            <w:tcW w:w="673" w:type="pct"/>
            <w:gridSpan w:val="2"/>
            <w:tcBorders>
              <w:tl2br w:val="nil"/>
              <w:tr2bl w:val="nil"/>
            </w:tcBorders>
            <w:shd w:val="clear" w:color="auto" w:fill="auto"/>
            <w:noWrap/>
            <w:vAlign w:val="center"/>
          </w:tcPr>
          <w:p w14:paraId="275714EF">
            <w:pPr>
              <w:pStyle w:val="26"/>
              <w:keepNext w:val="0"/>
              <w:keepLines w:val="0"/>
              <w:pageBreakBefore w:val="0"/>
              <w:widowControl w:val="0"/>
              <w:suppressLineNumbers w:val="0"/>
              <w:kinsoku/>
              <w:bidi w:val="0"/>
              <w:adjustRightInd w:val="0"/>
              <w:snapToGrid w:val="0"/>
              <w:spacing w:before="100" w:beforeAutospacing="1" w:after="0" w:afterAutospacing="0"/>
              <w:ind w:left="0" w:leftChars="0" w:right="0" w:rightChars="0" w:firstLine="0" w:firstLineChars="0"/>
              <w:jc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color w:val="auto"/>
                <w:kern w:val="2"/>
                <w:sz w:val="18"/>
                <w:szCs w:val="18"/>
                <w:highlight w:val="none"/>
                <w:lang w:val="en-US" w:eastAsia="zh-CN" w:bidi="ar"/>
              </w:rPr>
              <w:t>污染物排放速率（</w:t>
            </w:r>
            <w:r>
              <w:rPr>
                <w:rFonts w:hint="default" w:ascii="Times New Roman" w:hAnsi="Times New Roman" w:eastAsia="宋体" w:cs="Times New Roman"/>
                <w:b w:val="0"/>
                <w:bCs w:val="0"/>
                <w:i w:val="0"/>
                <w:iCs w:val="0"/>
                <w:color w:val="auto"/>
                <w:kern w:val="0"/>
                <w:sz w:val="18"/>
                <w:szCs w:val="18"/>
                <w:highlight w:val="none"/>
                <w:u w:val="none"/>
                <w:vertAlign w:val="baseline"/>
                <w:lang w:val="en-US" w:eastAsia="zh-CN" w:bidi="ar"/>
              </w:rPr>
              <w:t>kg/h</w:t>
            </w:r>
            <w:r>
              <w:rPr>
                <w:rFonts w:hint="default" w:ascii="Times New Roman" w:hAnsi="Times New Roman" w:eastAsia="宋体" w:cs="Times New Roman"/>
                <w:b w:val="0"/>
                <w:bCs w:val="0"/>
                <w:color w:val="auto"/>
                <w:kern w:val="2"/>
                <w:sz w:val="18"/>
                <w:szCs w:val="18"/>
                <w:highlight w:val="none"/>
                <w:lang w:val="en-US" w:eastAsia="zh-CN" w:bidi="ar"/>
              </w:rPr>
              <w:t>）</w:t>
            </w:r>
          </w:p>
        </w:tc>
      </w:tr>
      <w:tr w14:paraId="0A23FF1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23" w:type="pct"/>
            <w:vMerge w:val="continue"/>
            <w:tcBorders>
              <w:tl2br w:val="nil"/>
              <w:tr2bl w:val="nil"/>
            </w:tcBorders>
            <w:shd w:val="clear" w:color="auto" w:fill="auto"/>
            <w:vAlign w:val="center"/>
          </w:tcPr>
          <w:p w14:paraId="21D43850">
            <w:pPr>
              <w:jc w:val="center"/>
              <w:rPr>
                <w:rFonts w:hint="default" w:ascii="Times New Roman" w:hAnsi="Times New Roman" w:eastAsia="宋体" w:cs="Times New Roman"/>
                <w:b w:val="0"/>
                <w:bCs w:val="0"/>
                <w:i w:val="0"/>
                <w:iCs w:val="0"/>
                <w:color w:val="auto"/>
                <w:sz w:val="18"/>
                <w:szCs w:val="18"/>
                <w:u w:val="none"/>
              </w:rPr>
            </w:pPr>
          </w:p>
        </w:tc>
        <w:tc>
          <w:tcPr>
            <w:tcW w:w="554" w:type="pct"/>
            <w:vMerge w:val="continue"/>
            <w:tcBorders>
              <w:tl2br w:val="nil"/>
              <w:tr2bl w:val="nil"/>
            </w:tcBorders>
            <w:shd w:val="clear" w:color="auto" w:fill="auto"/>
            <w:vAlign w:val="center"/>
          </w:tcPr>
          <w:p w14:paraId="178FFC79">
            <w:pPr>
              <w:jc w:val="center"/>
              <w:rPr>
                <w:rFonts w:hint="default" w:ascii="Times New Roman" w:hAnsi="Times New Roman" w:eastAsia="宋体" w:cs="Times New Roman"/>
                <w:b w:val="0"/>
                <w:bCs w:val="0"/>
                <w:i w:val="0"/>
                <w:iCs w:val="0"/>
                <w:color w:val="auto"/>
                <w:sz w:val="18"/>
                <w:szCs w:val="18"/>
                <w:u w:val="none"/>
              </w:rPr>
            </w:pPr>
          </w:p>
        </w:tc>
        <w:tc>
          <w:tcPr>
            <w:tcW w:w="616" w:type="pct"/>
            <w:gridSpan w:val="2"/>
            <w:vMerge w:val="continue"/>
            <w:tcBorders>
              <w:tl2br w:val="nil"/>
              <w:tr2bl w:val="nil"/>
            </w:tcBorders>
            <w:shd w:val="clear" w:color="auto" w:fill="auto"/>
            <w:vAlign w:val="center"/>
          </w:tcPr>
          <w:p w14:paraId="1DBB2004">
            <w:pPr>
              <w:jc w:val="center"/>
              <w:rPr>
                <w:rFonts w:hint="default" w:ascii="Times New Roman" w:hAnsi="Times New Roman" w:eastAsia="宋体" w:cs="Times New Roman"/>
                <w:b w:val="0"/>
                <w:bCs w:val="0"/>
                <w:i w:val="0"/>
                <w:iCs w:val="0"/>
                <w:color w:val="auto"/>
                <w:sz w:val="18"/>
                <w:szCs w:val="18"/>
                <w:u w:val="none"/>
              </w:rPr>
            </w:pPr>
          </w:p>
        </w:tc>
        <w:tc>
          <w:tcPr>
            <w:tcW w:w="446" w:type="pct"/>
            <w:vMerge w:val="continue"/>
            <w:tcBorders>
              <w:tl2br w:val="nil"/>
              <w:tr2bl w:val="nil"/>
            </w:tcBorders>
            <w:shd w:val="clear" w:color="auto" w:fill="auto"/>
            <w:vAlign w:val="center"/>
          </w:tcPr>
          <w:p w14:paraId="346F94E3">
            <w:pPr>
              <w:jc w:val="center"/>
              <w:rPr>
                <w:rFonts w:hint="default" w:ascii="Times New Roman" w:hAnsi="Times New Roman" w:eastAsia="宋体" w:cs="Times New Roman"/>
                <w:b w:val="0"/>
                <w:bCs w:val="0"/>
                <w:i w:val="0"/>
                <w:iCs w:val="0"/>
                <w:color w:val="auto"/>
                <w:sz w:val="18"/>
                <w:szCs w:val="18"/>
                <w:u w:val="none"/>
              </w:rPr>
            </w:pPr>
          </w:p>
        </w:tc>
        <w:tc>
          <w:tcPr>
            <w:tcW w:w="371" w:type="pct"/>
            <w:vMerge w:val="continue"/>
            <w:tcBorders>
              <w:tl2br w:val="nil"/>
              <w:tr2bl w:val="nil"/>
            </w:tcBorders>
            <w:shd w:val="clear" w:color="auto" w:fill="auto"/>
            <w:vAlign w:val="center"/>
          </w:tcPr>
          <w:p w14:paraId="5D1E743B">
            <w:pPr>
              <w:jc w:val="center"/>
              <w:rPr>
                <w:rFonts w:hint="default" w:ascii="Times New Roman" w:hAnsi="Times New Roman" w:eastAsia="宋体" w:cs="Times New Roman"/>
                <w:b w:val="0"/>
                <w:bCs w:val="0"/>
                <w:i w:val="0"/>
                <w:iCs w:val="0"/>
                <w:color w:val="auto"/>
                <w:sz w:val="18"/>
                <w:szCs w:val="18"/>
                <w:u w:val="none"/>
              </w:rPr>
            </w:pPr>
          </w:p>
        </w:tc>
        <w:tc>
          <w:tcPr>
            <w:tcW w:w="352" w:type="pct"/>
            <w:vMerge w:val="continue"/>
            <w:tcBorders>
              <w:tl2br w:val="nil"/>
              <w:tr2bl w:val="nil"/>
            </w:tcBorders>
            <w:shd w:val="clear" w:color="auto" w:fill="auto"/>
            <w:vAlign w:val="center"/>
          </w:tcPr>
          <w:p w14:paraId="2FA0277F">
            <w:pPr>
              <w:jc w:val="center"/>
              <w:rPr>
                <w:rFonts w:hint="default" w:ascii="Times New Roman" w:hAnsi="Times New Roman" w:eastAsia="宋体" w:cs="Times New Roman"/>
                <w:b w:val="0"/>
                <w:bCs w:val="0"/>
                <w:i w:val="0"/>
                <w:iCs w:val="0"/>
                <w:color w:val="auto"/>
                <w:sz w:val="18"/>
                <w:szCs w:val="18"/>
                <w:u w:val="none"/>
              </w:rPr>
            </w:pPr>
          </w:p>
        </w:tc>
        <w:tc>
          <w:tcPr>
            <w:tcW w:w="401" w:type="pct"/>
            <w:vMerge w:val="continue"/>
            <w:tcBorders>
              <w:tl2br w:val="nil"/>
              <w:tr2bl w:val="nil"/>
            </w:tcBorders>
            <w:shd w:val="clear" w:color="auto" w:fill="auto"/>
            <w:vAlign w:val="center"/>
          </w:tcPr>
          <w:p w14:paraId="4DA61E55">
            <w:pPr>
              <w:jc w:val="center"/>
              <w:rPr>
                <w:rFonts w:hint="default" w:ascii="Times New Roman" w:hAnsi="Times New Roman" w:eastAsia="宋体" w:cs="Times New Roman"/>
                <w:b w:val="0"/>
                <w:bCs w:val="0"/>
                <w:i w:val="0"/>
                <w:iCs w:val="0"/>
                <w:color w:val="auto"/>
                <w:sz w:val="18"/>
                <w:szCs w:val="18"/>
                <w:u w:val="none"/>
              </w:rPr>
            </w:pPr>
          </w:p>
        </w:tc>
        <w:tc>
          <w:tcPr>
            <w:tcW w:w="427" w:type="pct"/>
            <w:vMerge w:val="continue"/>
            <w:tcBorders>
              <w:tl2br w:val="nil"/>
              <w:tr2bl w:val="nil"/>
            </w:tcBorders>
            <w:shd w:val="clear" w:color="auto" w:fill="auto"/>
            <w:vAlign w:val="center"/>
          </w:tcPr>
          <w:p w14:paraId="52D19974">
            <w:pPr>
              <w:jc w:val="center"/>
              <w:rPr>
                <w:rFonts w:hint="default" w:ascii="Times New Roman" w:hAnsi="Times New Roman" w:eastAsia="宋体" w:cs="Times New Roman"/>
                <w:b w:val="0"/>
                <w:bCs w:val="0"/>
                <w:i w:val="0"/>
                <w:iCs w:val="0"/>
                <w:color w:val="auto"/>
                <w:sz w:val="18"/>
                <w:szCs w:val="18"/>
                <w:u w:val="none"/>
              </w:rPr>
            </w:pPr>
          </w:p>
        </w:tc>
        <w:tc>
          <w:tcPr>
            <w:tcW w:w="371" w:type="pct"/>
            <w:vMerge w:val="continue"/>
            <w:tcBorders>
              <w:tl2br w:val="nil"/>
              <w:tr2bl w:val="nil"/>
            </w:tcBorders>
            <w:shd w:val="clear" w:color="auto" w:fill="auto"/>
            <w:vAlign w:val="center"/>
          </w:tcPr>
          <w:p w14:paraId="4392658E">
            <w:pPr>
              <w:jc w:val="center"/>
              <w:rPr>
                <w:rFonts w:hint="default" w:ascii="Times New Roman" w:hAnsi="Times New Roman" w:eastAsia="宋体" w:cs="Times New Roman"/>
                <w:b w:val="0"/>
                <w:bCs w:val="0"/>
                <w:i w:val="0"/>
                <w:iCs w:val="0"/>
                <w:color w:val="auto"/>
                <w:sz w:val="18"/>
                <w:szCs w:val="18"/>
                <w:u w:val="none"/>
              </w:rPr>
            </w:pPr>
          </w:p>
        </w:tc>
        <w:tc>
          <w:tcPr>
            <w:tcW w:w="362" w:type="pct"/>
            <w:vMerge w:val="continue"/>
            <w:tcBorders>
              <w:tl2br w:val="nil"/>
              <w:tr2bl w:val="nil"/>
            </w:tcBorders>
            <w:shd w:val="clear" w:color="auto" w:fill="auto"/>
            <w:vAlign w:val="center"/>
          </w:tcPr>
          <w:p w14:paraId="018CCDA8">
            <w:pPr>
              <w:jc w:val="center"/>
              <w:rPr>
                <w:rFonts w:hint="default" w:ascii="Times New Roman" w:hAnsi="Times New Roman" w:eastAsia="宋体" w:cs="Times New Roman"/>
                <w:b w:val="0"/>
                <w:bCs w:val="0"/>
                <w:i w:val="0"/>
                <w:iCs w:val="0"/>
                <w:color w:val="auto"/>
                <w:sz w:val="18"/>
                <w:szCs w:val="18"/>
                <w:u w:val="none"/>
              </w:rPr>
            </w:pPr>
          </w:p>
        </w:tc>
        <w:tc>
          <w:tcPr>
            <w:tcW w:w="336" w:type="pct"/>
            <w:vMerge w:val="restart"/>
            <w:tcBorders>
              <w:tl2br w:val="nil"/>
              <w:tr2bl w:val="nil"/>
            </w:tcBorders>
            <w:shd w:val="clear" w:color="auto" w:fill="auto"/>
            <w:noWrap/>
            <w:vAlign w:val="center"/>
          </w:tcPr>
          <w:p w14:paraId="24EA412E">
            <w:pPr>
              <w:pStyle w:val="26"/>
              <w:keepNext w:val="0"/>
              <w:keepLines w:val="0"/>
              <w:pageBreakBefore w:val="0"/>
              <w:widowControl w:val="0"/>
              <w:suppressLineNumbers w:val="0"/>
              <w:kinsoku/>
              <w:bidi w:val="0"/>
              <w:adjustRightInd w:val="0"/>
              <w:snapToGrid w:val="0"/>
              <w:spacing w:before="100" w:beforeAutospacing="1" w:after="0" w:afterAutospacing="0"/>
              <w:ind w:left="0" w:leftChars="0" w:right="0" w:rightChars="0" w:firstLine="0" w:firstLineChars="0"/>
              <w:jc w:val="center"/>
              <w:rPr>
                <w:rFonts w:hint="default" w:ascii="Times New Roman" w:hAnsi="Times New Roman" w:cs="Times New Roman"/>
                <w:b w:val="0"/>
                <w:bCs w:val="0"/>
                <w:color w:val="auto"/>
                <w:kern w:val="2"/>
                <w:sz w:val="18"/>
                <w:szCs w:val="18"/>
                <w:highlight w:val="none"/>
                <w:lang w:val="en-US" w:eastAsia="zh-CN" w:bidi="ar"/>
              </w:rPr>
            </w:pPr>
            <w:r>
              <w:rPr>
                <w:rFonts w:hint="default" w:ascii="Times New Roman" w:hAnsi="Times New Roman" w:cs="Times New Roman"/>
                <w:b w:val="0"/>
                <w:bCs w:val="0"/>
                <w:color w:val="auto"/>
                <w:kern w:val="2"/>
                <w:sz w:val="18"/>
                <w:szCs w:val="18"/>
                <w:highlight w:val="none"/>
                <w:lang w:val="en-US" w:eastAsia="zh-CN" w:bidi="ar"/>
              </w:rPr>
              <w:t>PM</w:t>
            </w:r>
            <w:r>
              <w:rPr>
                <w:rFonts w:hint="default" w:ascii="Times New Roman" w:hAnsi="Times New Roman" w:cs="Times New Roman"/>
                <w:b w:val="0"/>
                <w:bCs w:val="0"/>
                <w:color w:val="auto"/>
                <w:kern w:val="2"/>
                <w:sz w:val="18"/>
                <w:szCs w:val="18"/>
                <w:highlight w:val="none"/>
                <w:vertAlign w:val="subscript"/>
                <w:lang w:val="en-US" w:eastAsia="zh-CN" w:bidi="ar"/>
              </w:rPr>
              <w:t>10</w:t>
            </w:r>
          </w:p>
        </w:tc>
        <w:tc>
          <w:tcPr>
            <w:tcW w:w="336" w:type="pct"/>
            <w:vMerge w:val="restart"/>
            <w:tcBorders>
              <w:tl2br w:val="nil"/>
              <w:tr2bl w:val="nil"/>
            </w:tcBorders>
            <w:shd w:val="clear" w:color="auto" w:fill="auto"/>
            <w:noWrap/>
            <w:vAlign w:val="center"/>
          </w:tcPr>
          <w:p w14:paraId="3B8D59D5">
            <w:pPr>
              <w:pStyle w:val="26"/>
              <w:keepNext w:val="0"/>
              <w:keepLines w:val="0"/>
              <w:pageBreakBefore w:val="0"/>
              <w:widowControl w:val="0"/>
              <w:suppressLineNumbers w:val="0"/>
              <w:kinsoku/>
              <w:bidi w:val="0"/>
              <w:adjustRightInd w:val="0"/>
              <w:snapToGrid w:val="0"/>
              <w:spacing w:before="100" w:beforeAutospacing="1" w:after="0" w:afterAutospacing="0"/>
              <w:ind w:left="0" w:leftChars="0" w:right="0" w:rightChars="0" w:firstLine="0" w:firstLineChars="0"/>
              <w:jc w:val="center"/>
              <w:rPr>
                <w:rFonts w:hint="default" w:ascii="Times New Roman" w:hAnsi="Times New Roman" w:cs="Times New Roman"/>
                <w:b w:val="0"/>
                <w:bCs w:val="0"/>
                <w:color w:val="auto"/>
                <w:kern w:val="2"/>
                <w:sz w:val="18"/>
                <w:szCs w:val="18"/>
                <w:highlight w:val="none"/>
                <w:lang w:val="en-US" w:eastAsia="zh-CN" w:bidi="ar"/>
              </w:rPr>
            </w:pPr>
            <w:r>
              <w:rPr>
                <w:rFonts w:hint="default" w:ascii="Times New Roman" w:hAnsi="Times New Roman" w:cs="Times New Roman"/>
                <w:b w:val="0"/>
                <w:bCs w:val="0"/>
                <w:color w:val="auto"/>
                <w:kern w:val="2"/>
                <w:sz w:val="18"/>
                <w:szCs w:val="18"/>
                <w:highlight w:val="none"/>
                <w:lang w:val="en-US" w:eastAsia="zh-CN" w:bidi="ar"/>
              </w:rPr>
              <w:t>PM</w:t>
            </w:r>
            <w:r>
              <w:rPr>
                <w:rFonts w:hint="default" w:ascii="Times New Roman" w:hAnsi="Times New Roman" w:cs="Times New Roman"/>
                <w:b w:val="0"/>
                <w:bCs w:val="0"/>
                <w:color w:val="auto"/>
                <w:kern w:val="2"/>
                <w:sz w:val="18"/>
                <w:szCs w:val="18"/>
                <w:highlight w:val="none"/>
                <w:vertAlign w:val="subscript"/>
                <w:lang w:val="en-US" w:eastAsia="zh-CN" w:bidi="ar"/>
              </w:rPr>
              <w:t>2.5</w:t>
            </w:r>
          </w:p>
        </w:tc>
      </w:tr>
      <w:tr w14:paraId="6EEB2E0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23" w:type="pct"/>
            <w:vMerge w:val="continue"/>
            <w:tcBorders>
              <w:tl2br w:val="nil"/>
              <w:tr2bl w:val="nil"/>
            </w:tcBorders>
            <w:shd w:val="clear" w:color="auto" w:fill="auto"/>
            <w:vAlign w:val="center"/>
          </w:tcPr>
          <w:p w14:paraId="71653BE7">
            <w:pPr>
              <w:jc w:val="center"/>
              <w:rPr>
                <w:rFonts w:hint="default" w:ascii="Times New Roman" w:hAnsi="Times New Roman" w:eastAsia="宋体" w:cs="Times New Roman"/>
                <w:b w:val="0"/>
                <w:bCs w:val="0"/>
                <w:i w:val="0"/>
                <w:iCs w:val="0"/>
                <w:color w:val="auto"/>
                <w:sz w:val="18"/>
                <w:szCs w:val="18"/>
                <w:u w:val="none"/>
              </w:rPr>
            </w:pPr>
          </w:p>
        </w:tc>
        <w:tc>
          <w:tcPr>
            <w:tcW w:w="554" w:type="pct"/>
            <w:vMerge w:val="continue"/>
            <w:tcBorders>
              <w:tl2br w:val="nil"/>
              <w:tr2bl w:val="nil"/>
            </w:tcBorders>
            <w:shd w:val="clear" w:color="auto" w:fill="auto"/>
            <w:vAlign w:val="center"/>
          </w:tcPr>
          <w:p w14:paraId="3AEF5313">
            <w:pPr>
              <w:jc w:val="center"/>
              <w:rPr>
                <w:rFonts w:hint="default" w:ascii="Times New Roman" w:hAnsi="Times New Roman" w:eastAsia="宋体" w:cs="Times New Roman"/>
                <w:b w:val="0"/>
                <w:bCs w:val="0"/>
                <w:i w:val="0"/>
                <w:iCs w:val="0"/>
                <w:color w:val="auto"/>
                <w:sz w:val="18"/>
                <w:szCs w:val="18"/>
                <w:u w:val="none"/>
              </w:rPr>
            </w:pPr>
          </w:p>
        </w:tc>
        <w:tc>
          <w:tcPr>
            <w:tcW w:w="289" w:type="pct"/>
            <w:tcBorders>
              <w:tl2br w:val="nil"/>
              <w:tr2bl w:val="nil"/>
            </w:tcBorders>
            <w:shd w:val="clear" w:color="auto" w:fill="auto"/>
            <w:vAlign w:val="center"/>
          </w:tcPr>
          <w:p w14:paraId="68660C6F">
            <w:pPr>
              <w:keepNext w:val="0"/>
              <w:keepLines w:val="0"/>
              <w:widowControl/>
              <w:suppressLineNumbers w:val="0"/>
              <w:jc w:val="center"/>
              <w:textAlignment w:val="center"/>
              <w:rPr>
                <w:rFonts w:hint="default" w:ascii="Times New Roman" w:hAnsi="Times New Roman" w:eastAsia="宋体" w:cs="Times New Roman"/>
                <w:b w:val="0"/>
                <w:bCs w:val="0"/>
                <w:i/>
                <w:iCs/>
                <w:color w:val="auto"/>
                <w:sz w:val="18"/>
                <w:szCs w:val="18"/>
                <w:u w:val="none"/>
              </w:rPr>
            </w:pPr>
            <w:r>
              <w:rPr>
                <w:rFonts w:hint="default" w:ascii="Times New Roman" w:hAnsi="Times New Roman" w:eastAsia="宋体" w:cs="Times New Roman"/>
                <w:b w:val="0"/>
                <w:bCs w:val="0"/>
                <w:i/>
                <w:iCs/>
                <w:color w:val="auto"/>
                <w:kern w:val="0"/>
                <w:sz w:val="18"/>
                <w:szCs w:val="18"/>
                <w:u w:val="none"/>
                <w:lang w:val="en-US" w:eastAsia="zh-CN" w:bidi="ar"/>
              </w:rPr>
              <w:t>X</w:t>
            </w:r>
          </w:p>
        </w:tc>
        <w:tc>
          <w:tcPr>
            <w:tcW w:w="326" w:type="pct"/>
            <w:tcBorders>
              <w:tl2br w:val="nil"/>
              <w:tr2bl w:val="nil"/>
            </w:tcBorders>
            <w:shd w:val="clear" w:color="auto" w:fill="auto"/>
            <w:vAlign w:val="center"/>
          </w:tcPr>
          <w:p w14:paraId="23A84782">
            <w:pPr>
              <w:keepNext w:val="0"/>
              <w:keepLines w:val="0"/>
              <w:widowControl/>
              <w:suppressLineNumbers w:val="0"/>
              <w:jc w:val="center"/>
              <w:textAlignment w:val="center"/>
              <w:rPr>
                <w:rFonts w:hint="default" w:ascii="Times New Roman" w:hAnsi="Times New Roman" w:eastAsia="宋体" w:cs="Times New Roman"/>
                <w:b w:val="0"/>
                <w:bCs w:val="0"/>
                <w:i/>
                <w:iCs/>
                <w:color w:val="auto"/>
                <w:sz w:val="18"/>
                <w:szCs w:val="18"/>
                <w:u w:val="none"/>
              </w:rPr>
            </w:pPr>
            <w:r>
              <w:rPr>
                <w:rFonts w:hint="default" w:ascii="Times New Roman" w:hAnsi="Times New Roman" w:eastAsia="宋体" w:cs="Times New Roman"/>
                <w:b w:val="0"/>
                <w:bCs w:val="0"/>
                <w:i/>
                <w:iCs/>
                <w:color w:val="auto"/>
                <w:kern w:val="0"/>
                <w:sz w:val="18"/>
                <w:szCs w:val="18"/>
                <w:u w:val="none"/>
                <w:lang w:val="en-US" w:eastAsia="zh-CN" w:bidi="ar"/>
              </w:rPr>
              <w:t>Y</w:t>
            </w:r>
          </w:p>
        </w:tc>
        <w:tc>
          <w:tcPr>
            <w:tcW w:w="446" w:type="pct"/>
            <w:vMerge w:val="continue"/>
            <w:tcBorders>
              <w:tl2br w:val="nil"/>
              <w:tr2bl w:val="nil"/>
            </w:tcBorders>
            <w:shd w:val="clear" w:color="auto" w:fill="auto"/>
            <w:vAlign w:val="center"/>
          </w:tcPr>
          <w:p w14:paraId="71749231">
            <w:pPr>
              <w:jc w:val="center"/>
              <w:rPr>
                <w:rFonts w:hint="default" w:ascii="Times New Roman" w:hAnsi="Times New Roman" w:eastAsia="宋体" w:cs="Times New Roman"/>
                <w:b w:val="0"/>
                <w:bCs w:val="0"/>
                <w:i w:val="0"/>
                <w:iCs w:val="0"/>
                <w:color w:val="auto"/>
                <w:sz w:val="18"/>
                <w:szCs w:val="18"/>
                <w:u w:val="none"/>
              </w:rPr>
            </w:pPr>
          </w:p>
        </w:tc>
        <w:tc>
          <w:tcPr>
            <w:tcW w:w="371" w:type="pct"/>
            <w:vMerge w:val="continue"/>
            <w:tcBorders>
              <w:tl2br w:val="nil"/>
              <w:tr2bl w:val="nil"/>
            </w:tcBorders>
            <w:shd w:val="clear" w:color="auto" w:fill="auto"/>
            <w:vAlign w:val="center"/>
          </w:tcPr>
          <w:p w14:paraId="412AFE67">
            <w:pPr>
              <w:jc w:val="center"/>
              <w:rPr>
                <w:rFonts w:hint="default" w:ascii="Times New Roman" w:hAnsi="Times New Roman" w:eastAsia="宋体" w:cs="Times New Roman"/>
                <w:b w:val="0"/>
                <w:bCs w:val="0"/>
                <w:i w:val="0"/>
                <w:iCs w:val="0"/>
                <w:color w:val="auto"/>
                <w:sz w:val="18"/>
                <w:szCs w:val="18"/>
                <w:u w:val="none"/>
              </w:rPr>
            </w:pPr>
          </w:p>
        </w:tc>
        <w:tc>
          <w:tcPr>
            <w:tcW w:w="352" w:type="pct"/>
            <w:vMerge w:val="continue"/>
            <w:tcBorders>
              <w:tl2br w:val="nil"/>
              <w:tr2bl w:val="nil"/>
            </w:tcBorders>
            <w:shd w:val="clear" w:color="auto" w:fill="auto"/>
            <w:vAlign w:val="center"/>
          </w:tcPr>
          <w:p w14:paraId="31C3F940">
            <w:pPr>
              <w:jc w:val="center"/>
              <w:rPr>
                <w:rFonts w:hint="default" w:ascii="Times New Roman" w:hAnsi="Times New Roman" w:eastAsia="宋体" w:cs="Times New Roman"/>
                <w:b w:val="0"/>
                <w:bCs w:val="0"/>
                <w:i w:val="0"/>
                <w:iCs w:val="0"/>
                <w:color w:val="auto"/>
                <w:sz w:val="18"/>
                <w:szCs w:val="18"/>
                <w:u w:val="none"/>
              </w:rPr>
            </w:pPr>
          </w:p>
        </w:tc>
        <w:tc>
          <w:tcPr>
            <w:tcW w:w="401" w:type="pct"/>
            <w:vMerge w:val="continue"/>
            <w:tcBorders>
              <w:tl2br w:val="nil"/>
              <w:tr2bl w:val="nil"/>
            </w:tcBorders>
            <w:shd w:val="clear" w:color="auto" w:fill="auto"/>
            <w:vAlign w:val="center"/>
          </w:tcPr>
          <w:p w14:paraId="595F6029">
            <w:pPr>
              <w:jc w:val="center"/>
              <w:rPr>
                <w:rFonts w:hint="default" w:ascii="Times New Roman" w:hAnsi="Times New Roman" w:eastAsia="宋体" w:cs="Times New Roman"/>
                <w:b w:val="0"/>
                <w:bCs w:val="0"/>
                <w:i w:val="0"/>
                <w:iCs w:val="0"/>
                <w:color w:val="auto"/>
                <w:sz w:val="18"/>
                <w:szCs w:val="18"/>
                <w:u w:val="none"/>
              </w:rPr>
            </w:pPr>
          </w:p>
        </w:tc>
        <w:tc>
          <w:tcPr>
            <w:tcW w:w="427" w:type="pct"/>
            <w:vMerge w:val="continue"/>
            <w:tcBorders>
              <w:tl2br w:val="nil"/>
              <w:tr2bl w:val="nil"/>
            </w:tcBorders>
            <w:shd w:val="clear" w:color="auto" w:fill="auto"/>
            <w:vAlign w:val="center"/>
          </w:tcPr>
          <w:p w14:paraId="2E962D19">
            <w:pPr>
              <w:jc w:val="center"/>
              <w:rPr>
                <w:rFonts w:hint="default" w:ascii="Times New Roman" w:hAnsi="Times New Roman" w:eastAsia="宋体" w:cs="Times New Roman"/>
                <w:b w:val="0"/>
                <w:bCs w:val="0"/>
                <w:i w:val="0"/>
                <w:iCs w:val="0"/>
                <w:color w:val="auto"/>
                <w:sz w:val="18"/>
                <w:szCs w:val="18"/>
                <w:u w:val="none"/>
              </w:rPr>
            </w:pPr>
          </w:p>
        </w:tc>
        <w:tc>
          <w:tcPr>
            <w:tcW w:w="371" w:type="pct"/>
            <w:vMerge w:val="continue"/>
            <w:tcBorders>
              <w:tl2br w:val="nil"/>
              <w:tr2bl w:val="nil"/>
            </w:tcBorders>
            <w:shd w:val="clear" w:color="auto" w:fill="auto"/>
            <w:vAlign w:val="center"/>
          </w:tcPr>
          <w:p w14:paraId="7EBCE8BC">
            <w:pPr>
              <w:jc w:val="center"/>
              <w:rPr>
                <w:rFonts w:hint="default" w:ascii="Times New Roman" w:hAnsi="Times New Roman" w:eastAsia="宋体" w:cs="Times New Roman"/>
                <w:b w:val="0"/>
                <w:bCs w:val="0"/>
                <w:i w:val="0"/>
                <w:iCs w:val="0"/>
                <w:color w:val="auto"/>
                <w:sz w:val="18"/>
                <w:szCs w:val="18"/>
                <w:u w:val="none"/>
              </w:rPr>
            </w:pPr>
          </w:p>
        </w:tc>
        <w:tc>
          <w:tcPr>
            <w:tcW w:w="362" w:type="pct"/>
            <w:vMerge w:val="continue"/>
            <w:tcBorders>
              <w:tl2br w:val="nil"/>
              <w:tr2bl w:val="nil"/>
            </w:tcBorders>
            <w:shd w:val="clear" w:color="auto" w:fill="auto"/>
            <w:vAlign w:val="center"/>
          </w:tcPr>
          <w:p w14:paraId="6EC21CAD">
            <w:pPr>
              <w:jc w:val="center"/>
              <w:rPr>
                <w:rFonts w:hint="default" w:ascii="Times New Roman" w:hAnsi="Times New Roman" w:eastAsia="宋体" w:cs="Times New Roman"/>
                <w:b w:val="0"/>
                <w:bCs w:val="0"/>
                <w:i w:val="0"/>
                <w:iCs w:val="0"/>
                <w:color w:val="auto"/>
                <w:sz w:val="18"/>
                <w:szCs w:val="18"/>
                <w:u w:val="none"/>
              </w:rPr>
            </w:pPr>
          </w:p>
        </w:tc>
        <w:tc>
          <w:tcPr>
            <w:tcW w:w="336" w:type="pct"/>
            <w:vMerge w:val="continue"/>
            <w:tcBorders>
              <w:tl2br w:val="nil"/>
              <w:tr2bl w:val="nil"/>
            </w:tcBorders>
            <w:shd w:val="clear" w:color="auto" w:fill="auto"/>
            <w:noWrap/>
            <w:vAlign w:val="center"/>
          </w:tcPr>
          <w:p w14:paraId="1F4081AE">
            <w:pPr>
              <w:pStyle w:val="26"/>
              <w:keepNext w:val="0"/>
              <w:keepLines w:val="0"/>
              <w:pageBreakBefore w:val="0"/>
              <w:widowControl w:val="0"/>
              <w:suppressLineNumbers w:val="0"/>
              <w:kinsoku/>
              <w:bidi w:val="0"/>
              <w:adjustRightInd w:val="0"/>
              <w:snapToGrid w:val="0"/>
              <w:spacing w:before="100" w:beforeAutospacing="1" w:after="0" w:afterAutospacing="0"/>
              <w:ind w:left="0" w:leftChars="0" w:right="0" w:rightChars="0" w:firstLine="0" w:firstLineChars="0"/>
              <w:jc w:val="center"/>
              <w:rPr>
                <w:rFonts w:hint="default" w:ascii="Times New Roman" w:hAnsi="Times New Roman" w:eastAsia="宋体" w:cs="Times New Roman"/>
                <w:b w:val="0"/>
                <w:bCs w:val="0"/>
                <w:i w:val="0"/>
                <w:iCs w:val="0"/>
                <w:color w:val="auto"/>
                <w:sz w:val="18"/>
                <w:szCs w:val="18"/>
                <w:u w:val="none"/>
              </w:rPr>
            </w:pPr>
          </w:p>
        </w:tc>
        <w:tc>
          <w:tcPr>
            <w:tcW w:w="336" w:type="pct"/>
            <w:vMerge w:val="continue"/>
            <w:tcBorders>
              <w:tl2br w:val="nil"/>
              <w:tr2bl w:val="nil"/>
            </w:tcBorders>
            <w:shd w:val="clear" w:color="auto" w:fill="auto"/>
            <w:noWrap/>
            <w:vAlign w:val="center"/>
          </w:tcPr>
          <w:p w14:paraId="48C58553">
            <w:pPr>
              <w:pStyle w:val="26"/>
              <w:keepNext w:val="0"/>
              <w:keepLines w:val="0"/>
              <w:pageBreakBefore w:val="0"/>
              <w:widowControl w:val="0"/>
              <w:suppressLineNumbers w:val="0"/>
              <w:kinsoku/>
              <w:bidi w:val="0"/>
              <w:adjustRightInd w:val="0"/>
              <w:snapToGrid w:val="0"/>
              <w:spacing w:before="100" w:beforeAutospacing="1" w:after="0" w:afterAutospacing="0"/>
              <w:ind w:left="0" w:leftChars="0" w:right="0" w:rightChars="0" w:firstLine="0" w:firstLineChars="0"/>
              <w:jc w:val="center"/>
              <w:rPr>
                <w:rFonts w:hint="default" w:ascii="Times New Roman" w:hAnsi="Times New Roman" w:eastAsia="宋体" w:cs="Times New Roman"/>
                <w:b w:val="0"/>
                <w:bCs w:val="0"/>
                <w:i w:val="0"/>
                <w:iCs w:val="0"/>
                <w:color w:val="auto"/>
                <w:sz w:val="18"/>
                <w:szCs w:val="18"/>
                <w:u w:val="none"/>
              </w:rPr>
            </w:pPr>
          </w:p>
        </w:tc>
      </w:tr>
      <w:tr w14:paraId="2EDAFEB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23" w:type="pct"/>
            <w:tcBorders>
              <w:tl2br w:val="nil"/>
              <w:tr2bl w:val="nil"/>
            </w:tcBorders>
            <w:shd w:val="clear" w:color="auto" w:fill="auto"/>
            <w:noWrap/>
            <w:vAlign w:val="center"/>
          </w:tcPr>
          <w:p w14:paraId="2B8F8AD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DA001</w:t>
            </w:r>
          </w:p>
        </w:tc>
        <w:tc>
          <w:tcPr>
            <w:tcW w:w="554" w:type="pct"/>
            <w:tcBorders>
              <w:tl2br w:val="nil"/>
              <w:tr2bl w:val="nil"/>
            </w:tcBorders>
            <w:shd w:val="clear" w:color="auto" w:fill="auto"/>
            <w:noWrap/>
            <w:vAlign w:val="center"/>
          </w:tcPr>
          <w:p w14:paraId="5D68FDF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废气排口</w:t>
            </w:r>
          </w:p>
        </w:tc>
        <w:tc>
          <w:tcPr>
            <w:tcW w:w="289" w:type="pct"/>
            <w:tcBorders>
              <w:tl2br w:val="nil"/>
              <w:tr2bl w:val="nil"/>
            </w:tcBorders>
            <w:shd w:val="clear" w:color="auto" w:fill="auto"/>
            <w:noWrap/>
            <w:vAlign w:val="center"/>
          </w:tcPr>
          <w:p w14:paraId="586DBF4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lang w:val="en-US"/>
              </w:rPr>
            </w:pPr>
            <w:r>
              <w:rPr>
                <w:rFonts w:hint="default" w:ascii="Times New Roman" w:hAnsi="Times New Roman" w:cs="Times New Roman"/>
                <w:b w:val="0"/>
                <w:bCs w:val="0"/>
                <w:i w:val="0"/>
                <w:iCs w:val="0"/>
                <w:color w:val="auto"/>
                <w:kern w:val="0"/>
                <w:sz w:val="18"/>
                <w:szCs w:val="18"/>
                <w:u w:val="none"/>
                <w:lang w:val="en-US" w:eastAsia="zh-CN" w:bidi="ar"/>
              </w:rPr>
              <w:t>10</w:t>
            </w:r>
          </w:p>
        </w:tc>
        <w:tc>
          <w:tcPr>
            <w:tcW w:w="326" w:type="pct"/>
            <w:tcBorders>
              <w:tl2br w:val="nil"/>
              <w:tr2bl w:val="nil"/>
            </w:tcBorders>
            <w:shd w:val="clear" w:color="auto" w:fill="auto"/>
            <w:noWrap/>
            <w:vAlign w:val="center"/>
          </w:tcPr>
          <w:p w14:paraId="1C6D73D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lang w:val="en-US"/>
              </w:rPr>
            </w:pPr>
            <w:r>
              <w:rPr>
                <w:rFonts w:hint="default" w:ascii="Times New Roman" w:hAnsi="Times New Roman" w:cs="Times New Roman"/>
                <w:b w:val="0"/>
                <w:bCs w:val="0"/>
                <w:i w:val="0"/>
                <w:iCs w:val="0"/>
                <w:color w:val="auto"/>
                <w:kern w:val="0"/>
                <w:sz w:val="18"/>
                <w:szCs w:val="18"/>
                <w:u w:val="none"/>
                <w:lang w:val="en-US" w:eastAsia="zh-CN" w:bidi="ar"/>
              </w:rPr>
              <w:t>37</w:t>
            </w:r>
          </w:p>
        </w:tc>
        <w:tc>
          <w:tcPr>
            <w:tcW w:w="446" w:type="pct"/>
            <w:tcBorders>
              <w:tl2br w:val="nil"/>
              <w:tr2bl w:val="nil"/>
            </w:tcBorders>
            <w:shd w:val="clear" w:color="auto" w:fill="auto"/>
            <w:noWrap/>
            <w:vAlign w:val="center"/>
          </w:tcPr>
          <w:p w14:paraId="012C890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lang w:val="en-US"/>
              </w:rPr>
            </w:pPr>
            <w:r>
              <w:rPr>
                <w:rFonts w:hint="default" w:ascii="Times New Roman" w:hAnsi="Times New Roman" w:cs="Times New Roman"/>
                <w:b w:val="0"/>
                <w:bCs w:val="0"/>
                <w:i w:val="0"/>
                <w:iCs w:val="0"/>
                <w:color w:val="auto"/>
                <w:kern w:val="0"/>
                <w:sz w:val="18"/>
                <w:szCs w:val="18"/>
                <w:u w:val="none"/>
                <w:lang w:val="en-US" w:eastAsia="zh-CN" w:bidi="ar"/>
              </w:rPr>
              <w:t>1769</w:t>
            </w:r>
          </w:p>
        </w:tc>
        <w:tc>
          <w:tcPr>
            <w:tcW w:w="371" w:type="pct"/>
            <w:tcBorders>
              <w:tl2br w:val="nil"/>
              <w:tr2bl w:val="nil"/>
            </w:tcBorders>
            <w:shd w:val="clear" w:color="auto" w:fill="auto"/>
            <w:noWrap/>
            <w:vAlign w:val="center"/>
          </w:tcPr>
          <w:p w14:paraId="102B01A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i w:val="0"/>
                <w:iCs w:val="0"/>
                <w:color w:val="auto"/>
                <w:kern w:val="0"/>
                <w:sz w:val="18"/>
                <w:szCs w:val="18"/>
                <w:u w:val="none"/>
                <w:lang w:val="en-US" w:eastAsia="zh-CN" w:bidi="ar"/>
              </w:rPr>
              <w:t>15</w:t>
            </w:r>
          </w:p>
        </w:tc>
        <w:tc>
          <w:tcPr>
            <w:tcW w:w="352" w:type="pct"/>
            <w:tcBorders>
              <w:tl2br w:val="nil"/>
              <w:tr2bl w:val="nil"/>
            </w:tcBorders>
            <w:shd w:val="clear" w:color="auto" w:fill="auto"/>
            <w:noWrap/>
            <w:vAlign w:val="center"/>
          </w:tcPr>
          <w:p w14:paraId="63267F0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highlight w:val="none"/>
                <w:u w:val="none"/>
                <w:lang w:val="en-US"/>
              </w:rPr>
            </w:pPr>
            <w:r>
              <w:rPr>
                <w:rFonts w:hint="default" w:ascii="Times New Roman" w:hAnsi="Times New Roman" w:cs="Times New Roman"/>
                <w:b w:val="0"/>
                <w:bCs w:val="0"/>
                <w:i w:val="0"/>
                <w:iCs w:val="0"/>
                <w:color w:val="auto"/>
                <w:kern w:val="0"/>
                <w:sz w:val="18"/>
                <w:szCs w:val="18"/>
                <w:highlight w:val="none"/>
                <w:u w:val="none"/>
                <w:lang w:val="en-US" w:eastAsia="zh-CN" w:bidi="ar"/>
              </w:rPr>
              <w:t>1.0</w:t>
            </w:r>
          </w:p>
        </w:tc>
        <w:tc>
          <w:tcPr>
            <w:tcW w:w="401" w:type="pct"/>
            <w:tcBorders>
              <w:tl2br w:val="nil"/>
              <w:tr2bl w:val="nil"/>
            </w:tcBorders>
            <w:shd w:val="clear" w:color="auto" w:fill="auto"/>
            <w:noWrap/>
            <w:vAlign w:val="center"/>
          </w:tcPr>
          <w:p w14:paraId="76F1143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highlight w:val="none"/>
                <w:u w:val="none"/>
                <w:lang w:val="en-US"/>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14.15</w:t>
            </w:r>
          </w:p>
        </w:tc>
        <w:tc>
          <w:tcPr>
            <w:tcW w:w="427" w:type="pct"/>
            <w:tcBorders>
              <w:tl2br w:val="nil"/>
              <w:tr2bl w:val="nil"/>
            </w:tcBorders>
            <w:shd w:val="clear" w:color="auto" w:fill="auto"/>
            <w:noWrap/>
            <w:vAlign w:val="center"/>
          </w:tcPr>
          <w:p w14:paraId="0A47009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i w:val="0"/>
                <w:iCs w:val="0"/>
                <w:color w:val="auto"/>
                <w:kern w:val="0"/>
                <w:sz w:val="18"/>
                <w:szCs w:val="18"/>
                <w:u w:val="none"/>
                <w:lang w:val="en-US" w:eastAsia="zh-CN" w:bidi="ar"/>
              </w:rPr>
              <w:t>25</w:t>
            </w:r>
          </w:p>
        </w:tc>
        <w:tc>
          <w:tcPr>
            <w:tcW w:w="371" w:type="pct"/>
            <w:tcBorders>
              <w:tl2br w:val="nil"/>
              <w:tr2bl w:val="nil"/>
            </w:tcBorders>
            <w:shd w:val="clear" w:color="auto" w:fill="auto"/>
            <w:noWrap/>
            <w:vAlign w:val="center"/>
          </w:tcPr>
          <w:p w14:paraId="22D453BF">
            <w:pPr>
              <w:jc w:val="center"/>
              <w:rPr>
                <w:rFonts w:hint="default" w:ascii="Times New Roman" w:hAnsi="Times New Roman" w:eastAsia="宋体" w:cs="Times New Roman"/>
                <w:b w:val="0"/>
                <w:bCs w:val="0"/>
                <w:i w:val="0"/>
                <w:iCs w:val="0"/>
                <w:color w:val="auto"/>
                <w:sz w:val="18"/>
                <w:szCs w:val="18"/>
                <w:u w:val="none"/>
                <w:lang w:val="en-US"/>
              </w:rPr>
            </w:pPr>
            <w:r>
              <w:rPr>
                <w:rFonts w:hint="default" w:ascii="Times New Roman" w:hAnsi="Times New Roman" w:cs="Times New Roman"/>
                <w:b w:val="0"/>
                <w:bCs w:val="0"/>
                <w:color w:val="auto"/>
                <w:sz w:val="18"/>
                <w:szCs w:val="18"/>
                <w:highlight w:val="none"/>
                <w:lang w:val="en-US" w:eastAsia="zh-CN"/>
              </w:rPr>
              <w:t>2400</w:t>
            </w:r>
          </w:p>
        </w:tc>
        <w:tc>
          <w:tcPr>
            <w:tcW w:w="362" w:type="pct"/>
            <w:tcBorders>
              <w:tl2br w:val="nil"/>
              <w:tr2bl w:val="nil"/>
            </w:tcBorders>
            <w:shd w:val="clear" w:color="auto" w:fill="auto"/>
            <w:noWrap/>
            <w:vAlign w:val="center"/>
          </w:tcPr>
          <w:p w14:paraId="68AB8A98">
            <w:pPr>
              <w:jc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b w:val="0"/>
                <w:bCs w:val="0"/>
                <w:color w:val="auto"/>
                <w:kern w:val="2"/>
                <w:sz w:val="18"/>
                <w:szCs w:val="18"/>
                <w:highlight w:val="none"/>
                <w:lang w:val="en-US" w:eastAsia="zh-CN" w:bidi="ar"/>
              </w:rPr>
              <w:t>连续排放</w:t>
            </w:r>
          </w:p>
        </w:tc>
        <w:tc>
          <w:tcPr>
            <w:tcW w:w="336" w:type="pct"/>
            <w:tcBorders>
              <w:tl2br w:val="nil"/>
              <w:tr2bl w:val="nil"/>
            </w:tcBorders>
            <w:shd w:val="clear" w:color="auto" w:fill="auto"/>
            <w:noWrap/>
            <w:vAlign w:val="center"/>
          </w:tcPr>
          <w:p w14:paraId="0287C02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cs="Times New Roman"/>
                <w:b w:val="0"/>
                <w:bCs w:val="0"/>
                <w:i w:val="0"/>
                <w:iCs w:val="0"/>
                <w:color w:val="auto"/>
                <w:kern w:val="0"/>
                <w:sz w:val="18"/>
                <w:szCs w:val="18"/>
                <w:u w:val="none"/>
                <w:lang w:val="en-US" w:eastAsia="zh-CN" w:bidi="ar"/>
              </w:rPr>
              <w:t>0.204</w:t>
            </w:r>
          </w:p>
        </w:tc>
        <w:tc>
          <w:tcPr>
            <w:tcW w:w="336" w:type="pct"/>
            <w:tcBorders>
              <w:tl2br w:val="nil"/>
              <w:tr2bl w:val="nil"/>
            </w:tcBorders>
            <w:shd w:val="clear" w:color="auto" w:fill="auto"/>
            <w:noWrap/>
            <w:vAlign w:val="center"/>
          </w:tcPr>
          <w:p w14:paraId="4B70CA5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cs="Times New Roman"/>
                <w:b w:val="0"/>
                <w:bCs w:val="0"/>
                <w:i w:val="0"/>
                <w:iCs w:val="0"/>
                <w:color w:val="auto"/>
                <w:kern w:val="0"/>
                <w:sz w:val="18"/>
                <w:szCs w:val="18"/>
                <w:u w:val="none"/>
                <w:lang w:val="en-US" w:eastAsia="zh-CN" w:bidi="ar"/>
              </w:rPr>
              <w:t>0.102</w:t>
            </w:r>
          </w:p>
        </w:tc>
      </w:tr>
    </w:tbl>
    <w:p w14:paraId="019365EA">
      <w:pPr>
        <w:jc w:val="left"/>
        <w:rPr>
          <w:rFonts w:hint="default" w:ascii="Times New Roman" w:hAnsi="Times New Roman" w:eastAsia="宋体" w:cs="Times New Roman"/>
          <w:b/>
          <w:color w:val="0070C0"/>
          <w:lang w:eastAsia="zh-CN"/>
        </w:rPr>
      </w:pPr>
      <w:r>
        <w:rPr>
          <w:rFonts w:hint="default" w:ascii="Times New Roman" w:hAnsi="Times New Roman" w:eastAsia="宋体" w:cs="Times New Roman"/>
          <w:b w:val="0"/>
          <w:bCs/>
          <w:color w:val="auto"/>
          <w:sz w:val="21"/>
          <w:szCs w:val="21"/>
        </w:rPr>
        <w:t>注：根据《环境空气质量标准》（GB3095-2012），PM</w:t>
      </w:r>
      <w:r>
        <w:rPr>
          <w:rFonts w:hint="default" w:ascii="Times New Roman" w:hAnsi="Times New Roman" w:eastAsia="宋体" w:cs="Times New Roman"/>
          <w:b w:val="0"/>
          <w:bCs/>
          <w:color w:val="auto"/>
          <w:sz w:val="21"/>
          <w:szCs w:val="21"/>
          <w:vertAlign w:val="subscript"/>
        </w:rPr>
        <w:t>2.5</w:t>
      </w:r>
      <w:r>
        <w:rPr>
          <w:rFonts w:hint="default" w:ascii="Times New Roman" w:hAnsi="Times New Roman" w:eastAsia="宋体" w:cs="Times New Roman"/>
          <w:b w:val="0"/>
          <w:bCs/>
          <w:color w:val="auto"/>
          <w:sz w:val="21"/>
          <w:szCs w:val="21"/>
        </w:rPr>
        <w:t>浓度限制为PM</w:t>
      </w:r>
      <w:r>
        <w:rPr>
          <w:rFonts w:hint="default" w:ascii="Times New Roman" w:hAnsi="Times New Roman" w:eastAsia="宋体" w:cs="Times New Roman"/>
          <w:b w:val="0"/>
          <w:bCs/>
          <w:color w:val="auto"/>
          <w:sz w:val="21"/>
          <w:szCs w:val="21"/>
          <w:vertAlign w:val="subscript"/>
        </w:rPr>
        <w:t>10</w:t>
      </w:r>
      <w:r>
        <w:rPr>
          <w:rFonts w:hint="default" w:ascii="Times New Roman" w:hAnsi="Times New Roman" w:eastAsia="宋体" w:cs="Times New Roman"/>
          <w:b w:val="0"/>
          <w:bCs/>
          <w:color w:val="auto"/>
          <w:sz w:val="21"/>
          <w:szCs w:val="21"/>
        </w:rPr>
        <w:t>的一半，因此本次PM</w:t>
      </w:r>
      <w:r>
        <w:rPr>
          <w:rFonts w:hint="default" w:ascii="Times New Roman" w:hAnsi="Times New Roman" w:eastAsia="宋体" w:cs="Times New Roman"/>
          <w:b w:val="0"/>
          <w:bCs/>
          <w:color w:val="auto"/>
          <w:sz w:val="21"/>
          <w:szCs w:val="21"/>
          <w:vertAlign w:val="subscript"/>
        </w:rPr>
        <w:t>2.5</w:t>
      </w:r>
      <w:r>
        <w:rPr>
          <w:rFonts w:hint="default" w:ascii="Times New Roman" w:hAnsi="Times New Roman" w:eastAsia="宋体" w:cs="Times New Roman"/>
          <w:b w:val="0"/>
          <w:bCs/>
          <w:color w:val="auto"/>
          <w:sz w:val="21"/>
          <w:szCs w:val="21"/>
        </w:rPr>
        <w:t>取值按PM</w:t>
      </w:r>
      <w:r>
        <w:rPr>
          <w:rFonts w:hint="default" w:ascii="Times New Roman" w:hAnsi="Times New Roman" w:eastAsia="宋体" w:cs="Times New Roman"/>
          <w:b w:val="0"/>
          <w:bCs/>
          <w:color w:val="auto"/>
          <w:sz w:val="21"/>
          <w:szCs w:val="21"/>
          <w:vertAlign w:val="subscript"/>
        </w:rPr>
        <w:t>10</w:t>
      </w:r>
      <w:r>
        <w:rPr>
          <w:rFonts w:hint="default" w:ascii="Times New Roman" w:hAnsi="Times New Roman" w:eastAsia="宋体" w:cs="Times New Roman"/>
          <w:b w:val="0"/>
          <w:bCs/>
          <w:color w:val="auto"/>
          <w:sz w:val="21"/>
          <w:szCs w:val="21"/>
        </w:rPr>
        <w:t>的50%进行取值</w:t>
      </w:r>
      <w:r>
        <w:rPr>
          <w:rFonts w:hint="default" w:ascii="Times New Roman" w:hAnsi="Times New Roman" w:eastAsia="宋体" w:cs="Times New Roman"/>
          <w:b w:val="0"/>
          <w:bCs/>
          <w:color w:val="auto"/>
          <w:sz w:val="21"/>
          <w:szCs w:val="21"/>
          <w:lang w:eastAsia="zh-CN"/>
        </w:rPr>
        <w:t>。</w:t>
      </w:r>
    </w:p>
    <w:p w14:paraId="791D6767">
      <w:pPr>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br w:type="page"/>
      </w:r>
    </w:p>
    <w:p w14:paraId="2A63008C">
      <w:pPr>
        <w:jc w:val="center"/>
        <w:rPr>
          <w:rFonts w:hint="default" w:ascii="Times New Roman" w:hAnsi="Times New Roman" w:eastAsia="黑体" w:cs="Times New Roman"/>
          <w:b w:val="0"/>
          <w:bCs w:val="0"/>
          <w:sz w:val="21"/>
          <w:szCs w:val="21"/>
          <w:lang w:eastAsia="zh-CN"/>
        </w:rPr>
      </w:pPr>
      <w:r>
        <w:rPr>
          <w:rFonts w:hint="default" w:ascii="Times New Roman" w:hAnsi="Times New Roman" w:eastAsia="黑体" w:cs="Times New Roman"/>
          <w:b w:val="0"/>
          <w:bCs w:val="0"/>
          <w:color w:val="auto"/>
          <w:sz w:val="21"/>
          <w:szCs w:val="21"/>
          <w:highlight w:val="none"/>
          <w:lang w:val="en-US" w:eastAsia="zh-CN"/>
        </w:rPr>
        <w:t>表6.1.1-5</w:t>
      </w:r>
      <w:r>
        <w:rPr>
          <w:rFonts w:hint="default" w:ascii="Times New Roman" w:hAnsi="Times New Roman" w:eastAsia="黑体" w:cs="Times New Roman"/>
          <w:b w:val="0"/>
          <w:bCs w:val="0"/>
          <w:sz w:val="21"/>
          <w:szCs w:val="21"/>
        </w:rPr>
        <w:t xml:space="preserve">  </w:t>
      </w:r>
      <w:r>
        <w:rPr>
          <w:rFonts w:hint="default" w:ascii="Times New Roman" w:hAnsi="Times New Roman" w:eastAsia="黑体" w:cs="Times New Roman"/>
          <w:b w:val="0"/>
          <w:bCs w:val="0"/>
          <w:sz w:val="21"/>
          <w:szCs w:val="21"/>
          <w:lang w:val="en-US" w:eastAsia="zh-CN"/>
        </w:rPr>
        <w:t>项目无组织排放源</w:t>
      </w:r>
      <w:r>
        <w:rPr>
          <w:rFonts w:hint="default" w:ascii="Times New Roman" w:hAnsi="Times New Roman" w:eastAsia="黑体" w:cs="Times New Roman"/>
          <w:b w:val="0"/>
          <w:bCs w:val="0"/>
          <w:sz w:val="21"/>
          <w:szCs w:val="21"/>
        </w:rPr>
        <w:t>参数一览表</w:t>
      </w:r>
      <w:r>
        <w:rPr>
          <w:rFonts w:hint="default" w:ascii="Times New Roman" w:hAnsi="Times New Roman" w:eastAsia="黑体" w:cs="Times New Roman"/>
          <w:b w:val="0"/>
          <w:bCs w:val="0"/>
          <w:sz w:val="21"/>
          <w:szCs w:val="21"/>
          <w:lang w:eastAsia="zh-CN"/>
        </w:rPr>
        <w:t>（</w:t>
      </w:r>
      <w:r>
        <w:rPr>
          <w:rFonts w:hint="default" w:ascii="Times New Roman" w:hAnsi="Times New Roman" w:eastAsia="黑体" w:cs="Times New Roman"/>
          <w:b w:val="0"/>
          <w:bCs w:val="0"/>
          <w:sz w:val="21"/>
          <w:szCs w:val="21"/>
          <w:lang w:val="en-US" w:eastAsia="zh-CN"/>
        </w:rPr>
        <w:t>圆</w:t>
      </w:r>
      <w:r>
        <w:rPr>
          <w:rFonts w:hint="default" w:ascii="Times New Roman" w:hAnsi="Times New Roman" w:eastAsia="黑体" w:cs="Times New Roman"/>
          <w:b w:val="0"/>
          <w:bCs w:val="0"/>
          <w:sz w:val="21"/>
          <w:szCs w:val="21"/>
        </w:rPr>
        <w:t>形面源</w:t>
      </w:r>
      <w:r>
        <w:rPr>
          <w:rFonts w:hint="default" w:ascii="Times New Roman" w:hAnsi="Times New Roman" w:eastAsia="黑体" w:cs="Times New Roman"/>
          <w:b w:val="0"/>
          <w:bCs w:val="0"/>
          <w:sz w:val="21"/>
          <w:szCs w:val="21"/>
          <w:lang w:eastAsia="zh-CN"/>
        </w:rPr>
        <w:t>）</w:t>
      </w:r>
    </w:p>
    <w:tbl>
      <w:tblPr>
        <w:tblStyle w:val="29"/>
        <w:tblW w:w="505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243"/>
        <w:gridCol w:w="1089"/>
        <w:gridCol w:w="977"/>
        <w:gridCol w:w="848"/>
        <w:gridCol w:w="626"/>
        <w:gridCol w:w="694"/>
        <w:gridCol w:w="494"/>
        <w:gridCol w:w="644"/>
        <w:gridCol w:w="969"/>
        <w:gridCol w:w="740"/>
      </w:tblGrid>
      <w:tr w14:paraId="3EBBB1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vMerge w:val="restart"/>
            <w:shd w:val="clear" w:color="auto" w:fill="auto"/>
            <w:vAlign w:val="center"/>
          </w:tcPr>
          <w:p w14:paraId="3DD0F21D">
            <w:pPr>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污染源名称</w:t>
            </w:r>
          </w:p>
        </w:tc>
        <w:tc>
          <w:tcPr>
            <w:tcW w:w="1242" w:type="pct"/>
            <w:gridSpan w:val="2"/>
            <w:shd w:val="clear" w:color="auto" w:fill="auto"/>
            <w:vAlign w:val="center"/>
          </w:tcPr>
          <w:p w14:paraId="3DA12DE6">
            <w:pPr>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坐标</w:t>
            </w:r>
          </w:p>
        </w:tc>
        <w:tc>
          <w:tcPr>
            <w:tcW w:w="520" w:type="pct"/>
            <w:vMerge w:val="restart"/>
            <w:shd w:val="clear" w:color="auto" w:fill="auto"/>
            <w:vAlign w:val="center"/>
          </w:tcPr>
          <w:p w14:paraId="2ED6B04F">
            <w:pPr>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海拔高度(m)</w:t>
            </w:r>
          </w:p>
        </w:tc>
        <w:tc>
          <w:tcPr>
            <w:tcW w:w="785" w:type="pct"/>
            <w:gridSpan w:val="2"/>
            <w:shd w:val="clear" w:color="auto" w:fill="auto"/>
            <w:vAlign w:val="center"/>
          </w:tcPr>
          <w:p w14:paraId="5D5C192F">
            <w:pPr>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圆形面源</w:t>
            </w:r>
          </w:p>
        </w:tc>
        <w:tc>
          <w:tcPr>
            <w:tcW w:w="369" w:type="pct"/>
            <w:vMerge w:val="restart"/>
            <w:vAlign w:val="center"/>
          </w:tcPr>
          <w:p w14:paraId="548F7D52">
            <w:pPr>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年排放小时数h</w:t>
            </w:r>
          </w:p>
        </w:tc>
        <w:tc>
          <w:tcPr>
            <w:tcW w:w="263" w:type="pct"/>
            <w:vMerge w:val="restart"/>
            <w:vAlign w:val="center"/>
          </w:tcPr>
          <w:p w14:paraId="39CB3C64">
            <w:pPr>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排放工况</w:t>
            </w:r>
          </w:p>
        </w:tc>
        <w:tc>
          <w:tcPr>
            <w:tcW w:w="343" w:type="pct"/>
            <w:vMerge w:val="restart"/>
            <w:shd w:val="clear" w:color="auto" w:fill="auto"/>
            <w:vAlign w:val="center"/>
          </w:tcPr>
          <w:p w14:paraId="31BB65CC">
            <w:pPr>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污染物</w:t>
            </w:r>
          </w:p>
        </w:tc>
        <w:tc>
          <w:tcPr>
            <w:tcW w:w="516" w:type="pct"/>
            <w:vMerge w:val="restart"/>
            <w:shd w:val="clear" w:color="auto" w:fill="auto"/>
            <w:vAlign w:val="center"/>
          </w:tcPr>
          <w:p w14:paraId="477AE78E">
            <w:pPr>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排放速率</w:t>
            </w:r>
          </w:p>
        </w:tc>
        <w:tc>
          <w:tcPr>
            <w:tcW w:w="394" w:type="pct"/>
            <w:vMerge w:val="restart"/>
            <w:shd w:val="clear" w:color="auto" w:fill="auto"/>
            <w:vAlign w:val="center"/>
          </w:tcPr>
          <w:p w14:paraId="0A8281DB">
            <w:pPr>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单位</w:t>
            </w:r>
          </w:p>
        </w:tc>
      </w:tr>
      <w:tr w14:paraId="6D7446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pct"/>
            <w:vMerge w:val="continue"/>
            <w:shd w:val="clear" w:color="auto" w:fill="auto"/>
            <w:vAlign w:val="center"/>
          </w:tcPr>
          <w:p w14:paraId="69E9AEFB">
            <w:pPr>
              <w:snapToGrid w:val="0"/>
              <w:spacing w:line="240" w:lineRule="auto"/>
              <w:ind w:firstLine="0" w:firstLineChars="0"/>
              <w:jc w:val="center"/>
              <w:rPr>
                <w:rFonts w:hint="default" w:ascii="Times New Roman" w:hAnsi="Times New Roman" w:eastAsia="宋体" w:cs="Times New Roman"/>
                <w:color w:val="auto"/>
                <w:sz w:val="18"/>
                <w:szCs w:val="18"/>
              </w:rPr>
            </w:pPr>
          </w:p>
        </w:tc>
        <w:tc>
          <w:tcPr>
            <w:tcW w:w="1243" w:type="dxa"/>
            <w:shd w:val="clear" w:color="auto" w:fill="auto"/>
            <w:vAlign w:val="center"/>
          </w:tcPr>
          <w:p w14:paraId="0C2B882B">
            <w:pPr>
              <w:keepNext w:val="0"/>
              <w:keepLines w:val="0"/>
              <w:widowControl/>
              <w:suppressLineNumbers w:val="0"/>
              <w:spacing w:line="240" w:lineRule="auto"/>
              <w:jc w:val="center"/>
              <w:textAlignment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val="0"/>
                <w:bCs w:val="0"/>
                <w:i/>
                <w:iCs/>
                <w:color w:val="auto"/>
                <w:kern w:val="0"/>
                <w:sz w:val="18"/>
                <w:szCs w:val="18"/>
                <w:u w:val="none"/>
                <w:lang w:val="en-US" w:eastAsia="zh-CN" w:bidi="ar"/>
              </w:rPr>
              <w:t>X</w:t>
            </w:r>
          </w:p>
        </w:tc>
        <w:tc>
          <w:tcPr>
            <w:tcW w:w="1089" w:type="dxa"/>
            <w:shd w:val="clear" w:color="auto" w:fill="auto"/>
            <w:vAlign w:val="center"/>
          </w:tcPr>
          <w:p w14:paraId="60C16940">
            <w:pPr>
              <w:keepNext w:val="0"/>
              <w:keepLines w:val="0"/>
              <w:widowControl/>
              <w:suppressLineNumbers w:val="0"/>
              <w:spacing w:line="240" w:lineRule="auto"/>
              <w:jc w:val="center"/>
              <w:textAlignment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val="0"/>
                <w:bCs w:val="0"/>
                <w:i/>
                <w:iCs/>
                <w:color w:val="auto"/>
                <w:kern w:val="0"/>
                <w:sz w:val="18"/>
                <w:szCs w:val="18"/>
                <w:u w:val="none"/>
                <w:lang w:val="en-US" w:eastAsia="zh-CN" w:bidi="ar"/>
              </w:rPr>
              <w:t>Y</w:t>
            </w:r>
          </w:p>
        </w:tc>
        <w:tc>
          <w:tcPr>
            <w:tcW w:w="520" w:type="pct"/>
            <w:vMerge w:val="continue"/>
            <w:shd w:val="clear" w:color="auto" w:fill="auto"/>
            <w:vAlign w:val="center"/>
          </w:tcPr>
          <w:p w14:paraId="10F274DA">
            <w:pPr>
              <w:snapToGrid w:val="0"/>
              <w:spacing w:line="240" w:lineRule="auto"/>
              <w:ind w:firstLine="0" w:firstLineChars="0"/>
              <w:jc w:val="center"/>
              <w:rPr>
                <w:rFonts w:hint="default" w:ascii="Times New Roman" w:hAnsi="Times New Roman" w:eastAsia="宋体" w:cs="Times New Roman"/>
                <w:b/>
                <w:color w:val="auto"/>
                <w:sz w:val="18"/>
                <w:szCs w:val="18"/>
              </w:rPr>
            </w:pPr>
          </w:p>
        </w:tc>
        <w:tc>
          <w:tcPr>
            <w:tcW w:w="451" w:type="pct"/>
            <w:shd w:val="clear" w:color="auto" w:fill="auto"/>
            <w:vAlign w:val="center"/>
          </w:tcPr>
          <w:p w14:paraId="2ADCA03F">
            <w:pPr>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面源半径(m)</w:t>
            </w:r>
          </w:p>
        </w:tc>
        <w:tc>
          <w:tcPr>
            <w:tcW w:w="333" w:type="pct"/>
            <w:shd w:val="clear" w:color="auto" w:fill="auto"/>
            <w:vAlign w:val="center"/>
          </w:tcPr>
          <w:p w14:paraId="48BF049B">
            <w:pPr>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有效</w:t>
            </w:r>
          </w:p>
          <w:p w14:paraId="22F81D51">
            <w:pPr>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高度</w:t>
            </w:r>
          </w:p>
          <w:p w14:paraId="561F32F7">
            <w:pPr>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(m)</w:t>
            </w:r>
          </w:p>
        </w:tc>
        <w:tc>
          <w:tcPr>
            <w:tcW w:w="369" w:type="pct"/>
            <w:vMerge w:val="continue"/>
            <w:vAlign w:val="center"/>
          </w:tcPr>
          <w:p w14:paraId="35F752AE">
            <w:pPr>
              <w:snapToGrid w:val="0"/>
              <w:spacing w:line="240" w:lineRule="auto"/>
              <w:ind w:firstLine="0" w:firstLineChars="0"/>
              <w:jc w:val="center"/>
              <w:rPr>
                <w:rFonts w:hint="default" w:ascii="Times New Roman" w:hAnsi="Times New Roman" w:eastAsia="宋体" w:cs="Times New Roman"/>
                <w:color w:val="auto"/>
                <w:sz w:val="18"/>
                <w:szCs w:val="18"/>
              </w:rPr>
            </w:pPr>
          </w:p>
        </w:tc>
        <w:tc>
          <w:tcPr>
            <w:tcW w:w="263" w:type="pct"/>
            <w:vMerge w:val="continue"/>
            <w:vAlign w:val="center"/>
          </w:tcPr>
          <w:p w14:paraId="622A23BC">
            <w:pPr>
              <w:snapToGrid w:val="0"/>
              <w:spacing w:line="240" w:lineRule="auto"/>
              <w:ind w:firstLine="0" w:firstLineChars="0"/>
              <w:jc w:val="center"/>
              <w:rPr>
                <w:rFonts w:hint="default" w:ascii="Times New Roman" w:hAnsi="Times New Roman" w:eastAsia="宋体" w:cs="Times New Roman"/>
                <w:color w:val="auto"/>
                <w:sz w:val="18"/>
                <w:szCs w:val="18"/>
              </w:rPr>
            </w:pPr>
          </w:p>
        </w:tc>
        <w:tc>
          <w:tcPr>
            <w:tcW w:w="343" w:type="pct"/>
            <w:vMerge w:val="continue"/>
            <w:shd w:val="clear" w:color="auto" w:fill="auto"/>
            <w:vAlign w:val="center"/>
          </w:tcPr>
          <w:p w14:paraId="45B8196E">
            <w:pPr>
              <w:snapToGrid w:val="0"/>
              <w:spacing w:line="240" w:lineRule="auto"/>
              <w:ind w:firstLine="0" w:firstLineChars="0"/>
              <w:jc w:val="center"/>
              <w:rPr>
                <w:rFonts w:hint="default" w:ascii="Times New Roman" w:hAnsi="Times New Roman" w:eastAsia="宋体" w:cs="Times New Roman"/>
                <w:color w:val="auto"/>
                <w:sz w:val="18"/>
                <w:szCs w:val="18"/>
              </w:rPr>
            </w:pPr>
          </w:p>
        </w:tc>
        <w:tc>
          <w:tcPr>
            <w:tcW w:w="516" w:type="pct"/>
            <w:vMerge w:val="continue"/>
            <w:shd w:val="clear" w:color="auto" w:fill="auto"/>
            <w:vAlign w:val="center"/>
          </w:tcPr>
          <w:p w14:paraId="5B08AB64">
            <w:pPr>
              <w:snapToGrid w:val="0"/>
              <w:spacing w:line="240" w:lineRule="auto"/>
              <w:ind w:firstLine="0" w:firstLineChars="0"/>
              <w:jc w:val="center"/>
              <w:rPr>
                <w:rFonts w:hint="default" w:ascii="Times New Roman" w:hAnsi="Times New Roman" w:eastAsia="宋体" w:cs="Times New Roman"/>
                <w:color w:val="auto"/>
                <w:sz w:val="18"/>
                <w:szCs w:val="18"/>
              </w:rPr>
            </w:pPr>
          </w:p>
        </w:tc>
        <w:tc>
          <w:tcPr>
            <w:tcW w:w="394" w:type="pct"/>
            <w:vMerge w:val="continue"/>
            <w:shd w:val="clear" w:color="auto" w:fill="auto"/>
            <w:vAlign w:val="center"/>
          </w:tcPr>
          <w:p w14:paraId="33AE228E">
            <w:pPr>
              <w:snapToGrid w:val="0"/>
              <w:spacing w:line="240" w:lineRule="auto"/>
              <w:ind w:firstLine="0" w:firstLineChars="0"/>
              <w:jc w:val="center"/>
              <w:rPr>
                <w:rFonts w:hint="default" w:ascii="Times New Roman" w:hAnsi="Times New Roman" w:eastAsia="宋体" w:cs="Times New Roman"/>
                <w:color w:val="auto"/>
                <w:sz w:val="18"/>
                <w:szCs w:val="18"/>
              </w:rPr>
            </w:pPr>
          </w:p>
        </w:tc>
      </w:tr>
      <w:tr w14:paraId="3102B5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64" w:type="pct"/>
            <w:shd w:val="clear" w:color="auto" w:fill="auto"/>
            <w:vAlign w:val="center"/>
          </w:tcPr>
          <w:p w14:paraId="1A3810DE">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原料堆场</w:t>
            </w:r>
          </w:p>
        </w:tc>
        <w:tc>
          <w:tcPr>
            <w:tcW w:w="662" w:type="pct"/>
            <w:shd w:val="clear" w:color="auto" w:fill="auto"/>
            <w:vAlign w:val="center"/>
          </w:tcPr>
          <w:p w14:paraId="1C807527">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43</w:t>
            </w:r>
          </w:p>
        </w:tc>
        <w:tc>
          <w:tcPr>
            <w:tcW w:w="580" w:type="pct"/>
            <w:shd w:val="clear" w:color="auto" w:fill="auto"/>
            <w:vAlign w:val="center"/>
          </w:tcPr>
          <w:p w14:paraId="632C2CD6">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-13</w:t>
            </w:r>
          </w:p>
        </w:tc>
        <w:tc>
          <w:tcPr>
            <w:tcW w:w="520" w:type="pct"/>
            <w:shd w:val="clear" w:color="auto" w:fill="auto"/>
            <w:vAlign w:val="center"/>
          </w:tcPr>
          <w:p w14:paraId="6CDDD3DC">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1766</w:t>
            </w:r>
          </w:p>
        </w:tc>
        <w:tc>
          <w:tcPr>
            <w:tcW w:w="451" w:type="pct"/>
            <w:shd w:val="clear" w:color="auto" w:fill="auto"/>
            <w:vAlign w:val="center"/>
          </w:tcPr>
          <w:p w14:paraId="054B57D1">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35.7</w:t>
            </w:r>
          </w:p>
        </w:tc>
        <w:tc>
          <w:tcPr>
            <w:tcW w:w="333" w:type="pct"/>
            <w:shd w:val="clear" w:color="auto" w:fill="auto"/>
            <w:vAlign w:val="center"/>
          </w:tcPr>
          <w:p w14:paraId="079C63E5">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w:t>
            </w:r>
          </w:p>
        </w:tc>
        <w:tc>
          <w:tcPr>
            <w:tcW w:w="369" w:type="pct"/>
            <w:vAlign w:val="center"/>
          </w:tcPr>
          <w:p w14:paraId="075E2322">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2400</w:t>
            </w:r>
          </w:p>
        </w:tc>
        <w:tc>
          <w:tcPr>
            <w:tcW w:w="263" w:type="pct"/>
            <w:vAlign w:val="center"/>
          </w:tcPr>
          <w:p w14:paraId="18877371">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正常</w:t>
            </w:r>
          </w:p>
        </w:tc>
        <w:tc>
          <w:tcPr>
            <w:tcW w:w="343" w:type="pct"/>
            <w:shd w:val="clear" w:color="auto" w:fill="auto"/>
            <w:vAlign w:val="center"/>
          </w:tcPr>
          <w:p w14:paraId="41435E1A">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TSP</w:t>
            </w:r>
          </w:p>
        </w:tc>
        <w:tc>
          <w:tcPr>
            <w:tcW w:w="516" w:type="pct"/>
            <w:shd w:val="clear" w:color="auto" w:fill="auto"/>
            <w:vAlign w:val="center"/>
          </w:tcPr>
          <w:p w14:paraId="4023F173">
            <w:pPr>
              <w:pStyle w:val="2"/>
              <w:autoSpaceDE w:val="0"/>
              <w:spacing w:before="0"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0.075</w:t>
            </w:r>
          </w:p>
        </w:tc>
        <w:tc>
          <w:tcPr>
            <w:tcW w:w="394" w:type="pct"/>
            <w:shd w:val="clear" w:color="auto" w:fill="auto"/>
            <w:vAlign w:val="center"/>
          </w:tcPr>
          <w:p w14:paraId="51CC95B8">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kg/h</w:t>
            </w:r>
          </w:p>
        </w:tc>
      </w:tr>
      <w:tr w14:paraId="297C85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59" w:type="dxa"/>
            <w:shd w:val="clear" w:color="auto" w:fill="auto"/>
            <w:vAlign w:val="center"/>
          </w:tcPr>
          <w:p w14:paraId="0B311A89">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除原料堆场外其它无组织排放源</w:t>
            </w:r>
          </w:p>
        </w:tc>
        <w:tc>
          <w:tcPr>
            <w:tcW w:w="1243" w:type="dxa"/>
            <w:shd w:val="clear" w:color="auto" w:fill="auto"/>
            <w:vAlign w:val="center"/>
          </w:tcPr>
          <w:p w14:paraId="3550FE16">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w:t>
            </w:r>
          </w:p>
        </w:tc>
        <w:tc>
          <w:tcPr>
            <w:tcW w:w="1089" w:type="dxa"/>
            <w:shd w:val="clear" w:color="auto" w:fill="auto"/>
            <w:vAlign w:val="center"/>
          </w:tcPr>
          <w:p w14:paraId="76AE2177">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26</w:t>
            </w:r>
          </w:p>
        </w:tc>
        <w:tc>
          <w:tcPr>
            <w:tcW w:w="977" w:type="dxa"/>
            <w:shd w:val="clear" w:color="auto" w:fill="auto"/>
            <w:vAlign w:val="center"/>
          </w:tcPr>
          <w:p w14:paraId="0B4B5F82">
            <w:pPr>
              <w:spacing w:line="240" w:lineRule="auto"/>
              <w:ind w:firstLine="0" w:firstLineChars="0"/>
              <w:jc w:val="center"/>
              <w:rPr>
                <w:rFonts w:hint="default" w:ascii="Times New Roman" w:hAnsi="Times New Roman" w:cs="Times New Roman"/>
                <w:b w:val="0"/>
                <w:bCs w:val="0"/>
                <w:i w:val="0"/>
                <w:iCs w:val="0"/>
                <w:color w:val="auto"/>
                <w:kern w:val="0"/>
                <w:sz w:val="18"/>
                <w:szCs w:val="18"/>
                <w:u w:val="none"/>
                <w:lang w:val="en-US" w:eastAsia="zh-CN" w:bidi="ar"/>
              </w:rPr>
            </w:pPr>
            <w:r>
              <w:rPr>
                <w:rFonts w:hint="default" w:ascii="Times New Roman" w:hAnsi="Times New Roman" w:cs="Times New Roman"/>
                <w:b w:val="0"/>
                <w:bCs w:val="0"/>
                <w:i w:val="0"/>
                <w:iCs w:val="0"/>
                <w:color w:val="auto"/>
                <w:kern w:val="0"/>
                <w:sz w:val="18"/>
                <w:szCs w:val="18"/>
                <w:u w:val="none"/>
                <w:lang w:val="en-US" w:eastAsia="zh-CN" w:bidi="ar"/>
              </w:rPr>
              <w:t>1776</w:t>
            </w:r>
          </w:p>
        </w:tc>
        <w:tc>
          <w:tcPr>
            <w:tcW w:w="848" w:type="dxa"/>
            <w:shd w:val="clear" w:color="auto" w:fill="auto"/>
            <w:vAlign w:val="center"/>
          </w:tcPr>
          <w:p w14:paraId="3B6997A3">
            <w:pPr>
              <w:spacing w:line="240" w:lineRule="auto"/>
              <w:ind w:firstLine="0" w:firstLineChars="0"/>
              <w:jc w:val="center"/>
              <w:rPr>
                <w:rFonts w:hint="default" w:ascii="Times New Roman" w:hAnsi="Times New Roman" w:eastAsia="宋体" w:cs="Times New Roman"/>
                <w:color w:val="auto"/>
                <w:sz w:val="18"/>
                <w:szCs w:val="18"/>
                <w:lang w:val="en-US" w:bidi="zh-CN"/>
              </w:rPr>
            </w:pPr>
            <w:r>
              <w:rPr>
                <w:rFonts w:hint="default" w:ascii="Times New Roman" w:hAnsi="Times New Roman" w:eastAsia="宋体" w:cs="Times New Roman"/>
                <w:color w:val="auto"/>
                <w:sz w:val="18"/>
                <w:szCs w:val="18"/>
                <w:lang w:val="en-US" w:bidi="zh-CN"/>
              </w:rPr>
              <w:t>27.06</w:t>
            </w:r>
          </w:p>
        </w:tc>
        <w:tc>
          <w:tcPr>
            <w:tcW w:w="626" w:type="dxa"/>
            <w:shd w:val="clear" w:color="auto" w:fill="auto"/>
            <w:vAlign w:val="center"/>
          </w:tcPr>
          <w:p w14:paraId="56B391F9">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w:t>
            </w:r>
          </w:p>
        </w:tc>
        <w:tc>
          <w:tcPr>
            <w:tcW w:w="694" w:type="dxa"/>
            <w:vAlign w:val="center"/>
          </w:tcPr>
          <w:p w14:paraId="6AE2A8DE">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2400</w:t>
            </w:r>
          </w:p>
        </w:tc>
        <w:tc>
          <w:tcPr>
            <w:tcW w:w="494" w:type="dxa"/>
            <w:vAlign w:val="center"/>
          </w:tcPr>
          <w:p w14:paraId="212BFB19">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正常</w:t>
            </w:r>
          </w:p>
        </w:tc>
        <w:tc>
          <w:tcPr>
            <w:tcW w:w="644" w:type="dxa"/>
            <w:shd w:val="clear" w:color="auto" w:fill="auto"/>
            <w:vAlign w:val="center"/>
          </w:tcPr>
          <w:p w14:paraId="5B4343D0">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TSP</w:t>
            </w:r>
          </w:p>
        </w:tc>
        <w:tc>
          <w:tcPr>
            <w:tcW w:w="969" w:type="dxa"/>
            <w:shd w:val="clear" w:color="auto" w:fill="auto"/>
            <w:vAlign w:val="center"/>
          </w:tcPr>
          <w:p w14:paraId="52569B60">
            <w:pPr>
              <w:pStyle w:val="2"/>
              <w:autoSpaceDE w:val="0"/>
              <w:spacing w:before="0" w:line="240" w:lineRule="auto"/>
              <w:ind w:left="0" w:leftChars="0"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0.365</w:t>
            </w:r>
          </w:p>
        </w:tc>
        <w:tc>
          <w:tcPr>
            <w:tcW w:w="740" w:type="dxa"/>
            <w:shd w:val="clear" w:color="auto" w:fill="auto"/>
            <w:vAlign w:val="center"/>
          </w:tcPr>
          <w:p w14:paraId="2BE63976">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kg/h</w:t>
            </w:r>
          </w:p>
        </w:tc>
      </w:tr>
    </w:tbl>
    <w:p w14:paraId="6674EC70">
      <w:pPr>
        <w:jc w:val="center"/>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 xml:space="preserve"> </w:t>
      </w:r>
    </w:p>
    <w:p w14:paraId="7C2B9A98">
      <w:pPr>
        <w:autoSpaceDE w:val="0"/>
        <w:spacing w:line="360" w:lineRule="auto"/>
        <w:ind w:firstLine="490" w:firstLineChars="200"/>
        <w:jc w:val="left"/>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cs="Times New Roman"/>
          <w:color w:val="auto"/>
          <w:sz w:val="24"/>
          <w:szCs w:val="24"/>
          <w:highlight w:val="none"/>
          <w:lang w:val="en-US" w:eastAsia="zh-CN"/>
        </w:rPr>
        <w:t>评价等级筛选计算结果</w:t>
      </w:r>
    </w:p>
    <w:p w14:paraId="7FB2359B">
      <w:pPr>
        <w:autoSpaceDE w:val="0"/>
        <w:spacing w:line="360" w:lineRule="auto"/>
        <w:ind w:firstLine="490" w:firstLineChars="200"/>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a.估算模式及参数</w:t>
      </w:r>
    </w:p>
    <w:p w14:paraId="39D43A0B">
      <w:pPr>
        <w:autoSpaceDE w:val="0"/>
        <w:spacing w:line="360" w:lineRule="auto"/>
        <w:ind w:firstLine="490" w:firstLineChars="200"/>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本项目废气排放预测采用</w:t>
      </w:r>
      <w:r>
        <w:rPr>
          <w:rFonts w:hint="default" w:ascii="Times New Roman" w:hAnsi="Times New Roman" w:eastAsia="宋体" w:cs="Times New Roman"/>
          <w:color w:val="auto"/>
          <w:sz w:val="24"/>
          <w:szCs w:val="24"/>
          <w:highlight w:val="none"/>
        </w:rPr>
        <w:t>《环境影响评价技术导则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大气环境》（HJ2.2-2018）</w:t>
      </w:r>
      <w:r>
        <w:rPr>
          <w:rFonts w:hint="default" w:ascii="Times New Roman" w:hAnsi="Times New Roman" w:cs="Times New Roman"/>
          <w:color w:val="auto"/>
          <w:sz w:val="24"/>
          <w:szCs w:val="24"/>
          <w:highlight w:val="none"/>
          <w:lang w:val="en-US" w:eastAsia="zh-CN"/>
        </w:rPr>
        <w:t>推荐的</w:t>
      </w:r>
      <w:r>
        <w:rPr>
          <w:rFonts w:hint="default" w:ascii="Times New Roman" w:hAnsi="Times New Roman" w:eastAsia="宋体" w:cs="Times New Roman"/>
          <w:color w:val="auto"/>
          <w:sz w:val="24"/>
          <w:szCs w:val="24"/>
          <w:highlight w:val="none"/>
        </w:rPr>
        <w:t>AERSCREEN</w:t>
      </w:r>
      <w:r>
        <w:rPr>
          <w:rFonts w:hint="default" w:ascii="Times New Roman" w:hAnsi="Times New Roman" w:cs="Times New Roman"/>
          <w:color w:val="auto"/>
          <w:sz w:val="24"/>
          <w:szCs w:val="24"/>
          <w:highlight w:val="none"/>
          <w:lang w:val="en-US" w:eastAsia="zh-CN"/>
        </w:rPr>
        <w:t>估算模式，具体参数见表6.1.1-6。</w:t>
      </w:r>
    </w:p>
    <w:p w14:paraId="102979F2">
      <w:pPr>
        <w:spacing w:line="360" w:lineRule="auto"/>
        <w:jc w:val="center"/>
        <w:rPr>
          <w:rFonts w:hint="default" w:ascii="Times New Roman" w:hAnsi="Times New Roman" w:eastAsia="黑体" w:cs="Times New Roman"/>
          <w:b w:val="0"/>
          <w:bCs w:val="0"/>
          <w:color w:val="auto"/>
          <w:sz w:val="21"/>
          <w:szCs w:val="21"/>
          <w:highlight w:val="none"/>
        </w:rPr>
      </w:pPr>
      <w:r>
        <w:rPr>
          <w:rFonts w:hint="default" w:ascii="Times New Roman" w:hAnsi="Times New Roman" w:eastAsia="黑体" w:cs="Times New Roman"/>
          <w:b w:val="0"/>
          <w:bCs w:val="0"/>
          <w:color w:val="auto"/>
          <w:sz w:val="21"/>
          <w:szCs w:val="21"/>
          <w:highlight w:val="none"/>
        </w:rPr>
        <w:t>表</w:t>
      </w:r>
      <w:r>
        <w:rPr>
          <w:rFonts w:hint="default" w:ascii="Times New Roman" w:hAnsi="Times New Roman" w:eastAsia="黑体" w:cs="Times New Roman"/>
          <w:b w:val="0"/>
          <w:bCs w:val="0"/>
          <w:color w:val="auto"/>
          <w:sz w:val="21"/>
          <w:szCs w:val="21"/>
          <w:highlight w:val="none"/>
          <w:lang w:val="en-US" w:eastAsia="zh-CN"/>
        </w:rPr>
        <w:t>6.1.1-6</w:t>
      </w:r>
      <w:r>
        <w:rPr>
          <w:rFonts w:hint="default" w:ascii="Times New Roman" w:hAnsi="Times New Roman" w:eastAsia="黑体" w:cs="Times New Roman"/>
          <w:b w:val="0"/>
          <w:bCs w:val="0"/>
          <w:color w:val="auto"/>
          <w:sz w:val="21"/>
          <w:szCs w:val="21"/>
          <w:highlight w:val="none"/>
        </w:rPr>
        <w:t xml:space="preserve">  估算模型参数表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585"/>
        <w:gridCol w:w="3154"/>
        <w:gridCol w:w="3549"/>
      </w:tblGrid>
      <w:tr w14:paraId="59FC159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 w:hRule="atLeast"/>
          <w:jc w:val="center"/>
        </w:trPr>
        <w:tc>
          <w:tcPr>
            <w:tcW w:w="5604" w:type="dxa"/>
            <w:gridSpan w:val="2"/>
            <w:tcBorders>
              <w:tl2br w:val="nil"/>
              <w:tr2bl w:val="nil"/>
            </w:tcBorders>
            <w:vAlign w:val="center"/>
          </w:tcPr>
          <w:p w14:paraId="2F46F7F4">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参数</w:t>
            </w:r>
          </w:p>
        </w:tc>
        <w:tc>
          <w:tcPr>
            <w:tcW w:w="3466" w:type="dxa"/>
            <w:tcBorders>
              <w:tl2br w:val="nil"/>
              <w:tr2bl w:val="nil"/>
            </w:tcBorders>
            <w:vAlign w:val="center"/>
          </w:tcPr>
          <w:p w14:paraId="36FC78AC">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取值</w:t>
            </w:r>
          </w:p>
        </w:tc>
      </w:tr>
      <w:tr w14:paraId="16A38D5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524" w:type="dxa"/>
            <w:vMerge w:val="restart"/>
            <w:tcBorders>
              <w:tl2br w:val="nil"/>
              <w:tr2bl w:val="nil"/>
            </w:tcBorders>
            <w:vAlign w:val="center"/>
          </w:tcPr>
          <w:p w14:paraId="52FD1D74">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城市/农村选项</w:t>
            </w:r>
          </w:p>
        </w:tc>
        <w:tc>
          <w:tcPr>
            <w:tcW w:w="3080" w:type="dxa"/>
            <w:tcBorders>
              <w:tl2br w:val="nil"/>
              <w:tr2bl w:val="nil"/>
            </w:tcBorders>
          </w:tcPr>
          <w:p w14:paraId="62EAEC38">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农村</w:t>
            </w:r>
          </w:p>
        </w:tc>
        <w:tc>
          <w:tcPr>
            <w:tcW w:w="3466" w:type="dxa"/>
            <w:tcBorders>
              <w:tl2br w:val="nil"/>
              <w:tr2bl w:val="nil"/>
            </w:tcBorders>
          </w:tcPr>
          <w:p w14:paraId="27B89313">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农村</w:t>
            </w:r>
          </w:p>
        </w:tc>
      </w:tr>
      <w:tr w14:paraId="3B56C09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524" w:type="dxa"/>
            <w:vMerge w:val="continue"/>
            <w:tcBorders>
              <w:tl2br w:val="nil"/>
              <w:tr2bl w:val="nil"/>
            </w:tcBorders>
            <w:vAlign w:val="center"/>
          </w:tcPr>
          <w:p w14:paraId="585FAF35">
            <w:pPr>
              <w:adjustRightInd w:val="0"/>
              <w:snapToGrid w:val="0"/>
              <w:spacing w:line="240" w:lineRule="auto"/>
              <w:jc w:val="center"/>
              <w:textAlignment w:val="center"/>
              <w:rPr>
                <w:rFonts w:hint="default" w:ascii="Times New Roman" w:hAnsi="Times New Roman" w:cs="Times New Roman"/>
                <w:sz w:val="21"/>
                <w:szCs w:val="21"/>
              </w:rPr>
            </w:pPr>
          </w:p>
        </w:tc>
        <w:tc>
          <w:tcPr>
            <w:tcW w:w="3080" w:type="dxa"/>
            <w:tcBorders>
              <w:tl2br w:val="nil"/>
              <w:tr2bl w:val="nil"/>
            </w:tcBorders>
          </w:tcPr>
          <w:p w14:paraId="1DCA0832">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3466" w:type="dxa"/>
            <w:tcBorders>
              <w:tl2br w:val="nil"/>
              <w:tr2bl w:val="nil"/>
            </w:tcBorders>
          </w:tcPr>
          <w:p w14:paraId="7ECBD762">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14:paraId="113724B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5604" w:type="dxa"/>
            <w:gridSpan w:val="2"/>
            <w:tcBorders>
              <w:tl2br w:val="nil"/>
              <w:tr2bl w:val="nil"/>
            </w:tcBorders>
            <w:vAlign w:val="center"/>
          </w:tcPr>
          <w:p w14:paraId="5F16F358">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最高环境温度</w:t>
            </w:r>
          </w:p>
        </w:tc>
        <w:tc>
          <w:tcPr>
            <w:tcW w:w="3466" w:type="dxa"/>
            <w:tcBorders>
              <w:tl2br w:val="nil"/>
              <w:tr2bl w:val="nil"/>
            </w:tcBorders>
          </w:tcPr>
          <w:p w14:paraId="389E972A">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35.8</w:t>
            </w:r>
          </w:p>
        </w:tc>
      </w:tr>
      <w:tr w14:paraId="2FDB8199">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5604" w:type="dxa"/>
            <w:gridSpan w:val="2"/>
            <w:tcBorders>
              <w:tl2br w:val="nil"/>
              <w:tr2bl w:val="nil"/>
            </w:tcBorders>
            <w:vAlign w:val="center"/>
          </w:tcPr>
          <w:p w14:paraId="4A983D24">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最低环境温度</w:t>
            </w:r>
          </w:p>
        </w:tc>
        <w:tc>
          <w:tcPr>
            <w:tcW w:w="3466" w:type="dxa"/>
            <w:tcBorders>
              <w:tl2br w:val="nil"/>
              <w:tr2bl w:val="nil"/>
            </w:tcBorders>
          </w:tcPr>
          <w:p w14:paraId="4FE6FBD1">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-2.1</w:t>
            </w:r>
          </w:p>
        </w:tc>
      </w:tr>
      <w:tr w14:paraId="1194D7B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5604" w:type="dxa"/>
            <w:gridSpan w:val="2"/>
            <w:tcBorders>
              <w:tl2br w:val="nil"/>
              <w:tr2bl w:val="nil"/>
            </w:tcBorders>
            <w:vAlign w:val="center"/>
          </w:tcPr>
          <w:p w14:paraId="59D8C15C">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土地利用类型</w:t>
            </w:r>
          </w:p>
        </w:tc>
        <w:tc>
          <w:tcPr>
            <w:tcW w:w="3466" w:type="dxa"/>
            <w:tcBorders>
              <w:tl2br w:val="nil"/>
              <w:tr2bl w:val="nil"/>
            </w:tcBorders>
          </w:tcPr>
          <w:p w14:paraId="1F8C2BEE">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针</w:t>
            </w:r>
            <w:r>
              <w:rPr>
                <w:rFonts w:hint="default" w:ascii="Times New Roman" w:hAnsi="Times New Roman" w:cs="Times New Roman"/>
                <w:sz w:val="21"/>
                <w:szCs w:val="21"/>
              </w:rPr>
              <w:t>叶林</w:t>
            </w:r>
          </w:p>
        </w:tc>
      </w:tr>
      <w:tr w14:paraId="47C1DB81">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5604" w:type="dxa"/>
            <w:gridSpan w:val="2"/>
            <w:tcBorders>
              <w:tl2br w:val="nil"/>
              <w:tr2bl w:val="nil"/>
            </w:tcBorders>
            <w:vAlign w:val="center"/>
          </w:tcPr>
          <w:p w14:paraId="595D0D72">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区域湿度条件</w:t>
            </w:r>
          </w:p>
        </w:tc>
        <w:tc>
          <w:tcPr>
            <w:tcW w:w="3466" w:type="dxa"/>
            <w:tcBorders>
              <w:tl2br w:val="nil"/>
              <w:tr2bl w:val="nil"/>
            </w:tcBorders>
          </w:tcPr>
          <w:p w14:paraId="79CAED2A">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潮湿</w:t>
            </w:r>
          </w:p>
        </w:tc>
      </w:tr>
      <w:tr w14:paraId="577A399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524" w:type="dxa"/>
            <w:vMerge w:val="restart"/>
            <w:tcBorders>
              <w:tl2br w:val="nil"/>
              <w:tr2bl w:val="nil"/>
            </w:tcBorders>
            <w:vAlign w:val="center"/>
          </w:tcPr>
          <w:p w14:paraId="303CF608">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是否考虑地形</w:t>
            </w:r>
          </w:p>
        </w:tc>
        <w:tc>
          <w:tcPr>
            <w:tcW w:w="3080" w:type="dxa"/>
            <w:tcBorders>
              <w:tl2br w:val="nil"/>
              <w:tr2bl w:val="nil"/>
            </w:tcBorders>
            <w:vAlign w:val="center"/>
          </w:tcPr>
          <w:p w14:paraId="3C278EB0">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考虑地形</w:t>
            </w:r>
          </w:p>
        </w:tc>
        <w:tc>
          <w:tcPr>
            <w:tcW w:w="3466" w:type="dxa"/>
            <w:tcBorders>
              <w:tl2br w:val="nil"/>
              <w:tr2bl w:val="nil"/>
            </w:tcBorders>
            <w:vAlign w:val="center"/>
          </w:tcPr>
          <w:p w14:paraId="1834D203">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是</w:t>
            </w:r>
          </w:p>
        </w:tc>
      </w:tr>
      <w:tr w14:paraId="7AD0939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524" w:type="dxa"/>
            <w:vMerge w:val="continue"/>
            <w:tcBorders>
              <w:tl2br w:val="nil"/>
              <w:tr2bl w:val="nil"/>
            </w:tcBorders>
            <w:vAlign w:val="center"/>
          </w:tcPr>
          <w:p w14:paraId="48613C99">
            <w:pPr>
              <w:adjustRightInd w:val="0"/>
              <w:snapToGrid w:val="0"/>
              <w:spacing w:line="240" w:lineRule="auto"/>
              <w:jc w:val="center"/>
              <w:textAlignment w:val="center"/>
              <w:rPr>
                <w:rFonts w:hint="default" w:ascii="Times New Roman" w:hAnsi="Times New Roman" w:cs="Times New Roman"/>
                <w:sz w:val="21"/>
                <w:szCs w:val="21"/>
              </w:rPr>
            </w:pPr>
          </w:p>
        </w:tc>
        <w:tc>
          <w:tcPr>
            <w:tcW w:w="3080" w:type="dxa"/>
            <w:tcBorders>
              <w:tl2br w:val="nil"/>
              <w:tr2bl w:val="nil"/>
            </w:tcBorders>
            <w:vAlign w:val="center"/>
          </w:tcPr>
          <w:p w14:paraId="43B8CEBA">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地形数据分辨率</w:t>
            </w:r>
            <w:r>
              <w:rPr>
                <w:rFonts w:hint="default" w:ascii="Times New Roman" w:hAnsi="Times New Roman" w:cs="Times New Roman"/>
                <w:sz w:val="21"/>
                <w:szCs w:val="21"/>
                <w:lang w:eastAsia="zh-CN"/>
              </w:rPr>
              <w:t>（</w:t>
            </w:r>
            <w:r>
              <w:rPr>
                <w:rFonts w:hint="default" w:ascii="Times New Roman" w:hAnsi="Times New Roman" w:cs="Times New Roman"/>
                <w:sz w:val="21"/>
                <w:szCs w:val="21"/>
              </w:rPr>
              <w:t>m</w:t>
            </w:r>
            <w:r>
              <w:rPr>
                <w:rFonts w:hint="default" w:ascii="Times New Roman" w:hAnsi="Times New Roman" w:cs="Times New Roman"/>
                <w:sz w:val="21"/>
                <w:szCs w:val="21"/>
                <w:lang w:eastAsia="zh-CN"/>
              </w:rPr>
              <w:t>）</w:t>
            </w:r>
          </w:p>
        </w:tc>
        <w:tc>
          <w:tcPr>
            <w:tcW w:w="3466" w:type="dxa"/>
            <w:tcBorders>
              <w:tl2br w:val="nil"/>
              <w:tr2bl w:val="nil"/>
            </w:tcBorders>
            <w:vAlign w:val="center"/>
          </w:tcPr>
          <w:p w14:paraId="3979D6D0">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90</w:t>
            </w:r>
          </w:p>
        </w:tc>
      </w:tr>
      <w:tr w14:paraId="2267DF1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524" w:type="dxa"/>
            <w:vMerge w:val="restart"/>
            <w:tcBorders>
              <w:tl2br w:val="nil"/>
              <w:tr2bl w:val="nil"/>
            </w:tcBorders>
            <w:vAlign w:val="center"/>
          </w:tcPr>
          <w:p w14:paraId="00B4BA02">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是否考虑岸线熏烟</w:t>
            </w:r>
          </w:p>
        </w:tc>
        <w:tc>
          <w:tcPr>
            <w:tcW w:w="3080" w:type="dxa"/>
            <w:tcBorders>
              <w:tl2br w:val="nil"/>
              <w:tr2bl w:val="nil"/>
            </w:tcBorders>
            <w:vAlign w:val="center"/>
          </w:tcPr>
          <w:p w14:paraId="47597753">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考虑岸线熏烟</w:t>
            </w:r>
          </w:p>
        </w:tc>
        <w:tc>
          <w:tcPr>
            <w:tcW w:w="3466" w:type="dxa"/>
            <w:tcBorders>
              <w:tl2br w:val="nil"/>
              <w:tr2bl w:val="nil"/>
            </w:tcBorders>
            <w:vAlign w:val="center"/>
          </w:tcPr>
          <w:p w14:paraId="5C25A67A">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否</w:t>
            </w:r>
          </w:p>
        </w:tc>
      </w:tr>
      <w:tr w14:paraId="15D3A59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524" w:type="dxa"/>
            <w:vMerge w:val="continue"/>
            <w:tcBorders>
              <w:tl2br w:val="nil"/>
              <w:tr2bl w:val="nil"/>
            </w:tcBorders>
            <w:vAlign w:val="center"/>
          </w:tcPr>
          <w:p w14:paraId="400CBA02">
            <w:pPr>
              <w:adjustRightInd w:val="0"/>
              <w:snapToGrid w:val="0"/>
              <w:spacing w:line="240" w:lineRule="auto"/>
              <w:jc w:val="center"/>
              <w:textAlignment w:val="center"/>
              <w:rPr>
                <w:rFonts w:hint="default" w:ascii="Times New Roman" w:hAnsi="Times New Roman" w:cs="Times New Roman"/>
                <w:sz w:val="21"/>
                <w:szCs w:val="21"/>
              </w:rPr>
            </w:pPr>
          </w:p>
        </w:tc>
        <w:tc>
          <w:tcPr>
            <w:tcW w:w="3080" w:type="dxa"/>
            <w:tcBorders>
              <w:tl2br w:val="nil"/>
              <w:tr2bl w:val="nil"/>
            </w:tcBorders>
            <w:vAlign w:val="center"/>
          </w:tcPr>
          <w:p w14:paraId="091C221D">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岸线距离/m</w:t>
            </w:r>
          </w:p>
        </w:tc>
        <w:tc>
          <w:tcPr>
            <w:tcW w:w="3466" w:type="dxa"/>
            <w:tcBorders>
              <w:tl2br w:val="nil"/>
              <w:tr2bl w:val="nil"/>
            </w:tcBorders>
            <w:vAlign w:val="center"/>
          </w:tcPr>
          <w:p w14:paraId="20F820E0">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14:paraId="41F18AF8">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524" w:type="dxa"/>
            <w:vMerge w:val="continue"/>
            <w:tcBorders>
              <w:tl2br w:val="nil"/>
              <w:tr2bl w:val="nil"/>
            </w:tcBorders>
            <w:vAlign w:val="center"/>
          </w:tcPr>
          <w:p w14:paraId="3DB7BAC7">
            <w:pPr>
              <w:adjustRightInd w:val="0"/>
              <w:snapToGrid w:val="0"/>
              <w:spacing w:line="240" w:lineRule="auto"/>
              <w:jc w:val="center"/>
              <w:textAlignment w:val="center"/>
              <w:rPr>
                <w:rFonts w:hint="default" w:ascii="Times New Roman" w:hAnsi="Times New Roman" w:cs="Times New Roman"/>
                <w:sz w:val="21"/>
                <w:szCs w:val="21"/>
              </w:rPr>
            </w:pPr>
          </w:p>
        </w:tc>
        <w:tc>
          <w:tcPr>
            <w:tcW w:w="3080" w:type="dxa"/>
            <w:tcBorders>
              <w:tl2br w:val="nil"/>
              <w:tr2bl w:val="nil"/>
            </w:tcBorders>
            <w:vAlign w:val="center"/>
          </w:tcPr>
          <w:p w14:paraId="17CC5A6C">
            <w:pPr>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岸线方向/°</w:t>
            </w:r>
          </w:p>
        </w:tc>
        <w:tc>
          <w:tcPr>
            <w:tcW w:w="3466" w:type="dxa"/>
            <w:tcBorders>
              <w:tl2br w:val="nil"/>
              <w:tr2bl w:val="nil"/>
            </w:tcBorders>
            <w:vAlign w:val="center"/>
          </w:tcPr>
          <w:p w14:paraId="4CA867AE">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14:paraId="68F158E1">
      <w:pPr>
        <w:keepNext w:val="0"/>
        <w:keepLines w:val="0"/>
        <w:pageBreakBefore w:val="0"/>
        <w:widowControl w:val="0"/>
        <w:kinsoku/>
        <w:wordWrap/>
        <w:overflowPunct/>
        <w:topLinePunct w:val="0"/>
        <w:autoSpaceDE w:val="0"/>
        <w:autoSpaceDN/>
        <w:bidi w:val="0"/>
        <w:adjustRightInd/>
        <w:snapToGrid/>
        <w:spacing w:before="157" w:beforeLines="50" w:line="360" w:lineRule="auto"/>
        <w:ind w:firstLine="49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b.落地浓度Ci计算结果</w:t>
      </w:r>
    </w:p>
    <w:p w14:paraId="40C582D2">
      <w:pPr>
        <w:autoSpaceDE w:val="0"/>
        <w:spacing w:line="360" w:lineRule="auto"/>
        <w:ind w:firstLine="490" w:firstLineChars="200"/>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运用大气环境估算工具软件，可得到大气污染物的落地浓度值。</w:t>
      </w:r>
    </w:p>
    <w:p w14:paraId="2AD0EFD6">
      <w:pPr>
        <w:autoSpaceDE w:val="0"/>
        <w:spacing w:line="360" w:lineRule="auto"/>
        <w:ind w:firstLine="490" w:firstLineChars="200"/>
        <w:jc w:val="left"/>
        <w:rPr>
          <w:rFonts w:hint="default" w:ascii="Times New Roman" w:hAnsi="Times New Roman" w:cs="Times New Roman"/>
          <w:b/>
          <w:color w:val="auto"/>
          <w:kern w:val="2"/>
          <w:sz w:val="28"/>
          <w:szCs w:val="28"/>
          <w:highlight w:val="none"/>
          <w:lang w:val="en-US" w:eastAsia="zh-CN" w:bidi="ar-SA"/>
        </w:rPr>
      </w:pPr>
      <w:r>
        <w:rPr>
          <w:rFonts w:hint="default" w:ascii="Times New Roman" w:hAnsi="Times New Roman" w:cs="Times New Roman"/>
          <w:color w:val="auto"/>
          <w:sz w:val="24"/>
          <w:szCs w:val="24"/>
          <w:highlight w:val="none"/>
          <w:lang w:val="en-US" w:eastAsia="zh-CN"/>
        </w:rPr>
        <w:t>c.最大地面浓度占标率Pi</w:t>
      </w:r>
    </w:p>
    <w:p w14:paraId="3491C47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9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drawing>
          <wp:anchor distT="0" distB="0" distL="114300" distR="114300" simplePos="0" relativeHeight="251662336" behindDoc="1" locked="0" layoutInCell="1" allowOverlap="1">
            <wp:simplePos x="0" y="0"/>
            <wp:positionH relativeFrom="column">
              <wp:posOffset>1677035</wp:posOffset>
            </wp:positionH>
            <wp:positionV relativeFrom="paragraph">
              <wp:posOffset>28575</wp:posOffset>
            </wp:positionV>
            <wp:extent cx="1914525" cy="624840"/>
            <wp:effectExtent l="0" t="0" r="9525" b="3810"/>
            <wp:wrapSquare wrapText="bothSides"/>
            <wp:docPr id="11" name="图片 31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9" descr="11.jpg"/>
                    <pic:cNvPicPr>
                      <a:picLocks noChangeAspect="1"/>
                    </pic:cNvPicPr>
                  </pic:nvPicPr>
                  <pic:blipFill>
                    <a:blip r:embed="rId31"/>
                    <a:stretch>
                      <a:fillRect/>
                    </a:stretch>
                  </pic:blipFill>
                  <pic:spPr>
                    <a:xfrm>
                      <a:off x="0" y="0"/>
                      <a:ext cx="1914525" cy="624840"/>
                    </a:xfrm>
                    <a:prstGeom prst="rect">
                      <a:avLst/>
                    </a:prstGeom>
                    <a:noFill/>
                    <a:ln>
                      <a:noFill/>
                    </a:ln>
                  </pic:spPr>
                </pic:pic>
              </a:graphicData>
            </a:graphic>
          </wp:anchor>
        </w:drawing>
      </w:r>
    </w:p>
    <w:p w14:paraId="3C6A6B8D">
      <w:pPr>
        <w:pStyle w:val="17"/>
        <w:ind w:left="0" w:leftChars="0" w:firstLine="0" w:firstLineChars="0"/>
        <w:rPr>
          <w:rFonts w:hint="default" w:ascii="Times New Roman" w:hAnsi="Times New Roman" w:cs="Times New Roman"/>
          <w:color w:val="auto"/>
          <w:highlight w:val="none"/>
        </w:rPr>
      </w:pPr>
    </w:p>
    <w:p w14:paraId="1532D3A3">
      <w:pPr>
        <w:rPr>
          <w:rFonts w:hint="default" w:ascii="Times New Roman" w:hAnsi="Times New Roman" w:cs="Times New Roman"/>
          <w:color w:val="auto"/>
        </w:rPr>
      </w:pPr>
    </w:p>
    <w:p w14:paraId="5D737B02">
      <w:pPr>
        <w:keepNext w:val="0"/>
        <w:keepLines w:val="0"/>
        <w:pageBreakBefore w:val="0"/>
        <w:widowControl w:val="0"/>
        <w:kinsoku/>
        <w:wordWrap/>
        <w:overflowPunct/>
        <w:topLinePunct w:val="0"/>
        <w:autoSpaceDE/>
        <w:autoSpaceDN/>
        <w:bidi w:val="0"/>
        <w:adjustRightInd w:val="0"/>
        <w:snapToGrid w:val="0"/>
        <w:spacing w:line="360" w:lineRule="auto"/>
        <w:ind w:firstLine="49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式中：P</w:t>
      </w:r>
      <w:r>
        <w:rPr>
          <w:rFonts w:hint="default" w:ascii="Times New Roman" w:hAnsi="Times New Roman" w:cs="Times New Roman"/>
          <w:bCs/>
          <w:color w:val="auto"/>
          <w:sz w:val="24"/>
          <w:szCs w:val="24"/>
          <w:highlight w:val="none"/>
          <w:vertAlign w:val="subscript"/>
          <w:lang w:val="en-US" w:eastAsia="zh-CN"/>
        </w:rPr>
        <w:t>i</w:t>
      </w:r>
      <w:r>
        <w:rPr>
          <w:rFonts w:hint="default" w:ascii="Times New Roman" w:hAnsi="Times New Roman" w:eastAsia="宋体" w:cs="Times New Roman"/>
          <w:bCs/>
          <w:color w:val="auto"/>
          <w:sz w:val="24"/>
          <w:szCs w:val="24"/>
          <w:highlight w:val="none"/>
        </w:rPr>
        <w:t>－第i个污染物的最大地面空气质量浓度占标率，%；</w:t>
      </w:r>
    </w:p>
    <w:p w14:paraId="237AAF8E">
      <w:pPr>
        <w:keepNext w:val="0"/>
        <w:keepLines w:val="0"/>
        <w:pageBreakBefore w:val="0"/>
        <w:widowControl w:val="0"/>
        <w:kinsoku/>
        <w:wordWrap/>
        <w:overflowPunct/>
        <w:topLinePunct w:val="0"/>
        <w:autoSpaceDE/>
        <w:autoSpaceDN/>
        <w:bidi w:val="0"/>
        <w:adjustRightInd w:val="0"/>
        <w:snapToGrid w:val="0"/>
        <w:spacing w:line="360" w:lineRule="auto"/>
        <w:ind w:firstLine="1225" w:firstLineChars="5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ρ</w:t>
      </w:r>
      <w:r>
        <w:rPr>
          <w:rFonts w:hint="default" w:ascii="Times New Roman" w:hAnsi="Times New Roman" w:eastAsia="宋体" w:cs="Times New Roman"/>
          <w:bCs/>
          <w:color w:val="auto"/>
          <w:sz w:val="24"/>
          <w:szCs w:val="24"/>
          <w:highlight w:val="none"/>
          <w:vertAlign w:val="subscript"/>
        </w:rPr>
        <w:t>i</w:t>
      </w:r>
      <w:r>
        <w:rPr>
          <w:rFonts w:hint="default" w:ascii="Times New Roman" w:hAnsi="Times New Roman" w:cs="Times New Roman"/>
          <w:bCs/>
          <w:color w:val="auto"/>
          <w:sz w:val="24"/>
          <w:szCs w:val="24"/>
          <w:highlight w:val="none"/>
          <w:vertAlign w:val="subscript"/>
          <w:lang w:eastAsia="zh-CN"/>
        </w:rPr>
        <w:t>－</w:t>
      </w:r>
      <w:r>
        <w:rPr>
          <w:rFonts w:hint="default" w:ascii="Times New Roman" w:hAnsi="Times New Roman" w:eastAsia="宋体" w:cs="Times New Roman"/>
          <w:bCs/>
          <w:color w:val="auto"/>
          <w:sz w:val="24"/>
          <w:szCs w:val="24"/>
          <w:highlight w:val="none"/>
        </w:rPr>
        <w:t>采用估算模式计算出的第i个污染物的最大1小时地面空气质量浓度，</w:t>
      </w:r>
      <w:r>
        <w:rPr>
          <w:rFonts w:hint="default" w:ascii="Times New Roman" w:hAnsi="Times New Roman" w:cs="Times New Roman"/>
          <w:bCs/>
          <w:color w:val="auto"/>
          <w:sz w:val="24"/>
          <w:szCs w:val="24"/>
          <w:highlight w:val="none"/>
          <w:lang w:eastAsia="zh-CN"/>
        </w:rPr>
        <w:t>μg/m</w:t>
      </w:r>
      <w:r>
        <w:rPr>
          <w:rFonts w:hint="default" w:ascii="Times New Roman" w:hAnsi="Times New Roman" w:cs="Times New Roman"/>
          <w:bCs/>
          <w:color w:val="auto"/>
          <w:sz w:val="24"/>
          <w:szCs w:val="24"/>
          <w:highlight w:val="none"/>
          <w:vertAlign w:val="superscript"/>
          <w:lang w:eastAsia="zh-CN"/>
        </w:rPr>
        <w:t>3</w:t>
      </w:r>
      <w:r>
        <w:rPr>
          <w:rFonts w:hint="default" w:ascii="Times New Roman" w:hAnsi="Times New Roman" w:eastAsia="宋体" w:cs="Times New Roman"/>
          <w:bCs/>
          <w:color w:val="auto"/>
          <w:sz w:val="24"/>
          <w:szCs w:val="24"/>
          <w:highlight w:val="none"/>
        </w:rPr>
        <w:t>；</w:t>
      </w:r>
    </w:p>
    <w:p w14:paraId="2FC8FA7A">
      <w:pPr>
        <w:keepNext w:val="0"/>
        <w:keepLines w:val="0"/>
        <w:pageBreakBefore w:val="0"/>
        <w:widowControl w:val="0"/>
        <w:kinsoku/>
        <w:wordWrap/>
        <w:overflowPunct/>
        <w:topLinePunct w:val="0"/>
        <w:autoSpaceDE/>
        <w:autoSpaceDN/>
        <w:bidi w:val="0"/>
        <w:adjustRightInd w:val="0"/>
        <w:snapToGrid w:val="0"/>
        <w:spacing w:line="360" w:lineRule="auto"/>
        <w:ind w:firstLine="1225" w:firstLineChars="5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ρ</w:t>
      </w:r>
      <w:r>
        <w:rPr>
          <w:rFonts w:hint="default" w:ascii="Times New Roman" w:hAnsi="Times New Roman" w:eastAsia="宋体" w:cs="Times New Roman"/>
          <w:bCs/>
          <w:color w:val="auto"/>
          <w:sz w:val="24"/>
          <w:szCs w:val="24"/>
          <w:highlight w:val="none"/>
          <w:vertAlign w:val="subscript"/>
        </w:rPr>
        <w:t>0i</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color w:val="auto"/>
          <w:sz w:val="24"/>
          <w:szCs w:val="24"/>
          <w:highlight w:val="none"/>
        </w:rPr>
        <w:t>第i个污染物的环境空气质量浓度标准，</w:t>
      </w:r>
      <w:r>
        <w:rPr>
          <w:rFonts w:hint="default" w:ascii="Times New Roman" w:hAnsi="Times New Roman" w:cs="Times New Roman"/>
          <w:color w:val="auto"/>
          <w:sz w:val="24"/>
          <w:szCs w:val="24"/>
          <w:highlight w:val="none"/>
          <w:lang w:eastAsia="zh-CN"/>
        </w:rPr>
        <w:t>μg/m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。一般选用GB3095中1 h平均质量浓度的二级浓度限值，如项目位于一类环境空气功能区，应选择相应的一级浓度限值；对仅有8h平均质量浓度限值、日平均质量浓度限值或年均质量浓度限值的，可分别按2倍、3倍、6倍折算为1h平均质量浓度限值。</w:t>
      </w:r>
    </w:p>
    <w:p w14:paraId="591A9248">
      <w:pPr>
        <w:spacing w:line="360" w:lineRule="auto"/>
        <w:jc w:val="center"/>
        <w:rPr>
          <w:rFonts w:hint="default" w:ascii="Times New Roman" w:hAnsi="Times New Roman" w:eastAsia="黑体" w:cs="Times New Roman"/>
          <w:b w:val="0"/>
          <w:bCs w:val="0"/>
          <w:color w:val="auto"/>
          <w:kern w:val="2"/>
          <w:sz w:val="21"/>
          <w:szCs w:val="21"/>
          <w:highlight w:val="none"/>
          <w:lang w:val="en-US" w:eastAsia="zh-CN" w:bidi="ar-SA"/>
        </w:rPr>
      </w:pPr>
      <w:r>
        <w:rPr>
          <w:rFonts w:hint="default" w:ascii="Times New Roman" w:hAnsi="Times New Roman" w:eastAsia="黑体" w:cs="Times New Roman"/>
          <w:b w:val="0"/>
          <w:bCs w:val="0"/>
          <w:color w:val="auto"/>
          <w:sz w:val="21"/>
          <w:szCs w:val="21"/>
          <w:highlight w:val="none"/>
          <w:lang w:val="en-US" w:eastAsia="zh-CN"/>
        </w:rPr>
        <w:t>表6.1.1-7  污染物最大地面质量浓度及占标率</w:t>
      </w:r>
    </w:p>
    <w:tbl>
      <w:tblPr>
        <w:tblStyle w:val="29"/>
        <w:tblW w:w="4996"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12"/>
        <w:gridCol w:w="1107"/>
        <w:gridCol w:w="1111"/>
        <w:gridCol w:w="1423"/>
        <w:gridCol w:w="1542"/>
        <w:gridCol w:w="2004"/>
        <w:gridCol w:w="1082"/>
      </w:tblGrid>
      <w:tr w14:paraId="28B3500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545" w:type="pct"/>
            <w:tcBorders>
              <w:tl2br w:val="nil"/>
              <w:tr2bl w:val="nil"/>
            </w:tcBorders>
            <w:shd w:val="clear" w:color="auto" w:fill="auto"/>
            <w:vAlign w:val="center"/>
          </w:tcPr>
          <w:p w14:paraId="436203A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序号</w:t>
            </w:r>
          </w:p>
        </w:tc>
        <w:tc>
          <w:tcPr>
            <w:tcW w:w="1194" w:type="pct"/>
            <w:gridSpan w:val="2"/>
            <w:tcBorders>
              <w:tl2br w:val="nil"/>
              <w:tr2bl w:val="nil"/>
            </w:tcBorders>
            <w:shd w:val="clear" w:color="auto" w:fill="auto"/>
            <w:vAlign w:val="center"/>
          </w:tcPr>
          <w:p w14:paraId="4FB9611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污染源名称</w:t>
            </w:r>
          </w:p>
        </w:tc>
        <w:tc>
          <w:tcPr>
            <w:tcW w:w="766" w:type="pct"/>
            <w:tcBorders>
              <w:tl2br w:val="nil"/>
              <w:tr2bl w:val="nil"/>
            </w:tcBorders>
            <w:shd w:val="clear" w:color="auto" w:fill="auto"/>
            <w:vAlign w:val="center"/>
          </w:tcPr>
          <w:p w14:paraId="659BB5C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val="en-US" w:eastAsia="zh-CN"/>
              </w:rPr>
              <w:t>距离（m）</w:t>
            </w:r>
          </w:p>
        </w:tc>
        <w:tc>
          <w:tcPr>
            <w:tcW w:w="830" w:type="pct"/>
            <w:tcBorders>
              <w:tl2br w:val="nil"/>
              <w:tr2bl w:val="nil"/>
            </w:tcBorders>
            <w:shd w:val="clear" w:color="auto" w:fill="auto"/>
            <w:vAlign w:val="center"/>
          </w:tcPr>
          <w:p w14:paraId="0C85DDF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val="en-US" w:eastAsia="zh-CN"/>
              </w:rPr>
              <w:t>标准值（</w:t>
            </w:r>
            <w:r>
              <w:rPr>
                <w:rFonts w:hint="default" w:ascii="Times New Roman" w:hAnsi="Times New Roman"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rPr>
              <w:t>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cs="Times New Roman"/>
                <w:i w:val="0"/>
                <w:iCs w:val="0"/>
                <w:color w:val="auto"/>
                <w:sz w:val="18"/>
                <w:szCs w:val="18"/>
                <w:u w:val="none"/>
                <w:lang w:val="en-US" w:eastAsia="zh-CN"/>
              </w:rPr>
              <w:t>）</w:t>
            </w:r>
          </w:p>
        </w:tc>
        <w:tc>
          <w:tcPr>
            <w:tcW w:w="1079" w:type="pct"/>
            <w:tcBorders>
              <w:tl2br w:val="nil"/>
              <w:tr2bl w:val="nil"/>
            </w:tcBorders>
            <w:shd w:val="clear" w:color="auto" w:fill="auto"/>
            <w:vAlign w:val="center"/>
          </w:tcPr>
          <w:p w14:paraId="0F2520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最大落地浓度（</w:t>
            </w:r>
            <w:r>
              <w:rPr>
                <w:rFonts w:hint="default" w:ascii="Times New Roman" w:hAnsi="Times New Roman"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rPr>
              <w:t>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cs="Times New Roman"/>
                <w:i w:val="0"/>
                <w:iCs w:val="0"/>
                <w:color w:val="auto"/>
                <w:kern w:val="0"/>
                <w:sz w:val="18"/>
                <w:szCs w:val="18"/>
                <w:u w:val="none"/>
                <w:lang w:val="en-US" w:eastAsia="zh-CN" w:bidi="ar"/>
              </w:rPr>
              <w:t>）</w:t>
            </w:r>
          </w:p>
        </w:tc>
        <w:tc>
          <w:tcPr>
            <w:tcW w:w="582" w:type="pct"/>
            <w:tcBorders>
              <w:tl2br w:val="nil"/>
              <w:tr2bl w:val="nil"/>
            </w:tcBorders>
            <w:shd w:val="clear" w:color="auto" w:fill="auto"/>
            <w:vAlign w:val="center"/>
          </w:tcPr>
          <w:p w14:paraId="0945605E">
            <w:pPr>
              <w:keepNext w:val="0"/>
              <w:keepLines w:val="0"/>
              <w:widowControl/>
              <w:suppressLineNumbers w:val="0"/>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占标率%</w:t>
            </w:r>
          </w:p>
        </w:tc>
      </w:tr>
      <w:tr w14:paraId="1D77B81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545" w:type="pct"/>
            <w:vMerge w:val="restart"/>
            <w:tcBorders>
              <w:tl2br w:val="nil"/>
              <w:tr2bl w:val="nil"/>
            </w:tcBorders>
            <w:shd w:val="clear" w:color="auto" w:fill="auto"/>
            <w:vAlign w:val="center"/>
          </w:tcPr>
          <w:p w14:paraId="3999B7C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96" w:type="pct"/>
            <w:vMerge w:val="restart"/>
            <w:tcBorders>
              <w:tl2br w:val="nil"/>
              <w:tr2bl w:val="nil"/>
            </w:tcBorders>
            <w:shd w:val="clear" w:color="auto" w:fill="auto"/>
            <w:vAlign w:val="center"/>
          </w:tcPr>
          <w:p w14:paraId="49B96C2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cs="Times New Roman"/>
                <w:b w:val="0"/>
                <w:bCs w:val="0"/>
                <w:color w:val="auto"/>
                <w:sz w:val="18"/>
                <w:szCs w:val="18"/>
                <w:highlight w:val="none"/>
                <w:lang w:val="en-US" w:eastAsia="zh-CN"/>
              </w:rPr>
              <w:t>DA001</w:t>
            </w:r>
          </w:p>
        </w:tc>
        <w:tc>
          <w:tcPr>
            <w:tcW w:w="598" w:type="pct"/>
            <w:tcBorders>
              <w:tl2br w:val="nil"/>
              <w:tr2bl w:val="nil"/>
            </w:tcBorders>
            <w:shd w:val="clear" w:color="auto" w:fill="auto"/>
            <w:vAlign w:val="center"/>
          </w:tcPr>
          <w:p w14:paraId="2F44A700">
            <w:pPr>
              <w:keepNext w:val="0"/>
              <w:keepLines w:val="0"/>
              <w:widowControl/>
              <w:suppressLineNumbers w:val="0"/>
              <w:jc w:val="center"/>
              <w:textAlignment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PM</w:t>
            </w:r>
            <w:r>
              <w:rPr>
                <w:rFonts w:hint="default" w:ascii="Times New Roman" w:hAnsi="Times New Roman" w:cs="Times New Roman"/>
                <w:b w:val="0"/>
                <w:bCs w:val="0"/>
                <w:color w:val="auto"/>
                <w:sz w:val="18"/>
                <w:szCs w:val="18"/>
                <w:highlight w:val="none"/>
                <w:vertAlign w:val="subscript"/>
                <w:lang w:val="en-US" w:eastAsia="zh-CN"/>
              </w:rPr>
              <w:t>10</w:t>
            </w:r>
          </w:p>
        </w:tc>
        <w:tc>
          <w:tcPr>
            <w:tcW w:w="766" w:type="pct"/>
            <w:tcBorders>
              <w:tl2br w:val="nil"/>
              <w:tr2bl w:val="nil"/>
            </w:tcBorders>
            <w:shd w:val="clear" w:color="auto" w:fill="auto"/>
            <w:vAlign w:val="center"/>
          </w:tcPr>
          <w:p w14:paraId="215A684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val="en-US" w:eastAsia="zh-CN"/>
              </w:rPr>
              <w:t>43</w:t>
            </w:r>
          </w:p>
        </w:tc>
        <w:tc>
          <w:tcPr>
            <w:tcW w:w="830" w:type="pct"/>
            <w:tcBorders>
              <w:tl2br w:val="nil"/>
              <w:tr2bl w:val="nil"/>
            </w:tcBorders>
            <w:shd w:val="clear" w:color="auto" w:fill="auto"/>
            <w:vAlign w:val="center"/>
          </w:tcPr>
          <w:p w14:paraId="64866AD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val="en-US" w:eastAsia="zh-CN"/>
              </w:rPr>
              <w:t>0.45</w:t>
            </w:r>
          </w:p>
        </w:tc>
        <w:tc>
          <w:tcPr>
            <w:tcW w:w="1079" w:type="pct"/>
            <w:tcBorders>
              <w:tl2br w:val="nil"/>
              <w:tr2bl w:val="nil"/>
            </w:tcBorders>
            <w:shd w:val="clear" w:color="auto" w:fill="auto"/>
            <w:vAlign w:val="center"/>
          </w:tcPr>
          <w:p w14:paraId="000275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3.54E-02</w:t>
            </w:r>
          </w:p>
        </w:tc>
        <w:tc>
          <w:tcPr>
            <w:tcW w:w="582" w:type="pct"/>
            <w:tcBorders>
              <w:tl2br w:val="nil"/>
              <w:tr2bl w:val="nil"/>
            </w:tcBorders>
            <w:shd w:val="clear" w:color="auto" w:fill="auto"/>
            <w:vAlign w:val="center"/>
          </w:tcPr>
          <w:p w14:paraId="7C1EB1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7.86</w:t>
            </w:r>
          </w:p>
        </w:tc>
      </w:tr>
      <w:tr w14:paraId="2FFA623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45" w:type="pct"/>
            <w:vMerge w:val="continue"/>
            <w:tcBorders>
              <w:tl2br w:val="nil"/>
              <w:tr2bl w:val="nil"/>
            </w:tcBorders>
            <w:shd w:val="clear" w:color="auto" w:fill="auto"/>
            <w:vAlign w:val="center"/>
          </w:tcPr>
          <w:p w14:paraId="7EB608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rPr>
            </w:pPr>
          </w:p>
        </w:tc>
        <w:tc>
          <w:tcPr>
            <w:tcW w:w="596" w:type="pct"/>
            <w:vMerge w:val="continue"/>
            <w:tcBorders>
              <w:tl2br w:val="nil"/>
              <w:tr2bl w:val="nil"/>
            </w:tcBorders>
            <w:shd w:val="clear" w:color="auto" w:fill="auto"/>
            <w:vAlign w:val="center"/>
          </w:tcPr>
          <w:p w14:paraId="2FD041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rPr>
            </w:pPr>
          </w:p>
        </w:tc>
        <w:tc>
          <w:tcPr>
            <w:tcW w:w="598" w:type="pct"/>
            <w:tcBorders>
              <w:tl2br w:val="nil"/>
              <w:tr2bl w:val="nil"/>
            </w:tcBorders>
            <w:shd w:val="clear" w:color="auto" w:fill="auto"/>
            <w:vAlign w:val="center"/>
          </w:tcPr>
          <w:p w14:paraId="11D55A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PM</w:t>
            </w:r>
            <w:r>
              <w:rPr>
                <w:rFonts w:hint="default" w:ascii="Times New Roman" w:hAnsi="Times New Roman" w:cs="Times New Roman"/>
                <w:color w:val="auto"/>
                <w:sz w:val="18"/>
                <w:szCs w:val="18"/>
                <w:vertAlign w:val="subscript"/>
                <w:lang w:val="en-US" w:eastAsia="zh-CN"/>
              </w:rPr>
              <w:t>2.5</w:t>
            </w:r>
          </w:p>
        </w:tc>
        <w:tc>
          <w:tcPr>
            <w:tcW w:w="766" w:type="pct"/>
            <w:tcBorders>
              <w:tl2br w:val="nil"/>
              <w:tr2bl w:val="nil"/>
            </w:tcBorders>
            <w:shd w:val="clear" w:color="auto" w:fill="auto"/>
            <w:vAlign w:val="center"/>
          </w:tcPr>
          <w:p w14:paraId="022E02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val="en-US" w:eastAsia="zh-CN"/>
              </w:rPr>
              <w:t>43</w:t>
            </w:r>
          </w:p>
        </w:tc>
        <w:tc>
          <w:tcPr>
            <w:tcW w:w="830" w:type="pct"/>
            <w:tcBorders>
              <w:tl2br w:val="nil"/>
              <w:tr2bl w:val="nil"/>
            </w:tcBorders>
            <w:shd w:val="clear" w:color="auto" w:fill="auto"/>
            <w:vAlign w:val="center"/>
          </w:tcPr>
          <w:p w14:paraId="04622A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val="en-US" w:eastAsia="zh-CN"/>
              </w:rPr>
              <w:t>0.225</w:t>
            </w:r>
          </w:p>
        </w:tc>
        <w:tc>
          <w:tcPr>
            <w:tcW w:w="1079" w:type="pct"/>
            <w:tcBorders>
              <w:tl2br w:val="nil"/>
              <w:tr2bl w:val="nil"/>
            </w:tcBorders>
            <w:shd w:val="clear" w:color="auto" w:fill="auto"/>
            <w:vAlign w:val="center"/>
          </w:tcPr>
          <w:p w14:paraId="12CE2D70">
            <w:pPr>
              <w:keepNext w:val="0"/>
              <w:keepLines w:val="0"/>
              <w:widowControl/>
              <w:suppressLineNumbers w:val="0"/>
              <w:jc w:val="center"/>
              <w:textAlignment w:val="center"/>
              <w:rPr>
                <w:rFonts w:hint="default" w:ascii="Times New Roman" w:hAnsi="Times New Roman" w:cs="Times New Roman"/>
                <w:i w:val="0"/>
                <w:iCs w:val="0"/>
                <w:color w:val="auto"/>
                <w:sz w:val="18"/>
                <w:szCs w:val="18"/>
                <w:u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1.77E-02</w:t>
            </w:r>
          </w:p>
        </w:tc>
        <w:tc>
          <w:tcPr>
            <w:tcW w:w="582" w:type="pct"/>
            <w:tcBorders>
              <w:tl2br w:val="nil"/>
              <w:tr2bl w:val="nil"/>
            </w:tcBorders>
            <w:shd w:val="clear" w:color="auto" w:fill="auto"/>
            <w:vAlign w:val="center"/>
          </w:tcPr>
          <w:p w14:paraId="0064357D">
            <w:pPr>
              <w:keepNext w:val="0"/>
              <w:keepLines w:val="0"/>
              <w:widowControl/>
              <w:suppressLineNumbers w:val="0"/>
              <w:jc w:val="center"/>
              <w:textAlignment w:val="center"/>
              <w:rPr>
                <w:rFonts w:hint="default" w:ascii="Times New Roman" w:hAnsi="Times New Roman" w:cs="Times New Roman"/>
                <w:i w:val="0"/>
                <w:iCs w:val="0"/>
                <w:color w:val="auto"/>
                <w:sz w:val="18"/>
                <w:szCs w:val="18"/>
                <w:u w:val="none"/>
                <w:lang w:val="en-US" w:eastAsia="zh-CN"/>
              </w:rPr>
            </w:pPr>
            <w:r>
              <w:rPr>
                <w:rFonts w:hint="default" w:ascii="Times New Roman" w:hAnsi="Times New Roman" w:cs="Times New Roman"/>
                <w:i w:val="0"/>
                <w:iCs w:val="0"/>
                <w:color w:val="auto"/>
                <w:kern w:val="0"/>
                <w:sz w:val="18"/>
                <w:szCs w:val="18"/>
                <w:u w:val="none"/>
                <w:lang w:val="en-US" w:eastAsia="zh-CN" w:bidi="ar"/>
              </w:rPr>
              <w:t>7.86</w:t>
            </w:r>
          </w:p>
        </w:tc>
      </w:tr>
      <w:tr w14:paraId="178C605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45" w:type="pct"/>
            <w:tcBorders>
              <w:tl2br w:val="nil"/>
              <w:tr2bl w:val="nil"/>
            </w:tcBorders>
            <w:shd w:val="clear" w:color="auto" w:fill="auto"/>
            <w:vAlign w:val="center"/>
          </w:tcPr>
          <w:p w14:paraId="491CF03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1194" w:type="pct"/>
            <w:gridSpan w:val="2"/>
            <w:tcBorders>
              <w:tl2br w:val="nil"/>
              <w:tr2bl w:val="nil"/>
            </w:tcBorders>
            <w:shd w:val="clear" w:color="auto" w:fill="auto"/>
            <w:vAlign w:val="center"/>
          </w:tcPr>
          <w:p w14:paraId="07CC29E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val="en-US" w:eastAsia="zh-CN"/>
              </w:rPr>
              <w:t>除原料堆场外其他无组织排放源</w:t>
            </w:r>
          </w:p>
        </w:tc>
        <w:tc>
          <w:tcPr>
            <w:tcW w:w="766" w:type="pct"/>
            <w:tcBorders>
              <w:tl2br w:val="nil"/>
              <w:tr2bl w:val="nil"/>
            </w:tcBorders>
            <w:shd w:val="clear" w:color="auto" w:fill="auto"/>
            <w:vAlign w:val="center"/>
          </w:tcPr>
          <w:p w14:paraId="075E42D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val="en-US" w:eastAsia="zh-CN"/>
              </w:rPr>
              <w:t>29</w:t>
            </w:r>
          </w:p>
        </w:tc>
        <w:tc>
          <w:tcPr>
            <w:tcW w:w="830" w:type="pct"/>
            <w:tcBorders>
              <w:tl2br w:val="nil"/>
              <w:tr2bl w:val="nil"/>
            </w:tcBorders>
            <w:shd w:val="clear" w:color="auto" w:fill="auto"/>
            <w:vAlign w:val="center"/>
          </w:tcPr>
          <w:p w14:paraId="1A85649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val="en-US" w:eastAsia="zh-CN"/>
              </w:rPr>
              <w:t>0.9</w:t>
            </w:r>
          </w:p>
        </w:tc>
        <w:tc>
          <w:tcPr>
            <w:tcW w:w="1079" w:type="pct"/>
            <w:tcBorders>
              <w:tl2br w:val="nil"/>
              <w:tr2bl w:val="nil"/>
            </w:tcBorders>
            <w:shd w:val="clear" w:color="auto" w:fill="auto"/>
            <w:vAlign w:val="center"/>
          </w:tcPr>
          <w:p w14:paraId="04BDFB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7.9</w:t>
            </w:r>
            <w:r>
              <w:rPr>
                <w:rFonts w:hint="default" w:ascii="Times New Roman" w:hAnsi="Times New Roman" w:cs="Times New Roman"/>
                <w:i w:val="0"/>
                <w:iCs w:val="0"/>
                <w:color w:val="auto"/>
                <w:kern w:val="0"/>
                <w:sz w:val="18"/>
                <w:szCs w:val="18"/>
                <w:u w:val="none"/>
                <w:lang w:val="en-US" w:eastAsia="zh-CN" w:bidi="ar"/>
              </w:rPr>
              <w:t>1</w:t>
            </w:r>
            <w:r>
              <w:rPr>
                <w:rFonts w:hint="default" w:ascii="Times New Roman" w:hAnsi="Times New Roman" w:eastAsia="宋体" w:cs="Times New Roman"/>
                <w:i w:val="0"/>
                <w:iCs w:val="0"/>
                <w:color w:val="auto"/>
                <w:kern w:val="0"/>
                <w:sz w:val="18"/>
                <w:szCs w:val="18"/>
                <w:u w:val="none"/>
                <w:lang w:val="en-US" w:eastAsia="zh-CN" w:bidi="ar"/>
              </w:rPr>
              <w:t>E-02</w:t>
            </w:r>
          </w:p>
        </w:tc>
        <w:tc>
          <w:tcPr>
            <w:tcW w:w="582" w:type="pct"/>
            <w:tcBorders>
              <w:tl2br w:val="nil"/>
              <w:tr2bl w:val="nil"/>
            </w:tcBorders>
            <w:shd w:val="clear" w:color="auto" w:fill="auto"/>
            <w:vAlign w:val="center"/>
          </w:tcPr>
          <w:p w14:paraId="00FD06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8.79</w:t>
            </w:r>
          </w:p>
        </w:tc>
      </w:tr>
      <w:tr w14:paraId="0DBCB88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45" w:type="pct"/>
            <w:tcBorders>
              <w:tl2br w:val="nil"/>
              <w:tr2bl w:val="nil"/>
            </w:tcBorders>
            <w:shd w:val="clear" w:color="auto" w:fill="auto"/>
            <w:vAlign w:val="center"/>
          </w:tcPr>
          <w:p w14:paraId="6D109C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3</w:t>
            </w:r>
          </w:p>
        </w:tc>
        <w:tc>
          <w:tcPr>
            <w:tcW w:w="1194" w:type="pct"/>
            <w:gridSpan w:val="2"/>
            <w:tcBorders>
              <w:tl2br w:val="nil"/>
              <w:tr2bl w:val="nil"/>
            </w:tcBorders>
            <w:shd w:val="clear" w:color="auto" w:fill="auto"/>
            <w:vAlign w:val="center"/>
          </w:tcPr>
          <w:p w14:paraId="41F56680">
            <w:pPr>
              <w:keepNext w:val="0"/>
              <w:keepLines w:val="0"/>
              <w:widowControl/>
              <w:suppressLineNumbers w:val="0"/>
              <w:jc w:val="center"/>
              <w:textAlignment w:val="center"/>
              <w:rPr>
                <w:rFonts w:hint="default" w:ascii="Times New Roman" w:hAnsi="Times New Roman"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val="en-US" w:eastAsia="zh-CN"/>
              </w:rPr>
              <w:t>原料堆场</w:t>
            </w:r>
          </w:p>
        </w:tc>
        <w:tc>
          <w:tcPr>
            <w:tcW w:w="766" w:type="pct"/>
            <w:tcBorders>
              <w:tl2br w:val="nil"/>
              <w:tr2bl w:val="nil"/>
            </w:tcBorders>
            <w:shd w:val="clear" w:color="auto" w:fill="auto"/>
            <w:vAlign w:val="center"/>
          </w:tcPr>
          <w:p w14:paraId="34B29FCC">
            <w:pPr>
              <w:keepNext w:val="0"/>
              <w:keepLines w:val="0"/>
              <w:widowControl/>
              <w:suppressLineNumbers w:val="0"/>
              <w:jc w:val="center"/>
              <w:textAlignment w:val="center"/>
              <w:rPr>
                <w:rFonts w:hint="default" w:ascii="Times New Roman" w:hAnsi="Times New Roman"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val="en-US" w:eastAsia="zh-CN"/>
              </w:rPr>
              <w:t>48</w:t>
            </w:r>
          </w:p>
        </w:tc>
        <w:tc>
          <w:tcPr>
            <w:tcW w:w="830" w:type="pct"/>
            <w:tcBorders>
              <w:tl2br w:val="nil"/>
              <w:tr2bl w:val="nil"/>
            </w:tcBorders>
            <w:shd w:val="clear" w:color="auto" w:fill="auto"/>
            <w:vAlign w:val="center"/>
          </w:tcPr>
          <w:p w14:paraId="7DB03242">
            <w:pPr>
              <w:keepNext w:val="0"/>
              <w:keepLines w:val="0"/>
              <w:widowControl/>
              <w:suppressLineNumbers w:val="0"/>
              <w:jc w:val="center"/>
              <w:textAlignment w:val="center"/>
              <w:rPr>
                <w:rFonts w:hint="default" w:ascii="Times New Roman" w:hAnsi="Times New Roman"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val="en-US" w:eastAsia="zh-CN"/>
              </w:rPr>
              <w:t>0.9</w:t>
            </w:r>
          </w:p>
        </w:tc>
        <w:tc>
          <w:tcPr>
            <w:tcW w:w="2004" w:type="dxa"/>
            <w:tcBorders>
              <w:tl2br w:val="nil"/>
              <w:tr2bl w:val="nil"/>
            </w:tcBorders>
            <w:shd w:val="clear" w:color="auto" w:fill="auto"/>
            <w:vAlign w:val="center"/>
          </w:tcPr>
          <w:p w14:paraId="2C2BF4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1.27E-02</w:t>
            </w:r>
          </w:p>
        </w:tc>
        <w:tc>
          <w:tcPr>
            <w:tcW w:w="1082" w:type="dxa"/>
            <w:tcBorders>
              <w:tl2br w:val="nil"/>
              <w:tr2bl w:val="nil"/>
            </w:tcBorders>
            <w:shd w:val="clear" w:color="auto" w:fill="auto"/>
            <w:vAlign w:val="center"/>
          </w:tcPr>
          <w:p w14:paraId="65700CB5">
            <w:pPr>
              <w:keepNext w:val="0"/>
              <w:keepLines w:val="0"/>
              <w:widowControl/>
              <w:suppressLineNumbers w:val="0"/>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1.41</w:t>
            </w:r>
          </w:p>
        </w:tc>
      </w:tr>
    </w:tbl>
    <w:p w14:paraId="36E2FD6F">
      <w:pPr>
        <w:keepNext w:val="0"/>
        <w:keepLines w:val="0"/>
        <w:pageBreakBefore w:val="0"/>
        <w:widowControl w:val="0"/>
        <w:kinsoku/>
        <w:wordWrap/>
        <w:overflowPunct/>
        <w:topLinePunct w:val="0"/>
        <w:autoSpaceDE w:val="0"/>
        <w:autoSpaceDN/>
        <w:bidi w:val="0"/>
        <w:adjustRightInd/>
        <w:snapToGrid/>
        <w:spacing w:before="157" w:beforeLines="50" w:line="360" w:lineRule="auto"/>
        <w:ind w:firstLine="490"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估算</w:t>
      </w:r>
      <w:r>
        <w:rPr>
          <w:rFonts w:hint="default" w:ascii="Times New Roman" w:hAnsi="Times New Roman" w:eastAsia="宋体" w:cs="Times New Roman"/>
          <w:b/>
          <w:bCs/>
          <w:color w:val="auto"/>
          <w:sz w:val="24"/>
          <w:szCs w:val="24"/>
          <w:highlight w:val="none"/>
          <w:lang w:val="en-US" w:eastAsia="zh-CN"/>
        </w:rPr>
        <w:t>结果</w:t>
      </w:r>
      <w:r>
        <w:rPr>
          <w:rFonts w:hint="default" w:ascii="Times New Roman" w:hAnsi="Times New Roman" w:cs="Times New Roman"/>
          <w:b/>
          <w:bCs/>
          <w:color w:val="auto"/>
          <w:sz w:val="24"/>
          <w:szCs w:val="24"/>
          <w:highlight w:val="none"/>
          <w:lang w:val="en-US" w:eastAsia="zh-CN"/>
        </w:rPr>
        <w:t>分析</w:t>
      </w:r>
    </w:p>
    <w:p w14:paraId="3BD99507">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b w:val="0"/>
          <w:bCs/>
          <w:color w:val="auto"/>
          <w:kern w:val="2"/>
          <w:sz w:val="24"/>
          <w:szCs w:val="24"/>
          <w:highlight w:val="none"/>
          <w:lang w:val="en-US" w:eastAsia="zh-CN" w:bidi="ar-SA"/>
        </w:rPr>
      </w:pPr>
      <w:r>
        <w:rPr>
          <w:rFonts w:hint="default" w:ascii="Times New Roman" w:hAnsi="Times New Roman" w:cs="Times New Roman"/>
          <w:b w:val="0"/>
          <w:bCs/>
          <w:color w:val="auto"/>
          <w:kern w:val="2"/>
          <w:sz w:val="24"/>
          <w:szCs w:val="24"/>
          <w:highlight w:val="none"/>
          <w:lang w:val="en-US" w:eastAsia="zh-CN" w:bidi="ar-SA"/>
        </w:rPr>
        <w:t>根据表6.1-4的估算结果可知，本项目正常工况下各污染物的最大落地浓度占标率均小于10%，占标率最高的污染物为无组织排放的TSP，占标率为8.79%。</w:t>
      </w:r>
    </w:p>
    <w:p w14:paraId="0665B077">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b/>
          <w:color w:val="auto"/>
          <w:kern w:val="2"/>
          <w:sz w:val="28"/>
          <w:szCs w:val="28"/>
          <w:highlight w:val="none"/>
          <w:lang w:val="en-US" w:eastAsia="zh-CN" w:bidi="ar-SA"/>
        </w:rPr>
      </w:pPr>
      <w:r>
        <w:rPr>
          <w:rFonts w:hint="default" w:ascii="Times New Roman" w:hAnsi="Times New Roman" w:cs="Times New Roman"/>
          <w:b w:val="0"/>
          <w:bCs/>
          <w:color w:val="auto"/>
          <w:kern w:val="2"/>
          <w:sz w:val="24"/>
          <w:szCs w:val="24"/>
          <w:highlight w:val="none"/>
          <w:lang w:val="en-US" w:eastAsia="zh-CN" w:bidi="ar-SA"/>
        </w:rPr>
        <w:t>依据</w:t>
      </w:r>
      <w:r>
        <w:rPr>
          <w:rFonts w:hint="default" w:ascii="Times New Roman" w:hAnsi="Times New Roman" w:eastAsia="宋体" w:cs="Times New Roman"/>
          <w:color w:val="auto"/>
          <w:sz w:val="24"/>
          <w:szCs w:val="24"/>
          <w:highlight w:val="none"/>
        </w:rPr>
        <w:t>《环境影响评价技术导则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大气环境》（HJ2.2-2018）</w:t>
      </w:r>
      <w:r>
        <w:rPr>
          <w:rFonts w:hint="default" w:ascii="Times New Roman" w:hAnsi="Times New Roman" w:cs="Times New Roman"/>
          <w:b w:val="0"/>
          <w:bCs/>
          <w:color w:val="auto"/>
          <w:kern w:val="2"/>
          <w:sz w:val="24"/>
          <w:szCs w:val="24"/>
          <w:highlight w:val="none"/>
          <w:lang w:val="en-US" w:eastAsia="zh-CN" w:bidi="ar-SA"/>
        </w:rPr>
        <w:t>评价工作的分级判据，本项目大气评价等级定为二级，不进行进一步预测和评价。</w:t>
      </w:r>
      <w:r>
        <w:rPr>
          <w:rFonts w:hint="default" w:ascii="Times New Roman" w:hAnsi="Times New Roman" w:eastAsia="宋体" w:cs="Times New Roman"/>
          <w:color w:val="auto"/>
          <w:sz w:val="24"/>
          <w:szCs w:val="24"/>
          <w:highlight w:val="none"/>
          <w:lang w:val="en-US" w:eastAsia="zh-CN"/>
        </w:rPr>
        <w:t>评价范围以本项目厂址中心，</w:t>
      </w:r>
      <w:r>
        <w:rPr>
          <w:rFonts w:hint="default" w:ascii="Times New Roman" w:hAnsi="Times New Roman" w:eastAsia="宋体" w:cs="Times New Roman"/>
          <w:color w:val="auto"/>
          <w:kern w:val="0"/>
          <w:sz w:val="24"/>
          <w:szCs w:val="24"/>
          <w:lang w:val="en-US" w:eastAsia="zh-CN" w:bidi="ar"/>
        </w:rPr>
        <w:t>边长取5km</w:t>
      </w:r>
      <w:r>
        <w:rPr>
          <w:rFonts w:hint="default" w:ascii="Times New Roman" w:hAnsi="Times New Roman" w:eastAsia="宋体" w:cs="Times New Roman"/>
          <w:color w:val="auto"/>
          <w:sz w:val="24"/>
          <w:szCs w:val="24"/>
          <w:highlight w:val="none"/>
          <w:lang w:val="en-US" w:eastAsia="zh-CN"/>
        </w:rPr>
        <w:t>的矩形范围</w:t>
      </w:r>
      <w:r>
        <w:rPr>
          <w:rFonts w:hint="default" w:ascii="Times New Roman" w:hAnsi="Times New Roman" w:cs="Times New Roman"/>
          <w:color w:val="auto"/>
          <w:sz w:val="24"/>
          <w:szCs w:val="24"/>
          <w:highlight w:val="none"/>
          <w:lang w:val="en-US" w:eastAsia="zh-CN"/>
        </w:rPr>
        <w:t>。</w:t>
      </w:r>
    </w:p>
    <w:p w14:paraId="64287E6B">
      <w:pPr>
        <w:pStyle w:val="6"/>
        <w:bidi w:val="0"/>
        <w:rPr>
          <w:rFonts w:hint="default" w:ascii="Times New Roman" w:hAnsi="Times New Roman" w:cs="Times New Roman"/>
          <w:lang w:val="en-US" w:eastAsia="zh-CN"/>
        </w:rPr>
      </w:pPr>
      <w:bookmarkStart w:id="456" w:name="_Toc26370"/>
      <w:r>
        <w:rPr>
          <w:rFonts w:hint="default" w:ascii="Times New Roman" w:hAnsi="Times New Roman" w:cs="Times New Roman"/>
          <w:lang w:val="en-US" w:eastAsia="zh-CN"/>
        </w:rPr>
        <w:t>6.1.2主要污染源估算模型计算结果</w:t>
      </w:r>
      <w:bookmarkEnd w:id="456"/>
    </w:p>
    <w:p w14:paraId="12CFA286">
      <w:pPr>
        <w:pStyle w:val="7"/>
        <w:bidi w:val="0"/>
        <w:rPr>
          <w:rFonts w:hint="default" w:ascii="Times New Roman" w:hAnsi="Times New Roman" w:cs="Times New Roman"/>
          <w:lang w:val="en-US" w:eastAsia="zh-CN"/>
        </w:rPr>
      </w:pPr>
      <w:r>
        <w:rPr>
          <w:rFonts w:hint="default" w:ascii="Times New Roman" w:hAnsi="Times New Roman" w:cs="Times New Roman"/>
          <w:lang w:val="en-US" w:eastAsia="zh-CN"/>
        </w:rPr>
        <w:t>6.1.2.1正常工况下</w:t>
      </w:r>
    </w:p>
    <w:p w14:paraId="73B8C10A">
      <w:pPr>
        <w:spacing w:line="360" w:lineRule="auto"/>
        <w:ind w:firstLine="490" w:firstLineChars="200"/>
        <w:jc w:val="both"/>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宋体" w:cs="Times New Roman"/>
          <w:color w:val="auto"/>
          <w:sz w:val="24"/>
          <w:szCs w:val="24"/>
          <w:highlight w:val="none"/>
          <w:lang w:val="en-US" w:eastAsia="zh-CN"/>
        </w:rPr>
        <w:t>采用《环境影响评价技术导则 大气环境》HJ2.2-2018推荐的估算模式AERSCREEN进行估算，结果如下表。</w:t>
      </w:r>
    </w:p>
    <w:p w14:paraId="4787B56F">
      <w:pPr>
        <w:autoSpaceDE w:val="0"/>
        <w:spacing w:before="0" w:after="0" w:line="360" w:lineRule="auto"/>
        <w:jc w:val="center"/>
        <w:outlineLvl w:val="9"/>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表6.1.2-1  正常工况下项目破碎机废气排口（DA001）下风向2500m的PM</w:t>
      </w:r>
      <w:r>
        <w:rPr>
          <w:rFonts w:hint="default" w:ascii="Times New Roman" w:hAnsi="Times New Roman" w:eastAsia="黑体" w:cs="Times New Roman"/>
          <w:b w:val="0"/>
          <w:bCs w:val="0"/>
          <w:color w:val="auto"/>
          <w:sz w:val="21"/>
          <w:szCs w:val="21"/>
          <w:highlight w:val="none"/>
          <w:vertAlign w:val="subscript"/>
          <w:lang w:val="en-US" w:eastAsia="zh-CN"/>
        </w:rPr>
        <w:t>10、</w:t>
      </w:r>
      <w:r>
        <w:rPr>
          <w:rFonts w:hint="default" w:ascii="Times New Roman" w:hAnsi="Times New Roman" w:cs="Times New Roman"/>
          <w:color w:val="auto"/>
          <w:sz w:val="24"/>
          <w:szCs w:val="24"/>
          <w:highlight w:val="none"/>
          <w:lang w:val="en-US" w:eastAsia="zh-CN"/>
        </w:rPr>
        <w:t>PM</w:t>
      </w:r>
      <w:r>
        <w:rPr>
          <w:rFonts w:hint="default" w:ascii="Times New Roman" w:hAnsi="Times New Roman" w:cs="Times New Roman"/>
          <w:color w:val="auto"/>
          <w:sz w:val="24"/>
          <w:szCs w:val="24"/>
          <w:highlight w:val="none"/>
          <w:vertAlign w:val="subscript"/>
          <w:lang w:val="en-US" w:eastAsia="zh-CN"/>
        </w:rPr>
        <w:t>2.5</w:t>
      </w:r>
      <w:r>
        <w:rPr>
          <w:rFonts w:hint="default" w:ascii="Times New Roman" w:hAnsi="Times New Roman" w:eastAsia="黑体" w:cs="Times New Roman"/>
          <w:b w:val="0"/>
          <w:bCs w:val="0"/>
          <w:color w:val="auto"/>
          <w:sz w:val="21"/>
          <w:szCs w:val="21"/>
          <w:highlight w:val="none"/>
          <w:lang w:val="en-US" w:eastAsia="zh-CN"/>
        </w:rPr>
        <w:t>估算结果</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105"/>
        <w:gridCol w:w="2121"/>
        <w:gridCol w:w="1470"/>
        <w:gridCol w:w="2121"/>
        <w:gridCol w:w="1471"/>
      </w:tblGrid>
      <w:tr w14:paraId="686AE8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jc w:val="center"/>
        </w:trPr>
        <w:tc>
          <w:tcPr>
            <w:tcW w:w="1133" w:type="pct"/>
            <w:vMerge w:val="restart"/>
            <w:shd w:val="clear" w:color="auto" w:fill="auto"/>
            <w:noWrap/>
            <w:vAlign w:val="center"/>
          </w:tcPr>
          <w:p w14:paraId="2FC09A0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距源中心下风向距离</w:t>
            </w:r>
            <w:r>
              <w:rPr>
                <w:rStyle w:val="65"/>
                <w:rFonts w:hint="default" w:ascii="Times New Roman" w:hAnsi="Times New Roman" w:eastAsia="宋体" w:cs="Times New Roman"/>
                <w:b w:val="0"/>
                <w:bCs w:val="0"/>
                <w:color w:val="auto"/>
                <w:sz w:val="18"/>
                <w:szCs w:val="18"/>
                <w:highlight w:val="none"/>
                <w:vertAlign w:val="baseline"/>
                <w:lang w:val="en-US" w:eastAsia="zh-CN" w:bidi="ar"/>
              </w:rPr>
              <w:t>D(m)</w:t>
            </w:r>
          </w:p>
        </w:tc>
        <w:tc>
          <w:tcPr>
            <w:tcW w:w="1933" w:type="pct"/>
            <w:gridSpan w:val="2"/>
            <w:shd w:val="clear" w:color="auto" w:fill="auto"/>
            <w:noWrap/>
            <w:vAlign w:val="center"/>
          </w:tcPr>
          <w:p w14:paraId="63C6F2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黑体" w:cs="Times New Roman"/>
                <w:b w:val="0"/>
                <w:bCs w:val="0"/>
                <w:color w:val="auto"/>
                <w:sz w:val="18"/>
                <w:szCs w:val="18"/>
                <w:highlight w:val="none"/>
                <w:lang w:val="en-US" w:eastAsia="zh-CN"/>
              </w:rPr>
              <w:t>PM</w:t>
            </w:r>
            <w:r>
              <w:rPr>
                <w:rFonts w:hint="default" w:ascii="Times New Roman" w:hAnsi="Times New Roman" w:eastAsia="黑体" w:cs="Times New Roman"/>
                <w:b w:val="0"/>
                <w:bCs w:val="0"/>
                <w:color w:val="auto"/>
                <w:sz w:val="18"/>
                <w:szCs w:val="18"/>
                <w:highlight w:val="none"/>
                <w:vertAlign w:val="subscript"/>
                <w:lang w:val="en-US" w:eastAsia="zh-CN"/>
              </w:rPr>
              <w:t>10</w:t>
            </w:r>
          </w:p>
        </w:tc>
        <w:tc>
          <w:tcPr>
            <w:tcW w:w="1933" w:type="pct"/>
            <w:gridSpan w:val="2"/>
            <w:shd w:val="clear" w:color="auto" w:fill="auto"/>
            <w:noWrap/>
            <w:vAlign w:val="center"/>
          </w:tcPr>
          <w:p w14:paraId="78459D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黑体" w:cs="Times New Roman"/>
                <w:b w:val="0"/>
                <w:bCs w:val="0"/>
                <w:color w:val="auto"/>
                <w:sz w:val="18"/>
                <w:szCs w:val="18"/>
                <w:highlight w:val="none"/>
                <w:lang w:val="en-US" w:eastAsia="zh-CN"/>
              </w:rPr>
              <w:t>PM</w:t>
            </w:r>
            <w:r>
              <w:rPr>
                <w:rFonts w:hint="default" w:ascii="Times New Roman" w:hAnsi="Times New Roman" w:eastAsia="黑体" w:cs="Times New Roman"/>
                <w:b w:val="0"/>
                <w:bCs w:val="0"/>
                <w:color w:val="auto"/>
                <w:sz w:val="18"/>
                <w:szCs w:val="18"/>
                <w:highlight w:val="none"/>
                <w:vertAlign w:val="subscript"/>
                <w:lang w:val="en-US" w:eastAsia="zh-CN"/>
              </w:rPr>
              <w:t>2.5</w:t>
            </w:r>
          </w:p>
        </w:tc>
      </w:tr>
      <w:tr w14:paraId="5AC51B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vMerge w:val="continue"/>
            <w:shd w:val="clear" w:color="auto" w:fill="auto"/>
            <w:noWrap/>
            <w:vAlign w:val="center"/>
          </w:tcPr>
          <w:p w14:paraId="42D2F54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141" w:type="pct"/>
            <w:shd w:val="clear" w:color="auto" w:fill="auto"/>
            <w:noWrap/>
            <w:vAlign w:val="center"/>
          </w:tcPr>
          <w:p w14:paraId="0FE6C6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下风向预测浓度Ci(mg/m</w:t>
            </w:r>
            <w:r>
              <w:rPr>
                <w:rFonts w:hint="default" w:ascii="Times New Roman" w:hAnsi="Times New Roman" w:eastAsia="宋体" w:cs="Times New Roman"/>
                <w:b w:val="0"/>
                <w:bCs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w:t>
            </w:r>
          </w:p>
        </w:tc>
        <w:tc>
          <w:tcPr>
            <w:tcW w:w="791" w:type="pct"/>
            <w:shd w:val="clear" w:color="auto" w:fill="auto"/>
            <w:noWrap/>
            <w:vAlign w:val="center"/>
          </w:tcPr>
          <w:p w14:paraId="25C33F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浓度占标率Pi(%)</w:t>
            </w:r>
          </w:p>
        </w:tc>
        <w:tc>
          <w:tcPr>
            <w:tcW w:w="1141" w:type="pct"/>
            <w:shd w:val="clear" w:color="auto" w:fill="auto"/>
            <w:noWrap/>
            <w:vAlign w:val="center"/>
          </w:tcPr>
          <w:p w14:paraId="6A3CBC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下风向预测浓度Ci(mg/m</w:t>
            </w:r>
            <w:r>
              <w:rPr>
                <w:rFonts w:hint="default" w:ascii="Times New Roman" w:hAnsi="Times New Roman" w:eastAsia="宋体" w:cs="Times New Roman"/>
                <w:b w:val="0"/>
                <w:bCs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w:t>
            </w:r>
          </w:p>
        </w:tc>
        <w:tc>
          <w:tcPr>
            <w:tcW w:w="791" w:type="pct"/>
            <w:shd w:val="clear" w:color="auto" w:fill="auto"/>
            <w:noWrap/>
            <w:vAlign w:val="center"/>
          </w:tcPr>
          <w:p w14:paraId="148F40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浓度占标率Pi(%)</w:t>
            </w:r>
          </w:p>
        </w:tc>
      </w:tr>
      <w:tr w14:paraId="1FFACD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557083D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141" w:type="pct"/>
            <w:shd w:val="clear" w:color="auto" w:fill="auto"/>
            <w:noWrap/>
            <w:vAlign w:val="center"/>
          </w:tcPr>
          <w:p w14:paraId="6F08BD2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1.06E-13</w:t>
            </w:r>
          </w:p>
        </w:tc>
        <w:tc>
          <w:tcPr>
            <w:tcW w:w="791" w:type="pct"/>
            <w:shd w:val="clear" w:color="auto" w:fill="auto"/>
            <w:noWrap/>
            <w:vAlign w:val="center"/>
          </w:tcPr>
          <w:p w14:paraId="7E8D124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41" w:type="pct"/>
            <w:shd w:val="clear" w:color="auto" w:fill="auto"/>
            <w:noWrap/>
            <w:vAlign w:val="center"/>
          </w:tcPr>
          <w:p w14:paraId="7F91EE7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5.32E-14</w:t>
            </w:r>
          </w:p>
        </w:tc>
        <w:tc>
          <w:tcPr>
            <w:tcW w:w="791" w:type="pct"/>
            <w:shd w:val="clear" w:color="auto" w:fill="auto"/>
            <w:noWrap/>
            <w:vAlign w:val="center"/>
          </w:tcPr>
          <w:p w14:paraId="0F81337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179F97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644E6A8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141" w:type="pct"/>
            <w:shd w:val="clear" w:color="auto" w:fill="auto"/>
            <w:noWrap/>
            <w:vAlign w:val="center"/>
          </w:tcPr>
          <w:p w14:paraId="2B78BC6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9.51E-03</w:t>
            </w:r>
          </w:p>
        </w:tc>
        <w:tc>
          <w:tcPr>
            <w:tcW w:w="791" w:type="pct"/>
            <w:shd w:val="clear" w:color="auto" w:fill="auto"/>
            <w:noWrap/>
            <w:vAlign w:val="center"/>
          </w:tcPr>
          <w:p w14:paraId="595C4D5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2.11</w:t>
            </w:r>
          </w:p>
        </w:tc>
        <w:tc>
          <w:tcPr>
            <w:tcW w:w="1141" w:type="pct"/>
            <w:shd w:val="clear" w:color="auto" w:fill="auto"/>
            <w:noWrap/>
            <w:vAlign w:val="center"/>
          </w:tcPr>
          <w:p w14:paraId="62656BD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4.75E-03</w:t>
            </w:r>
          </w:p>
        </w:tc>
        <w:tc>
          <w:tcPr>
            <w:tcW w:w="791" w:type="pct"/>
            <w:shd w:val="clear" w:color="auto" w:fill="auto"/>
            <w:noWrap/>
            <w:vAlign w:val="center"/>
          </w:tcPr>
          <w:p w14:paraId="5B6253B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2.11</w:t>
            </w:r>
          </w:p>
        </w:tc>
      </w:tr>
      <w:tr w14:paraId="738B16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FDD960" w:themeFill="accent3" w:themeFillTint="99"/>
            <w:noWrap/>
            <w:vAlign w:val="center"/>
          </w:tcPr>
          <w:p w14:paraId="68EF124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u w:val="none"/>
                <w:lang w:val="en-US" w:eastAsia="zh-CN" w:bidi="ar"/>
              </w:rPr>
              <w:t>43</w:t>
            </w:r>
          </w:p>
        </w:tc>
        <w:tc>
          <w:tcPr>
            <w:tcW w:w="1141" w:type="pct"/>
            <w:shd w:val="clear" w:color="auto" w:fill="FDD960" w:themeFill="accent3" w:themeFillTint="99"/>
            <w:noWrap/>
            <w:vAlign w:val="center"/>
          </w:tcPr>
          <w:p w14:paraId="0367344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u w:val="none"/>
                <w:lang w:val="en-US" w:eastAsia="zh-CN" w:bidi="ar"/>
              </w:rPr>
              <w:t>3.54E-02</w:t>
            </w:r>
          </w:p>
        </w:tc>
        <w:tc>
          <w:tcPr>
            <w:tcW w:w="791" w:type="pct"/>
            <w:shd w:val="clear" w:color="auto" w:fill="FDD960" w:themeFill="accent3" w:themeFillTint="99"/>
            <w:noWrap/>
            <w:vAlign w:val="center"/>
          </w:tcPr>
          <w:p w14:paraId="02332C1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u w:val="none"/>
                <w:lang w:val="en-US" w:eastAsia="zh-CN" w:bidi="ar"/>
              </w:rPr>
              <w:t>7.86</w:t>
            </w:r>
          </w:p>
        </w:tc>
        <w:tc>
          <w:tcPr>
            <w:tcW w:w="1141" w:type="pct"/>
            <w:shd w:val="clear" w:color="auto" w:fill="FDD960" w:themeFill="accent3" w:themeFillTint="99"/>
            <w:noWrap/>
            <w:vAlign w:val="center"/>
          </w:tcPr>
          <w:p w14:paraId="48B2DCA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u w:val="none"/>
                <w:lang w:val="en-US" w:eastAsia="zh-CN" w:bidi="ar"/>
              </w:rPr>
              <w:t>1.77E-02</w:t>
            </w:r>
          </w:p>
        </w:tc>
        <w:tc>
          <w:tcPr>
            <w:tcW w:w="791" w:type="pct"/>
            <w:shd w:val="clear" w:color="auto" w:fill="FDD960" w:themeFill="accent3" w:themeFillTint="99"/>
            <w:noWrap/>
            <w:vAlign w:val="center"/>
          </w:tcPr>
          <w:p w14:paraId="12F4A8D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u w:val="none"/>
                <w:lang w:val="en-US" w:eastAsia="zh-CN" w:bidi="ar"/>
              </w:rPr>
              <w:t>7.86</w:t>
            </w:r>
          </w:p>
        </w:tc>
      </w:tr>
      <w:tr w14:paraId="7883CF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00FEFE0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1141" w:type="pct"/>
            <w:shd w:val="clear" w:color="auto" w:fill="auto"/>
            <w:noWrap/>
            <w:vAlign w:val="center"/>
          </w:tcPr>
          <w:p w14:paraId="1477C5E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3.11E-02</w:t>
            </w:r>
          </w:p>
        </w:tc>
        <w:tc>
          <w:tcPr>
            <w:tcW w:w="791" w:type="pct"/>
            <w:shd w:val="clear" w:color="auto" w:fill="auto"/>
            <w:noWrap/>
            <w:vAlign w:val="center"/>
          </w:tcPr>
          <w:p w14:paraId="0328EE5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6.92</w:t>
            </w:r>
          </w:p>
        </w:tc>
        <w:tc>
          <w:tcPr>
            <w:tcW w:w="1141" w:type="pct"/>
            <w:shd w:val="clear" w:color="auto" w:fill="auto"/>
            <w:noWrap/>
            <w:vAlign w:val="center"/>
          </w:tcPr>
          <w:p w14:paraId="4C0DA0F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1.56E-02</w:t>
            </w:r>
          </w:p>
        </w:tc>
        <w:tc>
          <w:tcPr>
            <w:tcW w:w="791" w:type="pct"/>
            <w:shd w:val="clear" w:color="auto" w:fill="auto"/>
            <w:noWrap/>
            <w:vAlign w:val="center"/>
          </w:tcPr>
          <w:p w14:paraId="4E93811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6.92</w:t>
            </w:r>
          </w:p>
        </w:tc>
      </w:tr>
      <w:tr w14:paraId="1C486A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6EBA814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1141" w:type="pct"/>
            <w:shd w:val="clear" w:color="auto" w:fill="auto"/>
            <w:noWrap/>
            <w:vAlign w:val="center"/>
          </w:tcPr>
          <w:p w14:paraId="36A2CFA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1.59E-02</w:t>
            </w:r>
          </w:p>
        </w:tc>
        <w:tc>
          <w:tcPr>
            <w:tcW w:w="791" w:type="pct"/>
            <w:shd w:val="clear" w:color="auto" w:fill="auto"/>
            <w:noWrap/>
            <w:vAlign w:val="center"/>
          </w:tcPr>
          <w:p w14:paraId="4E1D480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3.53</w:t>
            </w:r>
          </w:p>
        </w:tc>
        <w:tc>
          <w:tcPr>
            <w:tcW w:w="1141" w:type="pct"/>
            <w:shd w:val="clear" w:color="auto" w:fill="auto"/>
            <w:noWrap/>
            <w:vAlign w:val="center"/>
          </w:tcPr>
          <w:p w14:paraId="4E649F9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7.94E-03</w:t>
            </w:r>
          </w:p>
        </w:tc>
        <w:tc>
          <w:tcPr>
            <w:tcW w:w="791" w:type="pct"/>
            <w:shd w:val="clear" w:color="auto" w:fill="auto"/>
            <w:noWrap/>
            <w:vAlign w:val="center"/>
          </w:tcPr>
          <w:p w14:paraId="1CD213A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3.53</w:t>
            </w:r>
          </w:p>
        </w:tc>
      </w:tr>
      <w:tr w14:paraId="3C5243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6F6CB78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41" w:type="pct"/>
            <w:shd w:val="clear" w:color="auto" w:fill="auto"/>
            <w:noWrap/>
            <w:vAlign w:val="center"/>
          </w:tcPr>
          <w:p w14:paraId="57E56B6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1.12E-02</w:t>
            </w:r>
          </w:p>
        </w:tc>
        <w:tc>
          <w:tcPr>
            <w:tcW w:w="791" w:type="pct"/>
            <w:shd w:val="clear" w:color="auto" w:fill="auto"/>
            <w:noWrap/>
            <w:vAlign w:val="center"/>
          </w:tcPr>
          <w:p w14:paraId="26BF0D9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141" w:type="pct"/>
            <w:shd w:val="clear" w:color="auto" w:fill="auto"/>
            <w:noWrap/>
            <w:vAlign w:val="center"/>
          </w:tcPr>
          <w:p w14:paraId="60AE17A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5.62E-03</w:t>
            </w:r>
          </w:p>
        </w:tc>
        <w:tc>
          <w:tcPr>
            <w:tcW w:w="791" w:type="pct"/>
            <w:shd w:val="clear" w:color="auto" w:fill="auto"/>
            <w:noWrap/>
            <w:vAlign w:val="center"/>
          </w:tcPr>
          <w:p w14:paraId="0C893F5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r>
      <w:tr w14:paraId="74C996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05F6CFB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1141" w:type="pct"/>
            <w:shd w:val="clear" w:color="auto" w:fill="auto"/>
            <w:noWrap/>
            <w:vAlign w:val="center"/>
          </w:tcPr>
          <w:p w14:paraId="568B750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8.57E-03</w:t>
            </w:r>
          </w:p>
        </w:tc>
        <w:tc>
          <w:tcPr>
            <w:tcW w:w="791" w:type="pct"/>
            <w:shd w:val="clear" w:color="auto" w:fill="auto"/>
            <w:noWrap/>
            <w:vAlign w:val="center"/>
          </w:tcPr>
          <w:p w14:paraId="7D9A86D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1141" w:type="pct"/>
            <w:shd w:val="clear" w:color="auto" w:fill="auto"/>
            <w:noWrap/>
            <w:vAlign w:val="center"/>
          </w:tcPr>
          <w:p w14:paraId="0AE6406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4.28E-03</w:t>
            </w:r>
          </w:p>
        </w:tc>
        <w:tc>
          <w:tcPr>
            <w:tcW w:w="791" w:type="pct"/>
            <w:shd w:val="clear" w:color="auto" w:fill="auto"/>
            <w:noWrap/>
            <w:vAlign w:val="center"/>
          </w:tcPr>
          <w:p w14:paraId="0A52DA6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r>
      <w:tr w14:paraId="524ACC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3AFEA2D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1141" w:type="pct"/>
            <w:shd w:val="clear" w:color="auto" w:fill="auto"/>
            <w:noWrap/>
            <w:vAlign w:val="center"/>
          </w:tcPr>
          <w:p w14:paraId="42F6074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7.34E-03</w:t>
            </w:r>
          </w:p>
        </w:tc>
        <w:tc>
          <w:tcPr>
            <w:tcW w:w="791" w:type="pct"/>
            <w:shd w:val="clear" w:color="auto" w:fill="auto"/>
            <w:noWrap/>
            <w:vAlign w:val="center"/>
          </w:tcPr>
          <w:p w14:paraId="1B9809E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1.63</w:t>
            </w:r>
          </w:p>
        </w:tc>
        <w:tc>
          <w:tcPr>
            <w:tcW w:w="1141" w:type="pct"/>
            <w:shd w:val="clear" w:color="auto" w:fill="auto"/>
            <w:noWrap/>
            <w:vAlign w:val="center"/>
          </w:tcPr>
          <w:p w14:paraId="6AC3B27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3.67E-03</w:t>
            </w:r>
          </w:p>
        </w:tc>
        <w:tc>
          <w:tcPr>
            <w:tcW w:w="791" w:type="pct"/>
            <w:shd w:val="clear" w:color="auto" w:fill="auto"/>
            <w:noWrap/>
            <w:vAlign w:val="center"/>
          </w:tcPr>
          <w:p w14:paraId="795A027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1.63</w:t>
            </w:r>
          </w:p>
        </w:tc>
      </w:tr>
      <w:tr w14:paraId="6140EE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019CF4C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175</w:t>
            </w:r>
          </w:p>
        </w:tc>
        <w:tc>
          <w:tcPr>
            <w:tcW w:w="1141" w:type="pct"/>
            <w:shd w:val="clear" w:color="auto" w:fill="auto"/>
            <w:noWrap/>
            <w:vAlign w:val="center"/>
          </w:tcPr>
          <w:p w14:paraId="1FA7CAC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6.19E-03</w:t>
            </w:r>
          </w:p>
        </w:tc>
        <w:tc>
          <w:tcPr>
            <w:tcW w:w="791" w:type="pct"/>
            <w:shd w:val="clear" w:color="auto" w:fill="auto"/>
            <w:noWrap/>
            <w:vAlign w:val="center"/>
          </w:tcPr>
          <w:p w14:paraId="2E2A43E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1.37</w:t>
            </w:r>
          </w:p>
        </w:tc>
        <w:tc>
          <w:tcPr>
            <w:tcW w:w="1141" w:type="pct"/>
            <w:shd w:val="clear" w:color="auto" w:fill="auto"/>
            <w:noWrap/>
            <w:vAlign w:val="center"/>
          </w:tcPr>
          <w:p w14:paraId="5C919DC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3.09E-03</w:t>
            </w:r>
          </w:p>
        </w:tc>
        <w:tc>
          <w:tcPr>
            <w:tcW w:w="791" w:type="pct"/>
            <w:shd w:val="clear" w:color="auto" w:fill="auto"/>
            <w:noWrap/>
            <w:vAlign w:val="center"/>
          </w:tcPr>
          <w:p w14:paraId="7126717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1.37</w:t>
            </w:r>
          </w:p>
        </w:tc>
      </w:tr>
      <w:tr w14:paraId="64E6C5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46DF250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1141" w:type="pct"/>
            <w:shd w:val="clear" w:color="auto" w:fill="auto"/>
            <w:noWrap/>
            <w:vAlign w:val="center"/>
          </w:tcPr>
          <w:p w14:paraId="3631E6E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5.36E-03</w:t>
            </w:r>
          </w:p>
        </w:tc>
        <w:tc>
          <w:tcPr>
            <w:tcW w:w="791" w:type="pct"/>
            <w:shd w:val="clear" w:color="auto" w:fill="auto"/>
            <w:noWrap/>
            <w:vAlign w:val="center"/>
          </w:tcPr>
          <w:p w14:paraId="58BEA4E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1141" w:type="pct"/>
            <w:shd w:val="clear" w:color="auto" w:fill="auto"/>
            <w:noWrap/>
            <w:vAlign w:val="center"/>
          </w:tcPr>
          <w:p w14:paraId="0236EA8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2.68E-03</w:t>
            </w:r>
          </w:p>
        </w:tc>
        <w:tc>
          <w:tcPr>
            <w:tcW w:w="791" w:type="pct"/>
            <w:shd w:val="clear" w:color="auto" w:fill="auto"/>
            <w:noWrap/>
            <w:vAlign w:val="center"/>
          </w:tcPr>
          <w:p w14:paraId="6E03227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1.19</w:t>
            </w:r>
          </w:p>
        </w:tc>
      </w:tr>
      <w:tr w14:paraId="1441E1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7BAAF9F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1141" w:type="pct"/>
            <w:shd w:val="clear" w:color="auto" w:fill="auto"/>
            <w:noWrap/>
            <w:vAlign w:val="center"/>
          </w:tcPr>
          <w:p w14:paraId="232B022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4.67E-03</w:t>
            </w:r>
          </w:p>
        </w:tc>
        <w:tc>
          <w:tcPr>
            <w:tcW w:w="791" w:type="pct"/>
            <w:shd w:val="clear" w:color="auto" w:fill="auto"/>
            <w:noWrap/>
            <w:vAlign w:val="center"/>
          </w:tcPr>
          <w:p w14:paraId="27E16A8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1141" w:type="pct"/>
            <w:shd w:val="clear" w:color="auto" w:fill="auto"/>
            <w:noWrap/>
            <w:vAlign w:val="center"/>
          </w:tcPr>
          <w:p w14:paraId="247DD99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2.34E-03</w:t>
            </w:r>
          </w:p>
        </w:tc>
        <w:tc>
          <w:tcPr>
            <w:tcW w:w="791" w:type="pct"/>
            <w:shd w:val="clear" w:color="auto" w:fill="auto"/>
            <w:noWrap/>
            <w:vAlign w:val="center"/>
          </w:tcPr>
          <w:p w14:paraId="180F683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r>
      <w:tr w14:paraId="3D9A46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78B53CB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1141" w:type="pct"/>
            <w:shd w:val="clear" w:color="auto" w:fill="auto"/>
            <w:noWrap/>
            <w:vAlign w:val="center"/>
          </w:tcPr>
          <w:p w14:paraId="43B2EB6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4.03E-03</w:t>
            </w:r>
          </w:p>
        </w:tc>
        <w:tc>
          <w:tcPr>
            <w:tcW w:w="791" w:type="pct"/>
            <w:shd w:val="clear" w:color="auto" w:fill="auto"/>
            <w:noWrap/>
            <w:vAlign w:val="center"/>
          </w:tcPr>
          <w:p w14:paraId="5073E47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w:t>
            </w:r>
          </w:p>
        </w:tc>
        <w:tc>
          <w:tcPr>
            <w:tcW w:w="1141" w:type="pct"/>
            <w:shd w:val="clear" w:color="auto" w:fill="auto"/>
            <w:noWrap/>
            <w:vAlign w:val="center"/>
          </w:tcPr>
          <w:p w14:paraId="583DCDD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2.02E-03</w:t>
            </w:r>
          </w:p>
        </w:tc>
        <w:tc>
          <w:tcPr>
            <w:tcW w:w="791" w:type="pct"/>
            <w:shd w:val="clear" w:color="auto" w:fill="auto"/>
            <w:noWrap/>
            <w:vAlign w:val="center"/>
          </w:tcPr>
          <w:p w14:paraId="0CFB6D6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w:t>
            </w:r>
          </w:p>
        </w:tc>
      </w:tr>
      <w:tr w14:paraId="3C88F6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44FD1B8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w:t>
            </w:r>
          </w:p>
        </w:tc>
        <w:tc>
          <w:tcPr>
            <w:tcW w:w="1141" w:type="pct"/>
            <w:shd w:val="clear" w:color="auto" w:fill="auto"/>
            <w:noWrap/>
            <w:vAlign w:val="center"/>
          </w:tcPr>
          <w:p w14:paraId="6C4A40B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3.67E-03</w:t>
            </w:r>
          </w:p>
        </w:tc>
        <w:tc>
          <w:tcPr>
            <w:tcW w:w="791" w:type="pct"/>
            <w:shd w:val="clear" w:color="auto" w:fill="auto"/>
            <w:noWrap/>
            <w:vAlign w:val="center"/>
          </w:tcPr>
          <w:p w14:paraId="53F6135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0.81</w:t>
            </w:r>
          </w:p>
        </w:tc>
        <w:tc>
          <w:tcPr>
            <w:tcW w:w="1141" w:type="pct"/>
            <w:shd w:val="clear" w:color="auto" w:fill="auto"/>
            <w:noWrap/>
            <w:vAlign w:val="center"/>
          </w:tcPr>
          <w:p w14:paraId="27CC2AF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1.83E-03</w:t>
            </w:r>
          </w:p>
        </w:tc>
        <w:tc>
          <w:tcPr>
            <w:tcW w:w="791" w:type="pct"/>
            <w:shd w:val="clear" w:color="auto" w:fill="auto"/>
            <w:noWrap/>
            <w:vAlign w:val="center"/>
          </w:tcPr>
          <w:p w14:paraId="4B231F2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0.81</w:t>
            </w:r>
          </w:p>
        </w:tc>
      </w:tr>
      <w:tr w14:paraId="105849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5ACCECB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1141" w:type="pct"/>
            <w:shd w:val="clear" w:color="auto" w:fill="auto"/>
            <w:noWrap/>
            <w:vAlign w:val="center"/>
          </w:tcPr>
          <w:p w14:paraId="6B7DFDC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3.32E-03</w:t>
            </w:r>
          </w:p>
        </w:tc>
        <w:tc>
          <w:tcPr>
            <w:tcW w:w="791" w:type="pct"/>
            <w:shd w:val="clear" w:color="auto" w:fill="auto"/>
            <w:noWrap/>
            <w:vAlign w:val="center"/>
          </w:tcPr>
          <w:p w14:paraId="66F3623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0.74</w:t>
            </w:r>
          </w:p>
        </w:tc>
        <w:tc>
          <w:tcPr>
            <w:tcW w:w="1141" w:type="pct"/>
            <w:shd w:val="clear" w:color="auto" w:fill="auto"/>
            <w:noWrap/>
            <w:vAlign w:val="center"/>
          </w:tcPr>
          <w:p w14:paraId="26853A1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1.66E-03</w:t>
            </w:r>
          </w:p>
        </w:tc>
        <w:tc>
          <w:tcPr>
            <w:tcW w:w="791" w:type="pct"/>
            <w:shd w:val="clear" w:color="auto" w:fill="auto"/>
            <w:noWrap/>
            <w:vAlign w:val="center"/>
          </w:tcPr>
          <w:p w14:paraId="796E3DF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0.74</w:t>
            </w:r>
          </w:p>
        </w:tc>
      </w:tr>
      <w:tr w14:paraId="05D96F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1A19869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w:t>
            </w:r>
          </w:p>
        </w:tc>
        <w:tc>
          <w:tcPr>
            <w:tcW w:w="1141" w:type="pct"/>
            <w:shd w:val="clear" w:color="auto" w:fill="auto"/>
            <w:noWrap/>
            <w:vAlign w:val="center"/>
          </w:tcPr>
          <w:p w14:paraId="4AA5B7C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2.99E-03</w:t>
            </w:r>
          </w:p>
        </w:tc>
        <w:tc>
          <w:tcPr>
            <w:tcW w:w="791" w:type="pct"/>
            <w:shd w:val="clear" w:color="auto" w:fill="auto"/>
            <w:noWrap/>
            <w:vAlign w:val="center"/>
          </w:tcPr>
          <w:p w14:paraId="100E14F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0.66</w:t>
            </w:r>
          </w:p>
        </w:tc>
        <w:tc>
          <w:tcPr>
            <w:tcW w:w="1141" w:type="pct"/>
            <w:shd w:val="clear" w:color="auto" w:fill="auto"/>
            <w:noWrap/>
            <w:vAlign w:val="center"/>
          </w:tcPr>
          <w:p w14:paraId="32FFF79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1.50E-03</w:t>
            </w:r>
          </w:p>
        </w:tc>
        <w:tc>
          <w:tcPr>
            <w:tcW w:w="791" w:type="pct"/>
            <w:shd w:val="clear" w:color="auto" w:fill="auto"/>
            <w:noWrap/>
            <w:vAlign w:val="center"/>
          </w:tcPr>
          <w:p w14:paraId="24FAC01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0.66</w:t>
            </w:r>
          </w:p>
        </w:tc>
      </w:tr>
      <w:tr w14:paraId="6A97A4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697832A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1141" w:type="pct"/>
            <w:shd w:val="clear" w:color="auto" w:fill="auto"/>
            <w:noWrap/>
            <w:vAlign w:val="center"/>
          </w:tcPr>
          <w:p w14:paraId="31F4CF1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2.73E-03</w:t>
            </w:r>
          </w:p>
        </w:tc>
        <w:tc>
          <w:tcPr>
            <w:tcW w:w="791" w:type="pct"/>
            <w:shd w:val="clear" w:color="auto" w:fill="auto"/>
            <w:noWrap/>
            <w:vAlign w:val="center"/>
          </w:tcPr>
          <w:p w14:paraId="40E6BBE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0.61</w:t>
            </w:r>
          </w:p>
        </w:tc>
        <w:tc>
          <w:tcPr>
            <w:tcW w:w="1141" w:type="pct"/>
            <w:shd w:val="clear" w:color="auto" w:fill="auto"/>
            <w:noWrap/>
            <w:vAlign w:val="center"/>
          </w:tcPr>
          <w:p w14:paraId="247F9EB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1.36E-03</w:t>
            </w:r>
          </w:p>
        </w:tc>
        <w:tc>
          <w:tcPr>
            <w:tcW w:w="791" w:type="pct"/>
            <w:shd w:val="clear" w:color="auto" w:fill="auto"/>
            <w:noWrap/>
            <w:vAlign w:val="center"/>
          </w:tcPr>
          <w:p w14:paraId="37388B5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0.61</w:t>
            </w:r>
          </w:p>
        </w:tc>
      </w:tr>
      <w:tr w14:paraId="4BE2C4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1620F60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375</w:t>
            </w:r>
          </w:p>
        </w:tc>
        <w:tc>
          <w:tcPr>
            <w:tcW w:w="1141" w:type="pct"/>
            <w:shd w:val="clear" w:color="auto" w:fill="auto"/>
            <w:noWrap/>
            <w:vAlign w:val="center"/>
          </w:tcPr>
          <w:p w14:paraId="693C9A9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2.49E-03</w:t>
            </w:r>
          </w:p>
        </w:tc>
        <w:tc>
          <w:tcPr>
            <w:tcW w:w="791" w:type="pct"/>
            <w:shd w:val="clear" w:color="auto" w:fill="auto"/>
            <w:noWrap/>
            <w:vAlign w:val="center"/>
          </w:tcPr>
          <w:p w14:paraId="3CA45FD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0.55</w:t>
            </w:r>
          </w:p>
        </w:tc>
        <w:tc>
          <w:tcPr>
            <w:tcW w:w="1141" w:type="pct"/>
            <w:shd w:val="clear" w:color="auto" w:fill="auto"/>
            <w:noWrap/>
            <w:vAlign w:val="center"/>
          </w:tcPr>
          <w:p w14:paraId="6F6B845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1.25E-03</w:t>
            </w:r>
          </w:p>
        </w:tc>
        <w:tc>
          <w:tcPr>
            <w:tcW w:w="791" w:type="pct"/>
            <w:shd w:val="clear" w:color="auto" w:fill="auto"/>
            <w:noWrap/>
            <w:vAlign w:val="center"/>
          </w:tcPr>
          <w:p w14:paraId="36FBDED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0.55</w:t>
            </w:r>
          </w:p>
        </w:tc>
      </w:tr>
      <w:tr w14:paraId="3119F8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14538D2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1141" w:type="pct"/>
            <w:shd w:val="clear" w:color="auto" w:fill="auto"/>
            <w:noWrap/>
            <w:vAlign w:val="center"/>
          </w:tcPr>
          <w:p w14:paraId="0604823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2.25E-03</w:t>
            </w:r>
          </w:p>
        </w:tc>
        <w:tc>
          <w:tcPr>
            <w:tcW w:w="791" w:type="pct"/>
            <w:shd w:val="clear" w:color="auto" w:fill="auto"/>
            <w:noWrap/>
            <w:vAlign w:val="center"/>
          </w:tcPr>
          <w:p w14:paraId="2FBDFEC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141" w:type="pct"/>
            <w:shd w:val="clear" w:color="auto" w:fill="auto"/>
            <w:noWrap/>
            <w:vAlign w:val="center"/>
          </w:tcPr>
          <w:p w14:paraId="5B15692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1.13E-03</w:t>
            </w:r>
          </w:p>
        </w:tc>
        <w:tc>
          <w:tcPr>
            <w:tcW w:w="791" w:type="pct"/>
            <w:shd w:val="clear" w:color="auto" w:fill="auto"/>
            <w:noWrap/>
            <w:vAlign w:val="center"/>
          </w:tcPr>
          <w:p w14:paraId="77A2CD7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r>
      <w:tr w14:paraId="00A80F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740AFC0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1141" w:type="pct"/>
            <w:shd w:val="clear" w:color="auto" w:fill="auto"/>
            <w:noWrap/>
            <w:vAlign w:val="center"/>
          </w:tcPr>
          <w:p w14:paraId="43A049D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2.11E-03</w:t>
            </w:r>
          </w:p>
        </w:tc>
        <w:tc>
          <w:tcPr>
            <w:tcW w:w="791" w:type="pct"/>
            <w:shd w:val="clear" w:color="auto" w:fill="auto"/>
            <w:noWrap/>
            <w:vAlign w:val="center"/>
          </w:tcPr>
          <w:p w14:paraId="37A83C8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0.47</w:t>
            </w:r>
          </w:p>
        </w:tc>
        <w:tc>
          <w:tcPr>
            <w:tcW w:w="1141" w:type="pct"/>
            <w:shd w:val="clear" w:color="auto" w:fill="auto"/>
            <w:noWrap/>
            <w:vAlign w:val="center"/>
          </w:tcPr>
          <w:p w14:paraId="7D1249D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1.06E-03</w:t>
            </w:r>
          </w:p>
        </w:tc>
        <w:tc>
          <w:tcPr>
            <w:tcW w:w="791" w:type="pct"/>
            <w:shd w:val="clear" w:color="auto" w:fill="auto"/>
            <w:noWrap/>
            <w:vAlign w:val="center"/>
          </w:tcPr>
          <w:p w14:paraId="0BA8ABE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0.47</w:t>
            </w:r>
          </w:p>
        </w:tc>
      </w:tr>
      <w:tr w14:paraId="240F6B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7F0696E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1141" w:type="pct"/>
            <w:shd w:val="clear" w:color="auto" w:fill="auto"/>
            <w:noWrap/>
            <w:vAlign w:val="center"/>
          </w:tcPr>
          <w:p w14:paraId="5D171F5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1.96E-03</w:t>
            </w:r>
          </w:p>
        </w:tc>
        <w:tc>
          <w:tcPr>
            <w:tcW w:w="791" w:type="pct"/>
            <w:shd w:val="clear" w:color="auto" w:fill="auto"/>
            <w:noWrap/>
            <w:vAlign w:val="center"/>
          </w:tcPr>
          <w:p w14:paraId="633AD78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0.44</w:t>
            </w:r>
          </w:p>
        </w:tc>
        <w:tc>
          <w:tcPr>
            <w:tcW w:w="1141" w:type="pct"/>
            <w:shd w:val="clear" w:color="auto" w:fill="auto"/>
            <w:noWrap/>
            <w:vAlign w:val="center"/>
          </w:tcPr>
          <w:p w14:paraId="1E6584D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9.82E-04</w:t>
            </w:r>
          </w:p>
        </w:tc>
        <w:tc>
          <w:tcPr>
            <w:tcW w:w="791" w:type="pct"/>
            <w:shd w:val="clear" w:color="auto" w:fill="auto"/>
            <w:noWrap/>
            <w:vAlign w:val="center"/>
          </w:tcPr>
          <w:p w14:paraId="0C760B8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0.44</w:t>
            </w:r>
          </w:p>
        </w:tc>
      </w:tr>
      <w:tr w14:paraId="514A0F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3A75045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475</w:t>
            </w:r>
          </w:p>
        </w:tc>
        <w:tc>
          <w:tcPr>
            <w:tcW w:w="1141" w:type="pct"/>
            <w:shd w:val="clear" w:color="auto" w:fill="auto"/>
            <w:noWrap/>
            <w:vAlign w:val="center"/>
          </w:tcPr>
          <w:p w14:paraId="1688D87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1.83E-03</w:t>
            </w:r>
          </w:p>
        </w:tc>
        <w:tc>
          <w:tcPr>
            <w:tcW w:w="791" w:type="pct"/>
            <w:shd w:val="clear" w:color="auto" w:fill="auto"/>
            <w:noWrap/>
            <w:vAlign w:val="center"/>
          </w:tcPr>
          <w:p w14:paraId="65BE1C0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0.41</w:t>
            </w:r>
          </w:p>
        </w:tc>
        <w:tc>
          <w:tcPr>
            <w:tcW w:w="1141" w:type="pct"/>
            <w:shd w:val="clear" w:color="auto" w:fill="auto"/>
            <w:noWrap/>
            <w:vAlign w:val="center"/>
          </w:tcPr>
          <w:p w14:paraId="2B99B36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9.13E-04</w:t>
            </w:r>
          </w:p>
        </w:tc>
        <w:tc>
          <w:tcPr>
            <w:tcW w:w="791" w:type="pct"/>
            <w:shd w:val="clear" w:color="auto" w:fill="auto"/>
            <w:noWrap/>
            <w:vAlign w:val="center"/>
          </w:tcPr>
          <w:p w14:paraId="356A0FC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0.41</w:t>
            </w:r>
          </w:p>
        </w:tc>
      </w:tr>
      <w:tr w14:paraId="08B2CF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5ADEF3B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1141" w:type="pct"/>
            <w:shd w:val="clear" w:color="auto" w:fill="auto"/>
            <w:noWrap/>
            <w:vAlign w:val="center"/>
          </w:tcPr>
          <w:p w14:paraId="7310D96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1.71E-03</w:t>
            </w:r>
          </w:p>
        </w:tc>
        <w:tc>
          <w:tcPr>
            <w:tcW w:w="791" w:type="pct"/>
            <w:shd w:val="clear" w:color="auto" w:fill="auto"/>
            <w:noWrap/>
            <w:vAlign w:val="center"/>
          </w:tcPr>
          <w:p w14:paraId="695176B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0.38</w:t>
            </w:r>
          </w:p>
        </w:tc>
        <w:tc>
          <w:tcPr>
            <w:tcW w:w="1141" w:type="pct"/>
            <w:shd w:val="clear" w:color="auto" w:fill="auto"/>
            <w:noWrap/>
            <w:vAlign w:val="center"/>
          </w:tcPr>
          <w:p w14:paraId="2D3AA1C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8.53E-04</w:t>
            </w:r>
          </w:p>
        </w:tc>
        <w:tc>
          <w:tcPr>
            <w:tcW w:w="791" w:type="pct"/>
            <w:shd w:val="clear" w:color="auto" w:fill="auto"/>
            <w:noWrap/>
            <w:vAlign w:val="center"/>
          </w:tcPr>
          <w:p w14:paraId="44F3B57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0.38</w:t>
            </w:r>
          </w:p>
        </w:tc>
      </w:tr>
      <w:tr w14:paraId="3BC16A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0D6E3B7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525</w:t>
            </w:r>
          </w:p>
        </w:tc>
        <w:tc>
          <w:tcPr>
            <w:tcW w:w="1141" w:type="pct"/>
            <w:shd w:val="clear" w:color="auto" w:fill="auto"/>
            <w:noWrap/>
            <w:vAlign w:val="center"/>
          </w:tcPr>
          <w:p w14:paraId="758610D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1.60E-03</w:t>
            </w:r>
          </w:p>
        </w:tc>
        <w:tc>
          <w:tcPr>
            <w:tcW w:w="791" w:type="pct"/>
            <w:shd w:val="clear" w:color="auto" w:fill="auto"/>
            <w:noWrap/>
            <w:vAlign w:val="center"/>
          </w:tcPr>
          <w:p w14:paraId="440C91C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0.36</w:t>
            </w:r>
          </w:p>
        </w:tc>
        <w:tc>
          <w:tcPr>
            <w:tcW w:w="1141" w:type="pct"/>
            <w:shd w:val="clear" w:color="auto" w:fill="auto"/>
            <w:noWrap/>
            <w:vAlign w:val="center"/>
          </w:tcPr>
          <w:p w14:paraId="32E084D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8.00E-04</w:t>
            </w:r>
          </w:p>
        </w:tc>
        <w:tc>
          <w:tcPr>
            <w:tcW w:w="791" w:type="pct"/>
            <w:shd w:val="clear" w:color="auto" w:fill="auto"/>
            <w:noWrap/>
            <w:vAlign w:val="center"/>
          </w:tcPr>
          <w:p w14:paraId="2003545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0.36</w:t>
            </w:r>
          </w:p>
        </w:tc>
      </w:tr>
      <w:tr w14:paraId="6FC048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57F9314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1141" w:type="pct"/>
            <w:shd w:val="clear" w:color="auto" w:fill="auto"/>
            <w:noWrap/>
            <w:vAlign w:val="center"/>
          </w:tcPr>
          <w:p w14:paraId="07A4DDE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1.50E-03</w:t>
            </w:r>
          </w:p>
        </w:tc>
        <w:tc>
          <w:tcPr>
            <w:tcW w:w="791" w:type="pct"/>
            <w:shd w:val="clear" w:color="auto" w:fill="auto"/>
            <w:noWrap/>
            <w:vAlign w:val="center"/>
          </w:tcPr>
          <w:p w14:paraId="252D065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0.33</w:t>
            </w:r>
          </w:p>
        </w:tc>
        <w:tc>
          <w:tcPr>
            <w:tcW w:w="1141" w:type="pct"/>
            <w:shd w:val="clear" w:color="auto" w:fill="auto"/>
            <w:noWrap/>
            <w:vAlign w:val="center"/>
          </w:tcPr>
          <w:p w14:paraId="68B9716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7.49E-04</w:t>
            </w:r>
          </w:p>
        </w:tc>
        <w:tc>
          <w:tcPr>
            <w:tcW w:w="791" w:type="pct"/>
            <w:shd w:val="clear" w:color="auto" w:fill="auto"/>
            <w:noWrap/>
            <w:vAlign w:val="center"/>
          </w:tcPr>
          <w:p w14:paraId="7EBD282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0.33</w:t>
            </w:r>
          </w:p>
        </w:tc>
      </w:tr>
      <w:tr w14:paraId="2595AF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098C6E4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w:t>
            </w:r>
          </w:p>
        </w:tc>
        <w:tc>
          <w:tcPr>
            <w:tcW w:w="1141" w:type="pct"/>
            <w:shd w:val="clear" w:color="auto" w:fill="auto"/>
            <w:noWrap/>
            <w:vAlign w:val="center"/>
          </w:tcPr>
          <w:p w14:paraId="1C2A636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1.42E-03</w:t>
            </w:r>
          </w:p>
        </w:tc>
        <w:tc>
          <w:tcPr>
            <w:tcW w:w="791" w:type="pct"/>
            <w:shd w:val="clear" w:color="auto" w:fill="auto"/>
            <w:noWrap/>
            <w:vAlign w:val="center"/>
          </w:tcPr>
          <w:p w14:paraId="5AF5143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0.31</w:t>
            </w:r>
          </w:p>
        </w:tc>
        <w:tc>
          <w:tcPr>
            <w:tcW w:w="1141" w:type="pct"/>
            <w:shd w:val="clear" w:color="auto" w:fill="auto"/>
            <w:noWrap/>
            <w:vAlign w:val="center"/>
          </w:tcPr>
          <w:p w14:paraId="3639FD4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7.08E-04</w:t>
            </w:r>
          </w:p>
        </w:tc>
        <w:tc>
          <w:tcPr>
            <w:tcW w:w="791" w:type="pct"/>
            <w:shd w:val="clear" w:color="auto" w:fill="auto"/>
            <w:noWrap/>
            <w:vAlign w:val="center"/>
          </w:tcPr>
          <w:p w14:paraId="2B59056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0.31</w:t>
            </w:r>
          </w:p>
        </w:tc>
      </w:tr>
      <w:tr w14:paraId="28C1C7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4BF6175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1141" w:type="pct"/>
            <w:shd w:val="clear" w:color="auto" w:fill="auto"/>
            <w:noWrap/>
            <w:vAlign w:val="center"/>
          </w:tcPr>
          <w:p w14:paraId="3315E39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1.34E-03</w:t>
            </w:r>
          </w:p>
        </w:tc>
        <w:tc>
          <w:tcPr>
            <w:tcW w:w="791" w:type="pct"/>
            <w:shd w:val="clear" w:color="auto" w:fill="auto"/>
            <w:noWrap/>
            <w:vAlign w:val="center"/>
          </w:tcPr>
          <w:p w14:paraId="45A0926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w:t>
            </w:r>
          </w:p>
        </w:tc>
        <w:tc>
          <w:tcPr>
            <w:tcW w:w="1141" w:type="pct"/>
            <w:shd w:val="clear" w:color="auto" w:fill="auto"/>
            <w:noWrap/>
            <w:vAlign w:val="center"/>
          </w:tcPr>
          <w:p w14:paraId="6878D5B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6.70E-04</w:t>
            </w:r>
          </w:p>
        </w:tc>
        <w:tc>
          <w:tcPr>
            <w:tcW w:w="791" w:type="pct"/>
            <w:shd w:val="clear" w:color="auto" w:fill="auto"/>
            <w:noWrap/>
            <w:vAlign w:val="center"/>
          </w:tcPr>
          <w:p w14:paraId="494434A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w:t>
            </w:r>
          </w:p>
        </w:tc>
      </w:tr>
      <w:tr w14:paraId="715A1C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0705961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625</w:t>
            </w:r>
          </w:p>
        </w:tc>
        <w:tc>
          <w:tcPr>
            <w:tcW w:w="1141" w:type="pct"/>
            <w:shd w:val="clear" w:color="auto" w:fill="auto"/>
            <w:noWrap/>
            <w:vAlign w:val="center"/>
          </w:tcPr>
          <w:p w14:paraId="5000828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1.24E-03</w:t>
            </w:r>
          </w:p>
        </w:tc>
        <w:tc>
          <w:tcPr>
            <w:tcW w:w="791" w:type="pct"/>
            <w:shd w:val="clear" w:color="auto" w:fill="auto"/>
            <w:noWrap/>
            <w:vAlign w:val="center"/>
          </w:tcPr>
          <w:p w14:paraId="53C5DB7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0.28</w:t>
            </w:r>
          </w:p>
        </w:tc>
        <w:tc>
          <w:tcPr>
            <w:tcW w:w="1141" w:type="pct"/>
            <w:shd w:val="clear" w:color="auto" w:fill="auto"/>
            <w:noWrap/>
            <w:vAlign w:val="center"/>
          </w:tcPr>
          <w:p w14:paraId="6C8847F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6.20E-04</w:t>
            </w:r>
          </w:p>
        </w:tc>
        <w:tc>
          <w:tcPr>
            <w:tcW w:w="791" w:type="pct"/>
            <w:shd w:val="clear" w:color="auto" w:fill="auto"/>
            <w:noWrap/>
            <w:vAlign w:val="center"/>
          </w:tcPr>
          <w:p w14:paraId="4D5ACDB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0.28</w:t>
            </w:r>
          </w:p>
        </w:tc>
      </w:tr>
      <w:tr w14:paraId="33607C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432071F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650</w:t>
            </w:r>
          </w:p>
        </w:tc>
        <w:tc>
          <w:tcPr>
            <w:tcW w:w="1141" w:type="pct"/>
            <w:shd w:val="clear" w:color="auto" w:fill="auto"/>
            <w:noWrap/>
            <w:vAlign w:val="center"/>
          </w:tcPr>
          <w:p w14:paraId="6514A95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1.12E-03</w:t>
            </w:r>
          </w:p>
        </w:tc>
        <w:tc>
          <w:tcPr>
            <w:tcW w:w="791" w:type="pct"/>
            <w:shd w:val="clear" w:color="auto" w:fill="auto"/>
            <w:noWrap/>
            <w:vAlign w:val="center"/>
          </w:tcPr>
          <w:p w14:paraId="08EDF5D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0.25</w:t>
            </w:r>
          </w:p>
        </w:tc>
        <w:tc>
          <w:tcPr>
            <w:tcW w:w="1141" w:type="pct"/>
            <w:shd w:val="clear" w:color="auto" w:fill="auto"/>
            <w:noWrap/>
            <w:vAlign w:val="center"/>
          </w:tcPr>
          <w:p w14:paraId="2E5B0F8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5.60E-04</w:t>
            </w:r>
          </w:p>
        </w:tc>
        <w:tc>
          <w:tcPr>
            <w:tcW w:w="791" w:type="pct"/>
            <w:shd w:val="clear" w:color="auto" w:fill="auto"/>
            <w:noWrap/>
            <w:vAlign w:val="center"/>
          </w:tcPr>
          <w:p w14:paraId="476C92A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0.25</w:t>
            </w:r>
          </w:p>
        </w:tc>
      </w:tr>
      <w:tr w14:paraId="21DF74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1D4121A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675</w:t>
            </w:r>
          </w:p>
        </w:tc>
        <w:tc>
          <w:tcPr>
            <w:tcW w:w="1141" w:type="pct"/>
            <w:shd w:val="clear" w:color="auto" w:fill="auto"/>
            <w:noWrap/>
            <w:vAlign w:val="center"/>
          </w:tcPr>
          <w:p w14:paraId="165B582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1.14E-03</w:t>
            </w:r>
          </w:p>
        </w:tc>
        <w:tc>
          <w:tcPr>
            <w:tcW w:w="791" w:type="pct"/>
            <w:shd w:val="clear" w:color="auto" w:fill="auto"/>
            <w:noWrap/>
            <w:vAlign w:val="center"/>
          </w:tcPr>
          <w:p w14:paraId="2268930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0.25</w:t>
            </w:r>
          </w:p>
        </w:tc>
        <w:tc>
          <w:tcPr>
            <w:tcW w:w="1141" w:type="pct"/>
            <w:shd w:val="clear" w:color="auto" w:fill="auto"/>
            <w:noWrap/>
            <w:vAlign w:val="center"/>
          </w:tcPr>
          <w:p w14:paraId="1DD6568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5.68E-04</w:t>
            </w:r>
          </w:p>
        </w:tc>
        <w:tc>
          <w:tcPr>
            <w:tcW w:w="791" w:type="pct"/>
            <w:shd w:val="clear" w:color="auto" w:fill="auto"/>
            <w:noWrap/>
            <w:vAlign w:val="center"/>
          </w:tcPr>
          <w:p w14:paraId="0B659F0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0.25</w:t>
            </w:r>
          </w:p>
        </w:tc>
      </w:tr>
      <w:tr w14:paraId="62888D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206143C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700</w:t>
            </w:r>
          </w:p>
        </w:tc>
        <w:tc>
          <w:tcPr>
            <w:tcW w:w="1141" w:type="pct"/>
            <w:shd w:val="clear" w:color="auto" w:fill="auto"/>
            <w:noWrap/>
            <w:vAlign w:val="center"/>
          </w:tcPr>
          <w:p w14:paraId="1CD9B34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1.09E-03</w:t>
            </w:r>
          </w:p>
        </w:tc>
        <w:tc>
          <w:tcPr>
            <w:tcW w:w="791" w:type="pct"/>
            <w:shd w:val="clear" w:color="auto" w:fill="auto"/>
            <w:noWrap/>
            <w:vAlign w:val="center"/>
          </w:tcPr>
          <w:p w14:paraId="1144BD5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0.24</w:t>
            </w:r>
          </w:p>
        </w:tc>
        <w:tc>
          <w:tcPr>
            <w:tcW w:w="1141" w:type="pct"/>
            <w:shd w:val="clear" w:color="auto" w:fill="auto"/>
            <w:noWrap/>
            <w:vAlign w:val="center"/>
          </w:tcPr>
          <w:p w14:paraId="2CFC894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5.45E-04</w:t>
            </w:r>
          </w:p>
        </w:tc>
        <w:tc>
          <w:tcPr>
            <w:tcW w:w="791" w:type="pct"/>
            <w:shd w:val="clear" w:color="auto" w:fill="auto"/>
            <w:noWrap/>
            <w:vAlign w:val="center"/>
          </w:tcPr>
          <w:p w14:paraId="45AF19D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0.24</w:t>
            </w:r>
          </w:p>
        </w:tc>
      </w:tr>
      <w:tr w14:paraId="54863C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4D6B643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725</w:t>
            </w:r>
          </w:p>
        </w:tc>
        <w:tc>
          <w:tcPr>
            <w:tcW w:w="1141" w:type="pct"/>
            <w:shd w:val="clear" w:color="auto" w:fill="auto"/>
            <w:noWrap/>
            <w:vAlign w:val="center"/>
          </w:tcPr>
          <w:p w14:paraId="2CF83FE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1.04E-03</w:t>
            </w:r>
          </w:p>
        </w:tc>
        <w:tc>
          <w:tcPr>
            <w:tcW w:w="791" w:type="pct"/>
            <w:shd w:val="clear" w:color="auto" w:fill="auto"/>
            <w:noWrap/>
            <w:vAlign w:val="center"/>
          </w:tcPr>
          <w:p w14:paraId="05CD624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0.23</w:t>
            </w:r>
          </w:p>
        </w:tc>
        <w:tc>
          <w:tcPr>
            <w:tcW w:w="1141" w:type="pct"/>
            <w:shd w:val="clear" w:color="auto" w:fill="auto"/>
            <w:noWrap/>
            <w:vAlign w:val="center"/>
          </w:tcPr>
          <w:p w14:paraId="50CD9A2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5.20E-04</w:t>
            </w:r>
          </w:p>
        </w:tc>
        <w:tc>
          <w:tcPr>
            <w:tcW w:w="791" w:type="pct"/>
            <w:shd w:val="clear" w:color="auto" w:fill="auto"/>
            <w:noWrap/>
            <w:vAlign w:val="center"/>
          </w:tcPr>
          <w:p w14:paraId="545477F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0.23</w:t>
            </w:r>
          </w:p>
        </w:tc>
      </w:tr>
      <w:tr w14:paraId="2554CC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05962D7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750</w:t>
            </w:r>
          </w:p>
        </w:tc>
        <w:tc>
          <w:tcPr>
            <w:tcW w:w="1141" w:type="pct"/>
            <w:shd w:val="clear" w:color="auto" w:fill="auto"/>
            <w:noWrap/>
            <w:vAlign w:val="center"/>
          </w:tcPr>
          <w:p w14:paraId="2CAF8A7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9.83E-04</w:t>
            </w:r>
          </w:p>
        </w:tc>
        <w:tc>
          <w:tcPr>
            <w:tcW w:w="791" w:type="pct"/>
            <w:shd w:val="clear" w:color="auto" w:fill="auto"/>
            <w:noWrap/>
            <w:vAlign w:val="center"/>
          </w:tcPr>
          <w:p w14:paraId="0423A77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0.22</w:t>
            </w:r>
          </w:p>
        </w:tc>
        <w:tc>
          <w:tcPr>
            <w:tcW w:w="1141" w:type="pct"/>
            <w:shd w:val="clear" w:color="auto" w:fill="auto"/>
            <w:noWrap/>
            <w:vAlign w:val="center"/>
          </w:tcPr>
          <w:p w14:paraId="7D05D75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4.91E-04</w:t>
            </w:r>
          </w:p>
        </w:tc>
        <w:tc>
          <w:tcPr>
            <w:tcW w:w="791" w:type="pct"/>
            <w:shd w:val="clear" w:color="auto" w:fill="auto"/>
            <w:noWrap/>
            <w:vAlign w:val="center"/>
          </w:tcPr>
          <w:p w14:paraId="58EFDDF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0.22</w:t>
            </w:r>
          </w:p>
        </w:tc>
      </w:tr>
      <w:tr w14:paraId="40DD65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45D84BC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775</w:t>
            </w:r>
          </w:p>
        </w:tc>
        <w:tc>
          <w:tcPr>
            <w:tcW w:w="1141" w:type="pct"/>
            <w:shd w:val="clear" w:color="auto" w:fill="auto"/>
            <w:noWrap/>
            <w:vAlign w:val="center"/>
          </w:tcPr>
          <w:p w14:paraId="1EBD430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9.32E-04</w:t>
            </w:r>
          </w:p>
        </w:tc>
        <w:tc>
          <w:tcPr>
            <w:tcW w:w="791" w:type="pct"/>
            <w:shd w:val="clear" w:color="auto" w:fill="auto"/>
            <w:noWrap/>
            <w:vAlign w:val="center"/>
          </w:tcPr>
          <w:p w14:paraId="2082D00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0.21</w:t>
            </w:r>
          </w:p>
        </w:tc>
        <w:tc>
          <w:tcPr>
            <w:tcW w:w="1141" w:type="pct"/>
            <w:shd w:val="clear" w:color="auto" w:fill="auto"/>
            <w:noWrap/>
            <w:vAlign w:val="center"/>
          </w:tcPr>
          <w:p w14:paraId="60180C8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4.66E-04</w:t>
            </w:r>
          </w:p>
        </w:tc>
        <w:tc>
          <w:tcPr>
            <w:tcW w:w="791" w:type="pct"/>
            <w:shd w:val="clear" w:color="auto" w:fill="auto"/>
            <w:noWrap/>
            <w:vAlign w:val="center"/>
          </w:tcPr>
          <w:p w14:paraId="1F18354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0.21</w:t>
            </w:r>
          </w:p>
        </w:tc>
      </w:tr>
      <w:tr w14:paraId="417099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0FBBF20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800</w:t>
            </w:r>
          </w:p>
        </w:tc>
        <w:tc>
          <w:tcPr>
            <w:tcW w:w="1141" w:type="pct"/>
            <w:shd w:val="clear" w:color="auto" w:fill="auto"/>
            <w:noWrap/>
            <w:vAlign w:val="center"/>
          </w:tcPr>
          <w:p w14:paraId="70B3D67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9.10E-04</w:t>
            </w:r>
          </w:p>
        </w:tc>
        <w:tc>
          <w:tcPr>
            <w:tcW w:w="791" w:type="pct"/>
            <w:shd w:val="clear" w:color="auto" w:fill="auto"/>
            <w:noWrap/>
            <w:vAlign w:val="center"/>
          </w:tcPr>
          <w:p w14:paraId="325B522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1141" w:type="pct"/>
            <w:shd w:val="clear" w:color="auto" w:fill="auto"/>
            <w:noWrap/>
            <w:vAlign w:val="center"/>
          </w:tcPr>
          <w:p w14:paraId="179468B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4.55E-04</w:t>
            </w:r>
          </w:p>
        </w:tc>
        <w:tc>
          <w:tcPr>
            <w:tcW w:w="791" w:type="pct"/>
            <w:shd w:val="clear" w:color="auto" w:fill="auto"/>
            <w:noWrap/>
            <w:vAlign w:val="center"/>
          </w:tcPr>
          <w:p w14:paraId="7B2E926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w:t>
            </w:r>
          </w:p>
        </w:tc>
      </w:tr>
      <w:tr w14:paraId="0390D9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3276795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825</w:t>
            </w:r>
          </w:p>
        </w:tc>
        <w:tc>
          <w:tcPr>
            <w:tcW w:w="1141" w:type="pct"/>
            <w:shd w:val="clear" w:color="auto" w:fill="auto"/>
            <w:noWrap/>
            <w:vAlign w:val="center"/>
          </w:tcPr>
          <w:p w14:paraId="5739CDD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8.69E-04</w:t>
            </w:r>
          </w:p>
        </w:tc>
        <w:tc>
          <w:tcPr>
            <w:tcW w:w="791" w:type="pct"/>
            <w:shd w:val="clear" w:color="auto" w:fill="auto"/>
            <w:noWrap/>
            <w:vAlign w:val="center"/>
          </w:tcPr>
          <w:p w14:paraId="1891B78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0.19</w:t>
            </w:r>
          </w:p>
        </w:tc>
        <w:tc>
          <w:tcPr>
            <w:tcW w:w="1141" w:type="pct"/>
            <w:shd w:val="clear" w:color="auto" w:fill="auto"/>
            <w:noWrap/>
            <w:vAlign w:val="center"/>
          </w:tcPr>
          <w:p w14:paraId="00A0531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4.34E-04</w:t>
            </w:r>
          </w:p>
        </w:tc>
        <w:tc>
          <w:tcPr>
            <w:tcW w:w="791" w:type="pct"/>
            <w:shd w:val="clear" w:color="auto" w:fill="auto"/>
            <w:noWrap/>
            <w:vAlign w:val="center"/>
          </w:tcPr>
          <w:p w14:paraId="7B5C4AC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0.19</w:t>
            </w:r>
          </w:p>
        </w:tc>
      </w:tr>
      <w:tr w14:paraId="61F093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01C3C68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850</w:t>
            </w:r>
          </w:p>
        </w:tc>
        <w:tc>
          <w:tcPr>
            <w:tcW w:w="1141" w:type="pct"/>
            <w:shd w:val="clear" w:color="auto" w:fill="auto"/>
            <w:noWrap/>
            <w:vAlign w:val="center"/>
          </w:tcPr>
          <w:p w14:paraId="5429774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8.38E-04</w:t>
            </w:r>
          </w:p>
        </w:tc>
        <w:tc>
          <w:tcPr>
            <w:tcW w:w="791" w:type="pct"/>
            <w:shd w:val="clear" w:color="auto" w:fill="auto"/>
            <w:noWrap/>
            <w:vAlign w:val="center"/>
          </w:tcPr>
          <w:p w14:paraId="2CD4285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0.19</w:t>
            </w:r>
          </w:p>
        </w:tc>
        <w:tc>
          <w:tcPr>
            <w:tcW w:w="1141" w:type="pct"/>
            <w:shd w:val="clear" w:color="auto" w:fill="auto"/>
            <w:noWrap/>
            <w:vAlign w:val="center"/>
          </w:tcPr>
          <w:p w14:paraId="4DA0374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4.19E-04</w:t>
            </w:r>
          </w:p>
        </w:tc>
        <w:tc>
          <w:tcPr>
            <w:tcW w:w="791" w:type="pct"/>
            <w:shd w:val="clear" w:color="auto" w:fill="auto"/>
            <w:noWrap/>
            <w:vAlign w:val="center"/>
          </w:tcPr>
          <w:p w14:paraId="0EB0269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0.19</w:t>
            </w:r>
          </w:p>
        </w:tc>
      </w:tr>
      <w:tr w14:paraId="11162B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0A4F8DF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875</w:t>
            </w:r>
          </w:p>
        </w:tc>
        <w:tc>
          <w:tcPr>
            <w:tcW w:w="1141" w:type="pct"/>
            <w:shd w:val="clear" w:color="auto" w:fill="auto"/>
            <w:noWrap/>
            <w:vAlign w:val="center"/>
          </w:tcPr>
          <w:p w14:paraId="0BC2028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8.01E-04</w:t>
            </w:r>
          </w:p>
        </w:tc>
        <w:tc>
          <w:tcPr>
            <w:tcW w:w="791" w:type="pct"/>
            <w:shd w:val="clear" w:color="auto" w:fill="auto"/>
            <w:noWrap/>
            <w:vAlign w:val="center"/>
          </w:tcPr>
          <w:p w14:paraId="3680DCF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w:t>
            </w:r>
          </w:p>
        </w:tc>
        <w:tc>
          <w:tcPr>
            <w:tcW w:w="1141" w:type="pct"/>
            <w:shd w:val="clear" w:color="auto" w:fill="auto"/>
            <w:noWrap/>
            <w:vAlign w:val="center"/>
          </w:tcPr>
          <w:p w14:paraId="27DFFF4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4.00E-04</w:t>
            </w:r>
          </w:p>
        </w:tc>
        <w:tc>
          <w:tcPr>
            <w:tcW w:w="791" w:type="pct"/>
            <w:shd w:val="clear" w:color="auto" w:fill="auto"/>
            <w:noWrap/>
            <w:vAlign w:val="center"/>
          </w:tcPr>
          <w:p w14:paraId="52C5DA2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w:t>
            </w:r>
          </w:p>
        </w:tc>
      </w:tr>
      <w:tr w14:paraId="3B0708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521C098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w:t>
            </w:r>
          </w:p>
        </w:tc>
        <w:tc>
          <w:tcPr>
            <w:tcW w:w="1141" w:type="pct"/>
            <w:shd w:val="clear" w:color="auto" w:fill="auto"/>
            <w:noWrap/>
            <w:vAlign w:val="center"/>
          </w:tcPr>
          <w:p w14:paraId="717945F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7.69E-04</w:t>
            </w:r>
          </w:p>
        </w:tc>
        <w:tc>
          <w:tcPr>
            <w:tcW w:w="791" w:type="pct"/>
            <w:shd w:val="clear" w:color="auto" w:fill="auto"/>
            <w:noWrap/>
            <w:vAlign w:val="center"/>
          </w:tcPr>
          <w:p w14:paraId="4C162DC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0.17</w:t>
            </w:r>
          </w:p>
        </w:tc>
        <w:tc>
          <w:tcPr>
            <w:tcW w:w="1141" w:type="pct"/>
            <w:shd w:val="clear" w:color="auto" w:fill="auto"/>
            <w:noWrap/>
            <w:vAlign w:val="center"/>
          </w:tcPr>
          <w:p w14:paraId="2E14E4B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3.84E-04</w:t>
            </w:r>
          </w:p>
        </w:tc>
        <w:tc>
          <w:tcPr>
            <w:tcW w:w="791" w:type="pct"/>
            <w:shd w:val="clear" w:color="auto" w:fill="auto"/>
            <w:noWrap/>
            <w:vAlign w:val="center"/>
          </w:tcPr>
          <w:p w14:paraId="15296A1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0.17</w:t>
            </w:r>
          </w:p>
        </w:tc>
      </w:tr>
      <w:tr w14:paraId="3DEC8E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513855A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925</w:t>
            </w:r>
          </w:p>
        </w:tc>
        <w:tc>
          <w:tcPr>
            <w:tcW w:w="1141" w:type="pct"/>
            <w:shd w:val="clear" w:color="auto" w:fill="auto"/>
            <w:noWrap/>
            <w:vAlign w:val="center"/>
          </w:tcPr>
          <w:p w14:paraId="6E10043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7.49E-04</w:t>
            </w:r>
          </w:p>
        </w:tc>
        <w:tc>
          <w:tcPr>
            <w:tcW w:w="791" w:type="pct"/>
            <w:shd w:val="clear" w:color="auto" w:fill="auto"/>
            <w:noWrap/>
            <w:vAlign w:val="center"/>
          </w:tcPr>
          <w:p w14:paraId="029349C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0.17</w:t>
            </w:r>
          </w:p>
        </w:tc>
        <w:tc>
          <w:tcPr>
            <w:tcW w:w="1141" w:type="pct"/>
            <w:shd w:val="clear" w:color="auto" w:fill="auto"/>
            <w:noWrap/>
            <w:vAlign w:val="center"/>
          </w:tcPr>
          <w:p w14:paraId="46AE437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3.75E-04</w:t>
            </w:r>
          </w:p>
        </w:tc>
        <w:tc>
          <w:tcPr>
            <w:tcW w:w="791" w:type="pct"/>
            <w:shd w:val="clear" w:color="auto" w:fill="auto"/>
            <w:noWrap/>
            <w:vAlign w:val="center"/>
          </w:tcPr>
          <w:p w14:paraId="53D11D5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0.17</w:t>
            </w:r>
          </w:p>
        </w:tc>
      </w:tr>
      <w:tr w14:paraId="30A9AD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289A8E4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950</w:t>
            </w:r>
          </w:p>
        </w:tc>
        <w:tc>
          <w:tcPr>
            <w:tcW w:w="1141" w:type="pct"/>
            <w:shd w:val="clear" w:color="auto" w:fill="auto"/>
            <w:noWrap/>
            <w:vAlign w:val="center"/>
          </w:tcPr>
          <w:p w14:paraId="37E84A6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7.17E-04</w:t>
            </w:r>
          </w:p>
        </w:tc>
        <w:tc>
          <w:tcPr>
            <w:tcW w:w="791" w:type="pct"/>
            <w:shd w:val="clear" w:color="auto" w:fill="auto"/>
            <w:noWrap/>
            <w:vAlign w:val="center"/>
          </w:tcPr>
          <w:p w14:paraId="673F2B8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0.16</w:t>
            </w:r>
          </w:p>
        </w:tc>
        <w:tc>
          <w:tcPr>
            <w:tcW w:w="1141" w:type="pct"/>
            <w:shd w:val="clear" w:color="auto" w:fill="auto"/>
            <w:noWrap/>
            <w:vAlign w:val="center"/>
          </w:tcPr>
          <w:p w14:paraId="2FFF239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3.58E-04</w:t>
            </w:r>
          </w:p>
        </w:tc>
        <w:tc>
          <w:tcPr>
            <w:tcW w:w="791" w:type="pct"/>
            <w:shd w:val="clear" w:color="auto" w:fill="auto"/>
            <w:noWrap/>
            <w:vAlign w:val="center"/>
          </w:tcPr>
          <w:p w14:paraId="07538D2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0.16</w:t>
            </w:r>
          </w:p>
        </w:tc>
      </w:tr>
      <w:tr w14:paraId="600C4C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6D6D073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975</w:t>
            </w:r>
          </w:p>
        </w:tc>
        <w:tc>
          <w:tcPr>
            <w:tcW w:w="1141" w:type="pct"/>
            <w:shd w:val="clear" w:color="auto" w:fill="auto"/>
            <w:noWrap/>
            <w:vAlign w:val="center"/>
          </w:tcPr>
          <w:p w14:paraId="7E3E1CC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6.86E-04</w:t>
            </w:r>
          </w:p>
        </w:tc>
        <w:tc>
          <w:tcPr>
            <w:tcW w:w="791" w:type="pct"/>
            <w:shd w:val="clear" w:color="auto" w:fill="auto"/>
            <w:noWrap/>
            <w:vAlign w:val="center"/>
          </w:tcPr>
          <w:p w14:paraId="46CB998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0.15</w:t>
            </w:r>
          </w:p>
        </w:tc>
        <w:tc>
          <w:tcPr>
            <w:tcW w:w="1141" w:type="pct"/>
            <w:shd w:val="clear" w:color="auto" w:fill="auto"/>
            <w:noWrap/>
            <w:vAlign w:val="center"/>
          </w:tcPr>
          <w:p w14:paraId="4629326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3.43E-04</w:t>
            </w:r>
          </w:p>
        </w:tc>
        <w:tc>
          <w:tcPr>
            <w:tcW w:w="791" w:type="pct"/>
            <w:shd w:val="clear" w:color="auto" w:fill="auto"/>
            <w:noWrap/>
            <w:vAlign w:val="center"/>
          </w:tcPr>
          <w:p w14:paraId="5279A28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0.15</w:t>
            </w:r>
          </w:p>
        </w:tc>
      </w:tr>
      <w:tr w14:paraId="16FB02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553CFB5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w:t>
            </w:r>
          </w:p>
        </w:tc>
        <w:tc>
          <w:tcPr>
            <w:tcW w:w="1141" w:type="pct"/>
            <w:shd w:val="clear" w:color="auto" w:fill="auto"/>
            <w:noWrap/>
            <w:vAlign w:val="center"/>
          </w:tcPr>
          <w:p w14:paraId="219E12B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6.70E-04</w:t>
            </w:r>
          </w:p>
        </w:tc>
        <w:tc>
          <w:tcPr>
            <w:tcW w:w="791" w:type="pct"/>
            <w:shd w:val="clear" w:color="auto" w:fill="auto"/>
            <w:noWrap/>
            <w:vAlign w:val="center"/>
          </w:tcPr>
          <w:p w14:paraId="640841F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0.15</w:t>
            </w:r>
          </w:p>
        </w:tc>
        <w:tc>
          <w:tcPr>
            <w:tcW w:w="1141" w:type="pct"/>
            <w:shd w:val="clear" w:color="auto" w:fill="auto"/>
            <w:noWrap/>
            <w:vAlign w:val="center"/>
          </w:tcPr>
          <w:p w14:paraId="761E6B3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3.35E-04</w:t>
            </w:r>
          </w:p>
        </w:tc>
        <w:tc>
          <w:tcPr>
            <w:tcW w:w="791" w:type="pct"/>
            <w:shd w:val="clear" w:color="auto" w:fill="auto"/>
            <w:noWrap/>
            <w:vAlign w:val="center"/>
          </w:tcPr>
          <w:p w14:paraId="7F2360F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0.15</w:t>
            </w:r>
          </w:p>
        </w:tc>
      </w:tr>
      <w:tr w14:paraId="5954EC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316E8C0A">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1500</w:t>
            </w:r>
          </w:p>
        </w:tc>
        <w:tc>
          <w:tcPr>
            <w:tcW w:w="1141" w:type="pct"/>
            <w:shd w:val="clear" w:color="auto" w:fill="auto"/>
            <w:noWrap/>
            <w:vAlign w:val="center"/>
          </w:tcPr>
          <w:p w14:paraId="5A525C53">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3.92E-04</w:t>
            </w:r>
          </w:p>
        </w:tc>
        <w:tc>
          <w:tcPr>
            <w:tcW w:w="791" w:type="pct"/>
            <w:shd w:val="clear" w:color="auto" w:fill="auto"/>
            <w:noWrap/>
            <w:vAlign w:val="center"/>
          </w:tcPr>
          <w:p w14:paraId="61B2C165">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0.09</w:t>
            </w:r>
          </w:p>
        </w:tc>
        <w:tc>
          <w:tcPr>
            <w:tcW w:w="1141" w:type="pct"/>
            <w:shd w:val="clear" w:color="auto" w:fill="auto"/>
            <w:noWrap/>
            <w:vAlign w:val="center"/>
          </w:tcPr>
          <w:p w14:paraId="4B993944">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1.96E-04</w:t>
            </w:r>
          </w:p>
        </w:tc>
        <w:tc>
          <w:tcPr>
            <w:tcW w:w="791" w:type="pct"/>
            <w:shd w:val="clear" w:color="auto" w:fill="auto"/>
            <w:noWrap/>
            <w:vAlign w:val="center"/>
          </w:tcPr>
          <w:p w14:paraId="1FC6DEE6">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0.09</w:t>
            </w:r>
          </w:p>
        </w:tc>
      </w:tr>
      <w:tr w14:paraId="63B200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45AD0835">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2000</w:t>
            </w:r>
          </w:p>
        </w:tc>
        <w:tc>
          <w:tcPr>
            <w:tcW w:w="1141" w:type="pct"/>
            <w:shd w:val="clear" w:color="auto" w:fill="auto"/>
            <w:noWrap/>
            <w:vAlign w:val="center"/>
          </w:tcPr>
          <w:p w14:paraId="6AC5510F">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2.60E-04</w:t>
            </w:r>
          </w:p>
        </w:tc>
        <w:tc>
          <w:tcPr>
            <w:tcW w:w="791" w:type="pct"/>
            <w:shd w:val="clear" w:color="auto" w:fill="auto"/>
            <w:noWrap/>
            <w:vAlign w:val="center"/>
          </w:tcPr>
          <w:p w14:paraId="381A14B1">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0.06</w:t>
            </w:r>
          </w:p>
        </w:tc>
        <w:tc>
          <w:tcPr>
            <w:tcW w:w="1141" w:type="pct"/>
            <w:shd w:val="clear" w:color="auto" w:fill="auto"/>
            <w:noWrap/>
            <w:vAlign w:val="center"/>
          </w:tcPr>
          <w:p w14:paraId="6AF745DA">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1.30E-04</w:t>
            </w:r>
          </w:p>
        </w:tc>
        <w:tc>
          <w:tcPr>
            <w:tcW w:w="791" w:type="pct"/>
            <w:shd w:val="clear" w:color="auto" w:fill="auto"/>
            <w:noWrap/>
            <w:vAlign w:val="center"/>
          </w:tcPr>
          <w:p w14:paraId="631459E5">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0.06</w:t>
            </w:r>
          </w:p>
        </w:tc>
      </w:tr>
      <w:tr w14:paraId="437A63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1D229EF0">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2500</w:t>
            </w:r>
          </w:p>
        </w:tc>
        <w:tc>
          <w:tcPr>
            <w:tcW w:w="1141" w:type="pct"/>
            <w:shd w:val="clear" w:color="auto" w:fill="auto"/>
            <w:noWrap/>
            <w:vAlign w:val="center"/>
          </w:tcPr>
          <w:p w14:paraId="462BBBF2">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2.01E-04</w:t>
            </w:r>
          </w:p>
        </w:tc>
        <w:tc>
          <w:tcPr>
            <w:tcW w:w="791" w:type="pct"/>
            <w:shd w:val="clear" w:color="auto" w:fill="auto"/>
            <w:noWrap/>
            <w:vAlign w:val="center"/>
          </w:tcPr>
          <w:p w14:paraId="2192D96A">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0.04</w:t>
            </w:r>
          </w:p>
        </w:tc>
        <w:tc>
          <w:tcPr>
            <w:tcW w:w="1141" w:type="pct"/>
            <w:shd w:val="clear" w:color="auto" w:fill="auto"/>
            <w:noWrap/>
            <w:vAlign w:val="center"/>
          </w:tcPr>
          <w:p w14:paraId="079BF247">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1.00E-04</w:t>
            </w:r>
          </w:p>
        </w:tc>
        <w:tc>
          <w:tcPr>
            <w:tcW w:w="791" w:type="pct"/>
            <w:shd w:val="clear" w:color="auto" w:fill="auto"/>
            <w:noWrap/>
            <w:vAlign w:val="center"/>
          </w:tcPr>
          <w:p w14:paraId="0A187F42">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0.04</w:t>
            </w:r>
          </w:p>
        </w:tc>
      </w:tr>
      <w:tr w14:paraId="2EE9A5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7EF3AF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
              </w:rPr>
              <w:t>最大落地浓度（</w:t>
            </w:r>
            <w:r>
              <w:rPr>
                <w:rFonts w:hint="default" w:ascii="Times New Roman" w:hAnsi="Times New Roman" w:cs="Times New Roman"/>
                <w:b w:val="0"/>
                <w:bCs w:val="0"/>
                <w:i w:val="0"/>
                <w:iCs w:val="0"/>
                <w:color w:val="auto"/>
                <w:kern w:val="0"/>
                <w:sz w:val="18"/>
                <w:szCs w:val="18"/>
                <w:highlight w:val="none"/>
                <w:u w:val="none"/>
                <w:lang w:val="en-US" w:eastAsia="zh-CN" w:bidi="ar"/>
              </w:rPr>
              <w:t>43</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m）</w:t>
            </w:r>
          </w:p>
        </w:tc>
        <w:tc>
          <w:tcPr>
            <w:tcW w:w="2121" w:type="dxa"/>
            <w:shd w:val="clear" w:color="auto" w:fill="auto"/>
            <w:noWrap/>
            <w:vAlign w:val="center"/>
          </w:tcPr>
          <w:p w14:paraId="4C9A9ACC">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3.54E-02</w:t>
            </w:r>
          </w:p>
        </w:tc>
        <w:tc>
          <w:tcPr>
            <w:tcW w:w="1470" w:type="dxa"/>
            <w:shd w:val="clear" w:color="auto" w:fill="auto"/>
            <w:noWrap/>
            <w:vAlign w:val="center"/>
          </w:tcPr>
          <w:p w14:paraId="76FD57CC">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7.86</w:t>
            </w:r>
          </w:p>
        </w:tc>
        <w:tc>
          <w:tcPr>
            <w:tcW w:w="2121" w:type="dxa"/>
            <w:shd w:val="clear" w:color="auto" w:fill="auto"/>
            <w:noWrap/>
            <w:vAlign w:val="center"/>
          </w:tcPr>
          <w:p w14:paraId="60BC7D51">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1.77E-02</w:t>
            </w:r>
          </w:p>
        </w:tc>
        <w:tc>
          <w:tcPr>
            <w:tcW w:w="1471" w:type="dxa"/>
            <w:shd w:val="clear" w:color="auto" w:fill="auto"/>
            <w:noWrap/>
            <w:vAlign w:val="center"/>
          </w:tcPr>
          <w:p w14:paraId="320593CA">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7.86</w:t>
            </w:r>
          </w:p>
        </w:tc>
      </w:tr>
      <w:tr w14:paraId="19C65D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3" w:type="pct"/>
            <w:shd w:val="clear" w:color="auto" w:fill="auto"/>
            <w:noWrap/>
            <w:vAlign w:val="center"/>
          </w:tcPr>
          <w:p w14:paraId="61105D12">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8"/>
                <w:szCs w:val="18"/>
                <w:highlight w:val="none"/>
                <w:lang w:val="en-US" w:eastAsia="zh-CN" w:bidi="ar"/>
              </w:rPr>
            </w:pPr>
            <w:r>
              <w:rPr>
                <w:rFonts w:hint="default" w:ascii="Times New Roman" w:hAnsi="Times New Roman" w:cs="Times New Roman"/>
                <w:b w:val="0"/>
                <w:bCs w:val="0"/>
                <w:color w:val="auto"/>
                <w:kern w:val="2"/>
                <w:sz w:val="18"/>
                <w:szCs w:val="18"/>
                <w:highlight w:val="none"/>
                <w:lang w:val="en-US" w:eastAsia="zh-CN" w:bidi="ar"/>
              </w:rPr>
              <w:t>放牛山（西北侧2km）</w:t>
            </w:r>
          </w:p>
        </w:tc>
        <w:tc>
          <w:tcPr>
            <w:tcW w:w="1141" w:type="pct"/>
            <w:shd w:val="clear" w:color="auto" w:fill="auto"/>
            <w:noWrap/>
            <w:vAlign w:val="center"/>
          </w:tcPr>
          <w:p w14:paraId="4F477800">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2.52E-04</w:t>
            </w:r>
          </w:p>
        </w:tc>
        <w:tc>
          <w:tcPr>
            <w:tcW w:w="791" w:type="pct"/>
            <w:shd w:val="clear" w:color="auto" w:fill="auto"/>
            <w:noWrap/>
            <w:vAlign w:val="center"/>
          </w:tcPr>
          <w:p w14:paraId="207D1A79">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w:t>
            </w:r>
            <w:r>
              <w:rPr>
                <w:rFonts w:hint="default" w:ascii="Times New Roman" w:hAnsi="Times New Roman" w:cs="Times New Roman"/>
                <w:i w:val="0"/>
                <w:iCs w:val="0"/>
                <w:color w:val="auto"/>
                <w:kern w:val="0"/>
                <w:sz w:val="18"/>
                <w:szCs w:val="18"/>
                <w:u w:val="none"/>
                <w:lang w:val="en-US" w:eastAsia="zh-CN" w:bidi="ar"/>
              </w:rPr>
              <w:t>6</w:t>
            </w:r>
          </w:p>
        </w:tc>
        <w:tc>
          <w:tcPr>
            <w:tcW w:w="1141" w:type="pct"/>
            <w:shd w:val="clear" w:color="auto" w:fill="auto"/>
            <w:noWrap/>
            <w:vAlign w:val="center"/>
          </w:tcPr>
          <w:p w14:paraId="0CB9ADFC">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1.26E-04</w:t>
            </w:r>
          </w:p>
        </w:tc>
        <w:tc>
          <w:tcPr>
            <w:tcW w:w="791" w:type="pct"/>
            <w:shd w:val="clear" w:color="auto" w:fill="auto"/>
            <w:noWrap/>
            <w:vAlign w:val="center"/>
          </w:tcPr>
          <w:p w14:paraId="62303B6C">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w:t>
            </w:r>
            <w:r>
              <w:rPr>
                <w:rFonts w:hint="default" w:ascii="Times New Roman" w:hAnsi="Times New Roman" w:cs="Times New Roman"/>
                <w:i w:val="0"/>
                <w:iCs w:val="0"/>
                <w:color w:val="auto"/>
                <w:kern w:val="0"/>
                <w:sz w:val="18"/>
                <w:szCs w:val="18"/>
                <w:u w:val="none"/>
                <w:lang w:val="en-US" w:eastAsia="zh-CN" w:bidi="ar"/>
              </w:rPr>
              <w:t>6</w:t>
            </w:r>
          </w:p>
        </w:tc>
      </w:tr>
    </w:tbl>
    <w:p w14:paraId="6DD90CCE">
      <w:pPr>
        <w:keepNext w:val="0"/>
        <w:keepLines w:val="0"/>
        <w:pageBreakBefore w:val="0"/>
        <w:widowControl/>
        <w:kinsoku/>
        <w:wordWrap/>
        <w:overflowPunct/>
        <w:topLinePunct w:val="0"/>
        <w:autoSpaceDE w:val="0"/>
        <w:autoSpaceDN w:val="0"/>
        <w:bidi w:val="0"/>
        <w:adjustRightInd/>
        <w:snapToGrid/>
        <w:spacing w:before="157" w:beforeLines="50" w:line="360" w:lineRule="auto"/>
        <w:ind w:firstLine="49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kern w:val="0"/>
          <w:sz w:val="24"/>
          <w:szCs w:val="24"/>
          <w:highlight w:val="none"/>
        </w:rPr>
        <w:t>根据</w:t>
      </w:r>
      <w:r>
        <w:rPr>
          <w:rFonts w:hint="default" w:ascii="Times New Roman" w:hAnsi="Times New Roman" w:cs="Times New Roman"/>
          <w:b w:val="0"/>
          <w:bCs w:val="0"/>
          <w:color w:val="auto"/>
          <w:kern w:val="0"/>
          <w:sz w:val="24"/>
          <w:szCs w:val="24"/>
          <w:highlight w:val="none"/>
          <w:lang w:val="en-US" w:eastAsia="zh-CN"/>
        </w:rPr>
        <w:t>模式估算</w:t>
      </w:r>
      <w:r>
        <w:rPr>
          <w:rFonts w:hint="default" w:ascii="Times New Roman" w:hAnsi="Times New Roman" w:cs="Times New Roman"/>
          <w:b w:val="0"/>
          <w:bCs w:val="0"/>
          <w:color w:val="auto"/>
          <w:kern w:val="0"/>
          <w:sz w:val="24"/>
          <w:szCs w:val="24"/>
          <w:highlight w:val="none"/>
          <w:lang w:eastAsia="zh-CN"/>
        </w:rPr>
        <w:t>，</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废气排口</w:t>
      </w:r>
      <w:r>
        <w:rPr>
          <w:rFonts w:hint="default" w:ascii="Times New Roman" w:hAnsi="Times New Roman" w:cs="Times New Roman"/>
          <w:b w:val="0"/>
          <w:bCs w:val="0"/>
          <w:color w:val="auto"/>
          <w:sz w:val="24"/>
          <w:szCs w:val="24"/>
          <w:highlight w:val="none"/>
          <w:lang w:val="en-US" w:eastAsia="zh-CN"/>
        </w:rPr>
        <w:t>（DA001）排放的有组织</w:t>
      </w:r>
      <w:r>
        <w:rPr>
          <w:rFonts w:hint="default" w:ascii="Times New Roman" w:hAnsi="Times New Roman" w:cs="Times New Roman"/>
          <w:b w:val="0"/>
          <w:bCs w:val="0"/>
          <w:color w:val="auto"/>
          <w:kern w:val="0"/>
          <w:sz w:val="24"/>
          <w:szCs w:val="24"/>
          <w:highlight w:val="none"/>
          <w:lang w:val="en-US" w:eastAsia="zh-CN"/>
        </w:rPr>
        <w:t>粉尘（PM</w:t>
      </w:r>
      <w:r>
        <w:rPr>
          <w:rFonts w:hint="default" w:ascii="Times New Roman" w:hAnsi="Times New Roman" w:cs="Times New Roman"/>
          <w:b w:val="0"/>
          <w:bCs w:val="0"/>
          <w:color w:val="auto"/>
          <w:kern w:val="0"/>
          <w:sz w:val="24"/>
          <w:szCs w:val="24"/>
          <w:highlight w:val="none"/>
          <w:vertAlign w:val="subscript"/>
          <w:lang w:val="en-US" w:eastAsia="zh-CN"/>
        </w:rPr>
        <w:t>10、</w:t>
      </w:r>
      <w:r>
        <w:rPr>
          <w:rFonts w:hint="default" w:ascii="Times New Roman" w:hAnsi="Times New Roman" w:cs="Times New Roman"/>
          <w:b w:val="0"/>
          <w:bCs w:val="0"/>
          <w:color w:val="auto"/>
          <w:kern w:val="0"/>
          <w:sz w:val="24"/>
          <w:szCs w:val="24"/>
          <w:highlight w:val="none"/>
          <w:lang w:val="en-US" w:eastAsia="zh-CN"/>
        </w:rPr>
        <w:t>PM</w:t>
      </w:r>
      <w:r>
        <w:rPr>
          <w:rFonts w:hint="default" w:ascii="Times New Roman" w:hAnsi="Times New Roman" w:cs="Times New Roman"/>
          <w:b w:val="0"/>
          <w:bCs w:val="0"/>
          <w:color w:val="auto"/>
          <w:kern w:val="0"/>
          <w:sz w:val="24"/>
          <w:szCs w:val="24"/>
          <w:highlight w:val="none"/>
          <w:vertAlign w:val="subscript"/>
          <w:lang w:val="en-US" w:eastAsia="zh-CN"/>
        </w:rPr>
        <w:t>2.5</w:t>
      </w:r>
      <w:r>
        <w:rPr>
          <w:rFonts w:hint="default" w:ascii="Times New Roman" w:hAnsi="Times New Roman" w:cs="Times New Roman"/>
          <w:b w:val="0"/>
          <w:bCs w:val="0"/>
          <w:color w:val="auto"/>
          <w:kern w:val="0"/>
          <w:sz w:val="24"/>
          <w:szCs w:val="24"/>
          <w:highlight w:val="none"/>
          <w:vertAlign w:val="baseline"/>
          <w:lang w:val="en-US" w:eastAsia="zh-CN"/>
        </w:rPr>
        <w:t>）</w:t>
      </w:r>
      <w:r>
        <w:rPr>
          <w:rFonts w:hint="default" w:ascii="Times New Roman" w:hAnsi="Times New Roman" w:cs="Times New Roman"/>
          <w:b w:val="0"/>
          <w:bCs w:val="0"/>
          <w:color w:val="auto"/>
          <w:kern w:val="0"/>
          <w:sz w:val="24"/>
          <w:szCs w:val="24"/>
          <w:highlight w:val="none"/>
        </w:rPr>
        <w:t>最大落地浓度</w:t>
      </w:r>
      <w:r>
        <w:rPr>
          <w:rFonts w:hint="default" w:ascii="Times New Roman" w:hAnsi="Times New Roman" w:cs="Times New Roman"/>
          <w:b w:val="0"/>
          <w:bCs w:val="0"/>
          <w:color w:val="auto"/>
          <w:kern w:val="0"/>
          <w:sz w:val="24"/>
          <w:szCs w:val="24"/>
          <w:highlight w:val="none"/>
          <w:lang w:val="en-US" w:eastAsia="zh-CN"/>
        </w:rPr>
        <w:t>分别</w:t>
      </w:r>
      <w:r>
        <w:rPr>
          <w:rFonts w:hint="default" w:ascii="Times New Roman" w:hAnsi="Times New Roman" w:cs="Times New Roman"/>
          <w:b w:val="0"/>
          <w:bCs w:val="0"/>
          <w:color w:val="auto"/>
          <w:kern w:val="0"/>
          <w:sz w:val="24"/>
          <w:szCs w:val="24"/>
          <w:highlight w:val="none"/>
        </w:rPr>
        <w:t>为</w:t>
      </w:r>
      <w:r>
        <w:rPr>
          <w:rFonts w:hint="default" w:ascii="Times New Roman" w:hAnsi="Times New Roman" w:eastAsia="宋体" w:cs="Times New Roman"/>
          <w:i w:val="0"/>
          <w:iCs w:val="0"/>
          <w:color w:val="auto"/>
          <w:kern w:val="0"/>
          <w:sz w:val="24"/>
          <w:szCs w:val="24"/>
          <w:u w:val="none"/>
          <w:lang w:val="en-US" w:eastAsia="zh-CN" w:bidi="ar"/>
        </w:rPr>
        <w:t>3.54E-02</w:t>
      </w:r>
      <w:r>
        <w:rPr>
          <w:rFonts w:hint="default" w:ascii="Times New Roman" w:hAnsi="Times New Roman" w:cs="Times New Roman"/>
          <w:b w:val="0"/>
          <w:bCs w:val="0"/>
          <w:color w:val="auto"/>
          <w:kern w:val="0"/>
          <w:sz w:val="24"/>
          <w:szCs w:val="24"/>
          <w:highlight w:val="none"/>
        </w:rPr>
        <w:t>mg/m</w:t>
      </w:r>
      <w:r>
        <w:rPr>
          <w:rFonts w:hint="default" w:ascii="Times New Roman" w:hAnsi="Times New Roman" w:cs="Times New Roman"/>
          <w:b w:val="0"/>
          <w:bCs w:val="0"/>
          <w:color w:val="auto"/>
          <w:kern w:val="0"/>
          <w:sz w:val="24"/>
          <w:szCs w:val="24"/>
          <w:highlight w:val="none"/>
          <w:vertAlign w:val="superscript"/>
        </w:rPr>
        <w:t>3</w:t>
      </w:r>
      <w:r>
        <w:rPr>
          <w:rFonts w:hint="default" w:ascii="Times New Roman" w:hAnsi="Times New Roman" w:cs="Times New Roman"/>
          <w:b w:val="0"/>
          <w:bCs w:val="0"/>
          <w:color w:val="auto"/>
          <w:kern w:val="0"/>
          <w:sz w:val="24"/>
          <w:szCs w:val="24"/>
          <w:highlight w:val="none"/>
          <w:vertAlign w:val="subscript"/>
          <w:lang w:eastAsia="zh-CN"/>
        </w:rPr>
        <w:t>、</w:t>
      </w:r>
      <w:r>
        <w:rPr>
          <w:rFonts w:hint="default" w:ascii="Times New Roman" w:hAnsi="Times New Roman" w:eastAsia="宋体" w:cs="Times New Roman"/>
          <w:i w:val="0"/>
          <w:iCs w:val="0"/>
          <w:color w:val="auto"/>
          <w:kern w:val="0"/>
          <w:sz w:val="24"/>
          <w:szCs w:val="24"/>
          <w:u w:val="none"/>
          <w:lang w:val="en-US" w:eastAsia="zh-CN" w:bidi="ar"/>
        </w:rPr>
        <w:t>1.77E-02</w:t>
      </w:r>
      <w:r>
        <w:rPr>
          <w:rFonts w:hint="default" w:ascii="Times New Roman" w:hAnsi="Times New Roman" w:cs="Times New Roman"/>
          <w:b w:val="0"/>
          <w:bCs w:val="0"/>
          <w:color w:val="auto"/>
          <w:kern w:val="0"/>
          <w:sz w:val="24"/>
          <w:szCs w:val="24"/>
          <w:highlight w:val="none"/>
        </w:rPr>
        <w:t>mg/m</w:t>
      </w:r>
      <w:r>
        <w:rPr>
          <w:rFonts w:hint="default" w:ascii="Times New Roman" w:hAnsi="Times New Roman" w:cs="Times New Roman"/>
          <w:b w:val="0"/>
          <w:bCs w:val="0"/>
          <w:color w:val="auto"/>
          <w:kern w:val="0"/>
          <w:sz w:val="24"/>
          <w:szCs w:val="24"/>
          <w:highlight w:val="none"/>
          <w:vertAlign w:val="superscript"/>
        </w:rPr>
        <w:t>3</w:t>
      </w:r>
      <w:r>
        <w:rPr>
          <w:rFonts w:hint="default" w:ascii="Times New Roman" w:hAnsi="Times New Roman" w:cs="Times New Roman"/>
          <w:b w:val="0"/>
          <w:bCs w:val="0"/>
          <w:color w:val="auto"/>
          <w:kern w:val="0"/>
          <w:sz w:val="24"/>
          <w:szCs w:val="24"/>
          <w:highlight w:val="none"/>
        </w:rPr>
        <w:t>，对应下风向距离为</w:t>
      </w:r>
      <w:r>
        <w:rPr>
          <w:rFonts w:hint="default" w:ascii="Times New Roman" w:hAnsi="Times New Roman" w:cs="Times New Roman"/>
          <w:b w:val="0"/>
          <w:bCs w:val="0"/>
          <w:color w:val="auto"/>
          <w:kern w:val="0"/>
          <w:sz w:val="24"/>
          <w:szCs w:val="24"/>
          <w:highlight w:val="none"/>
          <w:lang w:val="en-US" w:eastAsia="zh-CN"/>
        </w:rPr>
        <w:t>43</w:t>
      </w:r>
      <w:r>
        <w:rPr>
          <w:rFonts w:hint="default" w:ascii="Times New Roman" w:hAnsi="Times New Roman" w:cs="Times New Roman"/>
          <w:b w:val="0"/>
          <w:bCs w:val="0"/>
          <w:color w:val="auto"/>
          <w:kern w:val="0"/>
          <w:sz w:val="24"/>
          <w:szCs w:val="24"/>
          <w:highlight w:val="none"/>
        </w:rPr>
        <w:t>m，最大占标率为</w:t>
      </w:r>
      <w:r>
        <w:rPr>
          <w:rFonts w:hint="default" w:ascii="Times New Roman" w:hAnsi="Times New Roman" w:eastAsia="宋体" w:cs="Times New Roman"/>
          <w:i w:val="0"/>
          <w:iCs w:val="0"/>
          <w:color w:val="auto"/>
          <w:kern w:val="0"/>
          <w:sz w:val="24"/>
          <w:szCs w:val="24"/>
          <w:u w:val="none"/>
          <w:lang w:val="en-US" w:eastAsia="zh-CN" w:bidi="ar"/>
        </w:rPr>
        <w:t>7.86</w:t>
      </w:r>
      <w:r>
        <w:rPr>
          <w:rFonts w:hint="default" w:ascii="Times New Roman" w:hAnsi="Times New Roman" w:cs="Times New Roman"/>
          <w:b w:val="0"/>
          <w:bCs w:val="0"/>
          <w:color w:val="auto"/>
          <w:kern w:val="0"/>
          <w:sz w:val="24"/>
          <w:szCs w:val="24"/>
          <w:highlight w:val="none"/>
        </w:rPr>
        <w:t>%</w:t>
      </w:r>
      <w:r>
        <w:rPr>
          <w:rFonts w:hint="default" w:ascii="Times New Roman" w:hAnsi="Times New Roman" w:cs="Times New Roman"/>
          <w:b w:val="0"/>
          <w:bCs w:val="0"/>
          <w:color w:val="auto"/>
          <w:kern w:val="0"/>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项目最近的大气环境保护目标为西北侧约2km处放牛山</w:t>
      </w:r>
      <w:r>
        <w:rPr>
          <w:rFonts w:hint="default" w:ascii="Times New Roman" w:hAnsi="Times New Roman" w:cs="Times New Roman"/>
          <w:b w:val="0"/>
          <w:bCs w:val="0"/>
          <w:color w:val="auto"/>
          <w:kern w:val="0"/>
          <w:sz w:val="24"/>
          <w:szCs w:val="24"/>
          <w:highlight w:val="none"/>
          <w:vertAlign w:val="baseline"/>
          <w:lang w:eastAsia="zh-CN"/>
        </w:rPr>
        <w:t>，</w:t>
      </w:r>
      <w:r>
        <w:rPr>
          <w:rFonts w:hint="default" w:ascii="Times New Roman" w:hAnsi="Times New Roman" w:cs="Times New Roman"/>
          <w:b w:val="0"/>
          <w:bCs w:val="0"/>
          <w:color w:val="auto"/>
          <w:kern w:val="0"/>
          <w:sz w:val="24"/>
          <w:szCs w:val="24"/>
          <w:highlight w:val="none"/>
          <w:lang w:val="en-US" w:eastAsia="zh-CN"/>
        </w:rPr>
        <w:t>PM</w:t>
      </w:r>
      <w:r>
        <w:rPr>
          <w:rFonts w:hint="default" w:ascii="Times New Roman" w:hAnsi="Times New Roman" w:cs="Times New Roman"/>
          <w:b w:val="0"/>
          <w:bCs w:val="0"/>
          <w:color w:val="auto"/>
          <w:kern w:val="0"/>
          <w:sz w:val="24"/>
          <w:szCs w:val="24"/>
          <w:highlight w:val="none"/>
          <w:vertAlign w:val="subscript"/>
          <w:lang w:val="en-US" w:eastAsia="zh-CN"/>
        </w:rPr>
        <w:t>10、</w:t>
      </w:r>
      <w:r>
        <w:rPr>
          <w:rFonts w:hint="default" w:ascii="Times New Roman" w:hAnsi="Times New Roman" w:cs="Times New Roman"/>
          <w:b w:val="0"/>
          <w:bCs w:val="0"/>
          <w:color w:val="auto"/>
          <w:kern w:val="0"/>
          <w:sz w:val="24"/>
          <w:szCs w:val="24"/>
          <w:highlight w:val="none"/>
          <w:lang w:val="en-US" w:eastAsia="zh-CN"/>
        </w:rPr>
        <w:t>PM</w:t>
      </w:r>
      <w:r>
        <w:rPr>
          <w:rFonts w:hint="default" w:ascii="Times New Roman" w:hAnsi="Times New Roman" w:cs="Times New Roman"/>
          <w:b w:val="0"/>
          <w:bCs w:val="0"/>
          <w:color w:val="auto"/>
          <w:kern w:val="0"/>
          <w:sz w:val="24"/>
          <w:szCs w:val="24"/>
          <w:highlight w:val="none"/>
          <w:vertAlign w:val="subscript"/>
          <w:lang w:val="en-US" w:eastAsia="zh-CN"/>
        </w:rPr>
        <w:t>2.5</w:t>
      </w:r>
      <w:r>
        <w:rPr>
          <w:rFonts w:hint="default" w:ascii="Times New Roman" w:hAnsi="Times New Roman" w:cs="Times New Roman"/>
          <w:b w:val="0"/>
          <w:bCs w:val="0"/>
          <w:color w:val="auto"/>
          <w:kern w:val="0"/>
          <w:sz w:val="24"/>
          <w:szCs w:val="24"/>
          <w:highlight w:val="none"/>
          <w:vertAlign w:val="baseline"/>
          <w:lang w:val="en-US" w:eastAsia="zh-CN"/>
        </w:rPr>
        <w:t>预测</w:t>
      </w:r>
      <w:r>
        <w:rPr>
          <w:rFonts w:hint="default" w:ascii="Times New Roman" w:hAnsi="Times New Roman" w:cs="Times New Roman"/>
          <w:b w:val="0"/>
          <w:bCs w:val="0"/>
          <w:color w:val="auto"/>
          <w:kern w:val="0"/>
          <w:sz w:val="24"/>
          <w:szCs w:val="24"/>
          <w:highlight w:val="none"/>
        </w:rPr>
        <w:t>浓度</w:t>
      </w:r>
      <w:r>
        <w:rPr>
          <w:rFonts w:hint="default" w:ascii="Times New Roman" w:hAnsi="Times New Roman" w:cs="Times New Roman"/>
          <w:b w:val="0"/>
          <w:bCs w:val="0"/>
          <w:color w:val="auto"/>
          <w:kern w:val="0"/>
          <w:sz w:val="24"/>
          <w:szCs w:val="24"/>
          <w:highlight w:val="none"/>
          <w:lang w:val="en-US" w:eastAsia="zh-CN"/>
        </w:rPr>
        <w:t>分别</w:t>
      </w:r>
      <w:r>
        <w:rPr>
          <w:rFonts w:hint="default" w:ascii="Times New Roman" w:hAnsi="Times New Roman" w:cs="Times New Roman"/>
          <w:b w:val="0"/>
          <w:bCs w:val="0"/>
          <w:color w:val="auto"/>
          <w:kern w:val="0"/>
          <w:sz w:val="24"/>
          <w:szCs w:val="24"/>
          <w:highlight w:val="none"/>
        </w:rPr>
        <w:t>为</w:t>
      </w:r>
      <w:r>
        <w:rPr>
          <w:rFonts w:hint="default" w:ascii="Times New Roman" w:hAnsi="Times New Roman" w:eastAsia="宋体" w:cs="Times New Roman"/>
          <w:i w:val="0"/>
          <w:iCs w:val="0"/>
          <w:color w:val="auto"/>
          <w:kern w:val="0"/>
          <w:sz w:val="24"/>
          <w:szCs w:val="24"/>
          <w:u w:val="none"/>
          <w:lang w:val="en-US" w:eastAsia="zh-CN" w:bidi="ar"/>
        </w:rPr>
        <w:t>2.52E-04</w:t>
      </w:r>
      <w:r>
        <w:rPr>
          <w:rFonts w:hint="default" w:ascii="Times New Roman" w:hAnsi="Times New Roman" w:cs="Times New Roman"/>
          <w:b w:val="0"/>
          <w:bCs w:val="0"/>
          <w:color w:val="auto"/>
          <w:kern w:val="0"/>
          <w:sz w:val="24"/>
          <w:szCs w:val="24"/>
          <w:highlight w:val="none"/>
        </w:rPr>
        <w:t>mg/m</w:t>
      </w:r>
      <w:r>
        <w:rPr>
          <w:rFonts w:hint="default" w:ascii="Times New Roman" w:hAnsi="Times New Roman" w:cs="Times New Roman"/>
          <w:b w:val="0"/>
          <w:bCs w:val="0"/>
          <w:color w:val="auto"/>
          <w:kern w:val="0"/>
          <w:sz w:val="24"/>
          <w:szCs w:val="24"/>
          <w:highlight w:val="none"/>
          <w:vertAlign w:val="superscript"/>
        </w:rPr>
        <w:t>3</w:t>
      </w:r>
      <w:r>
        <w:rPr>
          <w:rFonts w:hint="default" w:ascii="Times New Roman" w:hAnsi="Times New Roman" w:cs="Times New Roman"/>
          <w:b w:val="0"/>
          <w:bCs w:val="0"/>
          <w:color w:val="auto"/>
          <w:kern w:val="0"/>
          <w:sz w:val="24"/>
          <w:szCs w:val="24"/>
          <w:highlight w:val="none"/>
          <w:vertAlign w:val="subscript"/>
          <w:lang w:eastAsia="zh-CN"/>
        </w:rPr>
        <w:t>、</w:t>
      </w:r>
      <w:r>
        <w:rPr>
          <w:rFonts w:hint="default" w:ascii="Times New Roman" w:hAnsi="Times New Roman" w:eastAsia="宋体" w:cs="Times New Roman"/>
          <w:i w:val="0"/>
          <w:iCs w:val="0"/>
          <w:color w:val="auto"/>
          <w:kern w:val="0"/>
          <w:sz w:val="24"/>
          <w:szCs w:val="24"/>
          <w:u w:val="none"/>
          <w:lang w:val="en-US" w:eastAsia="zh-CN" w:bidi="ar"/>
        </w:rPr>
        <w:t>1.26E-04</w:t>
      </w:r>
      <w:r>
        <w:rPr>
          <w:rFonts w:hint="default" w:ascii="Times New Roman" w:hAnsi="Times New Roman" w:cs="Times New Roman"/>
          <w:b w:val="0"/>
          <w:bCs w:val="0"/>
          <w:color w:val="auto"/>
          <w:kern w:val="0"/>
          <w:sz w:val="24"/>
          <w:szCs w:val="24"/>
          <w:highlight w:val="none"/>
        </w:rPr>
        <w:t>mg/m</w:t>
      </w:r>
      <w:r>
        <w:rPr>
          <w:rFonts w:hint="default" w:ascii="Times New Roman" w:hAnsi="Times New Roman" w:cs="Times New Roman"/>
          <w:b w:val="0"/>
          <w:bCs w:val="0"/>
          <w:color w:val="auto"/>
          <w:kern w:val="0"/>
          <w:sz w:val="24"/>
          <w:szCs w:val="24"/>
          <w:highlight w:val="none"/>
          <w:vertAlign w:val="superscript"/>
        </w:rPr>
        <w:t>3</w:t>
      </w:r>
      <w:r>
        <w:rPr>
          <w:rFonts w:hint="default" w:ascii="Times New Roman" w:hAnsi="Times New Roman" w:cs="Times New Roman"/>
          <w:b w:val="0"/>
          <w:bCs w:val="0"/>
          <w:color w:val="auto"/>
          <w:kern w:val="0"/>
          <w:sz w:val="24"/>
          <w:szCs w:val="24"/>
          <w:highlight w:val="none"/>
          <w:vertAlign w:val="baseline"/>
          <w:lang w:eastAsia="zh-CN"/>
        </w:rPr>
        <w:t>，</w:t>
      </w:r>
      <w:r>
        <w:rPr>
          <w:rFonts w:hint="default" w:ascii="Times New Roman" w:hAnsi="Times New Roman" w:cs="Times New Roman"/>
          <w:b w:val="0"/>
          <w:bCs w:val="0"/>
          <w:color w:val="auto"/>
          <w:kern w:val="0"/>
          <w:sz w:val="24"/>
          <w:szCs w:val="24"/>
          <w:highlight w:val="none"/>
        </w:rPr>
        <w:t>满足</w:t>
      </w:r>
      <w:r>
        <w:rPr>
          <w:rFonts w:hint="default" w:ascii="Times New Roman" w:hAnsi="Times New Roman" w:eastAsia="宋体" w:cs="Times New Roman"/>
          <w:color w:val="auto"/>
          <w:sz w:val="24"/>
          <w:szCs w:val="24"/>
          <w:highlight w:val="none"/>
        </w:rPr>
        <w:t>《环境空气质量标准》（GB3095-2012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二级标准中日均值的3倍（即0.45</w:t>
      </w:r>
      <w:r>
        <w:rPr>
          <w:rFonts w:hint="default" w:ascii="Times New Roman" w:hAnsi="Times New Roman" w:eastAsia="宋体" w:cs="Times New Roman"/>
          <w:i w:val="0"/>
          <w:iCs w:val="0"/>
          <w:color w:val="auto"/>
          <w:kern w:val="0"/>
          <w:sz w:val="24"/>
          <w:szCs w:val="24"/>
          <w:highlight w:val="none"/>
          <w:u w:val="none"/>
          <w:lang w:val="en-US" w:eastAsia="zh-CN" w:bidi="ar"/>
        </w:rPr>
        <w:t>mg/m</w:t>
      </w:r>
      <w:r>
        <w:rPr>
          <w:rFonts w:hint="default" w:ascii="Times New Roman" w:hAnsi="Times New Roman" w:eastAsia="宋体" w:cs="Times New Roman"/>
          <w:i w:val="0"/>
          <w:iCs w:val="0"/>
          <w:color w:val="auto"/>
          <w:kern w:val="0"/>
          <w:sz w:val="24"/>
          <w:szCs w:val="24"/>
          <w:highlight w:val="none"/>
          <w:u w:val="none"/>
          <w:vertAlign w:val="superscript"/>
          <w:lang w:val="en-US" w:eastAsia="zh-CN" w:bidi="ar"/>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b w:val="0"/>
          <w:bCs w:val="0"/>
          <w:color w:val="auto"/>
          <w:kern w:val="0"/>
          <w:sz w:val="24"/>
          <w:szCs w:val="24"/>
          <w:highlight w:val="none"/>
          <w:lang w:eastAsia="zh-CN"/>
        </w:rPr>
        <w:t>；</w:t>
      </w:r>
      <w:r>
        <w:rPr>
          <w:rFonts w:hint="default" w:ascii="Times New Roman" w:hAnsi="Times New Roman" w:cs="Times New Roman"/>
          <w:b w:val="0"/>
          <w:bCs w:val="0"/>
          <w:color w:val="auto"/>
          <w:kern w:val="0"/>
          <w:sz w:val="24"/>
          <w:szCs w:val="24"/>
          <w:highlight w:val="none"/>
        </w:rPr>
        <w:t>估算模式已考虑了最不利的气象条件，分析预测结果表明，只要</w:t>
      </w:r>
      <w:r>
        <w:rPr>
          <w:rFonts w:hint="default" w:ascii="Times New Roman" w:hAnsi="Times New Roman" w:cs="Times New Roman"/>
          <w:b w:val="0"/>
          <w:bCs w:val="0"/>
          <w:color w:val="auto"/>
          <w:kern w:val="0"/>
          <w:sz w:val="24"/>
          <w:szCs w:val="24"/>
          <w:highlight w:val="none"/>
          <w:lang w:val="en-US" w:eastAsia="zh-CN"/>
        </w:rPr>
        <w:t>严格落实各项措施</w:t>
      </w:r>
      <w:r>
        <w:rPr>
          <w:rFonts w:hint="default" w:ascii="Times New Roman" w:hAnsi="Times New Roman" w:cs="Times New Roman"/>
          <w:b w:val="0"/>
          <w:bCs w:val="0"/>
          <w:color w:val="auto"/>
          <w:kern w:val="0"/>
          <w:sz w:val="24"/>
          <w:szCs w:val="24"/>
          <w:highlight w:val="none"/>
        </w:rPr>
        <w:t>，</w:t>
      </w:r>
      <w:r>
        <w:rPr>
          <w:rFonts w:hint="default" w:ascii="Times New Roman" w:hAnsi="Times New Roman" w:cs="Times New Roman"/>
          <w:b w:val="0"/>
          <w:bCs w:val="0"/>
          <w:color w:val="auto"/>
          <w:kern w:val="0"/>
          <w:sz w:val="24"/>
          <w:szCs w:val="24"/>
          <w:highlight w:val="none"/>
          <w:lang w:val="en-US" w:eastAsia="zh-CN"/>
        </w:rPr>
        <w:t>正常工况下，项目</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废气排口</w:t>
      </w:r>
      <w:r>
        <w:rPr>
          <w:rFonts w:hint="default" w:ascii="Times New Roman" w:hAnsi="Times New Roman" w:cs="Times New Roman"/>
          <w:b w:val="0"/>
          <w:bCs w:val="0"/>
          <w:color w:val="auto"/>
          <w:sz w:val="24"/>
          <w:szCs w:val="24"/>
          <w:highlight w:val="none"/>
          <w:lang w:val="en-US" w:eastAsia="zh-CN"/>
        </w:rPr>
        <w:t>（DA001）排放的有组织</w:t>
      </w:r>
      <w:r>
        <w:rPr>
          <w:rFonts w:hint="default" w:ascii="Times New Roman" w:hAnsi="Times New Roman" w:cs="Times New Roman"/>
          <w:b w:val="0"/>
          <w:bCs w:val="0"/>
          <w:color w:val="auto"/>
          <w:kern w:val="0"/>
          <w:sz w:val="24"/>
          <w:szCs w:val="24"/>
          <w:highlight w:val="none"/>
          <w:lang w:val="en-US" w:eastAsia="zh-CN"/>
        </w:rPr>
        <w:t>粉尘（PM</w:t>
      </w:r>
      <w:r>
        <w:rPr>
          <w:rFonts w:hint="default" w:ascii="Times New Roman" w:hAnsi="Times New Roman" w:cs="Times New Roman"/>
          <w:b w:val="0"/>
          <w:bCs w:val="0"/>
          <w:color w:val="auto"/>
          <w:kern w:val="0"/>
          <w:sz w:val="24"/>
          <w:szCs w:val="24"/>
          <w:highlight w:val="none"/>
          <w:vertAlign w:val="subscript"/>
          <w:lang w:val="en-US" w:eastAsia="zh-CN"/>
        </w:rPr>
        <w:t>10</w:t>
      </w:r>
      <w:r>
        <w:rPr>
          <w:rFonts w:hint="default" w:ascii="Times New Roman" w:hAnsi="Times New Roman" w:cs="Times New Roman"/>
          <w:b w:val="0"/>
          <w:bCs w:val="0"/>
          <w:color w:val="auto"/>
          <w:kern w:val="0"/>
          <w:sz w:val="24"/>
          <w:szCs w:val="24"/>
          <w:highlight w:val="none"/>
          <w:vertAlign w:val="baseline"/>
          <w:lang w:val="en-US" w:eastAsia="zh-CN"/>
        </w:rPr>
        <w:t>）</w:t>
      </w:r>
      <w:r>
        <w:rPr>
          <w:rFonts w:hint="default" w:ascii="Times New Roman" w:hAnsi="Times New Roman" w:cs="Times New Roman"/>
          <w:b w:val="0"/>
          <w:bCs w:val="0"/>
          <w:color w:val="auto"/>
          <w:kern w:val="0"/>
          <w:sz w:val="24"/>
          <w:szCs w:val="24"/>
          <w:highlight w:val="none"/>
        </w:rPr>
        <w:t>对周围大气环境质量影响较小</w:t>
      </w:r>
      <w:r>
        <w:rPr>
          <w:rFonts w:hint="default" w:ascii="Times New Roman" w:hAnsi="Times New Roman" w:eastAsia="宋体" w:cs="Times New Roman"/>
          <w:b w:val="0"/>
          <w:bCs w:val="0"/>
          <w:color w:val="auto"/>
          <w:sz w:val="24"/>
          <w:szCs w:val="24"/>
          <w:highlight w:val="none"/>
          <w:lang w:val="en-US" w:eastAsia="zh-CN"/>
        </w:rPr>
        <w:t>。</w:t>
      </w:r>
    </w:p>
    <w:p w14:paraId="5C88FFF3">
      <w:pPr>
        <w:autoSpaceDE w:val="0"/>
        <w:spacing w:before="0" w:after="0" w:line="360" w:lineRule="auto"/>
        <w:jc w:val="center"/>
        <w:outlineLvl w:val="9"/>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表6.1.2-2  正常工况下除原料堆场外其他无组织排放源下风向2500m范围内的TSP估算结果</w:t>
      </w:r>
    </w:p>
    <w:tbl>
      <w:tblPr>
        <w:tblStyle w:val="29"/>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079"/>
        <w:gridCol w:w="3123"/>
        <w:gridCol w:w="3080"/>
      </w:tblGrid>
      <w:tr w14:paraId="141E77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58" w:type="pct"/>
            <w:vMerge w:val="restart"/>
            <w:shd w:val="clear" w:color="auto" w:fill="auto"/>
            <w:noWrap/>
            <w:vAlign w:val="center"/>
          </w:tcPr>
          <w:p w14:paraId="15B21506">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距离下方向距离（m</w:t>
            </w:r>
            <w:r>
              <w:rPr>
                <w:rFonts w:hint="default" w:ascii="Times New Roman" w:hAnsi="Times New Roman" w:cs="Times New Roman"/>
                <w:i w:val="0"/>
                <w:iCs w:val="0"/>
                <w:color w:val="auto"/>
                <w:kern w:val="0"/>
                <w:sz w:val="18"/>
                <w:szCs w:val="18"/>
                <w:u w:val="none"/>
                <w:lang w:val="en-US" w:eastAsia="zh-CN" w:bidi="ar"/>
              </w:rPr>
              <w:t>）</w:t>
            </w:r>
          </w:p>
        </w:tc>
        <w:tc>
          <w:tcPr>
            <w:tcW w:w="3341" w:type="pct"/>
            <w:gridSpan w:val="2"/>
            <w:shd w:val="clear" w:color="auto" w:fill="auto"/>
            <w:noWrap/>
            <w:vAlign w:val="center"/>
          </w:tcPr>
          <w:p w14:paraId="7CB7B3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除原料堆场外其他</w:t>
            </w:r>
            <w:r>
              <w:rPr>
                <w:rFonts w:hint="default" w:ascii="Times New Roman" w:hAnsi="Times New Roman" w:eastAsia="宋体" w:cs="Times New Roman"/>
                <w:i w:val="0"/>
                <w:iCs w:val="0"/>
                <w:color w:val="auto"/>
                <w:kern w:val="0"/>
                <w:sz w:val="18"/>
                <w:szCs w:val="18"/>
                <w:u w:val="none"/>
                <w:lang w:val="en-US" w:eastAsia="zh-CN" w:bidi="ar"/>
              </w:rPr>
              <w:t>无组织排放源</w:t>
            </w:r>
          </w:p>
        </w:tc>
      </w:tr>
      <w:tr w14:paraId="395109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8" w:type="pct"/>
            <w:vMerge w:val="continue"/>
            <w:shd w:val="clear" w:color="auto" w:fill="auto"/>
            <w:noWrap/>
            <w:vAlign w:val="center"/>
          </w:tcPr>
          <w:p w14:paraId="79A82769">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682" w:type="pct"/>
            <w:shd w:val="clear" w:color="auto" w:fill="auto"/>
            <w:noWrap/>
            <w:vAlign w:val="center"/>
          </w:tcPr>
          <w:p w14:paraId="5C12F84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浓度（mg/m</w:t>
            </w:r>
            <w:r>
              <w:rPr>
                <w:rFonts w:hint="default" w:ascii="Times New Roman" w:hAnsi="Times New Roman" w:eastAsia="宋体" w:cs="Times New Roman"/>
                <w:i w:val="0"/>
                <w:iCs w:val="0"/>
                <w:color w:val="auto"/>
                <w:kern w:val="0"/>
                <w:sz w:val="18"/>
                <w:szCs w:val="18"/>
                <w:u w:val="none"/>
                <w:vertAlign w:val="superscript"/>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w:t>
            </w:r>
          </w:p>
        </w:tc>
        <w:tc>
          <w:tcPr>
            <w:tcW w:w="1659" w:type="pct"/>
            <w:shd w:val="clear" w:color="auto" w:fill="auto"/>
            <w:noWrap/>
            <w:vAlign w:val="center"/>
          </w:tcPr>
          <w:p w14:paraId="3E784AF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占标率（%）</w:t>
            </w:r>
          </w:p>
        </w:tc>
      </w:tr>
      <w:tr w14:paraId="54DFE2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19C1B99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123" w:type="dxa"/>
            <w:shd w:val="clear" w:color="auto" w:fill="auto"/>
            <w:noWrap/>
            <w:vAlign w:val="center"/>
          </w:tcPr>
          <w:p w14:paraId="1EA629E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4.99E-02</w:t>
            </w:r>
          </w:p>
        </w:tc>
        <w:tc>
          <w:tcPr>
            <w:tcW w:w="3080" w:type="dxa"/>
            <w:shd w:val="clear" w:color="auto" w:fill="auto"/>
            <w:noWrap/>
            <w:vAlign w:val="center"/>
          </w:tcPr>
          <w:p w14:paraId="4CFD465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5.54</w:t>
            </w:r>
          </w:p>
        </w:tc>
      </w:tr>
      <w:tr w14:paraId="38F034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3C53F0B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3123" w:type="dxa"/>
            <w:shd w:val="clear" w:color="auto" w:fill="auto"/>
            <w:noWrap/>
            <w:vAlign w:val="center"/>
          </w:tcPr>
          <w:p w14:paraId="6EB5F10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7.41E-02</w:t>
            </w:r>
          </w:p>
        </w:tc>
        <w:tc>
          <w:tcPr>
            <w:tcW w:w="3080" w:type="dxa"/>
            <w:shd w:val="clear" w:color="auto" w:fill="auto"/>
            <w:noWrap/>
            <w:vAlign w:val="center"/>
          </w:tcPr>
          <w:p w14:paraId="0E8FE6D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8.24</w:t>
            </w:r>
          </w:p>
        </w:tc>
      </w:tr>
      <w:tr w14:paraId="3510FB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FDD960" w:themeFill="accent3" w:themeFillTint="99"/>
            <w:noWrap/>
            <w:vAlign w:val="center"/>
          </w:tcPr>
          <w:p w14:paraId="4A7F576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3123" w:type="dxa"/>
            <w:shd w:val="clear" w:color="auto" w:fill="FDD960" w:themeFill="accent3" w:themeFillTint="99"/>
            <w:noWrap/>
            <w:vAlign w:val="center"/>
          </w:tcPr>
          <w:p w14:paraId="1AEE4FD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7.91E-02</w:t>
            </w:r>
          </w:p>
        </w:tc>
        <w:tc>
          <w:tcPr>
            <w:tcW w:w="3080" w:type="dxa"/>
            <w:shd w:val="clear" w:color="auto" w:fill="FDD960" w:themeFill="accent3" w:themeFillTint="99"/>
            <w:noWrap/>
            <w:vAlign w:val="center"/>
          </w:tcPr>
          <w:p w14:paraId="311C038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8.79</w:t>
            </w:r>
          </w:p>
        </w:tc>
      </w:tr>
      <w:tr w14:paraId="1E8773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7BBF4C5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123" w:type="dxa"/>
            <w:shd w:val="clear" w:color="auto" w:fill="auto"/>
            <w:noWrap/>
            <w:vAlign w:val="center"/>
          </w:tcPr>
          <w:p w14:paraId="2433CD4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6.61E-02</w:t>
            </w:r>
          </w:p>
        </w:tc>
        <w:tc>
          <w:tcPr>
            <w:tcW w:w="3080" w:type="dxa"/>
            <w:shd w:val="clear" w:color="auto" w:fill="auto"/>
            <w:noWrap/>
            <w:vAlign w:val="center"/>
          </w:tcPr>
          <w:p w14:paraId="17CD5F3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7.34</w:t>
            </w:r>
          </w:p>
        </w:tc>
      </w:tr>
      <w:tr w14:paraId="787014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5C23C28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3123" w:type="dxa"/>
            <w:shd w:val="clear" w:color="auto" w:fill="auto"/>
            <w:noWrap/>
            <w:vAlign w:val="center"/>
          </w:tcPr>
          <w:p w14:paraId="183DD0C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4.55E-02</w:t>
            </w:r>
          </w:p>
        </w:tc>
        <w:tc>
          <w:tcPr>
            <w:tcW w:w="3080" w:type="dxa"/>
            <w:shd w:val="clear" w:color="auto" w:fill="auto"/>
            <w:noWrap/>
            <w:vAlign w:val="center"/>
          </w:tcPr>
          <w:p w14:paraId="7B5F4B9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5.06</w:t>
            </w:r>
          </w:p>
        </w:tc>
      </w:tr>
      <w:tr w14:paraId="0900F3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55C8A92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3123" w:type="dxa"/>
            <w:shd w:val="clear" w:color="auto" w:fill="auto"/>
            <w:noWrap/>
            <w:vAlign w:val="center"/>
          </w:tcPr>
          <w:p w14:paraId="4877DF7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3.28E-02</w:t>
            </w:r>
          </w:p>
        </w:tc>
        <w:tc>
          <w:tcPr>
            <w:tcW w:w="3080" w:type="dxa"/>
            <w:shd w:val="clear" w:color="auto" w:fill="auto"/>
            <w:noWrap/>
            <w:vAlign w:val="center"/>
          </w:tcPr>
          <w:p w14:paraId="47A34D3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3.64</w:t>
            </w:r>
          </w:p>
        </w:tc>
      </w:tr>
      <w:tr w14:paraId="6E492A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5073F13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3123" w:type="dxa"/>
            <w:shd w:val="clear" w:color="auto" w:fill="auto"/>
            <w:noWrap/>
            <w:vAlign w:val="center"/>
          </w:tcPr>
          <w:p w14:paraId="337B2D9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2.49E-02</w:t>
            </w:r>
          </w:p>
        </w:tc>
        <w:tc>
          <w:tcPr>
            <w:tcW w:w="3080" w:type="dxa"/>
            <w:shd w:val="clear" w:color="auto" w:fill="auto"/>
            <w:noWrap/>
            <w:vAlign w:val="center"/>
          </w:tcPr>
          <w:p w14:paraId="06C6F17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2.77</w:t>
            </w:r>
          </w:p>
        </w:tc>
      </w:tr>
      <w:tr w14:paraId="6CC3E1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40C8358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3123" w:type="dxa"/>
            <w:shd w:val="clear" w:color="auto" w:fill="auto"/>
            <w:noWrap/>
            <w:vAlign w:val="center"/>
          </w:tcPr>
          <w:p w14:paraId="39DABFE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1.95E-02</w:t>
            </w:r>
          </w:p>
        </w:tc>
        <w:tc>
          <w:tcPr>
            <w:tcW w:w="3080" w:type="dxa"/>
            <w:shd w:val="clear" w:color="auto" w:fill="auto"/>
            <w:noWrap/>
            <w:vAlign w:val="center"/>
          </w:tcPr>
          <w:p w14:paraId="3900D3E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2.16</w:t>
            </w:r>
          </w:p>
        </w:tc>
      </w:tr>
      <w:tr w14:paraId="55ABC5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0ADA970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175</w:t>
            </w:r>
          </w:p>
        </w:tc>
        <w:tc>
          <w:tcPr>
            <w:tcW w:w="3123" w:type="dxa"/>
            <w:shd w:val="clear" w:color="auto" w:fill="auto"/>
            <w:noWrap/>
            <w:vAlign w:val="center"/>
          </w:tcPr>
          <w:p w14:paraId="281B8AD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1.63E-02</w:t>
            </w:r>
          </w:p>
        </w:tc>
        <w:tc>
          <w:tcPr>
            <w:tcW w:w="3080" w:type="dxa"/>
            <w:shd w:val="clear" w:color="auto" w:fill="auto"/>
            <w:noWrap/>
            <w:vAlign w:val="center"/>
          </w:tcPr>
          <w:p w14:paraId="41D98BA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1.81</w:t>
            </w:r>
          </w:p>
        </w:tc>
      </w:tr>
      <w:tr w14:paraId="29A0D6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718A898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3123" w:type="dxa"/>
            <w:shd w:val="clear" w:color="auto" w:fill="auto"/>
            <w:noWrap/>
            <w:vAlign w:val="center"/>
          </w:tcPr>
          <w:p w14:paraId="6BFEE5C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1.37E-02</w:t>
            </w:r>
          </w:p>
        </w:tc>
        <w:tc>
          <w:tcPr>
            <w:tcW w:w="3080" w:type="dxa"/>
            <w:shd w:val="clear" w:color="auto" w:fill="auto"/>
            <w:noWrap/>
            <w:vAlign w:val="center"/>
          </w:tcPr>
          <w:p w14:paraId="6C2814B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1.52</w:t>
            </w:r>
          </w:p>
        </w:tc>
      </w:tr>
      <w:tr w14:paraId="0F0893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3C7482F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3123" w:type="dxa"/>
            <w:shd w:val="clear" w:color="auto" w:fill="auto"/>
            <w:noWrap/>
            <w:vAlign w:val="center"/>
          </w:tcPr>
          <w:p w14:paraId="38A97B9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1.18E-02</w:t>
            </w:r>
          </w:p>
        </w:tc>
        <w:tc>
          <w:tcPr>
            <w:tcW w:w="3080" w:type="dxa"/>
            <w:shd w:val="clear" w:color="auto" w:fill="auto"/>
            <w:noWrap/>
            <w:vAlign w:val="center"/>
          </w:tcPr>
          <w:p w14:paraId="6E41603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1.31</w:t>
            </w:r>
          </w:p>
        </w:tc>
      </w:tr>
      <w:tr w14:paraId="31160F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566889E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3123" w:type="dxa"/>
            <w:shd w:val="clear" w:color="auto" w:fill="auto"/>
            <w:noWrap/>
            <w:vAlign w:val="center"/>
          </w:tcPr>
          <w:p w14:paraId="59FED17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9.89E-03</w:t>
            </w:r>
          </w:p>
        </w:tc>
        <w:tc>
          <w:tcPr>
            <w:tcW w:w="3080" w:type="dxa"/>
            <w:shd w:val="clear" w:color="auto" w:fill="auto"/>
            <w:noWrap/>
            <w:vAlign w:val="center"/>
          </w:tcPr>
          <w:p w14:paraId="5901B0E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r>
      <w:tr w14:paraId="43DBFB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2C67C5E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w:t>
            </w:r>
          </w:p>
        </w:tc>
        <w:tc>
          <w:tcPr>
            <w:tcW w:w="3123" w:type="dxa"/>
            <w:shd w:val="clear" w:color="auto" w:fill="auto"/>
            <w:noWrap/>
            <w:vAlign w:val="center"/>
          </w:tcPr>
          <w:p w14:paraId="59094BD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8.76E-03</w:t>
            </w:r>
          </w:p>
        </w:tc>
        <w:tc>
          <w:tcPr>
            <w:tcW w:w="3080" w:type="dxa"/>
            <w:shd w:val="clear" w:color="auto" w:fill="auto"/>
            <w:noWrap/>
            <w:vAlign w:val="center"/>
          </w:tcPr>
          <w:p w14:paraId="6375D6F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0.97</w:t>
            </w:r>
          </w:p>
        </w:tc>
      </w:tr>
      <w:tr w14:paraId="09F5C8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560DD6C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3123" w:type="dxa"/>
            <w:shd w:val="clear" w:color="auto" w:fill="auto"/>
            <w:noWrap/>
            <w:vAlign w:val="center"/>
          </w:tcPr>
          <w:p w14:paraId="063A117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7.92E-03</w:t>
            </w:r>
          </w:p>
        </w:tc>
        <w:tc>
          <w:tcPr>
            <w:tcW w:w="3080" w:type="dxa"/>
            <w:shd w:val="clear" w:color="auto" w:fill="auto"/>
            <w:noWrap/>
            <w:vAlign w:val="center"/>
          </w:tcPr>
          <w:p w14:paraId="1BF59F0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0.88</w:t>
            </w:r>
          </w:p>
        </w:tc>
      </w:tr>
      <w:tr w14:paraId="27CE95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4822DB9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w:t>
            </w:r>
          </w:p>
        </w:tc>
        <w:tc>
          <w:tcPr>
            <w:tcW w:w="3123" w:type="dxa"/>
            <w:shd w:val="clear" w:color="auto" w:fill="auto"/>
            <w:noWrap/>
            <w:vAlign w:val="center"/>
          </w:tcPr>
          <w:p w14:paraId="77385A4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7.14E-03</w:t>
            </w:r>
          </w:p>
        </w:tc>
        <w:tc>
          <w:tcPr>
            <w:tcW w:w="3080" w:type="dxa"/>
            <w:shd w:val="clear" w:color="auto" w:fill="auto"/>
            <w:noWrap/>
            <w:vAlign w:val="center"/>
          </w:tcPr>
          <w:p w14:paraId="2E8793B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0.79</w:t>
            </w:r>
          </w:p>
        </w:tc>
      </w:tr>
      <w:tr w14:paraId="40FCD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4716C4B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3123" w:type="dxa"/>
            <w:shd w:val="clear" w:color="auto" w:fill="auto"/>
            <w:noWrap/>
            <w:vAlign w:val="center"/>
          </w:tcPr>
          <w:p w14:paraId="3024CC8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6.44E-03</w:t>
            </w:r>
          </w:p>
        </w:tc>
        <w:tc>
          <w:tcPr>
            <w:tcW w:w="3080" w:type="dxa"/>
            <w:shd w:val="clear" w:color="auto" w:fill="auto"/>
            <w:noWrap/>
            <w:vAlign w:val="center"/>
          </w:tcPr>
          <w:p w14:paraId="78CA0A8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0.72</w:t>
            </w:r>
          </w:p>
        </w:tc>
      </w:tr>
      <w:tr w14:paraId="755917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5E4CDDC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375</w:t>
            </w:r>
          </w:p>
        </w:tc>
        <w:tc>
          <w:tcPr>
            <w:tcW w:w="3123" w:type="dxa"/>
            <w:shd w:val="clear" w:color="auto" w:fill="auto"/>
            <w:noWrap/>
            <w:vAlign w:val="center"/>
          </w:tcPr>
          <w:p w14:paraId="30EDD72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5.81E-03</w:t>
            </w:r>
          </w:p>
        </w:tc>
        <w:tc>
          <w:tcPr>
            <w:tcW w:w="3080" w:type="dxa"/>
            <w:shd w:val="clear" w:color="auto" w:fill="auto"/>
            <w:noWrap/>
            <w:vAlign w:val="center"/>
          </w:tcPr>
          <w:p w14:paraId="7F0ACDC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0.65</w:t>
            </w:r>
          </w:p>
        </w:tc>
      </w:tr>
      <w:tr w14:paraId="1E6580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39A1E5D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3123" w:type="dxa"/>
            <w:shd w:val="clear" w:color="auto" w:fill="auto"/>
            <w:noWrap/>
            <w:vAlign w:val="center"/>
          </w:tcPr>
          <w:p w14:paraId="6D8A21C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5.38E-03</w:t>
            </w:r>
          </w:p>
        </w:tc>
        <w:tc>
          <w:tcPr>
            <w:tcW w:w="3080" w:type="dxa"/>
            <w:shd w:val="clear" w:color="auto" w:fill="auto"/>
            <w:noWrap/>
            <w:vAlign w:val="center"/>
          </w:tcPr>
          <w:p w14:paraId="51A0B49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w:t>
            </w:r>
          </w:p>
        </w:tc>
      </w:tr>
      <w:tr w14:paraId="512A99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60F532B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3123" w:type="dxa"/>
            <w:shd w:val="clear" w:color="auto" w:fill="auto"/>
            <w:noWrap/>
            <w:vAlign w:val="center"/>
          </w:tcPr>
          <w:p w14:paraId="6FEDB6D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4.94E-03</w:t>
            </w:r>
          </w:p>
        </w:tc>
        <w:tc>
          <w:tcPr>
            <w:tcW w:w="3080" w:type="dxa"/>
            <w:shd w:val="clear" w:color="auto" w:fill="auto"/>
            <w:noWrap/>
            <w:vAlign w:val="center"/>
          </w:tcPr>
          <w:p w14:paraId="1D2CA59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0.55</w:t>
            </w:r>
          </w:p>
        </w:tc>
      </w:tr>
      <w:tr w14:paraId="15ACC2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098A90F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3123" w:type="dxa"/>
            <w:shd w:val="clear" w:color="auto" w:fill="auto"/>
            <w:noWrap/>
            <w:vAlign w:val="center"/>
          </w:tcPr>
          <w:p w14:paraId="7F2EE0B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4.59E-03</w:t>
            </w:r>
          </w:p>
        </w:tc>
        <w:tc>
          <w:tcPr>
            <w:tcW w:w="3080" w:type="dxa"/>
            <w:shd w:val="clear" w:color="auto" w:fill="auto"/>
            <w:noWrap/>
            <w:vAlign w:val="center"/>
          </w:tcPr>
          <w:p w14:paraId="65D25FF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0.51</w:t>
            </w:r>
          </w:p>
        </w:tc>
      </w:tr>
      <w:tr w14:paraId="233EBF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5CCE04B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475</w:t>
            </w:r>
          </w:p>
        </w:tc>
        <w:tc>
          <w:tcPr>
            <w:tcW w:w="3123" w:type="dxa"/>
            <w:shd w:val="clear" w:color="auto" w:fill="auto"/>
            <w:noWrap/>
            <w:vAlign w:val="center"/>
          </w:tcPr>
          <w:p w14:paraId="2A2D905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4.15E-03</w:t>
            </w:r>
          </w:p>
        </w:tc>
        <w:tc>
          <w:tcPr>
            <w:tcW w:w="3080" w:type="dxa"/>
            <w:shd w:val="clear" w:color="auto" w:fill="auto"/>
            <w:noWrap/>
            <w:vAlign w:val="center"/>
          </w:tcPr>
          <w:p w14:paraId="39E7823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0.46</w:t>
            </w:r>
          </w:p>
        </w:tc>
      </w:tr>
      <w:tr w14:paraId="2AB03D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1618002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3123" w:type="dxa"/>
            <w:shd w:val="clear" w:color="auto" w:fill="auto"/>
            <w:noWrap/>
            <w:vAlign w:val="center"/>
          </w:tcPr>
          <w:p w14:paraId="6C21705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3.94E-03</w:t>
            </w:r>
          </w:p>
        </w:tc>
        <w:tc>
          <w:tcPr>
            <w:tcW w:w="3080" w:type="dxa"/>
            <w:shd w:val="clear" w:color="auto" w:fill="auto"/>
            <w:noWrap/>
            <w:vAlign w:val="center"/>
          </w:tcPr>
          <w:p w14:paraId="1B9E354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0.44</w:t>
            </w:r>
          </w:p>
        </w:tc>
      </w:tr>
      <w:tr w14:paraId="128172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103D174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525</w:t>
            </w:r>
          </w:p>
        </w:tc>
        <w:tc>
          <w:tcPr>
            <w:tcW w:w="3123" w:type="dxa"/>
            <w:shd w:val="clear" w:color="auto" w:fill="auto"/>
            <w:noWrap/>
            <w:vAlign w:val="center"/>
          </w:tcPr>
          <w:p w14:paraId="69EBD8D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3.72E-03</w:t>
            </w:r>
          </w:p>
        </w:tc>
        <w:tc>
          <w:tcPr>
            <w:tcW w:w="3080" w:type="dxa"/>
            <w:shd w:val="clear" w:color="auto" w:fill="auto"/>
            <w:noWrap/>
            <w:vAlign w:val="center"/>
          </w:tcPr>
          <w:p w14:paraId="49BB06B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0.41</w:t>
            </w:r>
          </w:p>
        </w:tc>
      </w:tr>
      <w:tr w14:paraId="7CE700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11E85D7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3123" w:type="dxa"/>
            <w:shd w:val="clear" w:color="auto" w:fill="auto"/>
            <w:noWrap/>
            <w:vAlign w:val="center"/>
          </w:tcPr>
          <w:p w14:paraId="205A589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3.49E-03</w:t>
            </w:r>
          </w:p>
        </w:tc>
        <w:tc>
          <w:tcPr>
            <w:tcW w:w="3080" w:type="dxa"/>
            <w:shd w:val="clear" w:color="auto" w:fill="auto"/>
            <w:noWrap/>
            <w:vAlign w:val="center"/>
          </w:tcPr>
          <w:p w14:paraId="3779805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0.39</w:t>
            </w:r>
          </w:p>
        </w:tc>
      </w:tr>
      <w:tr w14:paraId="7543F0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441DCF9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w:t>
            </w:r>
          </w:p>
        </w:tc>
        <w:tc>
          <w:tcPr>
            <w:tcW w:w="3123" w:type="dxa"/>
            <w:shd w:val="clear" w:color="auto" w:fill="auto"/>
            <w:noWrap/>
            <w:vAlign w:val="center"/>
          </w:tcPr>
          <w:p w14:paraId="5EBCE73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3.28E-03</w:t>
            </w:r>
          </w:p>
        </w:tc>
        <w:tc>
          <w:tcPr>
            <w:tcW w:w="3080" w:type="dxa"/>
            <w:shd w:val="clear" w:color="auto" w:fill="auto"/>
            <w:noWrap/>
            <w:vAlign w:val="center"/>
          </w:tcPr>
          <w:p w14:paraId="2EC8626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0.36</w:t>
            </w:r>
          </w:p>
        </w:tc>
      </w:tr>
      <w:tr w14:paraId="20D230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1CF5151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3123" w:type="dxa"/>
            <w:shd w:val="clear" w:color="auto" w:fill="auto"/>
            <w:noWrap/>
            <w:vAlign w:val="center"/>
          </w:tcPr>
          <w:p w14:paraId="5F3C4F0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2.80E-03</w:t>
            </w:r>
          </w:p>
        </w:tc>
        <w:tc>
          <w:tcPr>
            <w:tcW w:w="3080" w:type="dxa"/>
            <w:shd w:val="clear" w:color="auto" w:fill="auto"/>
            <w:noWrap/>
            <w:vAlign w:val="center"/>
          </w:tcPr>
          <w:p w14:paraId="48E6B96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0.31</w:t>
            </w:r>
          </w:p>
        </w:tc>
      </w:tr>
      <w:tr w14:paraId="10AAE5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15FA200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625</w:t>
            </w:r>
          </w:p>
        </w:tc>
        <w:tc>
          <w:tcPr>
            <w:tcW w:w="3123" w:type="dxa"/>
            <w:shd w:val="clear" w:color="auto" w:fill="auto"/>
            <w:noWrap/>
            <w:vAlign w:val="center"/>
          </w:tcPr>
          <w:p w14:paraId="1ADAA58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2.89E-03</w:t>
            </w:r>
          </w:p>
        </w:tc>
        <w:tc>
          <w:tcPr>
            <w:tcW w:w="3080" w:type="dxa"/>
            <w:shd w:val="clear" w:color="auto" w:fill="auto"/>
            <w:noWrap/>
            <w:vAlign w:val="center"/>
          </w:tcPr>
          <w:p w14:paraId="29E6FC1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0.32</w:t>
            </w:r>
          </w:p>
        </w:tc>
      </w:tr>
      <w:tr w14:paraId="20260E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082D247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650</w:t>
            </w:r>
          </w:p>
        </w:tc>
        <w:tc>
          <w:tcPr>
            <w:tcW w:w="3123" w:type="dxa"/>
            <w:shd w:val="clear" w:color="auto" w:fill="auto"/>
            <w:noWrap/>
            <w:vAlign w:val="center"/>
          </w:tcPr>
          <w:p w14:paraId="0C37639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2.76E-03</w:t>
            </w:r>
          </w:p>
        </w:tc>
        <w:tc>
          <w:tcPr>
            <w:tcW w:w="3080" w:type="dxa"/>
            <w:shd w:val="clear" w:color="auto" w:fill="auto"/>
            <w:noWrap/>
            <w:vAlign w:val="center"/>
          </w:tcPr>
          <w:p w14:paraId="3EE90B6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0.31</w:t>
            </w:r>
          </w:p>
        </w:tc>
      </w:tr>
      <w:tr w14:paraId="1EB0C9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307EA33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675</w:t>
            </w:r>
          </w:p>
        </w:tc>
        <w:tc>
          <w:tcPr>
            <w:tcW w:w="3123" w:type="dxa"/>
            <w:shd w:val="clear" w:color="auto" w:fill="auto"/>
            <w:noWrap/>
            <w:vAlign w:val="center"/>
          </w:tcPr>
          <w:p w14:paraId="7465B07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2.47E-03</w:t>
            </w:r>
          </w:p>
        </w:tc>
        <w:tc>
          <w:tcPr>
            <w:tcW w:w="3080" w:type="dxa"/>
            <w:shd w:val="clear" w:color="auto" w:fill="auto"/>
            <w:noWrap/>
            <w:vAlign w:val="center"/>
          </w:tcPr>
          <w:p w14:paraId="596858B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0.27</w:t>
            </w:r>
          </w:p>
        </w:tc>
      </w:tr>
      <w:tr w14:paraId="7001BF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6576B9C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700</w:t>
            </w:r>
          </w:p>
        </w:tc>
        <w:tc>
          <w:tcPr>
            <w:tcW w:w="3123" w:type="dxa"/>
            <w:shd w:val="clear" w:color="auto" w:fill="auto"/>
            <w:noWrap/>
            <w:vAlign w:val="center"/>
          </w:tcPr>
          <w:p w14:paraId="7A5143A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2.44E-03</w:t>
            </w:r>
          </w:p>
        </w:tc>
        <w:tc>
          <w:tcPr>
            <w:tcW w:w="3080" w:type="dxa"/>
            <w:shd w:val="clear" w:color="auto" w:fill="auto"/>
            <w:noWrap/>
            <w:vAlign w:val="center"/>
          </w:tcPr>
          <w:p w14:paraId="45D4DF1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0.27</w:t>
            </w:r>
          </w:p>
        </w:tc>
      </w:tr>
      <w:tr w14:paraId="332BFC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72A11AF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725</w:t>
            </w:r>
          </w:p>
        </w:tc>
        <w:tc>
          <w:tcPr>
            <w:tcW w:w="3123" w:type="dxa"/>
            <w:shd w:val="clear" w:color="auto" w:fill="auto"/>
            <w:noWrap/>
            <w:vAlign w:val="center"/>
          </w:tcPr>
          <w:p w14:paraId="41BEBCC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2.41E-03</w:t>
            </w:r>
          </w:p>
        </w:tc>
        <w:tc>
          <w:tcPr>
            <w:tcW w:w="3080" w:type="dxa"/>
            <w:shd w:val="clear" w:color="auto" w:fill="auto"/>
            <w:noWrap/>
            <w:vAlign w:val="center"/>
          </w:tcPr>
          <w:p w14:paraId="24D2511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0.27</w:t>
            </w:r>
          </w:p>
        </w:tc>
      </w:tr>
      <w:tr w14:paraId="2809C0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23FCD1F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750</w:t>
            </w:r>
          </w:p>
        </w:tc>
        <w:tc>
          <w:tcPr>
            <w:tcW w:w="3123" w:type="dxa"/>
            <w:shd w:val="clear" w:color="auto" w:fill="auto"/>
            <w:noWrap/>
            <w:vAlign w:val="center"/>
          </w:tcPr>
          <w:p w14:paraId="71CE951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2.22E-03</w:t>
            </w:r>
          </w:p>
        </w:tc>
        <w:tc>
          <w:tcPr>
            <w:tcW w:w="3080" w:type="dxa"/>
            <w:shd w:val="clear" w:color="auto" w:fill="auto"/>
            <w:noWrap/>
            <w:vAlign w:val="center"/>
          </w:tcPr>
          <w:p w14:paraId="2AFFB78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0.25</w:t>
            </w:r>
          </w:p>
        </w:tc>
      </w:tr>
      <w:tr w14:paraId="3A58FD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3E3C361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775</w:t>
            </w:r>
          </w:p>
        </w:tc>
        <w:tc>
          <w:tcPr>
            <w:tcW w:w="3123" w:type="dxa"/>
            <w:shd w:val="clear" w:color="auto" w:fill="auto"/>
            <w:noWrap/>
            <w:vAlign w:val="center"/>
          </w:tcPr>
          <w:p w14:paraId="66999C1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2.10E-03</w:t>
            </w:r>
          </w:p>
        </w:tc>
        <w:tc>
          <w:tcPr>
            <w:tcW w:w="3080" w:type="dxa"/>
            <w:shd w:val="clear" w:color="auto" w:fill="auto"/>
            <w:noWrap/>
            <w:vAlign w:val="center"/>
          </w:tcPr>
          <w:p w14:paraId="00E3CF7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0.23</w:t>
            </w:r>
          </w:p>
        </w:tc>
      </w:tr>
      <w:tr w14:paraId="3CD3F0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5053C33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800</w:t>
            </w:r>
          </w:p>
        </w:tc>
        <w:tc>
          <w:tcPr>
            <w:tcW w:w="3123" w:type="dxa"/>
            <w:shd w:val="clear" w:color="auto" w:fill="auto"/>
            <w:noWrap/>
            <w:vAlign w:val="center"/>
          </w:tcPr>
          <w:p w14:paraId="757B054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2.08E-03</w:t>
            </w:r>
          </w:p>
        </w:tc>
        <w:tc>
          <w:tcPr>
            <w:tcW w:w="3080" w:type="dxa"/>
            <w:shd w:val="clear" w:color="auto" w:fill="auto"/>
            <w:noWrap/>
            <w:vAlign w:val="center"/>
          </w:tcPr>
          <w:p w14:paraId="4DAC03A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0.23</w:t>
            </w:r>
          </w:p>
        </w:tc>
      </w:tr>
      <w:tr w14:paraId="54BC3A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0533C32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825</w:t>
            </w:r>
          </w:p>
        </w:tc>
        <w:tc>
          <w:tcPr>
            <w:tcW w:w="3123" w:type="dxa"/>
            <w:shd w:val="clear" w:color="auto" w:fill="auto"/>
            <w:noWrap/>
            <w:vAlign w:val="center"/>
          </w:tcPr>
          <w:p w14:paraId="6A2BC14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2.03E-03</w:t>
            </w:r>
          </w:p>
        </w:tc>
        <w:tc>
          <w:tcPr>
            <w:tcW w:w="3080" w:type="dxa"/>
            <w:shd w:val="clear" w:color="auto" w:fill="auto"/>
            <w:noWrap/>
            <w:vAlign w:val="center"/>
          </w:tcPr>
          <w:p w14:paraId="1D1152A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0.23</w:t>
            </w:r>
          </w:p>
        </w:tc>
      </w:tr>
      <w:tr w14:paraId="4FDA44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5C3B48F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850</w:t>
            </w:r>
          </w:p>
        </w:tc>
        <w:tc>
          <w:tcPr>
            <w:tcW w:w="3123" w:type="dxa"/>
            <w:shd w:val="clear" w:color="auto" w:fill="auto"/>
            <w:noWrap/>
            <w:vAlign w:val="center"/>
          </w:tcPr>
          <w:p w14:paraId="1FF5109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1.92E-03</w:t>
            </w:r>
          </w:p>
        </w:tc>
        <w:tc>
          <w:tcPr>
            <w:tcW w:w="3080" w:type="dxa"/>
            <w:shd w:val="clear" w:color="auto" w:fill="auto"/>
            <w:noWrap/>
            <w:vAlign w:val="center"/>
          </w:tcPr>
          <w:p w14:paraId="1D75477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0.21</w:t>
            </w:r>
          </w:p>
        </w:tc>
      </w:tr>
      <w:tr w14:paraId="368E30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312137E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875</w:t>
            </w:r>
          </w:p>
        </w:tc>
        <w:tc>
          <w:tcPr>
            <w:tcW w:w="3123" w:type="dxa"/>
            <w:shd w:val="clear" w:color="auto" w:fill="auto"/>
            <w:noWrap/>
            <w:vAlign w:val="center"/>
          </w:tcPr>
          <w:p w14:paraId="60B8A03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1.87E-03</w:t>
            </w:r>
          </w:p>
        </w:tc>
        <w:tc>
          <w:tcPr>
            <w:tcW w:w="3080" w:type="dxa"/>
            <w:shd w:val="clear" w:color="auto" w:fill="auto"/>
            <w:noWrap/>
            <w:vAlign w:val="center"/>
          </w:tcPr>
          <w:p w14:paraId="4C3714E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0.21</w:t>
            </w:r>
          </w:p>
        </w:tc>
      </w:tr>
      <w:tr w14:paraId="0A9D97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1E25458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w:t>
            </w:r>
          </w:p>
        </w:tc>
        <w:tc>
          <w:tcPr>
            <w:tcW w:w="3123" w:type="dxa"/>
            <w:shd w:val="clear" w:color="auto" w:fill="auto"/>
            <w:noWrap/>
            <w:vAlign w:val="center"/>
          </w:tcPr>
          <w:p w14:paraId="56646A8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1.75E-03</w:t>
            </w:r>
          </w:p>
        </w:tc>
        <w:tc>
          <w:tcPr>
            <w:tcW w:w="3080" w:type="dxa"/>
            <w:shd w:val="clear" w:color="auto" w:fill="auto"/>
            <w:noWrap/>
            <w:vAlign w:val="center"/>
          </w:tcPr>
          <w:p w14:paraId="72E3758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0.19</w:t>
            </w:r>
          </w:p>
        </w:tc>
      </w:tr>
      <w:tr w14:paraId="7196E1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1875721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925</w:t>
            </w:r>
          </w:p>
        </w:tc>
        <w:tc>
          <w:tcPr>
            <w:tcW w:w="3123" w:type="dxa"/>
            <w:shd w:val="clear" w:color="auto" w:fill="auto"/>
            <w:noWrap/>
            <w:vAlign w:val="center"/>
          </w:tcPr>
          <w:p w14:paraId="3416AB9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1.60E-03</w:t>
            </w:r>
          </w:p>
        </w:tc>
        <w:tc>
          <w:tcPr>
            <w:tcW w:w="3080" w:type="dxa"/>
            <w:shd w:val="clear" w:color="auto" w:fill="auto"/>
            <w:noWrap/>
            <w:vAlign w:val="center"/>
          </w:tcPr>
          <w:p w14:paraId="088D95E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w:t>
            </w:r>
          </w:p>
        </w:tc>
      </w:tr>
      <w:tr w14:paraId="23771B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03E41AB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950</w:t>
            </w:r>
          </w:p>
        </w:tc>
        <w:tc>
          <w:tcPr>
            <w:tcW w:w="3123" w:type="dxa"/>
            <w:shd w:val="clear" w:color="auto" w:fill="auto"/>
            <w:noWrap/>
            <w:vAlign w:val="center"/>
          </w:tcPr>
          <w:p w14:paraId="0249ABB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1.69E-03</w:t>
            </w:r>
          </w:p>
        </w:tc>
        <w:tc>
          <w:tcPr>
            <w:tcW w:w="3080" w:type="dxa"/>
            <w:shd w:val="clear" w:color="auto" w:fill="auto"/>
            <w:noWrap/>
            <w:vAlign w:val="center"/>
          </w:tcPr>
          <w:p w14:paraId="13A6872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0.19</w:t>
            </w:r>
          </w:p>
        </w:tc>
      </w:tr>
      <w:tr w14:paraId="2E24A0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78D2DF6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975</w:t>
            </w:r>
          </w:p>
        </w:tc>
        <w:tc>
          <w:tcPr>
            <w:tcW w:w="3123" w:type="dxa"/>
            <w:shd w:val="clear" w:color="auto" w:fill="auto"/>
            <w:noWrap/>
            <w:vAlign w:val="center"/>
          </w:tcPr>
          <w:p w14:paraId="271558A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1.62E-03</w:t>
            </w:r>
          </w:p>
        </w:tc>
        <w:tc>
          <w:tcPr>
            <w:tcW w:w="3080" w:type="dxa"/>
            <w:shd w:val="clear" w:color="auto" w:fill="auto"/>
            <w:noWrap/>
            <w:vAlign w:val="center"/>
          </w:tcPr>
          <w:p w14:paraId="1E30B6D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w:t>
            </w:r>
          </w:p>
        </w:tc>
      </w:tr>
      <w:tr w14:paraId="33D13F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293E966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w:t>
            </w:r>
          </w:p>
        </w:tc>
        <w:tc>
          <w:tcPr>
            <w:tcW w:w="3123" w:type="dxa"/>
            <w:shd w:val="clear" w:color="auto" w:fill="auto"/>
            <w:noWrap/>
            <w:vAlign w:val="center"/>
          </w:tcPr>
          <w:p w14:paraId="72EC80A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1.57E-03</w:t>
            </w:r>
          </w:p>
        </w:tc>
        <w:tc>
          <w:tcPr>
            <w:tcW w:w="3080" w:type="dxa"/>
            <w:shd w:val="clear" w:color="auto" w:fill="auto"/>
            <w:noWrap/>
            <w:vAlign w:val="center"/>
          </w:tcPr>
          <w:p w14:paraId="3A75FD6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0.17</w:t>
            </w:r>
          </w:p>
        </w:tc>
      </w:tr>
      <w:tr w14:paraId="293AE9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17776896">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1500</w:t>
            </w:r>
          </w:p>
        </w:tc>
        <w:tc>
          <w:tcPr>
            <w:tcW w:w="3123" w:type="dxa"/>
            <w:shd w:val="clear" w:color="auto" w:fill="auto"/>
            <w:noWrap/>
            <w:vAlign w:val="center"/>
          </w:tcPr>
          <w:p w14:paraId="21BEC4E7">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9.21E-04</w:t>
            </w:r>
          </w:p>
        </w:tc>
        <w:tc>
          <w:tcPr>
            <w:tcW w:w="3080" w:type="dxa"/>
            <w:shd w:val="clear" w:color="auto" w:fill="auto"/>
            <w:noWrap/>
            <w:vAlign w:val="center"/>
          </w:tcPr>
          <w:p w14:paraId="146A837D">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w:t>
            </w:r>
          </w:p>
        </w:tc>
      </w:tr>
      <w:tr w14:paraId="5BBE61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2AB72E36">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2000</w:t>
            </w:r>
          </w:p>
        </w:tc>
        <w:tc>
          <w:tcPr>
            <w:tcW w:w="3123" w:type="dxa"/>
            <w:shd w:val="clear" w:color="auto" w:fill="auto"/>
            <w:noWrap/>
            <w:vAlign w:val="center"/>
          </w:tcPr>
          <w:p w14:paraId="03A81049">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5.70E-04</w:t>
            </w:r>
          </w:p>
        </w:tc>
        <w:tc>
          <w:tcPr>
            <w:tcW w:w="3080" w:type="dxa"/>
            <w:shd w:val="clear" w:color="auto" w:fill="auto"/>
            <w:noWrap/>
            <w:vAlign w:val="center"/>
          </w:tcPr>
          <w:p w14:paraId="719E3DEE">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0.06</w:t>
            </w:r>
          </w:p>
        </w:tc>
      </w:tr>
      <w:tr w14:paraId="772A1D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9" w:type="dxa"/>
            <w:shd w:val="clear" w:color="auto" w:fill="auto"/>
            <w:noWrap/>
            <w:vAlign w:val="center"/>
          </w:tcPr>
          <w:p w14:paraId="5721FD52">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2500</w:t>
            </w:r>
          </w:p>
        </w:tc>
        <w:tc>
          <w:tcPr>
            <w:tcW w:w="3123" w:type="dxa"/>
            <w:shd w:val="clear" w:color="auto" w:fill="auto"/>
            <w:noWrap/>
            <w:vAlign w:val="center"/>
          </w:tcPr>
          <w:p w14:paraId="26104A28">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4.42E-04</w:t>
            </w:r>
          </w:p>
        </w:tc>
        <w:tc>
          <w:tcPr>
            <w:tcW w:w="3080" w:type="dxa"/>
            <w:shd w:val="clear" w:color="auto" w:fill="auto"/>
            <w:noWrap/>
            <w:vAlign w:val="center"/>
          </w:tcPr>
          <w:p w14:paraId="423AAA64">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0.05</w:t>
            </w:r>
          </w:p>
        </w:tc>
      </w:tr>
      <w:tr w14:paraId="5AD1DB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8" w:type="pct"/>
            <w:shd w:val="clear" w:color="auto" w:fill="auto"/>
            <w:noWrap/>
            <w:vAlign w:val="center"/>
          </w:tcPr>
          <w:p w14:paraId="3337B3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最大落地浓度（</w:t>
            </w:r>
            <w:r>
              <w:rPr>
                <w:rFonts w:hint="default" w:ascii="Times New Roman" w:hAnsi="Times New Roman" w:cs="Times New Roman"/>
                <w:i w:val="0"/>
                <w:iCs w:val="0"/>
                <w:color w:val="000000"/>
                <w:kern w:val="0"/>
                <w:sz w:val="18"/>
                <w:szCs w:val="18"/>
                <w:u w:val="none"/>
                <w:lang w:val="en-US" w:eastAsia="zh-CN" w:bidi="ar"/>
              </w:rPr>
              <w:t>29</w:t>
            </w:r>
            <w:r>
              <w:rPr>
                <w:rFonts w:hint="default" w:ascii="Times New Roman" w:hAnsi="Times New Roman" w:eastAsia="宋体" w:cs="Times New Roman"/>
                <w:i w:val="0"/>
                <w:iCs w:val="0"/>
                <w:color w:val="000000"/>
                <w:kern w:val="0"/>
                <w:sz w:val="18"/>
                <w:szCs w:val="18"/>
                <w:u w:val="none"/>
                <w:lang w:val="en-US" w:eastAsia="zh-CN" w:bidi="ar"/>
              </w:rPr>
              <w:t>m）</w:t>
            </w:r>
          </w:p>
        </w:tc>
        <w:tc>
          <w:tcPr>
            <w:tcW w:w="3123" w:type="dxa"/>
            <w:shd w:val="clear" w:color="auto" w:fill="auto"/>
            <w:noWrap/>
            <w:vAlign w:val="center"/>
          </w:tcPr>
          <w:p w14:paraId="5D85D4DB">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7.91E-02</w:t>
            </w:r>
          </w:p>
        </w:tc>
        <w:tc>
          <w:tcPr>
            <w:tcW w:w="3080" w:type="dxa"/>
            <w:shd w:val="clear" w:color="auto" w:fill="auto"/>
            <w:noWrap/>
            <w:vAlign w:val="center"/>
          </w:tcPr>
          <w:p w14:paraId="4E9C9AF1">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8.79</w:t>
            </w:r>
          </w:p>
        </w:tc>
      </w:tr>
      <w:tr w14:paraId="63CBA8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8" w:type="pct"/>
            <w:shd w:val="clear" w:color="auto" w:fill="auto"/>
            <w:noWrap/>
            <w:vAlign w:val="center"/>
          </w:tcPr>
          <w:p w14:paraId="0282EA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val="0"/>
                <w:bCs w:val="0"/>
                <w:color w:val="auto"/>
                <w:kern w:val="2"/>
                <w:sz w:val="18"/>
                <w:szCs w:val="18"/>
                <w:highlight w:val="none"/>
                <w:lang w:val="en-US" w:eastAsia="zh-CN" w:bidi="ar"/>
              </w:rPr>
              <w:t>放牛山（西北侧2km）</w:t>
            </w:r>
          </w:p>
        </w:tc>
        <w:tc>
          <w:tcPr>
            <w:tcW w:w="1682" w:type="pct"/>
            <w:shd w:val="clear" w:color="auto" w:fill="auto"/>
            <w:noWrap/>
            <w:vAlign w:val="center"/>
          </w:tcPr>
          <w:p w14:paraId="3D138ADF">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2.98E-04</w:t>
            </w:r>
          </w:p>
        </w:tc>
        <w:tc>
          <w:tcPr>
            <w:tcW w:w="1659" w:type="pct"/>
            <w:shd w:val="clear" w:color="auto" w:fill="auto"/>
            <w:noWrap/>
            <w:vAlign w:val="center"/>
          </w:tcPr>
          <w:p w14:paraId="17658E13">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0.03</w:t>
            </w:r>
          </w:p>
        </w:tc>
      </w:tr>
    </w:tbl>
    <w:p w14:paraId="0DCDBC6C">
      <w:pPr>
        <w:keepNext w:val="0"/>
        <w:keepLines w:val="0"/>
        <w:pageBreakBefore w:val="0"/>
        <w:widowControl/>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rPr>
        <w:t>通过</w:t>
      </w:r>
      <w:r>
        <w:rPr>
          <w:rFonts w:hint="default" w:ascii="Times New Roman" w:hAnsi="Times New Roman" w:cs="Times New Roman"/>
          <w:b w:val="0"/>
          <w:bCs w:val="0"/>
          <w:color w:val="auto"/>
          <w:sz w:val="24"/>
          <w:szCs w:val="24"/>
          <w:highlight w:val="none"/>
          <w:lang w:val="en-US" w:eastAsia="zh-CN"/>
        </w:rPr>
        <w:t>上表</w:t>
      </w:r>
      <w:r>
        <w:rPr>
          <w:rFonts w:hint="default" w:ascii="Times New Roman" w:hAnsi="Times New Roman" w:eastAsia="宋体" w:cs="Times New Roman"/>
          <w:b w:val="0"/>
          <w:bCs w:val="0"/>
          <w:color w:val="auto"/>
          <w:sz w:val="24"/>
          <w:szCs w:val="24"/>
          <w:highlight w:val="none"/>
        </w:rPr>
        <w:t>估算，</w:t>
      </w:r>
      <w:r>
        <w:rPr>
          <w:rFonts w:hint="default" w:ascii="Times New Roman" w:hAnsi="Times New Roman" w:cs="Times New Roman"/>
          <w:b w:val="0"/>
          <w:bCs w:val="0"/>
          <w:color w:val="auto"/>
          <w:sz w:val="24"/>
          <w:szCs w:val="24"/>
          <w:highlight w:val="none"/>
          <w:lang w:val="en-US" w:eastAsia="zh-CN"/>
        </w:rPr>
        <w:t>得出以下结论：</w:t>
      </w:r>
    </w:p>
    <w:p w14:paraId="65B57C7A">
      <w:pPr>
        <w:autoSpaceDE w:val="0"/>
        <w:spacing w:before="0" w:after="0" w:line="360" w:lineRule="auto"/>
        <w:ind w:firstLine="490" w:firstLineChars="200"/>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项目</w:t>
      </w:r>
      <w:r>
        <w:rPr>
          <w:rFonts w:hint="default" w:ascii="Times New Roman" w:hAnsi="Times New Roman" w:cs="Times New Roman"/>
          <w:color w:val="auto"/>
          <w:sz w:val="24"/>
          <w:szCs w:val="24"/>
          <w:lang w:val="en-US" w:eastAsia="zh-CN"/>
        </w:rPr>
        <w:t>除原料堆场外其他</w:t>
      </w:r>
      <w:r>
        <w:rPr>
          <w:rFonts w:hint="default" w:ascii="Times New Roman" w:hAnsi="Times New Roman" w:eastAsia="宋体" w:cs="Times New Roman"/>
          <w:color w:val="auto"/>
          <w:sz w:val="24"/>
          <w:szCs w:val="24"/>
          <w:lang w:val="en-US" w:eastAsia="zh-CN"/>
        </w:rPr>
        <w:t>无组织</w:t>
      </w:r>
      <w:r>
        <w:rPr>
          <w:rFonts w:hint="default" w:ascii="Times New Roman" w:hAnsi="Times New Roman" w:eastAsia="宋体" w:cs="Times New Roman"/>
          <w:i w:val="0"/>
          <w:iCs w:val="0"/>
          <w:color w:val="auto"/>
          <w:kern w:val="0"/>
          <w:sz w:val="24"/>
          <w:szCs w:val="24"/>
          <w:u w:val="none"/>
          <w:lang w:val="en-US" w:eastAsia="zh-CN" w:bidi="ar"/>
        </w:rPr>
        <w:t>排放的</w:t>
      </w:r>
      <w:r>
        <w:rPr>
          <w:rFonts w:hint="default" w:ascii="Times New Roman" w:hAnsi="Times New Roman" w:eastAsia="宋体" w:cs="Times New Roman"/>
          <w:b w:val="0"/>
          <w:bCs w:val="0"/>
          <w:color w:val="auto"/>
          <w:kern w:val="0"/>
          <w:sz w:val="24"/>
          <w:szCs w:val="24"/>
          <w:highlight w:val="none"/>
          <w:lang w:val="en-US" w:eastAsia="zh-CN"/>
        </w:rPr>
        <w:t>粉尘（TSP</w:t>
      </w:r>
      <w:r>
        <w:rPr>
          <w:rFonts w:hint="default" w:ascii="Times New Roman" w:hAnsi="Times New Roman" w:eastAsia="宋体" w:cs="Times New Roman"/>
          <w:b w:val="0"/>
          <w:bCs w:val="0"/>
          <w:color w:val="auto"/>
          <w:kern w:val="0"/>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lang w:val="en-US" w:eastAsia="zh-CN"/>
        </w:rPr>
        <w:t>在</w:t>
      </w:r>
      <w:r>
        <w:rPr>
          <w:rFonts w:hint="default" w:ascii="Times New Roman" w:hAnsi="Times New Roman" w:eastAsia="宋体" w:cs="Times New Roman"/>
          <w:b w:val="0"/>
          <w:bCs w:val="0"/>
          <w:color w:val="auto"/>
          <w:sz w:val="24"/>
          <w:szCs w:val="24"/>
          <w:highlight w:val="none"/>
        </w:rPr>
        <w:t>下风向</w:t>
      </w:r>
      <w:r>
        <w:rPr>
          <w:rFonts w:hint="default" w:ascii="Times New Roman" w:hAnsi="Times New Roman" w:eastAsia="宋体" w:cs="Times New Roman"/>
          <w:b w:val="0"/>
          <w:bCs w:val="0"/>
          <w:color w:val="auto"/>
          <w:kern w:val="0"/>
          <w:sz w:val="24"/>
          <w:szCs w:val="24"/>
          <w:highlight w:val="none"/>
        </w:rPr>
        <w:t>最大落地浓度为</w:t>
      </w:r>
      <w:r>
        <w:rPr>
          <w:rFonts w:hint="default" w:ascii="Times New Roman" w:hAnsi="Times New Roman" w:eastAsia="宋体" w:cs="Times New Roman"/>
          <w:i w:val="0"/>
          <w:iCs w:val="0"/>
          <w:color w:val="auto"/>
          <w:kern w:val="0"/>
          <w:sz w:val="22"/>
          <w:szCs w:val="22"/>
          <w:u w:val="none"/>
          <w:lang w:val="en-US" w:eastAsia="zh-CN" w:bidi="ar"/>
        </w:rPr>
        <w:t>7.9</w:t>
      </w:r>
      <w:r>
        <w:rPr>
          <w:rFonts w:hint="default" w:ascii="Times New Roman" w:hAnsi="Times New Roman" w:cs="Times New Roman"/>
          <w:i w:val="0"/>
          <w:iCs w:val="0"/>
          <w:color w:val="auto"/>
          <w:kern w:val="0"/>
          <w:sz w:val="22"/>
          <w:szCs w:val="22"/>
          <w:u w:val="none"/>
          <w:lang w:val="en-US" w:eastAsia="zh-CN" w:bidi="ar"/>
        </w:rPr>
        <w:t>1</w:t>
      </w:r>
      <w:r>
        <w:rPr>
          <w:rFonts w:hint="default" w:ascii="Times New Roman" w:hAnsi="Times New Roman" w:eastAsia="宋体" w:cs="Times New Roman"/>
          <w:i w:val="0"/>
          <w:iCs w:val="0"/>
          <w:color w:val="auto"/>
          <w:kern w:val="0"/>
          <w:sz w:val="22"/>
          <w:szCs w:val="22"/>
          <w:u w:val="none"/>
          <w:lang w:val="en-US" w:eastAsia="zh-CN" w:bidi="ar"/>
        </w:rPr>
        <w:t>E-02</w:t>
      </w:r>
      <w:r>
        <w:rPr>
          <w:rFonts w:hint="default" w:ascii="Times New Roman" w:hAnsi="Times New Roman" w:eastAsia="宋体" w:cs="Times New Roman"/>
          <w:b w:val="0"/>
          <w:bCs w:val="0"/>
          <w:color w:val="auto"/>
          <w:kern w:val="0"/>
          <w:sz w:val="24"/>
          <w:szCs w:val="24"/>
          <w:highlight w:val="none"/>
        </w:rPr>
        <w:t>mg/m</w:t>
      </w:r>
      <w:r>
        <w:rPr>
          <w:rFonts w:hint="default" w:ascii="Times New Roman" w:hAnsi="Times New Roman" w:eastAsia="宋体" w:cs="Times New Roman"/>
          <w:b w:val="0"/>
          <w:bCs w:val="0"/>
          <w:color w:val="auto"/>
          <w:kern w:val="0"/>
          <w:sz w:val="24"/>
          <w:szCs w:val="24"/>
          <w:highlight w:val="none"/>
          <w:vertAlign w:val="superscript"/>
        </w:rPr>
        <w:t>3</w:t>
      </w:r>
      <w:r>
        <w:rPr>
          <w:rFonts w:hint="default" w:ascii="Times New Roman" w:hAnsi="Times New Roman" w:eastAsia="宋体" w:cs="Times New Roman"/>
          <w:b w:val="0"/>
          <w:bCs w:val="0"/>
          <w:color w:val="auto"/>
          <w:kern w:val="0"/>
          <w:sz w:val="24"/>
          <w:szCs w:val="24"/>
          <w:highlight w:val="none"/>
        </w:rPr>
        <w:t>，对应下风向距离为</w:t>
      </w:r>
      <w:r>
        <w:rPr>
          <w:rFonts w:hint="default" w:ascii="Times New Roman" w:hAnsi="Times New Roman" w:cs="Times New Roman"/>
          <w:b w:val="0"/>
          <w:bCs w:val="0"/>
          <w:color w:val="auto"/>
          <w:kern w:val="0"/>
          <w:sz w:val="24"/>
          <w:szCs w:val="24"/>
          <w:highlight w:val="none"/>
          <w:lang w:val="en-US" w:eastAsia="zh-CN"/>
        </w:rPr>
        <w:t>29</w:t>
      </w:r>
      <w:r>
        <w:rPr>
          <w:rFonts w:hint="default" w:ascii="Times New Roman" w:hAnsi="Times New Roman" w:eastAsia="宋体" w:cs="Times New Roman"/>
          <w:b w:val="0"/>
          <w:bCs w:val="0"/>
          <w:color w:val="auto"/>
          <w:kern w:val="0"/>
          <w:sz w:val="24"/>
          <w:szCs w:val="24"/>
          <w:highlight w:val="none"/>
        </w:rPr>
        <w:t>m，最大占标率为</w:t>
      </w:r>
      <w:r>
        <w:rPr>
          <w:rFonts w:hint="default" w:ascii="Times New Roman" w:hAnsi="Times New Roman" w:eastAsia="宋体" w:cs="Times New Roman"/>
          <w:i w:val="0"/>
          <w:iCs w:val="0"/>
          <w:color w:val="auto"/>
          <w:kern w:val="0"/>
          <w:sz w:val="22"/>
          <w:szCs w:val="22"/>
          <w:u w:val="none"/>
          <w:lang w:val="en-US" w:eastAsia="zh-CN" w:bidi="ar"/>
        </w:rPr>
        <w:t>8.7</w:t>
      </w:r>
      <w:r>
        <w:rPr>
          <w:rFonts w:hint="default" w:ascii="Times New Roman" w:hAnsi="Times New Roman" w:cs="Times New Roman"/>
          <w:i w:val="0"/>
          <w:iCs w:val="0"/>
          <w:color w:val="auto"/>
          <w:kern w:val="0"/>
          <w:sz w:val="22"/>
          <w:szCs w:val="22"/>
          <w:u w:val="none"/>
          <w:lang w:val="en-US" w:eastAsia="zh-CN" w:bidi="ar"/>
        </w:rPr>
        <w:t>9</w:t>
      </w:r>
      <w:r>
        <w:rPr>
          <w:rFonts w:hint="default" w:ascii="Times New Roman" w:hAnsi="Times New Roman" w:eastAsia="宋体" w:cs="Times New Roman"/>
          <w:b w:val="0"/>
          <w:bCs w:val="0"/>
          <w:color w:val="auto"/>
          <w:kern w:val="0"/>
          <w:sz w:val="24"/>
          <w:szCs w:val="24"/>
          <w:highlight w:val="none"/>
        </w:rPr>
        <w:t>%</w:t>
      </w:r>
      <w:r>
        <w:rPr>
          <w:rFonts w:hint="default"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val="en-US" w:eastAsia="zh-CN"/>
        </w:rPr>
        <w:t>最大落地浓度可</w:t>
      </w:r>
      <w:r>
        <w:rPr>
          <w:rFonts w:hint="default" w:ascii="Times New Roman" w:hAnsi="Times New Roman" w:eastAsia="宋体" w:cs="Times New Roman"/>
          <w:b w:val="0"/>
          <w:bCs w:val="0"/>
          <w:color w:val="auto"/>
          <w:kern w:val="0"/>
          <w:sz w:val="24"/>
          <w:szCs w:val="24"/>
          <w:highlight w:val="none"/>
        </w:rPr>
        <w:t>满足</w:t>
      </w:r>
      <w:r>
        <w:rPr>
          <w:rFonts w:hint="default" w:ascii="Times New Roman" w:hAnsi="Times New Roman" w:eastAsia="宋体" w:cs="Times New Roman"/>
          <w:color w:val="auto"/>
          <w:sz w:val="24"/>
          <w:szCs w:val="24"/>
          <w:highlight w:val="none"/>
        </w:rPr>
        <w:t>《环境空气质量标准》（GB3095-2012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二级标准中日均值的3倍（即0.9</w:t>
      </w:r>
      <w:r>
        <w:rPr>
          <w:rFonts w:hint="default" w:ascii="Times New Roman" w:hAnsi="Times New Roman" w:eastAsia="宋体" w:cs="Times New Roman"/>
          <w:i w:val="0"/>
          <w:iCs w:val="0"/>
          <w:color w:val="auto"/>
          <w:kern w:val="0"/>
          <w:sz w:val="24"/>
          <w:szCs w:val="24"/>
          <w:highlight w:val="none"/>
          <w:u w:val="none"/>
          <w:lang w:val="en-US" w:eastAsia="zh-CN" w:bidi="ar"/>
        </w:rPr>
        <w:t>mg/m</w:t>
      </w:r>
      <w:r>
        <w:rPr>
          <w:rFonts w:hint="default" w:ascii="Times New Roman" w:hAnsi="Times New Roman" w:eastAsia="宋体" w:cs="Times New Roman"/>
          <w:i w:val="0"/>
          <w:iCs w:val="0"/>
          <w:color w:val="auto"/>
          <w:kern w:val="0"/>
          <w:sz w:val="24"/>
          <w:szCs w:val="24"/>
          <w:highlight w:val="none"/>
          <w:u w:val="none"/>
          <w:vertAlign w:val="superscript"/>
          <w:lang w:val="en-US" w:eastAsia="zh-CN" w:bidi="ar"/>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。项目最近的大气环境保护目标为西北侧约2km处放牛山</w:t>
      </w:r>
      <w:r>
        <w:rPr>
          <w:rFonts w:hint="default" w:ascii="Times New Roman" w:hAnsi="Times New Roman" w:eastAsia="宋体" w:cs="Times New Roman"/>
          <w:b w:val="0"/>
          <w:bCs w:val="0"/>
          <w:color w:val="auto"/>
          <w:kern w:val="0"/>
          <w:sz w:val="24"/>
          <w:szCs w:val="24"/>
          <w:highlight w:val="none"/>
          <w:vertAlign w:val="baseline"/>
          <w:lang w:eastAsia="zh-CN"/>
        </w:rPr>
        <w:t>，</w:t>
      </w:r>
      <w:r>
        <w:rPr>
          <w:rFonts w:hint="default" w:ascii="Times New Roman" w:hAnsi="Times New Roman" w:eastAsia="宋体" w:cs="Times New Roman"/>
          <w:b w:val="0"/>
          <w:bCs w:val="0"/>
          <w:color w:val="auto"/>
          <w:kern w:val="0"/>
          <w:sz w:val="24"/>
          <w:szCs w:val="24"/>
          <w:highlight w:val="none"/>
          <w:vertAlign w:val="baseline"/>
          <w:lang w:val="en-US" w:eastAsia="zh-CN"/>
        </w:rPr>
        <w:t>预测</w:t>
      </w:r>
      <w:r>
        <w:rPr>
          <w:rFonts w:hint="default" w:ascii="Times New Roman" w:hAnsi="Times New Roman" w:eastAsia="宋体" w:cs="Times New Roman"/>
          <w:b w:val="0"/>
          <w:bCs w:val="0"/>
          <w:color w:val="auto"/>
          <w:kern w:val="0"/>
          <w:sz w:val="24"/>
          <w:szCs w:val="24"/>
          <w:highlight w:val="none"/>
        </w:rPr>
        <w:t>浓度为</w:t>
      </w:r>
      <w:r>
        <w:rPr>
          <w:rFonts w:hint="default" w:ascii="Times New Roman" w:hAnsi="Times New Roman" w:eastAsia="宋体" w:cs="Times New Roman"/>
          <w:b w:val="0"/>
          <w:bCs w:val="0"/>
          <w:color w:val="auto"/>
          <w:kern w:val="0"/>
          <w:sz w:val="24"/>
          <w:szCs w:val="24"/>
          <w:highlight w:val="none"/>
          <w:lang w:val="en-US" w:eastAsia="zh-CN"/>
        </w:rPr>
        <w:t>2.98E-04</w:t>
      </w:r>
      <w:r>
        <w:rPr>
          <w:rFonts w:hint="default" w:ascii="Times New Roman" w:hAnsi="Times New Roman" w:eastAsia="宋体" w:cs="Times New Roman"/>
          <w:b w:val="0"/>
          <w:bCs w:val="0"/>
          <w:color w:val="auto"/>
          <w:kern w:val="0"/>
          <w:sz w:val="24"/>
          <w:szCs w:val="24"/>
          <w:highlight w:val="none"/>
        </w:rPr>
        <w:t>mg/m</w:t>
      </w:r>
      <w:r>
        <w:rPr>
          <w:rFonts w:hint="default" w:ascii="Times New Roman" w:hAnsi="Times New Roman" w:eastAsia="宋体" w:cs="Times New Roman"/>
          <w:b w:val="0"/>
          <w:bCs w:val="0"/>
          <w:color w:val="auto"/>
          <w:kern w:val="0"/>
          <w:sz w:val="24"/>
          <w:szCs w:val="24"/>
          <w:highlight w:val="none"/>
          <w:vertAlign w:val="superscript"/>
        </w:rPr>
        <w:t>3</w:t>
      </w:r>
      <w:r>
        <w:rPr>
          <w:rFonts w:hint="default" w:ascii="Times New Roman" w:hAnsi="Times New Roman" w:eastAsia="宋体" w:cs="Times New Roman"/>
          <w:b w:val="0"/>
          <w:bCs w:val="0"/>
          <w:color w:val="auto"/>
          <w:kern w:val="0"/>
          <w:sz w:val="24"/>
          <w:szCs w:val="24"/>
          <w:highlight w:val="none"/>
          <w:vertAlign w:val="baseline"/>
          <w:lang w:eastAsia="zh-CN"/>
        </w:rPr>
        <w:t>，</w:t>
      </w:r>
      <w:r>
        <w:rPr>
          <w:rFonts w:hint="default" w:ascii="Times New Roman" w:hAnsi="Times New Roman" w:eastAsia="宋体" w:cs="Times New Roman"/>
          <w:b w:val="0"/>
          <w:bCs w:val="0"/>
          <w:color w:val="auto"/>
          <w:kern w:val="0"/>
          <w:sz w:val="24"/>
          <w:szCs w:val="24"/>
          <w:highlight w:val="none"/>
          <w:lang w:val="en-US" w:eastAsia="zh-CN"/>
        </w:rPr>
        <w:t>可</w:t>
      </w:r>
      <w:r>
        <w:rPr>
          <w:rFonts w:hint="default" w:ascii="Times New Roman" w:hAnsi="Times New Roman" w:eastAsia="宋体" w:cs="Times New Roman"/>
          <w:b w:val="0"/>
          <w:bCs w:val="0"/>
          <w:color w:val="auto"/>
          <w:kern w:val="0"/>
          <w:sz w:val="24"/>
          <w:szCs w:val="24"/>
          <w:highlight w:val="none"/>
        </w:rPr>
        <w:t>满足</w:t>
      </w:r>
      <w:r>
        <w:rPr>
          <w:rFonts w:hint="default" w:ascii="Times New Roman" w:hAnsi="Times New Roman" w:eastAsia="宋体" w:cs="Times New Roman"/>
          <w:color w:val="auto"/>
          <w:sz w:val="24"/>
          <w:szCs w:val="24"/>
          <w:highlight w:val="none"/>
        </w:rPr>
        <w:t>《环境空气质量标准》（GB3095-2012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二级标准中日均值的3倍（即0.9</w:t>
      </w:r>
      <w:r>
        <w:rPr>
          <w:rFonts w:hint="default" w:ascii="Times New Roman" w:hAnsi="Times New Roman" w:eastAsia="宋体" w:cs="Times New Roman"/>
          <w:i w:val="0"/>
          <w:iCs w:val="0"/>
          <w:color w:val="auto"/>
          <w:kern w:val="0"/>
          <w:sz w:val="24"/>
          <w:szCs w:val="24"/>
          <w:highlight w:val="none"/>
          <w:u w:val="none"/>
          <w:lang w:val="en-US" w:eastAsia="zh-CN" w:bidi="ar"/>
        </w:rPr>
        <w:t>mg/m</w:t>
      </w:r>
      <w:r>
        <w:rPr>
          <w:rFonts w:hint="default" w:ascii="Times New Roman" w:hAnsi="Times New Roman" w:eastAsia="宋体" w:cs="Times New Roman"/>
          <w:i w:val="0"/>
          <w:iCs w:val="0"/>
          <w:color w:val="auto"/>
          <w:kern w:val="0"/>
          <w:sz w:val="24"/>
          <w:szCs w:val="24"/>
          <w:highlight w:val="none"/>
          <w:u w:val="none"/>
          <w:vertAlign w:val="superscript"/>
          <w:lang w:val="en-US" w:eastAsia="zh-CN" w:bidi="ar"/>
        </w:rPr>
        <w:t>3</w:t>
      </w:r>
      <w:r>
        <w:rPr>
          <w:rFonts w:hint="default" w:ascii="Times New Roman" w:hAnsi="Times New Roman" w:eastAsia="宋体" w:cs="Times New Roman"/>
          <w:color w:val="auto"/>
          <w:sz w:val="24"/>
          <w:szCs w:val="24"/>
          <w:highlight w:val="none"/>
          <w:lang w:val="en-US" w:eastAsia="zh-CN"/>
        </w:rPr>
        <w:t>）。</w:t>
      </w:r>
    </w:p>
    <w:p w14:paraId="2D11C2F8">
      <w:pPr>
        <w:autoSpaceDE w:val="0"/>
        <w:spacing w:before="0" w:after="0" w:line="360" w:lineRule="auto"/>
        <w:jc w:val="center"/>
        <w:outlineLvl w:val="9"/>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表6.1.2-3  正常工况下原料堆场排放源下风向2500m范围内的TSP估算结果</w:t>
      </w:r>
    </w:p>
    <w:tbl>
      <w:tblPr>
        <w:tblStyle w:val="2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077"/>
        <w:gridCol w:w="3124"/>
        <w:gridCol w:w="3083"/>
      </w:tblGrid>
      <w:tr w14:paraId="4AB4B2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7" w:hRule="atLeast"/>
        </w:trPr>
        <w:tc>
          <w:tcPr>
            <w:tcW w:w="1657" w:type="pct"/>
            <w:vMerge w:val="restart"/>
            <w:shd w:val="clear" w:color="auto" w:fill="auto"/>
            <w:noWrap/>
            <w:vAlign w:val="center"/>
          </w:tcPr>
          <w:p w14:paraId="1FB4E134">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p>
          <w:p w14:paraId="561FAC25">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距离下方向距离（m</w:t>
            </w:r>
            <w:r>
              <w:rPr>
                <w:rFonts w:hint="default" w:ascii="Times New Roman" w:hAnsi="Times New Roman" w:cs="Times New Roman"/>
                <w:i w:val="0"/>
                <w:iCs w:val="0"/>
                <w:color w:val="auto"/>
                <w:kern w:val="0"/>
                <w:sz w:val="18"/>
                <w:szCs w:val="18"/>
                <w:u w:val="none"/>
                <w:lang w:val="en-US" w:eastAsia="zh-CN" w:bidi="ar"/>
              </w:rPr>
              <w:t>）</w:t>
            </w:r>
          </w:p>
        </w:tc>
        <w:tc>
          <w:tcPr>
            <w:tcW w:w="3342" w:type="pct"/>
            <w:gridSpan w:val="2"/>
            <w:shd w:val="clear" w:color="auto" w:fill="auto"/>
            <w:noWrap/>
            <w:vAlign w:val="center"/>
          </w:tcPr>
          <w:p w14:paraId="475006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原料堆场无组织排放源</w:t>
            </w:r>
          </w:p>
        </w:tc>
      </w:tr>
      <w:tr w14:paraId="551241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657" w:type="pct"/>
            <w:vMerge w:val="continue"/>
            <w:shd w:val="clear" w:color="auto" w:fill="auto"/>
            <w:noWrap/>
            <w:vAlign w:val="center"/>
          </w:tcPr>
          <w:p w14:paraId="675A92C1">
            <w:pPr>
              <w:keepNext w:val="0"/>
              <w:keepLines w:val="0"/>
              <w:widowControl/>
              <w:suppressLineNumbers w:val="0"/>
              <w:jc w:val="right"/>
              <w:textAlignment w:val="center"/>
              <w:rPr>
                <w:rFonts w:hint="default" w:ascii="Times New Roman" w:hAnsi="Times New Roman" w:cs="Times New Roman"/>
                <w:color w:val="auto"/>
                <w:sz w:val="18"/>
                <w:szCs w:val="18"/>
              </w:rPr>
            </w:pPr>
          </w:p>
        </w:tc>
        <w:tc>
          <w:tcPr>
            <w:tcW w:w="1682" w:type="pct"/>
            <w:shd w:val="clear" w:color="auto" w:fill="auto"/>
            <w:noWrap/>
            <w:vAlign w:val="center"/>
          </w:tcPr>
          <w:p w14:paraId="13024537">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浓度（mg/m</w:t>
            </w:r>
            <w:r>
              <w:rPr>
                <w:rFonts w:hint="default" w:ascii="Times New Roman" w:hAnsi="Times New Roman" w:eastAsia="宋体" w:cs="Times New Roman"/>
                <w:i w:val="0"/>
                <w:iCs w:val="0"/>
                <w:color w:val="auto"/>
                <w:kern w:val="0"/>
                <w:sz w:val="18"/>
                <w:szCs w:val="18"/>
                <w:u w:val="none"/>
                <w:vertAlign w:val="superscript"/>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w:t>
            </w:r>
          </w:p>
        </w:tc>
        <w:tc>
          <w:tcPr>
            <w:tcW w:w="1660" w:type="pct"/>
            <w:shd w:val="clear" w:color="auto" w:fill="auto"/>
            <w:noWrap/>
            <w:vAlign w:val="center"/>
          </w:tcPr>
          <w:p w14:paraId="16FCD3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占标率（%）</w:t>
            </w:r>
          </w:p>
        </w:tc>
      </w:tr>
      <w:tr w14:paraId="3DB6A8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51F915C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682" w:type="pct"/>
            <w:shd w:val="clear" w:color="auto" w:fill="auto"/>
            <w:noWrap/>
            <w:vAlign w:val="center"/>
          </w:tcPr>
          <w:p w14:paraId="6A2BE33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7.93E-03</w:t>
            </w:r>
          </w:p>
        </w:tc>
        <w:tc>
          <w:tcPr>
            <w:tcW w:w="1660" w:type="pct"/>
            <w:shd w:val="clear" w:color="auto" w:fill="auto"/>
            <w:noWrap/>
            <w:vAlign w:val="center"/>
          </w:tcPr>
          <w:p w14:paraId="6D4A4A7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0.88</w:t>
            </w:r>
          </w:p>
        </w:tc>
      </w:tr>
      <w:tr w14:paraId="0377F3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75DB425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682" w:type="pct"/>
            <w:shd w:val="clear" w:color="auto" w:fill="auto"/>
            <w:noWrap/>
            <w:vAlign w:val="center"/>
          </w:tcPr>
          <w:p w14:paraId="4E90D73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1.06E-02</w:t>
            </w:r>
          </w:p>
        </w:tc>
        <w:tc>
          <w:tcPr>
            <w:tcW w:w="1660" w:type="pct"/>
            <w:shd w:val="clear" w:color="auto" w:fill="auto"/>
            <w:noWrap/>
            <w:vAlign w:val="center"/>
          </w:tcPr>
          <w:p w14:paraId="75EC411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1.18</w:t>
            </w:r>
          </w:p>
        </w:tc>
      </w:tr>
      <w:tr w14:paraId="3629FB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FDD960" w:themeFill="accent3" w:themeFillTint="99"/>
            <w:noWrap/>
            <w:vAlign w:val="center"/>
          </w:tcPr>
          <w:p w14:paraId="39F2A82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1682" w:type="pct"/>
            <w:shd w:val="clear" w:color="auto" w:fill="FDD960" w:themeFill="accent3" w:themeFillTint="99"/>
            <w:noWrap/>
            <w:vAlign w:val="center"/>
          </w:tcPr>
          <w:p w14:paraId="71A7D40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1.27E-02</w:t>
            </w:r>
          </w:p>
        </w:tc>
        <w:tc>
          <w:tcPr>
            <w:tcW w:w="1660" w:type="pct"/>
            <w:shd w:val="clear" w:color="auto" w:fill="FDD960" w:themeFill="accent3" w:themeFillTint="99"/>
            <w:noWrap/>
            <w:vAlign w:val="center"/>
          </w:tcPr>
          <w:p w14:paraId="2112D91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1.41</w:t>
            </w:r>
          </w:p>
        </w:tc>
      </w:tr>
      <w:tr w14:paraId="2F7B32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4820476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1682" w:type="pct"/>
            <w:shd w:val="clear" w:color="auto" w:fill="auto"/>
            <w:noWrap/>
            <w:vAlign w:val="center"/>
          </w:tcPr>
          <w:p w14:paraId="6E6896B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1.26E-02</w:t>
            </w:r>
          </w:p>
        </w:tc>
        <w:tc>
          <w:tcPr>
            <w:tcW w:w="1660" w:type="pct"/>
            <w:shd w:val="clear" w:color="auto" w:fill="auto"/>
            <w:noWrap/>
            <w:vAlign w:val="center"/>
          </w:tcPr>
          <w:p w14:paraId="7B0D7AD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r>
      <w:tr w14:paraId="2C7E39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7088E86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1682" w:type="pct"/>
            <w:shd w:val="clear" w:color="auto" w:fill="auto"/>
            <w:noWrap/>
            <w:vAlign w:val="center"/>
          </w:tcPr>
          <w:p w14:paraId="3007678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8.89E-03</w:t>
            </w:r>
          </w:p>
        </w:tc>
        <w:tc>
          <w:tcPr>
            <w:tcW w:w="1660" w:type="pct"/>
            <w:shd w:val="clear" w:color="auto" w:fill="auto"/>
            <w:noWrap/>
            <w:vAlign w:val="center"/>
          </w:tcPr>
          <w:p w14:paraId="3C90B69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0.99</w:t>
            </w:r>
          </w:p>
        </w:tc>
      </w:tr>
      <w:tr w14:paraId="4F19D4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7F0E791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682" w:type="pct"/>
            <w:shd w:val="clear" w:color="auto" w:fill="auto"/>
            <w:noWrap/>
            <w:vAlign w:val="center"/>
          </w:tcPr>
          <w:p w14:paraId="26D4949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6.33E-03</w:t>
            </w:r>
          </w:p>
        </w:tc>
        <w:tc>
          <w:tcPr>
            <w:tcW w:w="1660" w:type="pct"/>
            <w:shd w:val="clear" w:color="auto" w:fill="auto"/>
            <w:noWrap/>
            <w:vAlign w:val="center"/>
          </w:tcPr>
          <w:p w14:paraId="2C23510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w:t>
            </w:r>
          </w:p>
        </w:tc>
      </w:tr>
      <w:tr w14:paraId="679BBE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13D671A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1682" w:type="pct"/>
            <w:shd w:val="clear" w:color="auto" w:fill="auto"/>
            <w:noWrap/>
            <w:vAlign w:val="center"/>
          </w:tcPr>
          <w:p w14:paraId="049C497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5.02E-03</w:t>
            </w:r>
          </w:p>
        </w:tc>
        <w:tc>
          <w:tcPr>
            <w:tcW w:w="1660" w:type="pct"/>
            <w:shd w:val="clear" w:color="auto" w:fill="auto"/>
            <w:noWrap/>
            <w:vAlign w:val="center"/>
          </w:tcPr>
          <w:p w14:paraId="6D0C278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0.56</w:t>
            </w:r>
          </w:p>
        </w:tc>
      </w:tr>
      <w:tr w14:paraId="01387E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3593811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1682" w:type="pct"/>
            <w:shd w:val="clear" w:color="auto" w:fill="auto"/>
            <w:noWrap/>
            <w:vAlign w:val="center"/>
          </w:tcPr>
          <w:p w14:paraId="0725C0A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3.98E-03</w:t>
            </w:r>
          </w:p>
        </w:tc>
        <w:tc>
          <w:tcPr>
            <w:tcW w:w="1660" w:type="pct"/>
            <w:shd w:val="clear" w:color="auto" w:fill="auto"/>
            <w:noWrap/>
            <w:vAlign w:val="center"/>
          </w:tcPr>
          <w:p w14:paraId="54E92A1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0.44</w:t>
            </w:r>
          </w:p>
        </w:tc>
      </w:tr>
      <w:tr w14:paraId="6AD78B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5C528B0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175</w:t>
            </w:r>
          </w:p>
        </w:tc>
        <w:tc>
          <w:tcPr>
            <w:tcW w:w="1682" w:type="pct"/>
            <w:shd w:val="clear" w:color="auto" w:fill="auto"/>
            <w:noWrap/>
            <w:vAlign w:val="center"/>
          </w:tcPr>
          <w:p w14:paraId="347604B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3.15E-03</w:t>
            </w:r>
          </w:p>
        </w:tc>
        <w:tc>
          <w:tcPr>
            <w:tcW w:w="1660" w:type="pct"/>
            <w:shd w:val="clear" w:color="auto" w:fill="auto"/>
            <w:noWrap/>
            <w:vAlign w:val="center"/>
          </w:tcPr>
          <w:p w14:paraId="542B9A7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0.35</w:t>
            </w:r>
          </w:p>
        </w:tc>
      </w:tr>
      <w:tr w14:paraId="2785C7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554CB9E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1682" w:type="pct"/>
            <w:shd w:val="clear" w:color="auto" w:fill="auto"/>
            <w:noWrap/>
            <w:vAlign w:val="center"/>
          </w:tcPr>
          <w:p w14:paraId="1DC3915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2.69E-03</w:t>
            </w:r>
          </w:p>
        </w:tc>
        <w:tc>
          <w:tcPr>
            <w:tcW w:w="1660" w:type="pct"/>
            <w:shd w:val="clear" w:color="auto" w:fill="auto"/>
            <w:noWrap/>
            <w:vAlign w:val="center"/>
          </w:tcPr>
          <w:p w14:paraId="6ACC805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w:t>
            </w:r>
          </w:p>
        </w:tc>
      </w:tr>
      <w:tr w14:paraId="359199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0D2E544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1682" w:type="pct"/>
            <w:shd w:val="clear" w:color="auto" w:fill="auto"/>
            <w:noWrap/>
            <w:vAlign w:val="center"/>
          </w:tcPr>
          <w:p w14:paraId="78FF0B5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2.36E-03</w:t>
            </w:r>
          </w:p>
        </w:tc>
        <w:tc>
          <w:tcPr>
            <w:tcW w:w="1660" w:type="pct"/>
            <w:shd w:val="clear" w:color="auto" w:fill="auto"/>
            <w:noWrap/>
            <w:vAlign w:val="center"/>
          </w:tcPr>
          <w:p w14:paraId="2C99F29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0.26</w:t>
            </w:r>
          </w:p>
        </w:tc>
      </w:tr>
      <w:tr w14:paraId="076BD5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62F56F5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1682" w:type="pct"/>
            <w:shd w:val="clear" w:color="auto" w:fill="auto"/>
            <w:noWrap/>
            <w:vAlign w:val="center"/>
          </w:tcPr>
          <w:p w14:paraId="51C99C5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2.06E-03</w:t>
            </w:r>
          </w:p>
        </w:tc>
        <w:tc>
          <w:tcPr>
            <w:tcW w:w="1660" w:type="pct"/>
            <w:shd w:val="clear" w:color="auto" w:fill="auto"/>
            <w:noWrap/>
            <w:vAlign w:val="center"/>
          </w:tcPr>
          <w:p w14:paraId="31B259F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0.23</w:t>
            </w:r>
          </w:p>
        </w:tc>
      </w:tr>
      <w:tr w14:paraId="376582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193EE6E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w:t>
            </w:r>
          </w:p>
        </w:tc>
        <w:tc>
          <w:tcPr>
            <w:tcW w:w="1682" w:type="pct"/>
            <w:shd w:val="clear" w:color="auto" w:fill="auto"/>
            <w:noWrap/>
            <w:vAlign w:val="center"/>
          </w:tcPr>
          <w:p w14:paraId="0BFFB71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1.81E-03</w:t>
            </w:r>
          </w:p>
        </w:tc>
        <w:tc>
          <w:tcPr>
            <w:tcW w:w="1660" w:type="pct"/>
            <w:shd w:val="clear" w:color="auto" w:fill="auto"/>
            <w:noWrap/>
            <w:vAlign w:val="center"/>
          </w:tcPr>
          <w:p w14:paraId="35BBDC6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w:t>
            </w:r>
          </w:p>
        </w:tc>
      </w:tr>
      <w:tr w14:paraId="3FF28A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0CF60C3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1682" w:type="pct"/>
            <w:shd w:val="clear" w:color="auto" w:fill="auto"/>
            <w:noWrap/>
            <w:vAlign w:val="center"/>
          </w:tcPr>
          <w:p w14:paraId="61990D9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1.60E-03</w:t>
            </w:r>
          </w:p>
        </w:tc>
        <w:tc>
          <w:tcPr>
            <w:tcW w:w="1660" w:type="pct"/>
            <w:shd w:val="clear" w:color="auto" w:fill="auto"/>
            <w:noWrap/>
            <w:vAlign w:val="center"/>
          </w:tcPr>
          <w:p w14:paraId="4A0356C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w:t>
            </w:r>
          </w:p>
        </w:tc>
      </w:tr>
      <w:tr w14:paraId="25A9FF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4BCC279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w:t>
            </w:r>
          </w:p>
        </w:tc>
        <w:tc>
          <w:tcPr>
            <w:tcW w:w="1682" w:type="pct"/>
            <w:shd w:val="clear" w:color="auto" w:fill="auto"/>
            <w:noWrap/>
            <w:vAlign w:val="center"/>
          </w:tcPr>
          <w:p w14:paraId="05570C4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1.41E-03</w:t>
            </w:r>
          </w:p>
        </w:tc>
        <w:tc>
          <w:tcPr>
            <w:tcW w:w="1660" w:type="pct"/>
            <w:shd w:val="clear" w:color="auto" w:fill="auto"/>
            <w:noWrap/>
            <w:vAlign w:val="center"/>
          </w:tcPr>
          <w:p w14:paraId="20175FF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0.16</w:t>
            </w:r>
          </w:p>
        </w:tc>
      </w:tr>
      <w:tr w14:paraId="7AB947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5AC0A20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1682" w:type="pct"/>
            <w:shd w:val="clear" w:color="auto" w:fill="auto"/>
            <w:noWrap/>
            <w:vAlign w:val="center"/>
          </w:tcPr>
          <w:p w14:paraId="18EFE05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1.29E-03</w:t>
            </w:r>
          </w:p>
        </w:tc>
        <w:tc>
          <w:tcPr>
            <w:tcW w:w="1660" w:type="pct"/>
            <w:shd w:val="clear" w:color="auto" w:fill="auto"/>
            <w:noWrap/>
            <w:vAlign w:val="center"/>
          </w:tcPr>
          <w:p w14:paraId="2977D38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0.14</w:t>
            </w:r>
          </w:p>
        </w:tc>
      </w:tr>
      <w:tr w14:paraId="337201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135225B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375</w:t>
            </w:r>
          </w:p>
        </w:tc>
        <w:tc>
          <w:tcPr>
            <w:tcW w:w="1682" w:type="pct"/>
            <w:shd w:val="clear" w:color="auto" w:fill="auto"/>
            <w:noWrap/>
            <w:vAlign w:val="center"/>
          </w:tcPr>
          <w:p w14:paraId="78B978F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1.19E-03</w:t>
            </w:r>
          </w:p>
        </w:tc>
        <w:tc>
          <w:tcPr>
            <w:tcW w:w="1660" w:type="pct"/>
            <w:shd w:val="clear" w:color="auto" w:fill="auto"/>
            <w:noWrap/>
            <w:vAlign w:val="center"/>
          </w:tcPr>
          <w:p w14:paraId="260F4F2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0.13</w:t>
            </w:r>
          </w:p>
        </w:tc>
      </w:tr>
      <w:tr w14:paraId="7E2C9E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312EDAB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1682" w:type="pct"/>
            <w:shd w:val="clear" w:color="auto" w:fill="auto"/>
            <w:noWrap/>
            <w:vAlign w:val="center"/>
          </w:tcPr>
          <w:p w14:paraId="0BE7BC4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1.08E-03</w:t>
            </w:r>
          </w:p>
        </w:tc>
        <w:tc>
          <w:tcPr>
            <w:tcW w:w="1660" w:type="pct"/>
            <w:shd w:val="clear" w:color="auto" w:fill="auto"/>
            <w:noWrap/>
            <w:vAlign w:val="center"/>
          </w:tcPr>
          <w:p w14:paraId="4C843B8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0.12</w:t>
            </w:r>
          </w:p>
        </w:tc>
      </w:tr>
      <w:tr w14:paraId="1BDCB7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2C0D7AF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1682" w:type="pct"/>
            <w:shd w:val="clear" w:color="auto" w:fill="auto"/>
            <w:noWrap/>
            <w:vAlign w:val="center"/>
          </w:tcPr>
          <w:p w14:paraId="4427023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1.01E-03</w:t>
            </w:r>
          </w:p>
        </w:tc>
        <w:tc>
          <w:tcPr>
            <w:tcW w:w="1660" w:type="pct"/>
            <w:shd w:val="clear" w:color="auto" w:fill="auto"/>
            <w:noWrap/>
            <w:vAlign w:val="center"/>
          </w:tcPr>
          <w:p w14:paraId="37B27A1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0.11</w:t>
            </w:r>
          </w:p>
        </w:tc>
      </w:tr>
      <w:tr w14:paraId="49677E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5937E10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1682" w:type="pct"/>
            <w:shd w:val="clear" w:color="auto" w:fill="auto"/>
            <w:noWrap/>
            <w:vAlign w:val="center"/>
          </w:tcPr>
          <w:p w14:paraId="6BA3070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9.18E-04</w:t>
            </w:r>
          </w:p>
        </w:tc>
        <w:tc>
          <w:tcPr>
            <w:tcW w:w="1660" w:type="pct"/>
            <w:shd w:val="clear" w:color="auto" w:fill="auto"/>
            <w:noWrap/>
            <w:vAlign w:val="center"/>
          </w:tcPr>
          <w:p w14:paraId="74C7C41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w:t>
            </w:r>
          </w:p>
        </w:tc>
      </w:tr>
      <w:tr w14:paraId="60E18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728F1A4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475</w:t>
            </w:r>
          </w:p>
        </w:tc>
        <w:tc>
          <w:tcPr>
            <w:tcW w:w="1682" w:type="pct"/>
            <w:shd w:val="clear" w:color="auto" w:fill="auto"/>
            <w:noWrap/>
            <w:vAlign w:val="center"/>
          </w:tcPr>
          <w:p w14:paraId="41DAC8E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8.69E-04</w:t>
            </w:r>
          </w:p>
        </w:tc>
        <w:tc>
          <w:tcPr>
            <w:tcW w:w="1660" w:type="pct"/>
            <w:shd w:val="clear" w:color="auto" w:fill="auto"/>
            <w:noWrap/>
            <w:vAlign w:val="center"/>
          </w:tcPr>
          <w:p w14:paraId="15EDF39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w:t>
            </w:r>
          </w:p>
        </w:tc>
      </w:tr>
      <w:tr w14:paraId="3028E7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4636A4B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1682" w:type="pct"/>
            <w:shd w:val="clear" w:color="auto" w:fill="auto"/>
            <w:noWrap/>
            <w:vAlign w:val="center"/>
          </w:tcPr>
          <w:p w14:paraId="16D59C3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7.89E-04</w:t>
            </w:r>
          </w:p>
        </w:tc>
        <w:tc>
          <w:tcPr>
            <w:tcW w:w="1660" w:type="pct"/>
            <w:shd w:val="clear" w:color="auto" w:fill="auto"/>
            <w:noWrap/>
            <w:vAlign w:val="center"/>
          </w:tcPr>
          <w:p w14:paraId="1ABDF32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0.09</w:t>
            </w:r>
          </w:p>
        </w:tc>
      </w:tr>
      <w:tr w14:paraId="18C76D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7AB022E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525</w:t>
            </w:r>
          </w:p>
        </w:tc>
        <w:tc>
          <w:tcPr>
            <w:tcW w:w="1682" w:type="pct"/>
            <w:shd w:val="clear" w:color="auto" w:fill="auto"/>
            <w:noWrap/>
            <w:vAlign w:val="center"/>
          </w:tcPr>
          <w:p w14:paraId="0646DAF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7.56E-04</w:t>
            </w:r>
          </w:p>
        </w:tc>
        <w:tc>
          <w:tcPr>
            <w:tcW w:w="1660" w:type="pct"/>
            <w:shd w:val="clear" w:color="auto" w:fill="auto"/>
            <w:noWrap/>
            <w:vAlign w:val="center"/>
          </w:tcPr>
          <w:p w14:paraId="7197D96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w:t>
            </w:r>
          </w:p>
        </w:tc>
      </w:tr>
      <w:tr w14:paraId="691026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2DF41F1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1682" w:type="pct"/>
            <w:shd w:val="clear" w:color="auto" w:fill="auto"/>
            <w:noWrap/>
            <w:vAlign w:val="center"/>
          </w:tcPr>
          <w:p w14:paraId="131FC60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7.11E-04</w:t>
            </w:r>
          </w:p>
        </w:tc>
        <w:tc>
          <w:tcPr>
            <w:tcW w:w="1660" w:type="pct"/>
            <w:shd w:val="clear" w:color="auto" w:fill="auto"/>
            <w:noWrap/>
            <w:vAlign w:val="center"/>
          </w:tcPr>
          <w:p w14:paraId="6780783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w:t>
            </w:r>
          </w:p>
        </w:tc>
      </w:tr>
      <w:tr w14:paraId="7DE312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0275BBA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w:t>
            </w:r>
          </w:p>
        </w:tc>
        <w:tc>
          <w:tcPr>
            <w:tcW w:w="1682" w:type="pct"/>
            <w:shd w:val="clear" w:color="auto" w:fill="auto"/>
            <w:noWrap/>
            <w:vAlign w:val="center"/>
          </w:tcPr>
          <w:p w14:paraId="406CABB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6.63E-04</w:t>
            </w:r>
          </w:p>
        </w:tc>
        <w:tc>
          <w:tcPr>
            <w:tcW w:w="1660" w:type="pct"/>
            <w:shd w:val="clear" w:color="auto" w:fill="auto"/>
            <w:noWrap/>
            <w:vAlign w:val="center"/>
          </w:tcPr>
          <w:p w14:paraId="78D718A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0.07</w:t>
            </w:r>
          </w:p>
        </w:tc>
      </w:tr>
      <w:tr w14:paraId="481E48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06E7F6B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1682" w:type="pct"/>
            <w:shd w:val="clear" w:color="auto" w:fill="auto"/>
            <w:noWrap/>
            <w:vAlign w:val="center"/>
          </w:tcPr>
          <w:p w14:paraId="207644D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6.32E-04</w:t>
            </w:r>
          </w:p>
        </w:tc>
        <w:tc>
          <w:tcPr>
            <w:tcW w:w="1660" w:type="pct"/>
            <w:shd w:val="clear" w:color="auto" w:fill="auto"/>
            <w:noWrap/>
            <w:vAlign w:val="center"/>
          </w:tcPr>
          <w:p w14:paraId="2F4B5D9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0.07</w:t>
            </w:r>
          </w:p>
        </w:tc>
      </w:tr>
      <w:tr w14:paraId="2BB834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4099E85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625</w:t>
            </w:r>
          </w:p>
        </w:tc>
        <w:tc>
          <w:tcPr>
            <w:tcW w:w="1682" w:type="pct"/>
            <w:shd w:val="clear" w:color="auto" w:fill="auto"/>
            <w:noWrap/>
            <w:vAlign w:val="center"/>
          </w:tcPr>
          <w:p w14:paraId="1D7427B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5.98E-04</w:t>
            </w:r>
          </w:p>
        </w:tc>
        <w:tc>
          <w:tcPr>
            <w:tcW w:w="1660" w:type="pct"/>
            <w:shd w:val="clear" w:color="auto" w:fill="auto"/>
            <w:noWrap/>
            <w:vAlign w:val="center"/>
          </w:tcPr>
          <w:p w14:paraId="743AFC9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0.07</w:t>
            </w:r>
          </w:p>
        </w:tc>
      </w:tr>
      <w:tr w14:paraId="51EA65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34B57EA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650</w:t>
            </w:r>
          </w:p>
        </w:tc>
        <w:tc>
          <w:tcPr>
            <w:tcW w:w="1682" w:type="pct"/>
            <w:shd w:val="clear" w:color="auto" w:fill="auto"/>
            <w:noWrap/>
            <w:vAlign w:val="center"/>
          </w:tcPr>
          <w:p w14:paraId="502DF2F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5.63E-04</w:t>
            </w:r>
          </w:p>
        </w:tc>
        <w:tc>
          <w:tcPr>
            <w:tcW w:w="1660" w:type="pct"/>
            <w:shd w:val="clear" w:color="auto" w:fill="auto"/>
            <w:noWrap/>
            <w:vAlign w:val="center"/>
          </w:tcPr>
          <w:p w14:paraId="6CF61E2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0.06</w:t>
            </w:r>
          </w:p>
        </w:tc>
      </w:tr>
      <w:tr w14:paraId="72ADF7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55DF5A5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675</w:t>
            </w:r>
          </w:p>
        </w:tc>
        <w:tc>
          <w:tcPr>
            <w:tcW w:w="1682" w:type="pct"/>
            <w:shd w:val="clear" w:color="auto" w:fill="auto"/>
            <w:noWrap/>
            <w:vAlign w:val="center"/>
          </w:tcPr>
          <w:p w14:paraId="55F729A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5.40E-04</w:t>
            </w:r>
          </w:p>
        </w:tc>
        <w:tc>
          <w:tcPr>
            <w:tcW w:w="1660" w:type="pct"/>
            <w:shd w:val="clear" w:color="auto" w:fill="auto"/>
            <w:noWrap/>
            <w:vAlign w:val="center"/>
          </w:tcPr>
          <w:p w14:paraId="14451D9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0.06</w:t>
            </w:r>
          </w:p>
        </w:tc>
      </w:tr>
      <w:tr w14:paraId="520164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4C6D4EC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700</w:t>
            </w:r>
          </w:p>
        </w:tc>
        <w:tc>
          <w:tcPr>
            <w:tcW w:w="1682" w:type="pct"/>
            <w:shd w:val="clear" w:color="auto" w:fill="auto"/>
            <w:noWrap/>
            <w:vAlign w:val="center"/>
          </w:tcPr>
          <w:p w14:paraId="3A43778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5.17E-04</w:t>
            </w:r>
          </w:p>
        </w:tc>
        <w:tc>
          <w:tcPr>
            <w:tcW w:w="1660" w:type="pct"/>
            <w:shd w:val="clear" w:color="auto" w:fill="auto"/>
            <w:noWrap/>
            <w:vAlign w:val="center"/>
          </w:tcPr>
          <w:p w14:paraId="43DE263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0.06</w:t>
            </w:r>
          </w:p>
        </w:tc>
      </w:tr>
      <w:tr w14:paraId="598E64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39FD820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725</w:t>
            </w:r>
          </w:p>
        </w:tc>
        <w:tc>
          <w:tcPr>
            <w:tcW w:w="1682" w:type="pct"/>
            <w:shd w:val="clear" w:color="auto" w:fill="auto"/>
            <w:noWrap/>
            <w:vAlign w:val="center"/>
          </w:tcPr>
          <w:p w14:paraId="63CC8AE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4.91E-04</w:t>
            </w:r>
          </w:p>
        </w:tc>
        <w:tc>
          <w:tcPr>
            <w:tcW w:w="1660" w:type="pct"/>
            <w:shd w:val="clear" w:color="auto" w:fill="auto"/>
            <w:noWrap/>
            <w:vAlign w:val="center"/>
          </w:tcPr>
          <w:p w14:paraId="1B3709F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0.05</w:t>
            </w:r>
          </w:p>
        </w:tc>
      </w:tr>
      <w:tr w14:paraId="00DC96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3393EE1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750</w:t>
            </w:r>
          </w:p>
        </w:tc>
        <w:tc>
          <w:tcPr>
            <w:tcW w:w="1682" w:type="pct"/>
            <w:shd w:val="clear" w:color="auto" w:fill="auto"/>
            <w:noWrap/>
            <w:vAlign w:val="center"/>
          </w:tcPr>
          <w:p w14:paraId="7F8F982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4.57E-04</w:t>
            </w:r>
          </w:p>
        </w:tc>
        <w:tc>
          <w:tcPr>
            <w:tcW w:w="1660" w:type="pct"/>
            <w:shd w:val="clear" w:color="auto" w:fill="auto"/>
            <w:noWrap/>
            <w:vAlign w:val="center"/>
          </w:tcPr>
          <w:p w14:paraId="2F018F3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0.05</w:t>
            </w:r>
          </w:p>
        </w:tc>
      </w:tr>
      <w:tr w14:paraId="2F6B83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78FFA15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775</w:t>
            </w:r>
          </w:p>
        </w:tc>
        <w:tc>
          <w:tcPr>
            <w:tcW w:w="1682" w:type="pct"/>
            <w:shd w:val="clear" w:color="auto" w:fill="auto"/>
            <w:noWrap/>
            <w:vAlign w:val="center"/>
          </w:tcPr>
          <w:p w14:paraId="607EA22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4.51E-04</w:t>
            </w:r>
          </w:p>
        </w:tc>
        <w:tc>
          <w:tcPr>
            <w:tcW w:w="1660" w:type="pct"/>
            <w:shd w:val="clear" w:color="auto" w:fill="auto"/>
            <w:noWrap/>
            <w:vAlign w:val="center"/>
          </w:tcPr>
          <w:p w14:paraId="3C8E627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0.05</w:t>
            </w:r>
          </w:p>
        </w:tc>
      </w:tr>
      <w:tr w14:paraId="20EF1D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71A23DC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800</w:t>
            </w:r>
          </w:p>
        </w:tc>
        <w:tc>
          <w:tcPr>
            <w:tcW w:w="1682" w:type="pct"/>
            <w:shd w:val="clear" w:color="auto" w:fill="auto"/>
            <w:noWrap/>
            <w:vAlign w:val="center"/>
          </w:tcPr>
          <w:p w14:paraId="14E5285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4.24E-04</w:t>
            </w:r>
          </w:p>
        </w:tc>
        <w:tc>
          <w:tcPr>
            <w:tcW w:w="1660" w:type="pct"/>
            <w:shd w:val="clear" w:color="auto" w:fill="auto"/>
            <w:noWrap/>
            <w:vAlign w:val="center"/>
          </w:tcPr>
          <w:p w14:paraId="59A7F32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0.05</w:t>
            </w:r>
          </w:p>
        </w:tc>
      </w:tr>
      <w:tr w14:paraId="7D31B1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1DE0087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825</w:t>
            </w:r>
          </w:p>
        </w:tc>
        <w:tc>
          <w:tcPr>
            <w:tcW w:w="1682" w:type="pct"/>
            <w:shd w:val="clear" w:color="auto" w:fill="auto"/>
            <w:noWrap/>
            <w:vAlign w:val="center"/>
          </w:tcPr>
          <w:p w14:paraId="24403EC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4.01E-04</w:t>
            </w:r>
          </w:p>
        </w:tc>
        <w:tc>
          <w:tcPr>
            <w:tcW w:w="1660" w:type="pct"/>
            <w:shd w:val="clear" w:color="auto" w:fill="auto"/>
            <w:noWrap/>
            <w:vAlign w:val="center"/>
          </w:tcPr>
          <w:p w14:paraId="4479351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w:t>
            </w:r>
          </w:p>
        </w:tc>
      </w:tr>
      <w:tr w14:paraId="0CD95D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655701B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850</w:t>
            </w:r>
          </w:p>
        </w:tc>
        <w:tc>
          <w:tcPr>
            <w:tcW w:w="1682" w:type="pct"/>
            <w:shd w:val="clear" w:color="auto" w:fill="auto"/>
            <w:noWrap/>
            <w:vAlign w:val="center"/>
          </w:tcPr>
          <w:p w14:paraId="37CBC23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3.83E-04</w:t>
            </w:r>
          </w:p>
        </w:tc>
        <w:tc>
          <w:tcPr>
            <w:tcW w:w="1660" w:type="pct"/>
            <w:shd w:val="clear" w:color="auto" w:fill="auto"/>
            <w:noWrap/>
            <w:vAlign w:val="center"/>
          </w:tcPr>
          <w:p w14:paraId="3C6EF95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w:t>
            </w:r>
          </w:p>
        </w:tc>
      </w:tr>
      <w:tr w14:paraId="49464A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1B5F245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875</w:t>
            </w:r>
          </w:p>
        </w:tc>
        <w:tc>
          <w:tcPr>
            <w:tcW w:w="1682" w:type="pct"/>
            <w:shd w:val="clear" w:color="auto" w:fill="auto"/>
            <w:noWrap/>
            <w:vAlign w:val="center"/>
          </w:tcPr>
          <w:p w14:paraId="72E532D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3.73E-04</w:t>
            </w:r>
          </w:p>
        </w:tc>
        <w:tc>
          <w:tcPr>
            <w:tcW w:w="1660" w:type="pct"/>
            <w:shd w:val="clear" w:color="auto" w:fill="auto"/>
            <w:noWrap/>
            <w:vAlign w:val="center"/>
          </w:tcPr>
          <w:p w14:paraId="13DD828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w:t>
            </w:r>
          </w:p>
        </w:tc>
      </w:tr>
      <w:tr w14:paraId="4D4009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4AD30D9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w:t>
            </w:r>
          </w:p>
        </w:tc>
        <w:tc>
          <w:tcPr>
            <w:tcW w:w="1682" w:type="pct"/>
            <w:shd w:val="clear" w:color="auto" w:fill="auto"/>
            <w:noWrap/>
            <w:vAlign w:val="center"/>
          </w:tcPr>
          <w:p w14:paraId="2E29F17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3.63E-04</w:t>
            </w:r>
          </w:p>
        </w:tc>
        <w:tc>
          <w:tcPr>
            <w:tcW w:w="1660" w:type="pct"/>
            <w:shd w:val="clear" w:color="auto" w:fill="auto"/>
            <w:noWrap/>
            <w:vAlign w:val="center"/>
          </w:tcPr>
          <w:p w14:paraId="0AE11D7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w:t>
            </w:r>
          </w:p>
        </w:tc>
      </w:tr>
      <w:tr w14:paraId="6DF450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37836AE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925</w:t>
            </w:r>
          </w:p>
        </w:tc>
        <w:tc>
          <w:tcPr>
            <w:tcW w:w="1682" w:type="pct"/>
            <w:shd w:val="clear" w:color="auto" w:fill="auto"/>
            <w:noWrap/>
            <w:vAlign w:val="center"/>
          </w:tcPr>
          <w:p w14:paraId="0B1CF78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3.55E-04</w:t>
            </w:r>
          </w:p>
        </w:tc>
        <w:tc>
          <w:tcPr>
            <w:tcW w:w="1660" w:type="pct"/>
            <w:shd w:val="clear" w:color="auto" w:fill="auto"/>
            <w:noWrap/>
            <w:vAlign w:val="center"/>
          </w:tcPr>
          <w:p w14:paraId="25860D6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w:t>
            </w:r>
          </w:p>
        </w:tc>
      </w:tr>
      <w:tr w14:paraId="0195F0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176DDF9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950</w:t>
            </w:r>
          </w:p>
        </w:tc>
        <w:tc>
          <w:tcPr>
            <w:tcW w:w="1682" w:type="pct"/>
            <w:shd w:val="clear" w:color="auto" w:fill="auto"/>
            <w:noWrap/>
            <w:vAlign w:val="center"/>
          </w:tcPr>
          <w:p w14:paraId="060BF18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3.44E-04</w:t>
            </w:r>
          </w:p>
        </w:tc>
        <w:tc>
          <w:tcPr>
            <w:tcW w:w="1660" w:type="pct"/>
            <w:shd w:val="clear" w:color="auto" w:fill="auto"/>
            <w:noWrap/>
            <w:vAlign w:val="center"/>
          </w:tcPr>
          <w:p w14:paraId="5D647E5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w:t>
            </w:r>
          </w:p>
        </w:tc>
      </w:tr>
      <w:tr w14:paraId="3CE338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562BA73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975</w:t>
            </w:r>
          </w:p>
        </w:tc>
        <w:tc>
          <w:tcPr>
            <w:tcW w:w="1682" w:type="pct"/>
            <w:shd w:val="clear" w:color="auto" w:fill="auto"/>
            <w:noWrap/>
            <w:vAlign w:val="center"/>
          </w:tcPr>
          <w:p w14:paraId="74A6AD2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3.31E-04</w:t>
            </w:r>
          </w:p>
        </w:tc>
        <w:tc>
          <w:tcPr>
            <w:tcW w:w="1660" w:type="pct"/>
            <w:shd w:val="clear" w:color="auto" w:fill="auto"/>
            <w:noWrap/>
            <w:vAlign w:val="center"/>
          </w:tcPr>
          <w:p w14:paraId="5853A6A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w:t>
            </w:r>
          </w:p>
        </w:tc>
      </w:tr>
      <w:tr w14:paraId="690EFC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3DE4B32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w:t>
            </w:r>
          </w:p>
        </w:tc>
        <w:tc>
          <w:tcPr>
            <w:tcW w:w="1682" w:type="pct"/>
            <w:shd w:val="clear" w:color="auto" w:fill="auto"/>
            <w:noWrap/>
            <w:vAlign w:val="center"/>
          </w:tcPr>
          <w:p w14:paraId="3120C15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3.17E-04</w:t>
            </w:r>
          </w:p>
        </w:tc>
        <w:tc>
          <w:tcPr>
            <w:tcW w:w="1660" w:type="pct"/>
            <w:shd w:val="clear" w:color="auto" w:fill="auto"/>
            <w:noWrap/>
            <w:vAlign w:val="center"/>
          </w:tcPr>
          <w:p w14:paraId="0DBABC9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w:t>
            </w:r>
          </w:p>
        </w:tc>
      </w:tr>
      <w:tr w14:paraId="738B83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0B4C789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1500</w:t>
            </w:r>
          </w:p>
        </w:tc>
        <w:tc>
          <w:tcPr>
            <w:tcW w:w="1682" w:type="pct"/>
            <w:shd w:val="clear" w:color="auto" w:fill="auto"/>
            <w:noWrap/>
            <w:vAlign w:val="center"/>
          </w:tcPr>
          <w:p w14:paraId="2AB88FC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1.85E-04</w:t>
            </w:r>
          </w:p>
        </w:tc>
        <w:tc>
          <w:tcPr>
            <w:tcW w:w="1660" w:type="pct"/>
            <w:shd w:val="clear" w:color="auto" w:fill="auto"/>
            <w:noWrap/>
            <w:vAlign w:val="center"/>
          </w:tcPr>
          <w:p w14:paraId="2ACD387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w:t>
            </w:r>
          </w:p>
        </w:tc>
      </w:tr>
      <w:tr w14:paraId="592C92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7BEF4E0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2000</w:t>
            </w:r>
          </w:p>
        </w:tc>
        <w:tc>
          <w:tcPr>
            <w:tcW w:w="1682" w:type="pct"/>
            <w:shd w:val="clear" w:color="auto" w:fill="auto"/>
            <w:noWrap/>
            <w:vAlign w:val="center"/>
          </w:tcPr>
          <w:p w14:paraId="2B5C003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1.23E-04</w:t>
            </w:r>
          </w:p>
        </w:tc>
        <w:tc>
          <w:tcPr>
            <w:tcW w:w="1660" w:type="pct"/>
            <w:shd w:val="clear" w:color="auto" w:fill="auto"/>
            <w:noWrap/>
            <w:vAlign w:val="center"/>
          </w:tcPr>
          <w:p w14:paraId="4A89B5F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0.01</w:t>
            </w:r>
          </w:p>
        </w:tc>
      </w:tr>
      <w:tr w14:paraId="029F1E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7F58180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2500</w:t>
            </w:r>
          </w:p>
        </w:tc>
        <w:tc>
          <w:tcPr>
            <w:tcW w:w="1682" w:type="pct"/>
            <w:shd w:val="clear" w:color="auto" w:fill="auto"/>
            <w:noWrap/>
            <w:vAlign w:val="center"/>
          </w:tcPr>
          <w:p w14:paraId="19FCEA9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8.95E-05</w:t>
            </w:r>
          </w:p>
        </w:tc>
        <w:tc>
          <w:tcPr>
            <w:tcW w:w="1660" w:type="pct"/>
            <w:shd w:val="clear" w:color="auto" w:fill="auto"/>
            <w:noWrap/>
            <w:vAlign w:val="center"/>
          </w:tcPr>
          <w:p w14:paraId="5BFEA0C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0.01</w:t>
            </w:r>
          </w:p>
        </w:tc>
      </w:tr>
      <w:tr w14:paraId="0A6DA4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011932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最大落地浓度（</w:t>
            </w:r>
            <w:r>
              <w:rPr>
                <w:rFonts w:hint="default" w:ascii="Times New Roman" w:hAnsi="Times New Roman" w:cs="Times New Roman"/>
                <w:i w:val="0"/>
                <w:iCs w:val="0"/>
                <w:color w:val="000000"/>
                <w:kern w:val="0"/>
                <w:sz w:val="18"/>
                <w:szCs w:val="18"/>
                <w:u w:val="none"/>
                <w:lang w:val="en-US" w:eastAsia="zh-CN" w:bidi="ar"/>
              </w:rPr>
              <w:t>48</w:t>
            </w:r>
            <w:r>
              <w:rPr>
                <w:rFonts w:hint="default" w:ascii="Times New Roman" w:hAnsi="Times New Roman" w:eastAsia="宋体" w:cs="Times New Roman"/>
                <w:i w:val="0"/>
                <w:iCs w:val="0"/>
                <w:color w:val="000000"/>
                <w:kern w:val="0"/>
                <w:sz w:val="18"/>
                <w:szCs w:val="18"/>
                <w:u w:val="none"/>
                <w:lang w:val="en-US" w:eastAsia="zh-CN" w:bidi="ar"/>
              </w:rPr>
              <w:t>m）</w:t>
            </w:r>
          </w:p>
        </w:tc>
        <w:tc>
          <w:tcPr>
            <w:tcW w:w="1682" w:type="pct"/>
            <w:shd w:val="clear" w:color="auto" w:fill="auto"/>
            <w:noWrap/>
            <w:vAlign w:val="center"/>
          </w:tcPr>
          <w:p w14:paraId="532C4DB2">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1.27E-02</w:t>
            </w:r>
          </w:p>
        </w:tc>
        <w:tc>
          <w:tcPr>
            <w:tcW w:w="1660" w:type="pct"/>
            <w:shd w:val="clear" w:color="auto" w:fill="auto"/>
            <w:noWrap/>
            <w:vAlign w:val="center"/>
          </w:tcPr>
          <w:p w14:paraId="2522374E">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1.41</w:t>
            </w:r>
          </w:p>
        </w:tc>
      </w:tr>
      <w:tr w14:paraId="199220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noWrap/>
            <w:vAlign w:val="center"/>
          </w:tcPr>
          <w:p w14:paraId="46DACE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val="0"/>
                <w:bCs w:val="0"/>
                <w:color w:val="auto"/>
                <w:kern w:val="2"/>
                <w:sz w:val="18"/>
                <w:szCs w:val="18"/>
                <w:highlight w:val="none"/>
                <w:lang w:val="en-US" w:eastAsia="zh-CN" w:bidi="ar"/>
              </w:rPr>
              <w:t>放牛山（西北侧2km）</w:t>
            </w:r>
          </w:p>
        </w:tc>
        <w:tc>
          <w:tcPr>
            <w:tcW w:w="1682" w:type="pct"/>
            <w:shd w:val="clear" w:color="auto" w:fill="auto"/>
            <w:noWrap/>
            <w:vAlign w:val="center"/>
          </w:tcPr>
          <w:p w14:paraId="44B22314">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9.74E-05</w:t>
            </w:r>
          </w:p>
        </w:tc>
        <w:tc>
          <w:tcPr>
            <w:tcW w:w="1660" w:type="pct"/>
            <w:shd w:val="clear" w:color="auto" w:fill="auto"/>
            <w:noWrap/>
            <w:vAlign w:val="center"/>
          </w:tcPr>
          <w:p w14:paraId="05A7ADB7">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0.01</w:t>
            </w:r>
          </w:p>
        </w:tc>
      </w:tr>
    </w:tbl>
    <w:p w14:paraId="1CA3B0CD">
      <w:pPr>
        <w:keepNext w:val="0"/>
        <w:keepLines w:val="0"/>
        <w:pageBreakBefore w:val="0"/>
        <w:widowControl/>
        <w:kinsoku/>
        <w:wordWrap/>
        <w:overflowPunct/>
        <w:topLinePunct w:val="0"/>
        <w:autoSpaceDE w:val="0"/>
        <w:autoSpaceDN w:val="0"/>
        <w:bidi w:val="0"/>
        <w:adjustRightInd/>
        <w:snapToGrid/>
        <w:spacing w:line="360" w:lineRule="auto"/>
        <w:ind w:firstLine="490" w:firstLineChars="200"/>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rPr>
        <w:t>通过</w:t>
      </w:r>
      <w:r>
        <w:rPr>
          <w:rFonts w:hint="default" w:ascii="Times New Roman" w:hAnsi="Times New Roman" w:cs="Times New Roman"/>
          <w:b w:val="0"/>
          <w:bCs w:val="0"/>
          <w:color w:val="auto"/>
          <w:sz w:val="24"/>
          <w:szCs w:val="24"/>
          <w:highlight w:val="none"/>
          <w:lang w:val="en-US" w:eastAsia="zh-CN"/>
        </w:rPr>
        <w:t>上表</w:t>
      </w:r>
      <w:r>
        <w:rPr>
          <w:rFonts w:hint="default" w:ascii="Times New Roman" w:hAnsi="Times New Roman" w:eastAsia="宋体" w:cs="Times New Roman"/>
          <w:b w:val="0"/>
          <w:bCs w:val="0"/>
          <w:color w:val="auto"/>
          <w:sz w:val="24"/>
          <w:szCs w:val="24"/>
          <w:highlight w:val="none"/>
        </w:rPr>
        <w:t>估算，</w:t>
      </w:r>
      <w:r>
        <w:rPr>
          <w:rFonts w:hint="default" w:ascii="Times New Roman" w:hAnsi="Times New Roman" w:cs="Times New Roman"/>
          <w:b w:val="0"/>
          <w:bCs w:val="0"/>
          <w:color w:val="auto"/>
          <w:sz w:val="24"/>
          <w:szCs w:val="24"/>
          <w:highlight w:val="none"/>
          <w:lang w:val="en-US" w:eastAsia="zh-CN"/>
        </w:rPr>
        <w:t>得出以下结论：</w:t>
      </w:r>
    </w:p>
    <w:p w14:paraId="3E19C9F5">
      <w:pPr>
        <w:autoSpaceDE w:val="0"/>
        <w:spacing w:before="0" w:after="0" w:line="360" w:lineRule="auto"/>
        <w:ind w:firstLine="490" w:firstLineChars="200"/>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原料堆场</w:t>
      </w:r>
      <w:r>
        <w:rPr>
          <w:rFonts w:hint="default" w:ascii="Times New Roman" w:hAnsi="Times New Roman" w:eastAsia="宋体" w:cs="Times New Roman"/>
          <w:color w:val="auto"/>
          <w:sz w:val="24"/>
          <w:szCs w:val="24"/>
          <w:lang w:val="en-US" w:eastAsia="zh-CN"/>
        </w:rPr>
        <w:t>无组织</w:t>
      </w:r>
      <w:r>
        <w:rPr>
          <w:rFonts w:hint="default" w:ascii="Times New Roman" w:hAnsi="Times New Roman" w:eastAsia="宋体" w:cs="Times New Roman"/>
          <w:i w:val="0"/>
          <w:iCs w:val="0"/>
          <w:color w:val="auto"/>
          <w:kern w:val="0"/>
          <w:sz w:val="24"/>
          <w:szCs w:val="24"/>
          <w:u w:val="none"/>
          <w:lang w:val="en-US" w:eastAsia="zh-CN" w:bidi="ar"/>
        </w:rPr>
        <w:t>排放的</w:t>
      </w:r>
      <w:r>
        <w:rPr>
          <w:rFonts w:hint="default" w:ascii="Times New Roman" w:hAnsi="Times New Roman" w:eastAsia="宋体" w:cs="Times New Roman"/>
          <w:b w:val="0"/>
          <w:bCs w:val="0"/>
          <w:color w:val="auto"/>
          <w:kern w:val="0"/>
          <w:sz w:val="24"/>
          <w:szCs w:val="24"/>
          <w:highlight w:val="none"/>
          <w:lang w:val="en-US" w:eastAsia="zh-CN"/>
        </w:rPr>
        <w:t>粉尘（TSP</w:t>
      </w:r>
      <w:r>
        <w:rPr>
          <w:rFonts w:hint="default" w:ascii="Times New Roman" w:hAnsi="Times New Roman" w:eastAsia="宋体" w:cs="Times New Roman"/>
          <w:b w:val="0"/>
          <w:bCs w:val="0"/>
          <w:color w:val="auto"/>
          <w:kern w:val="0"/>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lang w:val="en-US" w:eastAsia="zh-CN"/>
        </w:rPr>
        <w:t>在</w:t>
      </w:r>
      <w:r>
        <w:rPr>
          <w:rFonts w:hint="default" w:ascii="Times New Roman" w:hAnsi="Times New Roman" w:eastAsia="宋体" w:cs="Times New Roman"/>
          <w:b w:val="0"/>
          <w:bCs w:val="0"/>
          <w:color w:val="auto"/>
          <w:sz w:val="24"/>
          <w:szCs w:val="24"/>
          <w:highlight w:val="none"/>
        </w:rPr>
        <w:t>下风向</w:t>
      </w:r>
      <w:r>
        <w:rPr>
          <w:rFonts w:hint="default" w:ascii="Times New Roman" w:hAnsi="Times New Roman" w:eastAsia="宋体" w:cs="Times New Roman"/>
          <w:b w:val="0"/>
          <w:bCs w:val="0"/>
          <w:color w:val="auto"/>
          <w:kern w:val="0"/>
          <w:sz w:val="24"/>
          <w:szCs w:val="24"/>
          <w:highlight w:val="none"/>
        </w:rPr>
        <w:t>最大落地浓度</w:t>
      </w:r>
      <w:r>
        <w:rPr>
          <w:rFonts w:hint="default" w:ascii="Times New Roman" w:hAnsi="Times New Roman" w:eastAsia="宋体" w:cs="Times New Roman"/>
          <w:b w:val="0"/>
          <w:bCs w:val="0"/>
          <w:color w:val="auto"/>
          <w:kern w:val="0"/>
          <w:sz w:val="24"/>
          <w:szCs w:val="24"/>
          <w:highlight w:val="none"/>
          <w:lang w:val="en-US" w:eastAsia="zh-CN"/>
        </w:rPr>
        <w:t>1.27E-02</w:t>
      </w:r>
      <w:r>
        <w:rPr>
          <w:rFonts w:hint="default" w:ascii="Times New Roman" w:hAnsi="Times New Roman" w:eastAsia="宋体" w:cs="Times New Roman"/>
          <w:b w:val="0"/>
          <w:bCs w:val="0"/>
          <w:color w:val="auto"/>
          <w:kern w:val="0"/>
          <w:sz w:val="24"/>
          <w:szCs w:val="24"/>
          <w:highlight w:val="none"/>
        </w:rPr>
        <w:t>mg/m</w:t>
      </w:r>
      <w:r>
        <w:rPr>
          <w:rFonts w:hint="default" w:ascii="Times New Roman" w:hAnsi="Times New Roman" w:eastAsia="宋体" w:cs="Times New Roman"/>
          <w:b w:val="0"/>
          <w:bCs w:val="0"/>
          <w:color w:val="auto"/>
          <w:kern w:val="0"/>
          <w:sz w:val="24"/>
          <w:szCs w:val="24"/>
          <w:highlight w:val="none"/>
          <w:vertAlign w:val="superscript"/>
        </w:rPr>
        <w:t>3</w:t>
      </w:r>
      <w:r>
        <w:rPr>
          <w:rFonts w:hint="default" w:ascii="Times New Roman" w:hAnsi="Times New Roman" w:eastAsia="宋体" w:cs="Times New Roman"/>
          <w:b w:val="0"/>
          <w:bCs w:val="0"/>
          <w:color w:val="auto"/>
          <w:kern w:val="0"/>
          <w:sz w:val="24"/>
          <w:szCs w:val="24"/>
          <w:highlight w:val="none"/>
        </w:rPr>
        <w:t>，对应下风向距离为</w:t>
      </w:r>
      <w:r>
        <w:rPr>
          <w:rFonts w:hint="default" w:ascii="Times New Roman" w:hAnsi="Times New Roman" w:cs="Times New Roman"/>
          <w:b w:val="0"/>
          <w:bCs w:val="0"/>
          <w:color w:val="auto"/>
          <w:kern w:val="0"/>
          <w:sz w:val="24"/>
          <w:szCs w:val="24"/>
          <w:highlight w:val="none"/>
          <w:lang w:val="en-US" w:eastAsia="zh-CN"/>
        </w:rPr>
        <w:t>48</w:t>
      </w:r>
      <w:r>
        <w:rPr>
          <w:rFonts w:hint="default" w:ascii="Times New Roman" w:hAnsi="Times New Roman" w:eastAsia="宋体" w:cs="Times New Roman"/>
          <w:b w:val="0"/>
          <w:bCs w:val="0"/>
          <w:color w:val="auto"/>
          <w:kern w:val="0"/>
          <w:sz w:val="24"/>
          <w:szCs w:val="24"/>
          <w:highlight w:val="none"/>
        </w:rPr>
        <w:t>m，最大占标率为</w:t>
      </w:r>
      <w:r>
        <w:rPr>
          <w:rFonts w:hint="default" w:ascii="Times New Roman" w:hAnsi="Times New Roman" w:cs="Times New Roman"/>
          <w:i w:val="0"/>
          <w:iCs w:val="0"/>
          <w:color w:val="auto"/>
          <w:kern w:val="0"/>
          <w:sz w:val="24"/>
          <w:szCs w:val="24"/>
          <w:u w:val="none"/>
          <w:lang w:val="en-US" w:eastAsia="zh-CN" w:bidi="ar"/>
        </w:rPr>
        <w:t>1.41</w:t>
      </w:r>
      <w:r>
        <w:rPr>
          <w:rFonts w:hint="default" w:ascii="Times New Roman" w:hAnsi="Times New Roman" w:eastAsia="宋体" w:cs="Times New Roman"/>
          <w:b w:val="0"/>
          <w:bCs w:val="0"/>
          <w:color w:val="auto"/>
          <w:kern w:val="0"/>
          <w:sz w:val="24"/>
          <w:szCs w:val="24"/>
          <w:highlight w:val="none"/>
        </w:rPr>
        <w:t>%</w:t>
      </w:r>
      <w:r>
        <w:rPr>
          <w:rFonts w:hint="default"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val="en-US" w:eastAsia="zh-CN"/>
        </w:rPr>
        <w:t>最大落地浓度可</w:t>
      </w:r>
      <w:r>
        <w:rPr>
          <w:rFonts w:hint="default" w:ascii="Times New Roman" w:hAnsi="Times New Roman" w:eastAsia="宋体" w:cs="Times New Roman"/>
          <w:b w:val="0"/>
          <w:bCs w:val="0"/>
          <w:color w:val="auto"/>
          <w:kern w:val="0"/>
          <w:sz w:val="24"/>
          <w:szCs w:val="24"/>
          <w:highlight w:val="none"/>
        </w:rPr>
        <w:t>满足</w:t>
      </w:r>
      <w:r>
        <w:rPr>
          <w:rFonts w:hint="default" w:ascii="Times New Roman" w:hAnsi="Times New Roman" w:eastAsia="宋体" w:cs="Times New Roman"/>
          <w:color w:val="auto"/>
          <w:sz w:val="24"/>
          <w:szCs w:val="24"/>
          <w:highlight w:val="none"/>
        </w:rPr>
        <w:t>《环境空气质量标准》（GB3095-2012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二级标准中日均值的3倍（即0.9</w:t>
      </w:r>
      <w:r>
        <w:rPr>
          <w:rFonts w:hint="default" w:ascii="Times New Roman" w:hAnsi="Times New Roman" w:eastAsia="宋体" w:cs="Times New Roman"/>
          <w:i w:val="0"/>
          <w:iCs w:val="0"/>
          <w:color w:val="auto"/>
          <w:kern w:val="0"/>
          <w:sz w:val="24"/>
          <w:szCs w:val="24"/>
          <w:highlight w:val="none"/>
          <w:u w:val="none"/>
          <w:lang w:val="en-US" w:eastAsia="zh-CN" w:bidi="ar"/>
        </w:rPr>
        <w:t>mg/m</w:t>
      </w:r>
      <w:r>
        <w:rPr>
          <w:rFonts w:hint="default" w:ascii="Times New Roman" w:hAnsi="Times New Roman" w:eastAsia="宋体" w:cs="Times New Roman"/>
          <w:i w:val="0"/>
          <w:iCs w:val="0"/>
          <w:color w:val="auto"/>
          <w:kern w:val="0"/>
          <w:sz w:val="24"/>
          <w:szCs w:val="24"/>
          <w:highlight w:val="none"/>
          <w:u w:val="none"/>
          <w:vertAlign w:val="superscript"/>
          <w:lang w:val="en-US" w:eastAsia="zh-CN" w:bidi="ar"/>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。项目最近的大气环境保护目标为西北侧约2km处放牛山</w:t>
      </w:r>
      <w:r>
        <w:rPr>
          <w:rFonts w:hint="default" w:ascii="Times New Roman" w:hAnsi="Times New Roman" w:eastAsia="宋体" w:cs="Times New Roman"/>
          <w:b w:val="0"/>
          <w:bCs w:val="0"/>
          <w:color w:val="auto"/>
          <w:kern w:val="0"/>
          <w:sz w:val="24"/>
          <w:szCs w:val="24"/>
          <w:highlight w:val="none"/>
          <w:vertAlign w:val="baseline"/>
          <w:lang w:eastAsia="zh-CN"/>
        </w:rPr>
        <w:t>，</w:t>
      </w:r>
      <w:r>
        <w:rPr>
          <w:rFonts w:hint="default" w:ascii="Times New Roman" w:hAnsi="Times New Roman" w:eastAsia="宋体" w:cs="Times New Roman"/>
          <w:b w:val="0"/>
          <w:bCs w:val="0"/>
          <w:color w:val="auto"/>
          <w:kern w:val="0"/>
          <w:sz w:val="24"/>
          <w:szCs w:val="24"/>
          <w:highlight w:val="none"/>
          <w:vertAlign w:val="baseline"/>
          <w:lang w:val="en-US" w:eastAsia="zh-CN"/>
        </w:rPr>
        <w:t>预测</w:t>
      </w:r>
      <w:r>
        <w:rPr>
          <w:rFonts w:hint="default" w:ascii="Times New Roman" w:hAnsi="Times New Roman" w:eastAsia="宋体" w:cs="Times New Roman"/>
          <w:b w:val="0"/>
          <w:bCs w:val="0"/>
          <w:color w:val="auto"/>
          <w:kern w:val="0"/>
          <w:sz w:val="24"/>
          <w:szCs w:val="24"/>
          <w:highlight w:val="none"/>
        </w:rPr>
        <w:t>浓度为</w:t>
      </w:r>
      <w:r>
        <w:rPr>
          <w:rFonts w:hint="default" w:ascii="Times New Roman" w:hAnsi="Times New Roman" w:eastAsia="宋体" w:cs="Times New Roman"/>
          <w:b w:val="0"/>
          <w:bCs w:val="0"/>
          <w:color w:val="auto"/>
          <w:kern w:val="0"/>
          <w:sz w:val="24"/>
          <w:szCs w:val="24"/>
          <w:highlight w:val="none"/>
          <w:lang w:val="en-US" w:eastAsia="zh-CN"/>
        </w:rPr>
        <w:t>9.74E-05</w:t>
      </w:r>
      <w:r>
        <w:rPr>
          <w:rFonts w:hint="default" w:ascii="Times New Roman" w:hAnsi="Times New Roman" w:eastAsia="宋体" w:cs="Times New Roman"/>
          <w:b w:val="0"/>
          <w:bCs w:val="0"/>
          <w:color w:val="auto"/>
          <w:kern w:val="0"/>
          <w:sz w:val="24"/>
          <w:szCs w:val="24"/>
          <w:highlight w:val="none"/>
        </w:rPr>
        <w:t>mg/m</w:t>
      </w:r>
      <w:r>
        <w:rPr>
          <w:rFonts w:hint="default" w:ascii="Times New Roman" w:hAnsi="Times New Roman" w:eastAsia="宋体" w:cs="Times New Roman"/>
          <w:b w:val="0"/>
          <w:bCs w:val="0"/>
          <w:color w:val="auto"/>
          <w:kern w:val="0"/>
          <w:sz w:val="24"/>
          <w:szCs w:val="24"/>
          <w:highlight w:val="none"/>
          <w:vertAlign w:val="superscript"/>
        </w:rPr>
        <w:t>3</w:t>
      </w:r>
      <w:r>
        <w:rPr>
          <w:rFonts w:hint="default" w:ascii="Times New Roman" w:hAnsi="Times New Roman" w:eastAsia="宋体" w:cs="Times New Roman"/>
          <w:b w:val="0"/>
          <w:bCs w:val="0"/>
          <w:color w:val="auto"/>
          <w:kern w:val="0"/>
          <w:sz w:val="24"/>
          <w:szCs w:val="24"/>
          <w:highlight w:val="none"/>
          <w:vertAlign w:val="baseline"/>
          <w:lang w:eastAsia="zh-CN"/>
        </w:rPr>
        <w:t>，</w:t>
      </w:r>
      <w:r>
        <w:rPr>
          <w:rFonts w:hint="default" w:ascii="Times New Roman" w:hAnsi="Times New Roman" w:eastAsia="宋体" w:cs="Times New Roman"/>
          <w:b w:val="0"/>
          <w:bCs w:val="0"/>
          <w:color w:val="auto"/>
          <w:kern w:val="0"/>
          <w:sz w:val="24"/>
          <w:szCs w:val="24"/>
          <w:highlight w:val="none"/>
          <w:lang w:val="en-US" w:eastAsia="zh-CN"/>
        </w:rPr>
        <w:t>可</w:t>
      </w:r>
      <w:r>
        <w:rPr>
          <w:rFonts w:hint="default" w:ascii="Times New Roman" w:hAnsi="Times New Roman" w:eastAsia="宋体" w:cs="Times New Roman"/>
          <w:b w:val="0"/>
          <w:bCs w:val="0"/>
          <w:color w:val="auto"/>
          <w:kern w:val="0"/>
          <w:sz w:val="24"/>
          <w:szCs w:val="24"/>
          <w:highlight w:val="none"/>
        </w:rPr>
        <w:t>满足</w:t>
      </w:r>
      <w:r>
        <w:rPr>
          <w:rFonts w:hint="default" w:ascii="Times New Roman" w:hAnsi="Times New Roman" w:eastAsia="宋体" w:cs="Times New Roman"/>
          <w:color w:val="auto"/>
          <w:sz w:val="24"/>
          <w:szCs w:val="24"/>
          <w:highlight w:val="none"/>
        </w:rPr>
        <w:t>《环境空气质量标准》（GB3095-2012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二级标准中日均值的3倍（即0.9</w:t>
      </w:r>
      <w:r>
        <w:rPr>
          <w:rFonts w:hint="default" w:ascii="Times New Roman" w:hAnsi="Times New Roman" w:eastAsia="宋体" w:cs="Times New Roman"/>
          <w:i w:val="0"/>
          <w:iCs w:val="0"/>
          <w:color w:val="auto"/>
          <w:kern w:val="0"/>
          <w:sz w:val="24"/>
          <w:szCs w:val="24"/>
          <w:highlight w:val="none"/>
          <w:u w:val="none"/>
          <w:lang w:val="en-US" w:eastAsia="zh-CN" w:bidi="ar"/>
        </w:rPr>
        <w:t>mg/m</w:t>
      </w:r>
      <w:r>
        <w:rPr>
          <w:rFonts w:hint="default" w:ascii="Times New Roman" w:hAnsi="Times New Roman" w:eastAsia="宋体" w:cs="Times New Roman"/>
          <w:i w:val="0"/>
          <w:iCs w:val="0"/>
          <w:color w:val="auto"/>
          <w:kern w:val="0"/>
          <w:sz w:val="24"/>
          <w:szCs w:val="24"/>
          <w:highlight w:val="none"/>
          <w:u w:val="none"/>
          <w:vertAlign w:val="superscript"/>
          <w:lang w:val="en-US" w:eastAsia="zh-CN" w:bidi="ar"/>
        </w:rPr>
        <w:t>3</w:t>
      </w:r>
      <w:r>
        <w:rPr>
          <w:rFonts w:hint="default" w:ascii="Times New Roman" w:hAnsi="Times New Roman" w:eastAsia="宋体" w:cs="Times New Roman"/>
          <w:color w:val="auto"/>
          <w:sz w:val="24"/>
          <w:szCs w:val="24"/>
          <w:highlight w:val="none"/>
          <w:lang w:val="en-US" w:eastAsia="zh-CN"/>
        </w:rPr>
        <w:t>）。</w:t>
      </w:r>
    </w:p>
    <w:p w14:paraId="60B63F2D">
      <w:pPr>
        <w:keepNext w:val="0"/>
        <w:keepLines w:val="0"/>
        <w:pageBreakBefore w:val="0"/>
        <w:widowControl/>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kern w:val="0"/>
          <w:sz w:val="24"/>
          <w:szCs w:val="24"/>
          <w:highlight w:val="none"/>
          <w:lang w:val="en-US" w:eastAsia="zh-CN"/>
        </w:rPr>
        <w:t>综上，</w:t>
      </w:r>
      <w:r>
        <w:rPr>
          <w:rFonts w:hint="default" w:ascii="Times New Roman" w:hAnsi="Times New Roman" w:cs="Times New Roman"/>
          <w:b w:val="0"/>
          <w:bCs w:val="0"/>
          <w:color w:val="auto"/>
          <w:kern w:val="0"/>
          <w:sz w:val="24"/>
          <w:szCs w:val="24"/>
          <w:highlight w:val="none"/>
        </w:rPr>
        <w:t>估算模式已考虑了最不利的气象条件，分析预测结果表明，只要</w:t>
      </w:r>
      <w:r>
        <w:rPr>
          <w:rFonts w:hint="default" w:ascii="Times New Roman" w:hAnsi="Times New Roman" w:cs="Times New Roman"/>
          <w:b w:val="0"/>
          <w:bCs w:val="0"/>
          <w:color w:val="auto"/>
          <w:kern w:val="0"/>
          <w:sz w:val="24"/>
          <w:szCs w:val="24"/>
          <w:highlight w:val="none"/>
          <w:lang w:val="en-US" w:eastAsia="zh-CN"/>
        </w:rPr>
        <w:t>严格落实各项措施</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项目运营过程中</w:t>
      </w:r>
      <w:r>
        <w:rPr>
          <w:rFonts w:hint="default" w:ascii="Times New Roman" w:hAnsi="Times New Roman" w:eastAsia="宋体" w:cs="Times New Roman"/>
          <w:b w:val="0"/>
          <w:bCs w:val="0"/>
          <w:color w:val="auto"/>
          <w:sz w:val="24"/>
          <w:szCs w:val="24"/>
          <w:highlight w:val="none"/>
          <w:lang w:val="en-US" w:eastAsia="zh-CN"/>
        </w:rPr>
        <w:t>排放的无组织TSP</w:t>
      </w:r>
      <w:r>
        <w:rPr>
          <w:rFonts w:hint="default" w:ascii="Times New Roman" w:hAnsi="Times New Roman" w:cs="Times New Roman"/>
          <w:b w:val="0"/>
          <w:bCs w:val="0"/>
          <w:color w:val="auto"/>
          <w:sz w:val="24"/>
          <w:szCs w:val="24"/>
          <w:highlight w:val="none"/>
        </w:rPr>
        <w:t>周围环境影响较小，不会</w:t>
      </w:r>
      <w:r>
        <w:rPr>
          <w:rFonts w:hint="default" w:ascii="Times New Roman" w:hAnsi="Times New Roman" w:cs="Times New Roman"/>
          <w:b w:val="0"/>
          <w:bCs w:val="0"/>
          <w:color w:val="auto"/>
          <w:sz w:val="24"/>
          <w:szCs w:val="24"/>
          <w:highlight w:val="none"/>
          <w:lang w:val="en-US" w:eastAsia="zh-CN"/>
        </w:rPr>
        <w:t>改变周边</w:t>
      </w:r>
      <w:r>
        <w:rPr>
          <w:rFonts w:hint="default" w:ascii="Times New Roman" w:hAnsi="Times New Roman" w:cs="Times New Roman"/>
          <w:b w:val="0"/>
          <w:bCs w:val="0"/>
          <w:color w:val="auto"/>
          <w:sz w:val="24"/>
          <w:szCs w:val="24"/>
          <w:highlight w:val="none"/>
        </w:rPr>
        <w:t>的大气环境功能。</w:t>
      </w:r>
    </w:p>
    <w:p w14:paraId="5EC9FECC">
      <w:pPr>
        <w:pStyle w:val="7"/>
        <w:bidi w:val="0"/>
        <w:rPr>
          <w:rFonts w:hint="default" w:ascii="Times New Roman" w:hAnsi="Times New Roman" w:cs="Times New Roman"/>
          <w:b w:val="0"/>
          <w:bCs w:val="0"/>
          <w:color w:val="auto"/>
          <w:sz w:val="24"/>
          <w:highlight w:val="none"/>
          <w:lang w:val="en-US" w:eastAsia="zh-CN"/>
        </w:rPr>
      </w:pPr>
      <w:r>
        <w:rPr>
          <w:rFonts w:hint="default" w:ascii="Times New Roman" w:hAnsi="Times New Roman" w:cs="Times New Roman"/>
          <w:b w:val="0"/>
          <w:bCs w:val="0"/>
          <w:color w:val="auto"/>
          <w:kern w:val="2"/>
          <w:sz w:val="28"/>
          <w:szCs w:val="28"/>
          <w:highlight w:val="none"/>
          <w:lang w:val="en-US" w:eastAsia="zh-CN" w:bidi="ar-SA"/>
        </w:rPr>
        <w:t>6.1.2.2</w:t>
      </w:r>
      <w:r>
        <w:rPr>
          <w:rFonts w:hint="default" w:ascii="Times New Roman" w:hAnsi="Times New Roman" w:cs="Times New Roman"/>
          <w:b w:val="0"/>
          <w:bCs w:val="0"/>
          <w:color w:val="auto"/>
          <w:sz w:val="24"/>
          <w:highlight w:val="none"/>
          <w:lang w:val="en-US" w:eastAsia="zh-CN"/>
        </w:rPr>
        <w:t>非正常工况下</w:t>
      </w:r>
    </w:p>
    <w:p w14:paraId="3947EA28">
      <w:pPr>
        <w:pStyle w:val="17"/>
        <w:keepNext w:val="0"/>
        <w:keepLines w:val="0"/>
        <w:pageBreakBefore w:val="0"/>
        <w:widowControl w:val="0"/>
        <w:kinsoku/>
        <w:wordWrap/>
        <w:overflowPunct/>
        <w:topLinePunct w:val="0"/>
        <w:autoSpaceDE/>
        <w:autoSpaceDN/>
        <w:bidi w:val="0"/>
        <w:adjustRightInd/>
        <w:snapToGrid/>
        <w:spacing w:beforeLines="0" w:line="360" w:lineRule="auto"/>
        <w:jc w:val="both"/>
        <w:textAlignment w:val="auto"/>
        <w:rPr>
          <w:rFonts w:hint="default" w:ascii="Times New Roman" w:hAnsi="Times New Roman" w:cs="Times New Roman"/>
          <w:color w:val="auto"/>
        </w:rPr>
      </w:pPr>
      <w:r>
        <w:rPr>
          <w:rFonts w:hint="default" w:ascii="Times New Roman" w:hAnsi="Times New Roman" w:eastAsia="宋体" w:cs="Times New Roman"/>
          <w:color w:val="auto"/>
          <w:sz w:val="24"/>
          <w:szCs w:val="24"/>
        </w:rPr>
        <w:t>根据工程分析设定的非正常排放条件</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主要考虑</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破碎机废气排口</w:t>
      </w:r>
      <w:r>
        <w:rPr>
          <w:rFonts w:hint="default" w:ascii="Times New Roman" w:hAnsi="Times New Roman" w:cs="Times New Roman"/>
          <w:b w:val="0"/>
          <w:bCs w:val="0"/>
          <w:color w:val="auto"/>
          <w:sz w:val="24"/>
          <w:szCs w:val="24"/>
          <w:highlight w:val="none"/>
          <w:lang w:val="en-US" w:eastAsia="zh-CN"/>
        </w:rPr>
        <w:t>（DA001）</w:t>
      </w:r>
      <w:r>
        <w:rPr>
          <w:rFonts w:hint="default" w:ascii="Times New Roman" w:hAnsi="Times New Roman" w:cs="Times New Roman"/>
          <w:color w:val="auto"/>
          <w:kern w:val="24"/>
          <w:sz w:val="24"/>
        </w:rPr>
        <w:t>袋式除尘器布袋破损后，无法立即更换的情况，除尘效率下降至50</w:t>
      </w:r>
      <w:r>
        <w:rPr>
          <w:rFonts w:hint="default" w:ascii="Times New Roman" w:hAnsi="Times New Roman" w:cs="Times New Roman"/>
          <w:color w:val="auto"/>
          <w:kern w:val="24"/>
          <w:sz w:val="24"/>
          <w:lang w:val="en-US"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zh-CN"/>
        </w:rPr>
        <w:t>本次</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val="en-US" w:eastAsia="zh-CN"/>
        </w:rPr>
        <w:t>TSP</w:t>
      </w:r>
      <w:r>
        <w:rPr>
          <w:rFonts w:hint="default" w:ascii="Times New Roman" w:hAnsi="Times New Roman" w:eastAsia="宋体" w:cs="Times New Roman"/>
          <w:color w:val="auto"/>
          <w:sz w:val="24"/>
          <w:szCs w:val="24"/>
        </w:rPr>
        <w:t>非正常</w:t>
      </w:r>
      <w:r>
        <w:rPr>
          <w:rFonts w:hint="default" w:ascii="Times New Roman" w:hAnsi="Times New Roman" w:eastAsia="宋体" w:cs="Times New Roman"/>
          <w:color w:val="auto"/>
          <w:sz w:val="24"/>
          <w:szCs w:val="24"/>
          <w:lang w:val="zh-CN"/>
        </w:rPr>
        <w:t>进行</w:t>
      </w:r>
      <w:r>
        <w:rPr>
          <w:rFonts w:hint="default" w:ascii="Times New Roman" w:hAnsi="Times New Roman" w:eastAsia="宋体" w:cs="Times New Roman"/>
          <w:color w:val="auto"/>
          <w:sz w:val="24"/>
          <w:szCs w:val="24"/>
          <w:lang w:val="en-US" w:eastAsia="zh-CN"/>
        </w:rPr>
        <w:t>1h贡献</w:t>
      </w:r>
      <w:r>
        <w:rPr>
          <w:rFonts w:hint="default" w:ascii="Times New Roman" w:hAnsi="Times New Roman" w:eastAsia="宋体" w:cs="Times New Roman"/>
          <w:color w:val="auto"/>
          <w:sz w:val="24"/>
          <w:szCs w:val="24"/>
          <w:lang w:val="zh-CN"/>
        </w:rPr>
        <w:t>浓度</w:t>
      </w:r>
      <w:r>
        <w:rPr>
          <w:rFonts w:hint="default" w:ascii="Times New Roman" w:hAnsi="Times New Roman" w:eastAsia="宋体" w:cs="Times New Roman"/>
          <w:color w:val="auto"/>
          <w:sz w:val="24"/>
          <w:szCs w:val="24"/>
          <w:lang w:val="en-US" w:eastAsia="zh-CN"/>
        </w:rPr>
        <w:t>采用</w:t>
      </w:r>
      <w:r>
        <w:rPr>
          <w:rFonts w:hint="default" w:ascii="Times New Roman" w:hAnsi="Times New Roman" w:eastAsia="宋体" w:cs="Times New Roman"/>
          <w:color w:val="auto"/>
          <w:sz w:val="24"/>
          <w:szCs w:val="24"/>
          <w:highlight w:val="none"/>
          <w:lang w:val="en-US" w:eastAsia="zh-CN"/>
        </w:rPr>
        <w:t>《环境影响评价技术导则 大气环境》HJ2.2-2018推荐的估算模式AERSCREEN进行估算</w:t>
      </w:r>
      <w:r>
        <w:rPr>
          <w:rFonts w:hint="default" w:ascii="Times New Roman" w:hAnsi="Times New Roman" w:eastAsia="宋体" w:cs="Times New Roman"/>
          <w:color w:val="auto"/>
          <w:sz w:val="24"/>
          <w:szCs w:val="24"/>
          <w:lang w:val="zh-CN"/>
        </w:rPr>
        <w:t>。</w:t>
      </w:r>
    </w:p>
    <w:p w14:paraId="7953EF80">
      <w:pPr>
        <w:autoSpaceDE w:val="0"/>
        <w:spacing w:before="0" w:after="0" w:line="360" w:lineRule="auto"/>
        <w:jc w:val="center"/>
        <w:outlineLvl w:val="9"/>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表6.1.2-4  非正常条件下项目破碎机废气排口（DA001）下风向2500m的PM</w:t>
      </w:r>
      <w:r>
        <w:rPr>
          <w:rFonts w:hint="default" w:ascii="Times New Roman" w:hAnsi="Times New Roman" w:eastAsia="黑体" w:cs="Times New Roman"/>
          <w:b w:val="0"/>
          <w:bCs w:val="0"/>
          <w:color w:val="auto"/>
          <w:sz w:val="21"/>
          <w:szCs w:val="21"/>
          <w:highlight w:val="none"/>
          <w:vertAlign w:val="subscript"/>
          <w:lang w:val="en-US" w:eastAsia="zh-CN"/>
        </w:rPr>
        <w:t>10</w:t>
      </w:r>
      <w:r>
        <w:rPr>
          <w:rFonts w:hint="default" w:ascii="Times New Roman" w:hAnsi="Times New Roman" w:eastAsia="黑体" w:cs="Times New Roman"/>
          <w:b w:val="0"/>
          <w:bCs w:val="0"/>
          <w:color w:val="auto"/>
          <w:sz w:val="21"/>
          <w:szCs w:val="21"/>
          <w:highlight w:val="none"/>
          <w:lang w:val="en-US" w:eastAsia="zh-CN"/>
        </w:rPr>
        <w:t>估算结果</w:t>
      </w:r>
    </w:p>
    <w:tbl>
      <w:tblPr>
        <w:tblStyle w:val="29"/>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078"/>
        <w:gridCol w:w="3125"/>
        <w:gridCol w:w="3078"/>
      </w:tblGrid>
      <w:tr w14:paraId="54A7FB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58" w:type="pct"/>
            <w:shd w:val="clear" w:color="auto" w:fill="auto"/>
            <w:noWrap/>
            <w:vAlign w:val="center"/>
          </w:tcPr>
          <w:p w14:paraId="3D061F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距源中心下风向距离D(m)</w:t>
            </w:r>
          </w:p>
        </w:tc>
        <w:tc>
          <w:tcPr>
            <w:tcW w:w="1683" w:type="pct"/>
            <w:shd w:val="clear" w:color="auto" w:fill="auto"/>
            <w:noWrap/>
            <w:vAlign w:val="center"/>
          </w:tcPr>
          <w:p w14:paraId="580DD35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下风向预测浓度Ci(mg/m</w:t>
            </w:r>
            <w:r>
              <w:rPr>
                <w:rFonts w:hint="default" w:ascii="Times New Roman" w:hAnsi="Times New Roman" w:eastAsia="宋体" w:cs="Times New Roman"/>
                <w:i w:val="0"/>
                <w:iCs w:val="0"/>
                <w:color w:val="auto"/>
                <w:kern w:val="0"/>
                <w:sz w:val="18"/>
                <w:szCs w:val="18"/>
                <w:u w:val="none"/>
                <w:vertAlign w:val="superscript"/>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w:t>
            </w:r>
          </w:p>
        </w:tc>
        <w:tc>
          <w:tcPr>
            <w:tcW w:w="1658" w:type="pct"/>
            <w:shd w:val="clear" w:color="auto" w:fill="auto"/>
            <w:noWrap/>
            <w:vAlign w:val="center"/>
          </w:tcPr>
          <w:p w14:paraId="72A3159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浓度占标率Pi(%)</w:t>
            </w:r>
          </w:p>
        </w:tc>
      </w:tr>
      <w:tr w14:paraId="5397BF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7E9EA21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125" w:type="dxa"/>
            <w:shd w:val="clear" w:color="auto" w:fill="auto"/>
            <w:noWrap/>
            <w:vAlign w:val="center"/>
          </w:tcPr>
          <w:p w14:paraId="62E5903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5.96E-13</w:t>
            </w:r>
          </w:p>
        </w:tc>
        <w:tc>
          <w:tcPr>
            <w:tcW w:w="3078" w:type="dxa"/>
            <w:shd w:val="clear" w:color="auto" w:fill="auto"/>
            <w:noWrap/>
            <w:vAlign w:val="center"/>
          </w:tcPr>
          <w:p w14:paraId="63F42CF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0C5C10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38DA8E7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3125" w:type="dxa"/>
            <w:shd w:val="clear" w:color="auto" w:fill="auto"/>
            <w:noWrap/>
            <w:vAlign w:val="center"/>
          </w:tcPr>
          <w:p w14:paraId="43D6744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6.69E-01</w:t>
            </w:r>
          </w:p>
        </w:tc>
        <w:tc>
          <w:tcPr>
            <w:tcW w:w="3078" w:type="dxa"/>
            <w:shd w:val="clear" w:color="auto" w:fill="auto"/>
            <w:noWrap/>
            <w:vAlign w:val="center"/>
          </w:tcPr>
          <w:p w14:paraId="53FE36C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148.56</w:t>
            </w:r>
          </w:p>
        </w:tc>
      </w:tr>
      <w:tr w14:paraId="21BA4F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FDD960" w:themeFill="accent3" w:themeFillTint="99"/>
            <w:noWrap/>
            <w:vAlign w:val="center"/>
          </w:tcPr>
          <w:p w14:paraId="6AA4A21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w:t>
            </w:r>
          </w:p>
        </w:tc>
        <w:tc>
          <w:tcPr>
            <w:tcW w:w="3125" w:type="dxa"/>
            <w:shd w:val="clear" w:color="auto" w:fill="FDD960" w:themeFill="accent3" w:themeFillTint="99"/>
            <w:noWrap/>
            <w:vAlign w:val="center"/>
          </w:tcPr>
          <w:p w14:paraId="2C512DE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3.65E+00</w:t>
            </w:r>
          </w:p>
        </w:tc>
        <w:tc>
          <w:tcPr>
            <w:tcW w:w="3078" w:type="dxa"/>
            <w:shd w:val="clear" w:color="auto" w:fill="FDD960" w:themeFill="accent3" w:themeFillTint="99"/>
            <w:noWrap/>
            <w:vAlign w:val="center"/>
          </w:tcPr>
          <w:p w14:paraId="35BC987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810.87</w:t>
            </w:r>
          </w:p>
        </w:tc>
      </w:tr>
      <w:tr w14:paraId="4EF4EF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6EE2D9C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125" w:type="dxa"/>
            <w:shd w:val="clear" w:color="auto" w:fill="auto"/>
            <w:noWrap/>
            <w:vAlign w:val="center"/>
          </w:tcPr>
          <w:p w14:paraId="237D751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3.11E+00</w:t>
            </w:r>
          </w:p>
        </w:tc>
        <w:tc>
          <w:tcPr>
            <w:tcW w:w="3078" w:type="dxa"/>
            <w:shd w:val="clear" w:color="auto" w:fill="auto"/>
            <w:noWrap/>
            <w:vAlign w:val="center"/>
          </w:tcPr>
          <w:p w14:paraId="615004E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691.56</w:t>
            </w:r>
          </w:p>
        </w:tc>
      </w:tr>
      <w:tr w14:paraId="3CC94F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2191BDD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3125" w:type="dxa"/>
            <w:shd w:val="clear" w:color="auto" w:fill="auto"/>
            <w:noWrap/>
            <w:vAlign w:val="center"/>
          </w:tcPr>
          <w:p w14:paraId="2252781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1.59E+00</w:t>
            </w:r>
          </w:p>
        </w:tc>
        <w:tc>
          <w:tcPr>
            <w:tcW w:w="3078" w:type="dxa"/>
            <w:shd w:val="clear" w:color="auto" w:fill="auto"/>
            <w:noWrap/>
            <w:vAlign w:val="center"/>
          </w:tcPr>
          <w:p w14:paraId="2B75E36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354.36</w:t>
            </w:r>
          </w:p>
        </w:tc>
      </w:tr>
      <w:tr w14:paraId="15BDDF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0116B65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3125" w:type="dxa"/>
            <w:shd w:val="clear" w:color="auto" w:fill="auto"/>
            <w:noWrap/>
            <w:vAlign w:val="center"/>
          </w:tcPr>
          <w:p w14:paraId="222415C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1.13E+00</w:t>
            </w:r>
          </w:p>
        </w:tc>
        <w:tc>
          <w:tcPr>
            <w:tcW w:w="3078" w:type="dxa"/>
            <w:shd w:val="clear" w:color="auto" w:fill="auto"/>
            <w:noWrap/>
            <w:vAlign w:val="center"/>
          </w:tcPr>
          <w:p w14:paraId="3A46304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250.78</w:t>
            </w:r>
          </w:p>
        </w:tc>
      </w:tr>
      <w:tr w14:paraId="605010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40DFA6A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3125" w:type="dxa"/>
            <w:shd w:val="clear" w:color="auto" w:fill="auto"/>
            <w:noWrap/>
            <w:vAlign w:val="center"/>
          </w:tcPr>
          <w:p w14:paraId="349CFCD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8.57E-01</w:t>
            </w:r>
          </w:p>
        </w:tc>
        <w:tc>
          <w:tcPr>
            <w:tcW w:w="3078" w:type="dxa"/>
            <w:shd w:val="clear" w:color="auto" w:fill="auto"/>
            <w:noWrap/>
            <w:vAlign w:val="center"/>
          </w:tcPr>
          <w:p w14:paraId="7AD18A6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190.38</w:t>
            </w:r>
          </w:p>
        </w:tc>
      </w:tr>
      <w:tr w14:paraId="33B27E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5C66EE9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3125" w:type="dxa"/>
            <w:shd w:val="clear" w:color="auto" w:fill="auto"/>
            <w:noWrap/>
            <w:vAlign w:val="center"/>
          </w:tcPr>
          <w:p w14:paraId="5866849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7.32E-01</w:t>
            </w:r>
          </w:p>
        </w:tc>
        <w:tc>
          <w:tcPr>
            <w:tcW w:w="3078" w:type="dxa"/>
            <w:shd w:val="clear" w:color="auto" w:fill="auto"/>
            <w:noWrap/>
            <w:vAlign w:val="center"/>
          </w:tcPr>
          <w:p w14:paraId="57C7904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162.64</w:t>
            </w:r>
          </w:p>
        </w:tc>
      </w:tr>
      <w:tr w14:paraId="082149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2E663A5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175</w:t>
            </w:r>
          </w:p>
        </w:tc>
        <w:tc>
          <w:tcPr>
            <w:tcW w:w="3125" w:type="dxa"/>
            <w:shd w:val="clear" w:color="auto" w:fill="auto"/>
            <w:noWrap/>
            <w:vAlign w:val="center"/>
          </w:tcPr>
          <w:p w14:paraId="66DB4F7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6.19E-01</w:t>
            </w:r>
          </w:p>
        </w:tc>
        <w:tc>
          <w:tcPr>
            <w:tcW w:w="3078" w:type="dxa"/>
            <w:shd w:val="clear" w:color="auto" w:fill="auto"/>
            <w:noWrap/>
            <w:vAlign w:val="center"/>
          </w:tcPr>
          <w:p w14:paraId="45040EB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137.48</w:t>
            </w:r>
          </w:p>
        </w:tc>
      </w:tr>
      <w:tr w14:paraId="79C3FF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6412EB6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3125" w:type="dxa"/>
            <w:shd w:val="clear" w:color="auto" w:fill="auto"/>
            <w:noWrap/>
            <w:vAlign w:val="center"/>
          </w:tcPr>
          <w:p w14:paraId="6081DAA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5.35E-01</w:t>
            </w:r>
          </w:p>
        </w:tc>
        <w:tc>
          <w:tcPr>
            <w:tcW w:w="3078" w:type="dxa"/>
            <w:shd w:val="clear" w:color="auto" w:fill="auto"/>
            <w:noWrap/>
            <w:vAlign w:val="center"/>
          </w:tcPr>
          <w:p w14:paraId="4C3494A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118.84</w:t>
            </w:r>
          </w:p>
        </w:tc>
      </w:tr>
      <w:tr w14:paraId="509C3E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2C27A07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3125" w:type="dxa"/>
            <w:shd w:val="clear" w:color="auto" w:fill="auto"/>
            <w:noWrap/>
            <w:vAlign w:val="center"/>
          </w:tcPr>
          <w:p w14:paraId="3C77868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4.67E-01</w:t>
            </w:r>
          </w:p>
        </w:tc>
        <w:tc>
          <w:tcPr>
            <w:tcW w:w="3078" w:type="dxa"/>
            <w:shd w:val="clear" w:color="auto" w:fill="auto"/>
            <w:noWrap/>
            <w:vAlign w:val="center"/>
          </w:tcPr>
          <w:p w14:paraId="1903F5E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103.83</w:t>
            </w:r>
          </w:p>
        </w:tc>
      </w:tr>
      <w:tr w14:paraId="4E5277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0886265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3125" w:type="dxa"/>
            <w:shd w:val="clear" w:color="auto" w:fill="auto"/>
            <w:noWrap/>
            <w:vAlign w:val="center"/>
          </w:tcPr>
          <w:p w14:paraId="3145847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4.04E-01</w:t>
            </w:r>
          </w:p>
        </w:tc>
        <w:tc>
          <w:tcPr>
            <w:tcW w:w="3078" w:type="dxa"/>
            <w:shd w:val="clear" w:color="auto" w:fill="auto"/>
            <w:noWrap/>
            <w:vAlign w:val="center"/>
          </w:tcPr>
          <w:p w14:paraId="379B78F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89.83</w:t>
            </w:r>
          </w:p>
        </w:tc>
      </w:tr>
      <w:tr w14:paraId="7810A4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20842A7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w:t>
            </w:r>
          </w:p>
        </w:tc>
        <w:tc>
          <w:tcPr>
            <w:tcW w:w="3125" w:type="dxa"/>
            <w:shd w:val="clear" w:color="auto" w:fill="auto"/>
            <w:noWrap/>
            <w:vAlign w:val="center"/>
          </w:tcPr>
          <w:p w14:paraId="42FDD1C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3.64E-01</w:t>
            </w:r>
          </w:p>
        </w:tc>
        <w:tc>
          <w:tcPr>
            <w:tcW w:w="3078" w:type="dxa"/>
            <w:shd w:val="clear" w:color="auto" w:fill="auto"/>
            <w:noWrap/>
            <w:vAlign w:val="center"/>
          </w:tcPr>
          <w:p w14:paraId="30AAB4C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80.96</w:t>
            </w:r>
          </w:p>
        </w:tc>
      </w:tr>
      <w:tr w14:paraId="742281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4129EBC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3125" w:type="dxa"/>
            <w:shd w:val="clear" w:color="auto" w:fill="auto"/>
            <w:noWrap/>
            <w:vAlign w:val="center"/>
          </w:tcPr>
          <w:p w14:paraId="3DA35A0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3.31E-01</w:t>
            </w:r>
          </w:p>
        </w:tc>
        <w:tc>
          <w:tcPr>
            <w:tcW w:w="3078" w:type="dxa"/>
            <w:shd w:val="clear" w:color="auto" w:fill="auto"/>
            <w:noWrap/>
            <w:vAlign w:val="center"/>
          </w:tcPr>
          <w:p w14:paraId="13D1760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73.47</w:t>
            </w:r>
          </w:p>
        </w:tc>
      </w:tr>
      <w:tr w14:paraId="2B5E01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1048462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w:t>
            </w:r>
          </w:p>
        </w:tc>
        <w:tc>
          <w:tcPr>
            <w:tcW w:w="3125" w:type="dxa"/>
            <w:shd w:val="clear" w:color="auto" w:fill="auto"/>
            <w:noWrap/>
            <w:vAlign w:val="center"/>
          </w:tcPr>
          <w:p w14:paraId="1B5D43D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2.99E-01</w:t>
            </w:r>
          </w:p>
        </w:tc>
        <w:tc>
          <w:tcPr>
            <w:tcW w:w="3078" w:type="dxa"/>
            <w:shd w:val="clear" w:color="auto" w:fill="auto"/>
            <w:noWrap/>
            <w:vAlign w:val="center"/>
          </w:tcPr>
          <w:p w14:paraId="44B19C5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66.48</w:t>
            </w:r>
          </w:p>
        </w:tc>
      </w:tr>
      <w:tr w14:paraId="603D07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3E7C958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3125" w:type="dxa"/>
            <w:shd w:val="clear" w:color="auto" w:fill="auto"/>
            <w:noWrap/>
            <w:vAlign w:val="center"/>
          </w:tcPr>
          <w:p w14:paraId="6618AA8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2.72E-01</w:t>
            </w:r>
          </w:p>
        </w:tc>
        <w:tc>
          <w:tcPr>
            <w:tcW w:w="3078" w:type="dxa"/>
            <w:shd w:val="clear" w:color="auto" w:fill="auto"/>
            <w:noWrap/>
            <w:vAlign w:val="center"/>
          </w:tcPr>
          <w:p w14:paraId="14E6B93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60.48</w:t>
            </w:r>
          </w:p>
        </w:tc>
      </w:tr>
      <w:tr w14:paraId="756607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66596BF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375</w:t>
            </w:r>
          </w:p>
        </w:tc>
        <w:tc>
          <w:tcPr>
            <w:tcW w:w="3125" w:type="dxa"/>
            <w:shd w:val="clear" w:color="auto" w:fill="auto"/>
            <w:noWrap/>
            <w:vAlign w:val="center"/>
          </w:tcPr>
          <w:p w14:paraId="0EC4820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2.49E-01</w:t>
            </w:r>
          </w:p>
        </w:tc>
        <w:tc>
          <w:tcPr>
            <w:tcW w:w="3078" w:type="dxa"/>
            <w:shd w:val="clear" w:color="auto" w:fill="auto"/>
            <w:noWrap/>
            <w:vAlign w:val="center"/>
          </w:tcPr>
          <w:p w14:paraId="2D12119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55.33</w:t>
            </w:r>
          </w:p>
        </w:tc>
      </w:tr>
      <w:tr w14:paraId="4EF337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6271E52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3125" w:type="dxa"/>
            <w:shd w:val="clear" w:color="auto" w:fill="auto"/>
            <w:noWrap/>
            <w:vAlign w:val="center"/>
          </w:tcPr>
          <w:p w14:paraId="3C1861A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2.23E-01</w:t>
            </w:r>
          </w:p>
        </w:tc>
        <w:tc>
          <w:tcPr>
            <w:tcW w:w="3078" w:type="dxa"/>
            <w:shd w:val="clear" w:color="auto" w:fill="auto"/>
            <w:noWrap/>
            <w:vAlign w:val="center"/>
          </w:tcPr>
          <w:p w14:paraId="18D43FE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49.59</w:t>
            </w:r>
          </w:p>
        </w:tc>
      </w:tr>
      <w:tr w14:paraId="6B7401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36A1550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3125" w:type="dxa"/>
            <w:shd w:val="clear" w:color="auto" w:fill="auto"/>
            <w:noWrap/>
            <w:vAlign w:val="center"/>
          </w:tcPr>
          <w:p w14:paraId="61BFF96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2.11E-01</w:t>
            </w:r>
          </w:p>
        </w:tc>
        <w:tc>
          <w:tcPr>
            <w:tcW w:w="3078" w:type="dxa"/>
            <w:shd w:val="clear" w:color="auto" w:fill="auto"/>
            <w:noWrap/>
            <w:vAlign w:val="center"/>
          </w:tcPr>
          <w:p w14:paraId="4F919F8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46.98</w:t>
            </w:r>
          </w:p>
        </w:tc>
      </w:tr>
      <w:tr w14:paraId="125161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7F50294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3125" w:type="dxa"/>
            <w:shd w:val="clear" w:color="auto" w:fill="auto"/>
            <w:noWrap/>
            <w:vAlign w:val="center"/>
          </w:tcPr>
          <w:p w14:paraId="2506007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1.96E-01</w:t>
            </w:r>
          </w:p>
        </w:tc>
        <w:tc>
          <w:tcPr>
            <w:tcW w:w="3078" w:type="dxa"/>
            <w:shd w:val="clear" w:color="auto" w:fill="auto"/>
            <w:noWrap/>
            <w:vAlign w:val="center"/>
          </w:tcPr>
          <w:p w14:paraId="177EA4F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43.48</w:t>
            </w:r>
          </w:p>
        </w:tc>
      </w:tr>
      <w:tr w14:paraId="3A8AFB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24BCA66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475</w:t>
            </w:r>
          </w:p>
        </w:tc>
        <w:tc>
          <w:tcPr>
            <w:tcW w:w="3125" w:type="dxa"/>
            <w:shd w:val="clear" w:color="auto" w:fill="auto"/>
            <w:noWrap/>
            <w:vAlign w:val="center"/>
          </w:tcPr>
          <w:p w14:paraId="29F2A2D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1.83E-01</w:t>
            </w:r>
          </w:p>
        </w:tc>
        <w:tc>
          <w:tcPr>
            <w:tcW w:w="3078" w:type="dxa"/>
            <w:shd w:val="clear" w:color="auto" w:fill="auto"/>
            <w:noWrap/>
            <w:vAlign w:val="center"/>
          </w:tcPr>
          <w:p w14:paraId="1BD9366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40.57</w:t>
            </w:r>
          </w:p>
        </w:tc>
      </w:tr>
      <w:tr w14:paraId="247A6C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4BC222A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3125" w:type="dxa"/>
            <w:shd w:val="clear" w:color="auto" w:fill="auto"/>
            <w:noWrap/>
            <w:vAlign w:val="center"/>
          </w:tcPr>
          <w:p w14:paraId="7B5BB87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1.71E-01</w:t>
            </w:r>
          </w:p>
        </w:tc>
        <w:tc>
          <w:tcPr>
            <w:tcW w:w="3078" w:type="dxa"/>
            <w:shd w:val="clear" w:color="auto" w:fill="auto"/>
            <w:noWrap/>
            <w:vAlign w:val="center"/>
          </w:tcPr>
          <w:p w14:paraId="1CBFAAB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37.9</w:t>
            </w:r>
          </w:p>
        </w:tc>
      </w:tr>
      <w:tr w14:paraId="41581B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4750DB3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525</w:t>
            </w:r>
          </w:p>
        </w:tc>
        <w:tc>
          <w:tcPr>
            <w:tcW w:w="3125" w:type="dxa"/>
            <w:shd w:val="clear" w:color="auto" w:fill="auto"/>
            <w:noWrap/>
            <w:vAlign w:val="center"/>
          </w:tcPr>
          <w:p w14:paraId="513B928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1.60E-01</w:t>
            </w:r>
          </w:p>
        </w:tc>
        <w:tc>
          <w:tcPr>
            <w:tcW w:w="3078" w:type="dxa"/>
            <w:shd w:val="clear" w:color="auto" w:fill="auto"/>
            <w:noWrap/>
            <w:vAlign w:val="center"/>
          </w:tcPr>
          <w:p w14:paraId="1386623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35.52</w:t>
            </w:r>
          </w:p>
        </w:tc>
      </w:tr>
      <w:tr w14:paraId="0F2494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6CB567E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3125" w:type="dxa"/>
            <w:shd w:val="clear" w:color="auto" w:fill="auto"/>
            <w:noWrap/>
            <w:vAlign w:val="center"/>
          </w:tcPr>
          <w:p w14:paraId="2C2E213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1.49E-01</w:t>
            </w:r>
          </w:p>
        </w:tc>
        <w:tc>
          <w:tcPr>
            <w:tcW w:w="3078" w:type="dxa"/>
            <w:shd w:val="clear" w:color="auto" w:fill="auto"/>
            <w:noWrap/>
            <w:vAlign w:val="center"/>
          </w:tcPr>
          <w:p w14:paraId="452C8A9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33.15</w:t>
            </w:r>
          </w:p>
        </w:tc>
      </w:tr>
      <w:tr w14:paraId="4BDCFB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1833458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w:t>
            </w:r>
          </w:p>
        </w:tc>
        <w:tc>
          <w:tcPr>
            <w:tcW w:w="3125" w:type="dxa"/>
            <w:shd w:val="clear" w:color="auto" w:fill="auto"/>
            <w:noWrap/>
            <w:vAlign w:val="center"/>
          </w:tcPr>
          <w:p w14:paraId="7A9F342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1.41E-01</w:t>
            </w:r>
          </w:p>
        </w:tc>
        <w:tc>
          <w:tcPr>
            <w:tcW w:w="3078" w:type="dxa"/>
            <w:shd w:val="clear" w:color="auto" w:fill="auto"/>
            <w:noWrap/>
            <w:vAlign w:val="center"/>
          </w:tcPr>
          <w:p w14:paraId="5B8952F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31.37</w:t>
            </w:r>
          </w:p>
        </w:tc>
      </w:tr>
      <w:tr w14:paraId="0DDB98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5407804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3125" w:type="dxa"/>
            <w:shd w:val="clear" w:color="auto" w:fill="auto"/>
            <w:noWrap/>
            <w:vAlign w:val="center"/>
          </w:tcPr>
          <w:p w14:paraId="23BCDFC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1.34E-01</w:t>
            </w:r>
          </w:p>
        </w:tc>
        <w:tc>
          <w:tcPr>
            <w:tcW w:w="3078" w:type="dxa"/>
            <w:shd w:val="clear" w:color="auto" w:fill="auto"/>
            <w:noWrap/>
            <w:vAlign w:val="center"/>
          </w:tcPr>
          <w:p w14:paraId="632678F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29.72</w:t>
            </w:r>
          </w:p>
        </w:tc>
      </w:tr>
      <w:tr w14:paraId="719352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19FE3495">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625</w:t>
            </w:r>
          </w:p>
        </w:tc>
        <w:tc>
          <w:tcPr>
            <w:tcW w:w="3125" w:type="dxa"/>
            <w:shd w:val="clear" w:color="auto" w:fill="auto"/>
            <w:noWrap/>
            <w:vAlign w:val="center"/>
          </w:tcPr>
          <w:p w14:paraId="00BC83F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1.24E-01</w:t>
            </w:r>
          </w:p>
        </w:tc>
        <w:tc>
          <w:tcPr>
            <w:tcW w:w="3078" w:type="dxa"/>
            <w:shd w:val="clear" w:color="auto" w:fill="auto"/>
            <w:noWrap/>
            <w:vAlign w:val="center"/>
          </w:tcPr>
          <w:p w14:paraId="3C1C4A5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27.53</w:t>
            </w:r>
          </w:p>
        </w:tc>
      </w:tr>
      <w:tr w14:paraId="36066E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2C047F8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650</w:t>
            </w:r>
          </w:p>
        </w:tc>
        <w:tc>
          <w:tcPr>
            <w:tcW w:w="3125" w:type="dxa"/>
            <w:shd w:val="clear" w:color="auto" w:fill="auto"/>
            <w:noWrap/>
            <w:vAlign w:val="center"/>
          </w:tcPr>
          <w:p w14:paraId="6AAC67E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1.15E-01</w:t>
            </w:r>
          </w:p>
        </w:tc>
        <w:tc>
          <w:tcPr>
            <w:tcW w:w="3078" w:type="dxa"/>
            <w:shd w:val="clear" w:color="auto" w:fill="auto"/>
            <w:noWrap/>
            <w:vAlign w:val="center"/>
          </w:tcPr>
          <w:p w14:paraId="05AAE21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25.6</w:t>
            </w:r>
          </w:p>
        </w:tc>
      </w:tr>
      <w:tr w14:paraId="7E9ACB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0F8DE8E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675</w:t>
            </w:r>
          </w:p>
        </w:tc>
        <w:tc>
          <w:tcPr>
            <w:tcW w:w="3125" w:type="dxa"/>
            <w:shd w:val="clear" w:color="auto" w:fill="auto"/>
            <w:noWrap/>
            <w:vAlign w:val="center"/>
          </w:tcPr>
          <w:p w14:paraId="0EF412E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1.14E-01</w:t>
            </w:r>
          </w:p>
        </w:tc>
        <w:tc>
          <w:tcPr>
            <w:tcW w:w="3078" w:type="dxa"/>
            <w:shd w:val="clear" w:color="auto" w:fill="auto"/>
            <w:noWrap/>
            <w:vAlign w:val="center"/>
          </w:tcPr>
          <w:p w14:paraId="21C42A8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25.3</w:t>
            </w:r>
          </w:p>
        </w:tc>
      </w:tr>
      <w:tr w14:paraId="640548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7CEFA21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700</w:t>
            </w:r>
          </w:p>
        </w:tc>
        <w:tc>
          <w:tcPr>
            <w:tcW w:w="3125" w:type="dxa"/>
            <w:shd w:val="clear" w:color="auto" w:fill="auto"/>
            <w:noWrap/>
            <w:vAlign w:val="center"/>
          </w:tcPr>
          <w:p w14:paraId="7593562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1.09E-01</w:t>
            </w:r>
          </w:p>
        </w:tc>
        <w:tc>
          <w:tcPr>
            <w:tcW w:w="3078" w:type="dxa"/>
            <w:shd w:val="clear" w:color="auto" w:fill="auto"/>
            <w:noWrap/>
            <w:vAlign w:val="center"/>
          </w:tcPr>
          <w:p w14:paraId="7AC8C02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24.18</w:t>
            </w:r>
          </w:p>
        </w:tc>
      </w:tr>
      <w:tr w14:paraId="313B9D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76DD12A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725</w:t>
            </w:r>
          </w:p>
        </w:tc>
        <w:tc>
          <w:tcPr>
            <w:tcW w:w="3125" w:type="dxa"/>
            <w:shd w:val="clear" w:color="auto" w:fill="auto"/>
            <w:noWrap/>
            <w:vAlign w:val="center"/>
          </w:tcPr>
          <w:p w14:paraId="7783867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1.04E-01</w:t>
            </w:r>
          </w:p>
        </w:tc>
        <w:tc>
          <w:tcPr>
            <w:tcW w:w="3078" w:type="dxa"/>
            <w:shd w:val="clear" w:color="auto" w:fill="auto"/>
            <w:noWrap/>
            <w:vAlign w:val="center"/>
          </w:tcPr>
          <w:p w14:paraId="2B355A6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23.07</w:t>
            </w:r>
          </w:p>
        </w:tc>
      </w:tr>
      <w:tr w14:paraId="238AF2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433E3B2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750</w:t>
            </w:r>
          </w:p>
        </w:tc>
        <w:tc>
          <w:tcPr>
            <w:tcW w:w="3125" w:type="dxa"/>
            <w:shd w:val="clear" w:color="auto" w:fill="auto"/>
            <w:noWrap/>
            <w:vAlign w:val="center"/>
          </w:tcPr>
          <w:p w14:paraId="6EC702F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9.77E-02</w:t>
            </w:r>
          </w:p>
        </w:tc>
        <w:tc>
          <w:tcPr>
            <w:tcW w:w="3078" w:type="dxa"/>
            <w:shd w:val="clear" w:color="auto" w:fill="auto"/>
            <w:noWrap/>
            <w:vAlign w:val="center"/>
          </w:tcPr>
          <w:p w14:paraId="1CBF82C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21.72</w:t>
            </w:r>
          </w:p>
        </w:tc>
      </w:tr>
      <w:tr w14:paraId="617681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28D7FD9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775</w:t>
            </w:r>
          </w:p>
        </w:tc>
        <w:tc>
          <w:tcPr>
            <w:tcW w:w="3125" w:type="dxa"/>
            <w:shd w:val="clear" w:color="auto" w:fill="auto"/>
            <w:noWrap/>
            <w:vAlign w:val="center"/>
          </w:tcPr>
          <w:p w14:paraId="167AFC8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9.34E-02</w:t>
            </w:r>
          </w:p>
        </w:tc>
        <w:tc>
          <w:tcPr>
            <w:tcW w:w="3078" w:type="dxa"/>
            <w:shd w:val="clear" w:color="auto" w:fill="auto"/>
            <w:noWrap/>
            <w:vAlign w:val="center"/>
          </w:tcPr>
          <w:p w14:paraId="0DC72AE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20.76</w:t>
            </w:r>
          </w:p>
        </w:tc>
      </w:tr>
      <w:tr w14:paraId="0C94AD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12FD49C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800</w:t>
            </w:r>
          </w:p>
        </w:tc>
        <w:tc>
          <w:tcPr>
            <w:tcW w:w="3125" w:type="dxa"/>
            <w:shd w:val="clear" w:color="auto" w:fill="auto"/>
            <w:noWrap/>
            <w:vAlign w:val="center"/>
          </w:tcPr>
          <w:p w14:paraId="4A6C601E">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9.09E-02</w:t>
            </w:r>
          </w:p>
        </w:tc>
        <w:tc>
          <w:tcPr>
            <w:tcW w:w="3078" w:type="dxa"/>
            <w:shd w:val="clear" w:color="auto" w:fill="auto"/>
            <w:noWrap/>
            <w:vAlign w:val="center"/>
          </w:tcPr>
          <w:p w14:paraId="7A33066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20.21</w:t>
            </w:r>
          </w:p>
        </w:tc>
      </w:tr>
      <w:tr w14:paraId="5A9339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7D95CBB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825</w:t>
            </w:r>
          </w:p>
        </w:tc>
        <w:tc>
          <w:tcPr>
            <w:tcW w:w="3125" w:type="dxa"/>
            <w:shd w:val="clear" w:color="auto" w:fill="auto"/>
            <w:noWrap/>
            <w:vAlign w:val="center"/>
          </w:tcPr>
          <w:p w14:paraId="7E09FB0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8.65E-02</w:t>
            </w:r>
          </w:p>
        </w:tc>
        <w:tc>
          <w:tcPr>
            <w:tcW w:w="3078" w:type="dxa"/>
            <w:shd w:val="clear" w:color="auto" w:fill="auto"/>
            <w:noWrap/>
            <w:vAlign w:val="center"/>
          </w:tcPr>
          <w:p w14:paraId="30B0193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19.22</w:t>
            </w:r>
          </w:p>
        </w:tc>
      </w:tr>
      <w:tr w14:paraId="2047E7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6CDD235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850</w:t>
            </w:r>
          </w:p>
        </w:tc>
        <w:tc>
          <w:tcPr>
            <w:tcW w:w="3125" w:type="dxa"/>
            <w:shd w:val="clear" w:color="auto" w:fill="auto"/>
            <w:noWrap/>
            <w:vAlign w:val="center"/>
          </w:tcPr>
          <w:p w14:paraId="2C4EE60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8.38E-02</w:t>
            </w:r>
          </w:p>
        </w:tc>
        <w:tc>
          <w:tcPr>
            <w:tcW w:w="3078" w:type="dxa"/>
            <w:shd w:val="clear" w:color="auto" w:fill="auto"/>
            <w:noWrap/>
            <w:vAlign w:val="center"/>
          </w:tcPr>
          <w:p w14:paraId="69A277F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18.62</w:t>
            </w:r>
          </w:p>
        </w:tc>
      </w:tr>
      <w:tr w14:paraId="5E2CD0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15E24B4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875</w:t>
            </w:r>
          </w:p>
        </w:tc>
        <w:tc>
          <w:tcPr>
            <w:tcW w:w="3125" w:type="dxa"/>
            <w:shd w:val="clear" w:color="auto" w:fill="auto"/>
            <w:noWrap/>
            <w:vAlign w:val="center"/>
          </w:tcPr>
          <w:p w14:paraId="6C21BEA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7.87E-02</w:t>
            </w:r>
          </w:p>
        </w:tc>
        <w:tc>
          <w:tcPr>
            <w:tcW w:w="3078" w:type="dxa"/>
            <w:shd w:val="clear" w:color="auto" w:fill="auto"/>
            <w:noWrap/>
            <w:vAlign w:val="center"/>
          </w:tcPr>
          <w:p w14:paraId="1BB78FB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17.5</w:t>
            </w:r>
          </w:p>
        </w:tc>
      </w:tr>
      <w:tr w14:paraId="01F5EE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12B1C82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w:t>
            </w:r>
          </w:p>
        </w:tc>
        <w:tc>
          <w:tcPr>
            <w:tcW w:w="3125" w:type="dxa"/>
            <w:shd w:val="clear" w:color="auto" w:fill="auto"/>
            <w:noWrap/>
            <w:vAlign w:val="center"/>
          </w:tcPr>
          <w:p w14:paraId="69249A6B">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7.63E-02</w:t>
            </w:r>
          </w:p>
        </w:tc>
        <w:tc>
          <w:tcPr>
            <w:tcW w:w="3078" w:type="dxa"/>
            <w:shd w:val="clear" w:color="auto" w:fill="auto"/>
            <w:noWrap/>
            <w:vAlign w:val="center"/>
          </w:tcPr>
          <w:p w14:paraId="7F778E1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16.95</w:t>
            </w:r>
          </w:p>
        </w:tc>
      </w:tr>
      <w:tr w14:paraId="2A49A8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6829E18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925</w:t>
            </w:r>
          </w:p>
        </w:tc>
        <w:tc>
          <w:tcPr>
            <w:tcW w:w="3125" w:type="dxa"/>
            <w:shd w:val="clear" w:color="auto" w:fill="auto"/>
            <w:noWrap/>
            <w:vAlign w:val="center"/>
          </w:tcPr>
          <w:p w14:paraId="2B032EA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7.47E-02</w:t>
            </w:r>
          </w:p>
        </w:tc>
        <w:tc>
          <w:tcPr>
            <w:tcW w:w="3078" w:type="dxa"/>
            <w:shd w:val="clear" w:color="auto" w:fill="auto"/>
            <w:noWrap/>
            <w:vAlign w:val="center"/>
          </w:tcPr>
          <w:p w14:paraId="61E13722">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16.6</w:t>
            </w:r>
          </w:p>
        </w:tc>
      </w:tr>
      <w:tr w14:paraId="34F311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4F90F998">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950</w:t>
            </w:r>
          </w:p>
        </w:tc>
        <w:tc>
          <w:tcPr>
            <w:tcW w:w="3125" w:type="dxa"/>
            <w:shd w:val="clear" w:color="auto" w:fill="auto"/>
            <w:noWrap/>
            <w:vAlign w:val="center"/>
          </w:tcPr>
          <w:p w14:paraId="41AF538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7.19E-02</w:t>
            </w:r>
          </w:p>
        </w:tc>
        <w:tc>
          <w:tcPr>
            <w:tcW w:w="3078" w:type="dxa"/>
            <w:shd w:val="clear" w:color="auto" w:fill="auto"/>
            <w:noWrap/>
            <w:vAlign w:val="center"/>
          </w:tcPr>
          <w:p w14:paraId="27F7362F">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15.98</w:t>
            </w:r>
          </w:p>
        </w:tc>
      </w:tr>
      <w:tr w14:paraId="3BA454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54E692DD">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975</w:t>
            </w:r>
          </w:p>
        </w:tc>
        <w:tc>
          <w:tcPr>
            <w:tcW w:w="3125" w:type="dxa"/>
            <w:shd w:val="clear" w:color="auto" w:fill="auto"/>
            <w:noWrap/>
            <w:vAlign w:val="center"/>
          </w:tcPr>
          <w:p w14:paraId="415044A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6.92E-02</w:t>
            </w:r>
          </w:p>
        </w:tc>
        <w:tc>
          <w:tcPr>
            <w:tcW w:w="3078" w:type="dxa"/>
            <w:shd w:val="clear" w:color="auto" w:fill="auto"/>
            <w:noWrap/>
            <w:vAlign w:val="center"/>
          </w:tcPr>
          <w:p w14:paraId="5E86D93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15.37</w:t>
            </w:r>
          </w:p>
        </w:tc>
      </w:tr>
      <w:tr w14:paraId="43BC77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7425D09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w:t>
            </w:r>
          </w:p>
        </w:tc>
        <w:tc>
          <w:tcPr>
            <w:tcW w:w="3125" w:type="dxa"/>
            <w:shd w:val="clear" w:color="auto" w:fill="auto"/>
            <w:noWrap/>
            <w:vAlign w:val="center"/>
          </w:tcPr>
          <w:p w14:paraId="1D107404">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6.70E-02</w:t>
            </w:r>
          </w:p>
        </w:tc>
        <w:tc>
          <w:tcPr>
            <w:tcW w:w="3078" w:type="dxa"/>
            <w:shd w:val="clear" w:color="auto" w:fill="auto"/>
            <w:noWrap/>
            <w:vAlign w:val="center"/>
          </w:tcPr>
          <w:p w14:paraId="31413A6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w:t>
            </w:r>
          </w:p>
        </w:tc>
      </w:tr>
      <w:tr w14:paraId="3BCCEB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4203C2A2">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1500</w:t>
            </w:r>
          </w:p>
        </w:tc>
        <w:tc>
          <w:tcPr>
            <w:tcW w:w="3125" w:type="dxa"/>
            <w:shd w:val="clear" w:color="auto" w:fill="auto"/>
            <w:noWrap/>
            <w:vAlign w:val="center"/>
          </w:tcPr>
          <w:p w14:paraId="010E6D3D">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3.92E-02</w:t>
            </w:r>
          </w:p>
        </w:tc>
        <w:tc>
          <w:tcPr>
            <w:tcW w:w="3078" w:type="dxa"/>
            <w:shd w:val="clear" w:color="auto" w:fill="auto"/>
            <w:noWrap/>
            <w:vAlign w:val="center"/>
          </w:tcPr>
          <w:p w14:paraId="283C25B0">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8.71</w:t>
            </w:r>
          </w:p>
        </w:tc>
      </w:tr>
      <w:tr w14:paraId="740679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5613929D">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2000</w:t>
            </w:r>
          </w:p>
        </w:tc>
        <w:tc>
          <w:tcPr>
            <w:tcW w:w="3125" w:type="dxa"/>
            <w:shd w:val="clear" w:color="auto" w:fill="auto"/>
            <w:noWrap/>
            <w:vAlign w:val="center"/>
          </w:tcPr>
          <w:p w14:paraId="2BF07420">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2.58E-02</w:t>
            </w:r>
          </w:p>
        </w:tc>
        <w:tc>
          <w:tcPr>
            <w:tcW w:w="3078" w:type="dxa"/>
            <w:shd w:val="clear" w:color="auto" w:fill="auto"/>
            <w:noWrap/>
            <w:vAlign w:val="center"/>
          </w:tcPr>
          <w:p w14:paraId="3D1E5A69">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5.73</w:t>
            </w:r>
          </w:p>
        </w:tc>
      </w:tr>
      <w:tr w14:paraId="7286AE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78" w:type="dxa"/>
            <w:shd w:val="clear" w:color="auto" w:fill="auto"/>
            <w:noWrap/>
            <w:vAlign w:val="center"/>
          </w:tcPr>
          <w:p w14:paraId="7BE63C21">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2500</w:t>
            </w:r>
          </w:p>
        </w:tc>
        <w:tc>
          <w:tcPr>
            <w:tcW w:w="3125" w:type="dxa"/>
            <w:shd w:val="clear" w:color="auto" w:fill="auto"/>
            <w:noWrap/>
            <w:vAlign w:val="center"/>
          </w:tcPr>
          <w:p w14:paraId="03F9FA5C">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2.00E-02</w:t>
            </w:r>
          </w:p>
        </w:tc>
        <w:tc>
          <w:tcPr>
            <w:tcW w:w="3078" w:type="dxa"/>
            <w:shd w:val="clear" w:color="auto" w:fill="auto"/>
            <w:noWrap/>
            <w:vAlign w:val="center"/>
          </w:tcPr>
          <w:p w14:paraId="5131B02E">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4.45</w:t>
            </w:r>
          </w:p>
        </w:tc>
      </w:tr>
      <w:tr w14:paraId="3F554A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8" w:type="pct"/>
            <w:shd w:val="clear" w:color="auto" w:fill="auto"/>
            <w:noWrap/>
            <w:vAlign w:val="center"/>
          </w:tcPr>
          <w:p w14:paraId="6F2D5F3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最大落地浓度（</w:t>
            </w:r>
            <w:r>
              <w:rPr>
                <w:rFonts w:hint="default" w:ascii="Times New Roman" w:hAnsi="Times New Roman" w:cs="Times New Roman"/>
                <w:i w:val="0"/>
                <w:iCs w:val="0"/>
                <w:color w:val="auto"/>
                <w:kern w:val="0"/>
                <w:sz w:val="18"/>
                <w:szCs w:val="18"/>
                <w:u w:val="none"/>
                <w:lang w:val="en-US" w:eastAsia="zh-CN" w:bidi="ar"/>
              </w:rPr>
              <w:t>43</w:t>
            </w:r>
            <w:r>
              <w:rPr>
                <w:rFonts w:hint="default" w:ascii="Times New Roman" w:hAnsi="Times New Roman" w:eastAsia="宋体" w:cs="Times New Roman"/>
                <w:i w:val="0"/>
                <w:iCs w:val="0"/>
                <w:color w:val="auto"/>
                <w:kern w:val="0"/>
                <w:sz w:val="18"/>
                <w:szCs w:val="18"/>
                <w:u w:val="none"/>
                <w:lang w:val="en-US" w:eastAsia="zh-CN" w:bidi="ar"/>
              </w:rPr>
              <w:t>m）</w:t>
            </w:r>
          </w:p>
        </w:tc>
        <w:tc>
          <w:tcPr>
            <w:tcW w:w="3125" w:type="dxa"/>
            <w:shd w:val="clear" w:color="auto" w:fill="auto"/>
            <w:noWrap/>
            <w:vAlign w:val="center"/>
          </w:tcPr>
          <w:p w14:paraId="4117E58B">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3.65E+00</w:t>
            </w:r>
          </w:p>
        </w:tc>
        <w:tc>
          <w:tcPr>
            <w:tcW w:w="3078" w:type="dxa"/>
            <w:shd w:val="clear" w:color="auto" w:fill="auto"/>
            <w:noWrap/>
            <w:vAlign w:val="center"/>
          </w:tcPr>
          <w:p w14:paraId="30A59EFA">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810.87</w:t>
            </w:r>
          </w:p>
        </w:tc>
      </w:tr>
    </w:tbl>
    <w:p w14:paraId="2D32947B">
      <w:pPr>
        <w:keepNext w:val="0"/>
        <w:keepLines w:val="0"/>
        <w:pageBreakBefore w:val="0"/>
        <w:widowControl/>
        <w:kinsoku/>
        <w:wordWrap/>
        <w:overflowPunct/>
        <w:topLinePunct w:val="0"/>
        <w:autoSpaceDE w:val="0"/>
        <w:autoSpaceDN w:val="0"/>
        <w:bidi w:val="0"/>
        <w:adjustRightInd/>
        <w:snapToGrid/>
        <w:spacing w:before="157" w:beforeLines="50" w:line="360" w:lineRule="auto"/>
        <w:ind w:firstLine="49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val="0"/>
          <w:bCs w:val="0"/>
          <w:color w:val="auto"/>
          <w:sz w:val="24"/>
          <w:szCs w:val="24"/>
          <w:highlight w:val="none"/>
        </w:rPr>
        <w:t>通过估算，</w:t>
      </w:r>
      <w:r>
        <w:rPr>
          <w:rFonts w:hint="default" w:ascii="Times New Roman" w:hAnsi="Times New Roman" w:cs="Times New Roman"/>
          <w:b w:val="0"/>
          <w:bCs w:val="0"/>
          <w:color w:val="auto"/>
          <w:sz w:val="24"/>
          <w:szCs w:val="24"/>
          <w:highlight w:val="none"/>
          <w:lang w:val="en-US" w:eastAsia="zh-CN"/>
        </w:rPr>
        <w:t>在非正常工况下，</w:t>
      </w:r>
      <w:r>
        <w:rPr>
          <w:rFonts w:hint="default" w:ascii="Times New Roman" w:hAnsi="Times New Roman" w:eastAsia="宋体" w:cs="Times New Roman"/>
          <w:b w:val="0"/>
          <w:bCs w:val="0"/>
          <w:color w:val="auto"/>
          <w:sz w:val="24"/>
          <w:szCs w:val="24"/>
          <w:highlight w:val="none"/>
          <w:lang w:val="en-US" w:eastAsia="zh-CN"/>
        </w:rPr>
        <w:t>项目废气排口（D</w:t>
      </w:r>
      <w:r>
        <w:rPr>
          <w:rFonts w:hint="default" w:ascii="Times New Roman" w:hAnsi="Times New Roman" w:eastAsia="黑体" w:cs="Times New Roman"/>
          <w:b w:val="0"/>
          <w:bCs w:val="0"/>
          <w:color w:val="auto"/>
          <w:sz w:val="24"/>
          <w:szCs w:val="24"/>
          <w:highlight w:val="none"/>
          <w:lang w:val="en-US" w:eastAsia="zh-CN"/>
        </w:rPr>
        <w:t>A001）</w:t>
      </w:r>
      <w:r>
        <w:rPr>
          <w:rFonts w:hint="default" w:ascii="Times New Roman" w:hAnsi="Times New Roman" w:cs="Times New Roman"/>
          <w:b w:val="0"/>
          <w:bCs w:val="0"/>
          <w:color w:val="auto"/>
          <w:sz w:val="24"/>
          <w:szCs w:val="24"/>
          <w:highlight w:val="none"/>
        </w:rPr>
        <w:t>的下风</w:t>
      </w:r>
      <w:r>
        <w:rPr>
          <w:rFonts w:hint="default" w:ascii="Times New Roman" w:hAnsi="Times New Roman" w:eastAsia="宋体" w:cs="Times New Roman"/>
          <w:b w:val="0"/>
          <w:bCs w:val="0"/>
          <w:color w:val="auto"/>
          <w:sz w:val="24"/>
          <w:szCs w:val="24"/>
          <w:highlight w:val="none"/>
          <w:lang w:val="en-US" w:eastAsia="zh-CN"/>
        </w:rPr>
        <w:t>向</w:t>
      </w:r>
      <w:r>
        <w:rPr>
          <w:rFonts w:hint="default" w:ascii="Times New Roman" w:hAnsi="Times New Roman" w:cs="Times New Roman"/>
          <w:b w:val="0"/>
          <w:bCs w:val="0"/>
          <w:color w:val="auto"/>
          <w:sz w:val="24"/>
          <w:szCs w:val="24"/>
          <w:highlight w:val="none"/>
          <w:lang w:val="en-US" w:eastAsia="zh-CN"/>
        </w:rPr>
        <w:t>TSP</w:t>
      </w:r>
      <w:r>
        <w:rPr>
          <w:rFonts w:hint="default" w:ascii="Times New Roman" w:hAnsi="Times New Roman" w:eastAsia="宋体" w:cs="Times New Roman"/>
          <w:b w:val="0"/>
          <w:bCs w:val="0"/>
          <w:color w:val="auto"/>
          <w:sz w:val="24"/>
          <w:szCs w:val="24"/>
          <w:highlight w:val="none"/>
          <w:lang w:val="en-US" w:eastAsia="zh-CN"/>
        </w:rPr>
        <w:t>最大落地浓度为</w:t>
      </w:r>
      <w:r>
        <w:rPr>
          <w:rFonts w:hint="default" w:ascii="Times New Roman" w:hAnsi="Times New Roman" w:eastAsia="宋体" w:cs="Times New Roman"/>
          <w:i w:val="0"/>
          <w:iCs w:val="0"/>
          <w:color w:val="auto"/>
          <w:kern w:val="0"/>
          <w:sz w:val="22"/>
          <w:szCs w:val="22"/>
          <w:u w:val="none"/>
          <w:lang w:val="en-US" w:eastAsia="zh-CN" w:bidi="ar"/>
        </w:rPr>
        <w:t>3.65E+00</w:t>
      </w:r>
      <w:r>
        <w:rPr>
          <w:rFonts w:hint="default" w:ascii="Times New Roman" w:hAnsi="Times New Roman" w:eastAsia="宋体" w:cs="Times New Roman"/>
          <w:b w:val="0"/>
          <w:bCs w:val="0"/>
          <w:color w:val="auto"/>
          <w:sz w:val="24"/>
          <w:szCs w:val="24"/>
          <w:highlight w:val="none"/>
          <w:lang w:val="en-US" w:eastAsia="zh-CN"/>
        </w:rPr>
        <w:t>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，距离为</w:t>
      </w:r>
      <w:r>
        <w:rPr>
          <w:rFonts w:hint="default" w:ascii="Times New Roman" w:hAnsi="Times New Roman" w:cs="Times New Roman"/>
          <w:b w:val="0"/>
          <w:bCs w:val="0"/>
          <w:color w:val="auto"/>
          <w:sz w:val="24"/>
          <w:szCs w:val="24"/>
          <w:highlight w:val="none"/>
          <w:lang w:val="en-US" w:eastAsia="zh-CN"/>
        </w:rPr>
        <w:t>43</w:t>
      </w:r>
      <w:r>
        <w:rPr>
          <w:rFonts w:hint="default" w:ascii="Times New Roman" w:hAnsi="Times New Roman" w:eastAsia="宋体" w:cs="Times New Roman"/>
          <w:b w:val="0"/>
          <w:bCs w:val="0"/>
          <w:color w:val="auto"/>
          <w:sz w:val="24"/>
          <w:szCs w:val="24"/>
          <w:highlight w:val="none"/>
          <w:lang w:val="en-US" w:eastAsia="zh-CN"/>
        </w:rPr>
        <w:t>m，最大落地浓度占标率为</w:t>
      </w:r>
      <w:r>
        <w:rPr>
          <w:rFonts w:hint="default" w:ascii="Times New Roman" w:hAnsi="Times New Roman" w:eastAsia="宋体" w:cs="Times New Roman"/>
          <w:i w:val="0"/>
          <w:iCs w:val="0"/>
          <w:color w:val="auto"/>
          <w:kern w:val="0"/>
          <w:sz w:val="22"/>
          <w:szCs w:val="22"/>
          <w:u w:val="none"/>
          <w:lang w:val="en-US" w:eastAsia="zh-CN" w:bidi="ar"/>
        </w:rPr>
        <w:t>810.87</w:t>
      </w:r>
      <w:r>
        <w:rPr>
          <w:rFonts w:hint="default" w:ascii="Times New Roman" w:hAnsi="Times New Roman" w:eastAsia="宋体" w:cs="Times New Roman"/>
          <w:b w:val="0"/>
          <w:bCs w:val="0"/>
          <w:color w:val="auto"/>
          <w:sz w:val="24"/>
          <w:szCs w:val="24"/>
          <w:highlight w:val="none"/>
          <w:lang w:val="en-US" w:eastAsia="zh-CN"/>
        </w:rPr>
        <w:t>%，下风向的</w:t>
      </w:r>
      <w:r>
        <w:rPr>
          <w:rFonts w:hint="default" w:ascii="Times New Roman" w:hAnsi="Times New Roman" w:cs="Times New Roman"/>
          <w:b w:val="0"/>
          <w:bCs w:val="0"/>
          <w:color w:val="auto"/>
          <w:sz w:val="24"/>
          <w:szCs w:val="24"/>
          <w:highlight w:val="none"/>
          <w:lang w:val="en-US" w:eastAsia="zh-CN"/>
        </w:rPr>
        <w:t>最大落地</w:t>
      </w:r>
      <w:r>
        <w:rPr>
          <w:rFonts w:hint="default" w:ascii="Times New Roman" w:hAnsi="Times New Roman" w:eastAsia="宋体" w:cs="Times New Roman"/>
          <w:b w:val="0"/>
          <w:bCs w:val="0"/>
          <w:color w:val="auto"/>
          <w:sz w:val="24"/>
          <w:szCs w:val="24"/>
          <w:highlight w:val="none"/>
          <w:lang w:val="en-US" w:eastAsia="zh-CN"/>
        </w:rPr>
        <w:t>浓度</w:t>
      </w:r>
      <w:r>
        <w:rPr>
          <w:rFonts w:hint="default" w:ascii="Times New Roman" w:hAnsi="Times New Roman" w:cs="Times New Roman"/>
          <w:b w:val="0"/>
          <w:bCs w:val="0"/>
          <w:color w:val="auto"/>
          <w:sz w:val="24"/>
          <w:szCs w:val="24"/>
          <w:highlight w:val="none"/>
          <w:lang w:val="en-US" w:eastAsia="zh-CN"/>
        </w:rPr>
        <w:t>超过《</w:t>
      </w:r>
      <w:r>
        <w:rPr>
          <w:rFonts w:hint="default" w:ascii="Times New Roman" w:hAnsi="Times New Roman" w:eastAsia="宋体" w:cs="Times New Roman"/>
          <w:color w:val="auto"/>
          <w:sz w:val="24"/>
          <w:szCs w:val="24"/>
          <w:highlight w:val="none"/>
        </w:rPr>
        <w:t>环境空气质量标准》（GB3095-2012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二级标准中日均值的3倍（即0.45</w:t>
      </w:r>
      <w:r>
        <w:rPr>
          <w:rFonts w:hint="default" w:ascii="Times New Roman" w:hAnsi="Times New Roman" w:eastAsia="宋体" w:cs="Times New Roman"/>
          <w:i w:val="0"/>
          <w:iCs w:val="0"/>
          <w:color w:val="auto"/>
          <w:kern w:val="0"/>
          <w:sz w:val="24"/>
          <w:szCs w:val="24"/>
          <w:highlight w:val="none"/>
          <w:u w:val="none"/>
          <w:lang w:val="en-US" w:eastAsia="zh-CN" w:bidi="ar"/>
        </w:rPr>
        <w:t>mg/m</w:t>
      </w:r>
      <w:r>
        <w:rPr>
          <w:rFonts w:hint="default" w:ascii="Times New Roman" w:hAnsi="Times New Roman" w:eastAsia="宋体" w:cs="Times New Roman"/>
          <w:i w:val="0"/>
          <w:iCs w:val="0"/>
          <w:color w:val="auto"/>
          <w:kern w:val="0"/>
          <w:sz w:val="24"/>
          <w:szCs w:val="24"/>
          <w:highlight w:val="none"/>
          <w:u w:val="none"/>
          <w:vertAlign w:val="superscript"/>
          <w:lang w:val="en-US" w:eastAsia="zh-CN" w:bidi="ar"/>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要求，</w:t>
      </w:r>
      <w:r>
        <w:rPr>
          <w:rFonts w:hint="default" w:ascii="Times New Roman" w:hAnsi="Times New Roman" w:eastAsia="宋体" w:cs="Times New Roman"/>
          <w:color w:val="auto"/>
          <w:sz w:val="24"/>
          <w:szCs w:val="24"/>
          <w:highlight w:val="none"/>
          <w:lang w:val="en-US" w:eastAsia="zh-CN"/>
        </w:rPr>
        <w:t>会导致周边环境空气中的</w:t>
      </w:r>
      <w:r>
        <w:rPr>
          <w:rFonts w:hint="default" w:ascii="Times New Roman" w:hAnsi="Times New Roman" w:cs="Times New Roman"/>
          <w:b w:val="0"/>
          <w:bCs w:val="0"/>
          <w:color w:val="auto"/>
          <w:sz w:val="24"/>
          <w:szCs w:val="24"/>
          <w:highlight w:val="none"/>
          <w:lang w:val="en-US" w:eastAsia="zh-CN"/>
        </w:rPr>
        <w:t>TSP</w:t>
      </w:r>
      <w:r>
        <w:rPr>
          <w:rFonts w:hint="default" w:ascii="Times New Roman" w:hAnsi="Times New Roman" w:eastAsia="宋体" w:cs="Times New Roman"/>
          <w:color w:val="auto"/>
          <w:sz w:val="24"/>
          <w:szCs w:val="24"/>
          <w:highlight w:val="none"/>
          <w:vertAlign w:val="baseline"/>
          <w:lang w:val="en-US" w:eastAsia="zh-CN"/>
        </w:rPr>
        <w:t>的浓度升高；</w:t>
      </w:r>
      <w:r>
        <w:rPr>
          <w:rFonts w:hint="default" w:ascii="Times New Roman" w:hAnsi="Times New Roman" w:cs="Times New Roman"/>
          <w:color w:val="auto"/>
          <w:sz w:val="24"/>
          <w:szCs w:val="24"/>
          <w:highlight w:val="none"/>
          <w:lang w:val="en-US" w:eastAsia="zh-CN"/>
        </w:rPr>
        <w:t>为减小项目因非正常排放对周边环境的影响，</w:t>
      </w:r>
      <w:r>
        <w:rPr>
          <w:rFonts w:hint="default" w:ascii="Times New Roman" w:hAnsi="Times New Roman" w:cs="Times New Roman"/>
          <w:color w:val="auto"/>
          <w:sz w:val="24"/>
          <w:szCs w:val="24"/>
          <w:highlight w:val="none"/>
        </w:rPr>
        <w:t>本次环评提出如下措施：</w:t>
      </w:r>
    </w:p>
    <w:p w14:paraId="4E8AD9E9">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①</w:t>
      </w:r>
      <w:r>
        <w:rPr>
          <w:rFonts w:hint="default" w:ascii="Times New Roman" w:hAnsi="Times New Roman" w:cs="Times New Roman"/>
          <w:color w:val="auto"/>
          <w:sz w:val="24"/>
          <w:szCs w:val="24"/>
          <w:highlight w:val="none"/>
        </w:rPr>
        <w:t>建设单位在运营中应成立专门的环境管理部门，实行专人专管，保证各环保设施的正常运行，尽量避免非正常工况的发生。</w:t>
      </w:r>
    </w:p>
    <w:p w14:paraId="22516A71">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②</w:t>
      </w:r>
      <w:r>
        <w:rPr>
          <w:rFonts w:hint="default" w:ascii="Times New Roman" w:hAnsi="Times New Roman" w:cs="Times New Roman"/>
          <w:color w:val="auto"/>
          <w:sz w:val="24"/>
          <w:szCs w:val="24"/>
          <w:highlight w:val="none"/>
        </w:rPr>
        <w:t>建设单位应制定非正常控制的应急预案，一旦发生非正常工况，应第一时间确定非正常发生源，必要时关停生产设备；并第一时间采取修复措施，避免污染物长时间非正常排放。</w:t>
      </w:r>
    </w:p>
    <w:p w14:paraId="4BC63983">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③</w:t>
      </w:r>
      <w:r>
        <w:rPr>
          <w:rFonts w:hint="default" w:ascii="Times New Roman" w:hAnsi="Times New Roman" w:cs="Times New Roman"/>
          <w:color w:val="auto"/>
          <w:sz w:val="24"/>
          <w:szCs w:val="24"/>
          <w:highlight w:val="none"/>
        </w:rPr>
        <w:t>项目应在非正常排除后，方可恢复正常生产。</w:t>
      </w:r>
    </w:p>
    <w:p w14:paraId="1001B62F">
      <w:pPr>
        <w:keepNext w:val="0"/>
        <w:keepLines w:val="0"/>
        <w:pageBreakBefore w:val="0"/>
        <w:kinsoku/>
        <w:wordWrap/>
        <w:overflowPunct/>
        <w:topLinePunct w:val="0"/>
        <w:autoSpaceDE w:val="0"/>
        <w:bidi w:val="0"/>
        <w:adjustRightInd/>
        <w:snapToGrid/>
        <w:spacing w:after="0" w:line="360" w:lineRule="auto"/>
        <w:ind w:firstLine="49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综上所述，由于非正常工况出现的时间较短，对区域环境空气质量产生的影响只是暂时的，建设单位应采取措施，尽量避免该情况的发生。</w:t>
      </w:r>
    </w:p>
    <w:p w14:paraId="2F106270">
      <w:pPr>
        <w:pStyle w:val="6"/>
        <w:bidi w:val="0"/>
        <w:rPr>
          <w:rFonts w:hint="default" w:ascii="Times New Roman" w:hAnsi="Times New Roman" w:cs="Times New Roman"/>
          <w:lang w:val="en-US" w:eastAsia="zh-CN"/>
        </w:rPr>
      </w:pPr>
      <w:bookmarkStart w:id="457" w:name="_Toc16397"/>
      <w:bookmarkStart w:id="458" w:name="_Toc24260"/>
      <w:r>
        <w:rPr>
          <w:rFonts w:hint="default" w:ascii="Times New Roman" w:hAnsi="Times New Roman" w:cs="Times New Roman"/>
          <w:lang w:val="en-US" w:eastAsia="zh-CN"/>
        </w:rPr>
        <w:t>6.1.3大气环境防护距离确定</w:t>
      </w:r>
      <w:bookmarkEnd w:id="457"/>
      <w:bookmarkEnd w:id="458"/>
    </w:p>
    <w:p w14:paraId="472998BC">
      <w:pPr>
        <w:pStyle w:val="17"/>
        <w:spacing w:line="360" w:lineRule="auto"/>
        <w:ind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根据《环境影响评价技术导则 大气环境》（HJ2.2-2018）要求，“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本项目大气环境二级评价，不进行进一步预测，故本项目不需设大气环境防护距离。</w:t>
      </w:r>
    </w:p>
    <w:p w14:paraId="407C22CA">
      <w:pPr>
        <w:pStyle w:val="6"/>
        <w:bidi w:val="0"/>
        <w:rPr>
          <w:rFonts w:hint="default" w:ascii="Times New Roman" w:hAnsi="Times New Roman" w:cs="Times New Roman"/>
          <w:lang w:val="en-US" w:eastAsia="zh-CN"/>
        </w:rPr>
      </w:pPr>
      <w:bookmarkStart w:id="459" w:name="_Toc29070"/>
      <w:r>
        <w:rPr>
          <w:rFonts w:hint="default" w:ascii="Times New Roman" w:hAnsi="Times New Roman" w:cs="Times New Roman"/>
          <w:lang w:val="en-US" w:eastAsia="zh-CN"/>
        </w:rPr>
        <w:t>6.1.4污染物排放量核算</w:t>
      </w:r>
      <w:bookmarkEnd w:id="459"/>
    </w:p>
    <w:p w14:paraId="749F7419">
      <w:pPr>
        <w:keepNext w:val="0"/>
        <w:keepLines w:val="0"/>
        <w:pageBreakBefore w:val="0"/>
        <w:widowControl/>
        <w:tabs>
          <w:tab w:val="left" w:pos="7305"/>
        </w:tabs>
        <w:kinsoku/>
        <w:wordWrap/>
        <w:overflowPunct/>
        <w:topLinePunct w:val="0"/>
        <w:autoSpaceDE w:val="0"/>
        <w:autoSpaceDN w:val="0"/>
        <w:bidi w:val="0"/>
        <w:adjustRightInd/>
        <w:snapToGrid/>
        <w:spacing w:line="360" w:lineRule="auto"/>
        <w:ind w:firstLine="49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（1）有组织排</w:t>
      </w:r>
      <w:r>
        <w:rPr>
          <w:rFonts w:hint="default" w:ascii="Times New Roman" w:hAnsi="Times New Roman" w:cs="Times New Roman"/>
          <w:color w:val="auto"/>
          <w:sz w:val="24"/>
          <w:szCs w:val="24"/>
          <w:highlight w:val="none"/>
          <w:lang w:val="en-US" w:eastAsia="zh-CN"/>
        </w:rPr>
        <w:t>放</w:t>
      </w:r>
      <w:r>
        <w:rPr>
          <w:rFonts w:hint="default" w:ascii="Times New Roman" w:hAnsi="Times New Roman" w:eastAsia="宋体" w:cs="Times New Roman"/>
          <w:color w:val="auto"/>
          <w:sz w:val="24"/>
          <w:szCs w:val="24"/>
          <w:highlight w:val="none"/>
        </w:rPr>
        <w:t>量核算</w:t>
      </w:r>
      <w:r>
        <w:rPr>
          <w:rFonts w:hint="default" w:ascii="Times New Roman" w:hAnsi="Times New Roman" w:cs="Times New Roman"/>
          <w:color w:val="auto"/>
          <w:sz w:val="24"/>
          <w:szCs w:val="24"/>
          <w:highlight w:val="none"/>
          <w:lang w:eastAsia="zh-CN"/>
        </w:rPr>
        <w:tab/>
      </w:r>
    </w:p>
    <w:p w14:paraId="13C15EF8">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b w:val="0"/>
          <w:bCs/>
          <w:i w:val="0"/>
          <w:iCs w:val="0"/>
          <w:color w:val="auto"/>
          <w:sz w:val="21"/>
          <w:szCs w:val="21"/>
          <w:highlight w:val="none"/>
        </w:rPr>
      </w:pPr>
      <w:r>
        <w:rPr>
          <w:rFonts w:hint="default" w:ascii="Times New Roman" w:hAnsi="Times New Roman" w:eastAsia="黑体" w:cs="Times New Roman"/>
          <w:b w:val="0"/>
          <w:bCs/>
          <w:i w:val="0"/>
          <w:iCs w:val="0"/>
          <w:color w:val="auto"/>
          <w:sz w:val="21"/>
          <w:szCs w:val="21"/>
          <w:highlight w:val="none"/>
        </w:rPr>
        <w:t>表</w:t>
      </w:r>
      <w:r>
        <w:rPr>
          <w:rFonts w:hint="default" w:ascii="Times New Roman" w:hAnsi="Times New Roman" w:eastAsia="黑体" w:cs="Times New Roman"/>
          <w:b w:val="0"/>
          <w:bCs/>
          <w:i w:val="0"/>
          <w:iCs w:val="0"/>
          <w:color w:val="auto"/>
          <w:sz w:val="21"/>
          <w:szCs w:val="21"/>
          <w:highlight w:val="none"/>
          <w:lang w:val="en-US" w:eastAsia="zh-CN"/>
        </w:rPr>
        <w:t>6.1.4-1  本</w:t>
      </w:r>
      <w:r>
        <w:rPr>
          <w:rFonts w:hint="default" w:ascii="Times New Roman" w:hAnsi="Times New Roman" w:eastAsia="黑体" w:cs="Times New Roman"/>
          <w:b w:val="0"/>
          <w:bCs/>
          <w:i w:val="0"/>
          <w:iCs w:val="0"/>
          <w:color w:val="auto"/>
          <w:sz w:val="21"/>
          <w:szCs w:val="21"/>
          <w:highlight w:val="none"/>
        </w:rPr>
        <w:t>项目大气污染物有组织排放量核算表</w:t>
      </w:r>
    </w:p>
    <w:tbl>
      <w:tblPr>
        <w:tblStyle w:val="2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62"/>
        <w:gridCol w:w="1938"/>
        <w:gridCol w:w="1733"/>
        <w:gridCol w:w="1218"/>
        <w:gridCol w:w="1602"/>
        <w:gridCol w:w="1745"/>
      </w:tblGrid>
      <w:tr w14:paraId="6C13D0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39" w:type="pct"/>
            <w:gridSpan w:val="2"/>
            <w:vMerge w:val="restart"/>
            <w:tcBorders>
              <w:tl2br w:val="nil"/>
              <w:tr2bl w:val="nil"/>
            </w:tcBorders>
            <w:noWrap w:val="0"/>
            <w:tcMar>
              <w:top w:w="15" w:type="dxa"/>
              <w:left w:w="15" w:type="dxa"/>
              <w:right w:w="15" w:type="dxa"/>
            </w:tcMar>
            <w:vAlign w:val="center"/>
          </w:tcPr>
          <w:p w14:paraId="201BFE2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kern w:val="0"/>
                <w:sz w:val="18"/>
                <w:szCs w:val="18"/>
                <w:highlight w:val="none"/>
              </w:rPr>
              <w:t>排放源编号及名称</w:t>
            </w:r>
          </w:p>
        </w:tc>
        <w:tc>
          <w:tcPr>
            <w:tcW w:w="952" w:type="pct"/>
            <w:vMerge w:val="restart"/>
            <w:tcBorders>
              <w:tl2br w:val="nil"/>
              <w:tr2bl w:val="nil"/>
            </w:tcBorders>
            <w:noWrap w:val="0"/>
            <w:tcMar>
              <w:top w:w="15" w:type="dxa"/>
              <w:left w:w="15" w:type="dxa"/>
              <w:right w:w="15" w:type="dxa"/>
            </w:tcMar>
            <w:vAlign w:val="center"/>
          </w:tcPr>
          <w:p w14:paraId="48707C2F">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kern w:val="0"/>
                <w:sz w:val="18"/>
                <w:szCs w:val="18"/>
                <w:highlight w:val="none"/>
              </w:rPr>
              <w:t>污染物</w:t>
            </w:r>
          </w:p>
        </w:tc>
        <w:tc>
          <w:tcPr>
            <w:tcW w:w="2508" w:type="pct"/>
            <w:gridSpan w:val="3"/>
            <w:tcBorders>
              <w:tl2br w:val="nil"/>
              <w:tr2bl w:val="nil"/>
            </w:tcBorders>
            <w:noWrap w:val="0"/>
            <w:tcMar>
              <w:top w:w="15" w:type="dxa"/>
              <w:left w:w="15" w:type="dxa"/>
              <w:right w:w="15" w:type="dxa"/>
            </w:tcMar>
            <w:vAlign w:val="center"/>
          </w:tcPr>
          <w:p w14:paraId="1D68B13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kern w:val="0"/>
                <w:sz w:val="18"/>
                <w:szCs w:val="18"/>
                <w:highlight w:val="none"/>
              </w:rPr>
              <w:t>污染物排放</w:t>
            </w:r>
          </w:p>
        </w:tc>
      </w:tr>
      <w:tr w14:paraId="1ADCE3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39" w:type="pct"/>
            <w:gridSpan w:val="2"/>
            <w:vMerge w:val="continue"/>
            <w:tcBorders>
              <w:tl2br w:val="nil"/>
              <w:tr2bl w:val="nil"/>
            </w:tcBorders>
            <w:noWrap w:val="0"/>
            <w:tcMar>
              <w:top w:w="15" w:type="dxa"/>
              <w:left w:w="15" w:type="dxa"/>
              <w:right w:w="15" w:type="dxa"/>
            </w:tcMar>
            <w:vAlign w:val="center"/>
          </w:tcPr>
          <w:p w14:paraId="598B5C2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sz w:val="18"/>
                <w:szCs w:val="18"/>
                <w:highlight w:val="none"/>
              </w:rPr>
            </w:pPr>
          </w:p>
        </w:tc>
        <w:tc>
          <w:tcPr>
            <w:tcW w:w="952" w:type="pct"/>
            <w:vMerge w:val="continue"/>
            <w:tcBorders>
              <w:tl2br w:val="nil"/>
              <w:tr2bl w:val="nil"/>
            </w:tcBorders>
            <w:noWrap w:val="0"/>
            <w:tcMar>
              <w:top w:w="15" w:type="dxa"/>
              <w:left w:w="15" w:type="dxa"/>
              <w:right w:w="15" w:type="dxa"/>
            </w:tcMar>
            <w:vAlign w:val="center"/>
          </w:tcPr>
          <w:p w14:paraId="39782DF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sz w:val="18"/>
                <w:szCs w:val="18"/>
                <w:highlight w:val="none"/>
              </w:rPr>
            </w:pPr>
          </w:p>
        </w:tc>
        <w:tc>
          <w:tcPr>
            <w:tcW w:w="669" w:type="pct"/>
            <w:vMerge w:val="restart"/>
            <w:tcBorders>
              <w:tl2br w:val="nil"/>
              <w:tr2bl w:val="nil"/>
            </w:tcBorders>
            <w:noWrap w:val="0"/>
            <w:tcMar>
              <w:top w:w="15" w:type="dxa"/>
              <w:left w:w="15" w:type="dxa"/>
              <w:right w:w="15" w:type="dxa"/>
            </w:tcMar>
            <w:vAlign w:val="center"/>
          </w:tcPr>
          <w:p w14:paraId="4E9A7AEB">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kern w:val="0"/>
                <w:sz w:val="18"/>
                <w:szCs w:val="18"/>
                <w:highlight w:val="none"/>
              </w:rPr>
              <w:t>排放浓度（mg/m</w:t>
            </w:r>
            <w:r>
              <w:rPr>
                <w:rFonts w:hint="default" w:ascii="Times New Roman" w:hAnsi="Times New Roman" w:eastAsia="宋体" w:cs="Times New Roman"/>
                <w:b w:val="0"/>
                <w:bCs/>
                <w:color w:val="auto"/>
                <w:sz w:val="18"/>
                <w:szCs w:val="18"/>
                <w:highlight w:val="none"/>
                <w:vertAlign w:val="superscript"/>
              </w:rPr>
              <w:t>3</w:t>
            </w:r>
            <w:r>
              <w:rPr>
                <w:rFonts w:hint="default" w:ascii="Times New Roman" w:hAnsi="Times New Roman" w:eastAsia="宋体" w:cs="Times New Roman"/>
                <w:b w:val="0"/>
                <w:bCs/>
                <w:color w:val="auto"/>
                <w:sz w:val="18"/>
                <w:szCs w:val="18"/>
                <w:highlight w:val="none"/>
              </w:rPr>
              <w:t>）</w:t>
            </w:r>
          </w:p>
        </w:tc>
        <w:tc>
          <w:tcPr>
            <w:tcW w:w="1839" w:type="pct"/>
            <w:gridSpan w:val="2"/>
            <w:tcBorders>
              <w:tl2br w:val="nil"/>
              <w:tr2bl w:val="nil"/>
            </w:tcBorders>
            <w:noWrap w:val="0"/>
            <w:tcMar>
              <w:top w:w="15" w:type="dxa"/>
              <w:left w:w="15" w:type="dxa"/>
              <w:right w:w="15" w:type="dxa"/>
            </w:tcMar>
            <w:vAlign w:val="center"/>
          </w:tcPr>
          <w:p w14:paraId="52B7A52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kern w:val="0"/>
                <w:sz w:val="18"/>
                <w:szCs w:val="18"/>
                <w:highlight w:val="none"/>
              </w:rPr>
              <w:t>排放量</w:t>
            </w:r>
          </w:p>
        </w:tc>
      </w:tr>
      <w:tr w14:paraId="37B0F1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39" w:type="pct"/>
            <w:gridSpan w:val="2"/>
            <w:vMerge w:val="continue"/>
            <w:tcBorders>
              <w:tl2br w:val="nil"/>
              <w:tr2bl w:val="nil"/>
            </w:tcBorders>
            <w:noWrap w:val="0"/>
            <w:tcMar>
              <w:top w:w="15" w:type="dxa"/>
              <w:left w:w="15" w:type="dxa"/>
              <w:right w:w="15" w:type="dxa"/>
            </w:tcMar>
            <w:vAlign w:val="center"/>
          </w:tcPr>
          <w:p w14:paraId="3E44967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sz w:val="18"/>
                <w:szCs w:val="18"/>
                <w:highlight w:val="none"/>
              </w:rPr>
            </w:pPr>
          </w:p>
        </w:tc>
        <w:tc>
          <w:tcPr>
            <w:tcW w:w="952" w:type="pct"/>
            <w:vMerge w:val="continue"/>
            <w:tcBorders>
              <w:tl2br w:val="nil"/>
              <w:tr2bl w:val="nil"/>
            </w:tcBorders>
            <w:noWrap w:val="0"/>
            <w:tcMar>
              <w:top w:w="15" w:type="dxa"/>
              <w:left w:w="15" w:type="dxa"/>
              <w:right w:w="15" w:type="dxa"/>
            </w:tcMar>
            <w:vAlign w:val="center"/>
          </w:tcPr>
          <w:p w14:paraId="2E9D450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sz w:val="18"/>
                <w:szCs w:val="18"/>
                <w:highlight w:val="none"/>
              </w:rPr>
            </w:pPr>
          </w:p>
        </w:tc>
        <w:tc>
          <w:tcPr>
            <w:tcW w:w="669" w:type="pct"/>
            <w:vMerge w:val="continue"/>
            <w:tcBorders>
              <w:tl2br w:val="nil"/>
              <w:tr2bl w:val="nil"/>
            </w:tcBorders>
            <w:noWrap w:val="0"/>
            <w:tcMar>
              <w:top w:w="15" w:type="dxa"/>
              <w:left w:w="15" w:type="dxa"/>
              <w:right w:w="15" w:type="dxa"/>
            </w:tcMar>
            <w:vAlign w:val="center"/>
          </w:tcPr>
          <w:p w14:paraId="6A5DEB1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sz w:val="18"/>
                <w:szCs w:val="18"/>
                <w:highlight w:val="none"/>
              </w:rPr>
            </w:pPr>
          </w:p>
        </w:tc>
        <w:tc>
          <w:tcPr>
            <w:tcW w:w="880" w:type="pct"/>
            <w:tcBorders>
              <w:tl2br w:val="nil"/>
              <w:tr2bl w:val="nil"/>
            </w:tcBorders>
            <w:noWrap w:val="0"/>
            <w:tcMar>
              <w:top w:w="15" w:type="dxa"/>
              <w:left w:w="15" w:type="dxa"/>
              <w:right w:w="15" w:type="dxa"/>
            </w:tcMar>
            <w:vAlign w:val="center"/>
          </w:tcPr>
          <w:p w14:paraId="78B4549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kern w:val="0"/>
                <w:sz w:val="18"/>
                <w:szCs w:val="18"/>
                <w:highlight w:val="none"/>
              </w:rPr>
              <w:t>kg/h</w:t>
            </w:r>
          </w:p>
        </w:tc>
        <w:tc>
          <w:tcPr>
            <w:tcW w:w="959" w:type="pct"/>
            <w:tcBorders>
              <w:tl2br w:val="nil"/>
              <w:tr2bl w:val="nil"/>
            </w:tcBorders>
            <w:noWrap w:val="0"/>
            <w:tcMar>
              <w:top w:w="15" w:type="dxa"/>
              <w:left w:w="15" w:type="dxa"/>
              <w:right w:w="15" w:type="dxa"/>
            </w:tcMar>
            <w:vAlign w:val="center"/>
          </w:tcPr>
          <w:p w14:paraId="4653AC8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kern w:val="0"/>
                <w:sz w:val="18"/>
                <w:szCs w:val="18"/>
                <w:highlight w:val="none"/>
              </w:rPr>
              <w:t>t/a</w:t>
            </w:r>
          </w:p>
        </w:tc>
      </w:tr>
      <w:tr w14:paraId="4F3C1B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4" w:type="pct"/>
            <w:tcBorders>
              <w:tl2br w:val="nil"/>
              <w:tr2bl w:val="nil"/>
            </w:tcBorders>
            <w:noWrap w:val="0"/>
            <w:tcMar>
              <w:top w:w="15" w:type="dxa"/>
              <w:left w:w="15" w:type="dxa"/>
              <w:right w:w="15" w:type="dxa"/>
            </w:tcMar>
            <w:vAlign w:val="center"/>
          </w:tcPr>
          <w:p w14:paraId="0FF17E1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DA001</w:t>
            </w:r>
          </w:p>
        </w:tc>
        <w:tc>
          <w:tcPr>
            <w:tcW w:w="1065" w:type="pct"/>
            <w:tcBorders>
              <w:tl2br w:val="nil"/>
              <w:tr2bl w:val="nil"/>
            </w:tcBorders>
            <w:noWrap w:val="0"/>
            <w:tcMar>
              <w:top w:w="15" w:type="dxa"/>
              <w:left w:w="15" w:type="dxa"/>
              <w:right w:w="15" w:type="dxa"/>
            </w:tcMar>
            <w:vAlign w:val="center"/>
          </w:tcPr>
          <w:p w14:paraId="7F3FF758">
            <w:pPr>
              <w:pStyle w:val="9"/>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废气排口</w:t>
            </w:r>
          </w:p>
        </w:tc>
        <w:tc>
          <w:tcPr>
            <w:tcW w:w="952" w:type="pct"/>
            <w:tcBorders>
              <w:tl2br w:val="nil"/>
              <w:tr2bl w:val="nil"/>
            </w:tcBorders>
            <w:noWrap w:val="0"/>
            <w:tcMar>
              <w:top w:w="15" w:type="dxa"/>
              <w:left w:w="15" w:type="dxa"/>
              <w:right w:w="15" w:type="dxa"/>
            </w:tcMar>
            <w:vAlign w:val="center"/>
          </w:tcPr>
          <w:p w14:paraId="735E3D6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spacing w:val="-1"/>
                <w:kern w:val="0"/>
                <w:position w:val="2"/>
                <w:sz w:val="18"/>
                <w:szCs w:val="18"/>
                <w:highlight w:val="none"/>
                <w:lang w:val="en-US" w:eastAsia="zh-CN"/>
              </w:rPr>
              <w:t>颗粒物</w:t>
            </w:r>
          </w:p>
        </w:tc>
        <w:tc>
          <w:tcPr>
            <w:tcW w:w="669" w:type="pct"/>
            <w:tcBorders>
              <w:tl2br w:val="nil"/>
              <w:tr2bl w:val="nil"/>
            </w:tcBorders>
            <w:noWrap w:val="0"/>
            <w:tcMar>
              <w:top w:w="15" w:type="dxa"/>
              <w:left w:w="15" w:type="dxa"/>
              <w:right w:w="15" w:type="dxa"/>
            </w:tcMar>
            <w:vAlign w:val="center"/>
          </w:tcPr>
          <w:p w14:paraId="1E2D4DE5">
            <w:pPr>
              <w:pStyle w:val="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5.1</w:t>
            </w:r>
          </w:p>
        </w:tc>
        <w:tc>
          <w:tcPr>
            <w:tcW w:w="880" w:type="pct"/>
            <w:tcBorders>
              <w:tl2br w:val="nil"/>
              <w:tr2bl w:val="nil"/>
            </w:tcBorders>
            <w:noWrap w:val="0"/>
            <w:tcMar>
              <w:top w:w="15" w:type="dxa"/>
              <w:left w:w="15" w:type="dxa"/>
              <w:right w:w="15" w:type="dxa"/>
            </w:tcMar>
            <w:vAlign w:val="center"/>
          </w:tcPr>
          <w:p w14:paraId="1CDFA572">
            <w:pPr>
              <w:pStyle w:val="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0.204</w:t>
            </w:r>
          </w:p>
        </w:tc>
        <w:tc>
          <w:tcPr>
            <w:tcW w:w="959" w:type="pct"/>
            <w:tcBorders>
              <w:tl2br w:val="nil"/>
              <w:tr2bl w:val="nil"/>
            </w:tcBorders>
            <w:noWrap w:val="0"/>
            <w:tcMar>
              <w:top w:w="15" w:type="dxa"/>
              <w:left w:w="15" w:type="dxa"/>
              <w:right w:w="15" w:type="dxa"/>
            </w:tcMar>
            <w:vAlign w:val="center"/>
          </w:tcPr>
          <w:p w14:paraId="1A1FF7A7">
            <w:pPr>
              <w:pStyle w:val="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0.489</w:t>
            </w:r>
          </w:p>
        </w:tc>
      </w:tr>
      <w:tr w14:paraId="14FA71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39" w:type="pct"/>
            <w:gridSpan w:val="2"/>
            <w:tcBorders>
              <w:tl2br w:val="nil"/>
              <w:tr2bl w:val="nil"/>
            </w:tcBorders>
            <w:noWrap w:val="0"/>
            <w:tcMar>
              <w:top w:w="15" w:type="dxa"/>
              <w:left w:w="15" w:type="dxa"/>
              <w:right w:w="15" w:type="dxa"/>
            </w:tcMar>
            <w:vAlign w:val="center"/>
          </w:tcPr>
          <w:p w14:paraId="6386BDE8">
            <w:pPr>
              <w:pStyle w:val="9"/>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auto"/>
                <w:spacing w:val="-2"/>
                <w:sz w:val="18"/>
                <w:szCs w:val="18"/>
                <w:highlight w:val="none"/>
              </w:rPr>
            </w:pPr>
            <w:r>
              <w:rPr>
                <w:rFonts w:hint="default" w:ascii="Times New Roman" w:hAnsi="Times New Roman" w:eastAsia="宋体" w:cs="Times New Roman"/>
                <w:color w:val="auto"/>
                <w:kern w:val="0"/>
                <w:sz w:val="18"/>
                <w:szCs w:val="18"/>
                <w:highlight w:val="none"/>
              </w:rPr>
              <w:t>合计</w:t>
            </w:r>
          </w:p>
        </w:tc>
        <w:tc>
          <w:tcPr>
            <w:tcW w:w="952" w:type="pct"/>
            <w:tcBorders>
              <w:tl2br w:val="nil"/>
              <w:tr2bl w:val="nil"/>
            </w:tcBorders>
            <w:noWrap w:val="0"/>
            <w:tcMar>
              <w:top w:w="15" w:type="dxa"/>
              <w:left w:w="15" w:type="dxa"/>
              <w:right w:w="15" w:type="dxa"/>
            </w:tcMar>
            <w:vAlign w:val="center"/>
          </w:tcPr>
          <w:p w14:paraId="23B0E95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pacing w:val="-2"/>
                <w:sz w:val="18"/>
                <w:szCs w:val="18"/>
                <w:highlight w:val="none"/>
              </w:rPr>
            </w:pPr>
            <w:r>
              <w:rPr>
                <w:rFonts w:hint="default" w:ascii="Times New Roman" w:hAnsi="Times New Roman" w:cs="Times New Roman"/>
                <w:color w:val="auto"/>
                <w:spacing w:val="-1"/>
                <w:kern w:val="0"/>
                <w:position w:val="2"/>
                <w:sz w:val="18"/>
                <w:szCs w:val="18"/>
                <w:highlight w:val="none"/>
                <w:lang w:val="en-US" w:eastAsia="zh-CN"/>
              </w:rPr>
              <w:t>颗粒物</w:t>
            </w:r>
          </w:p>
        </w:tc>
        <w:tc>
          <w:tcPr>
            <w:tcW w:w="669" w:type="pct"/>
            <w:tcBorders>
              <w:tl2br w:val="nil"/>
              <w:tr2bl w:val="nil"/>
            </w:tcBorders>
            <w:noWrap w:val="0"/>
            <w:tcMar>
              <w:top w:w="15" w:type="dxa"/>
              <w:left w:w="15" w:type="dxa"/>
              <w:right w:w="15" w:type="dxa"/>
            </w:tcMar>
            <w:vAlign w:val="center"/>
          </w:tcPr>
          <w:p w14:paraId="6C09E29A">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pacing w:val="-1"/>
                <w:kern w:val="0"/>
                <w:position w:val="2"/>
                <w:sz w:val="18"/>
                <w:szCs w:val="18"/>
                <w:highlight w:val="none"/>
                <w:lang w:val="en-US" w:eastAsia="zh-CN"/>
              </w:rPr>
            </w:pPr>
            <w:r>
              <w:rPr>
                <w:rFonts w:hint="default" w:ascii="Times New Roman" w:hAnsi="Times New Roman" w:cs="Times New Roman"/>
                <w:color w:val="auto"/>
                <w:spacing w:val="-1"/>
                <w:kern w:val="0"/>
                <w:position w:val="2"/>
                <w:sz w:val="18"/>
                <w:szCs w:val="18"/>
                <w:highlight w:val="none"/>
                <w:lang w:val="en-US" w:eastAsia="zh-CN"/>
              </w:rPr>
              <w:t>/</w:t>
            </w:r>
          </w:p>
        </w:tc>
        <w:tc>
          <w:tcPr>
            <w:tcW w:w="880" w:type="pct"/>
            <w:tcBorders>
              <w:tl2br w:val="nil"/>
              <w:tr2bl w:val="nil"/>
            </w:tcBorders>
            <w:noWrap w:val="0"/>
            <w:tcMar>
              <w:top w:w="15" w:type="dxa"/>
              <w:left w:w="15" w:type="dxa"/>
              <w:right w:w="15" w:type="dxa"/>
            </w:tcMar>
            <w:vAlign w:val="center"/>
          </w:tcPr>
          <w:p w14:paraId="6D4BA3A7">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pacing w:val="-1"/>
                <w:kern w:val="0"/>
                <w:position w:val="2"/>
                <w:sz w:val="18"/>
                <w:szCs w:val="18"/>
                <w:highlight w:val="none"/>
                <w:lang w:val="en-US" w:eastAsia="zh-CN"/>
              </w:rPr>
            </w:pPr>
            <w:r>
              <w:rPr>
                <w:rFonts w:hint="default" w:ascii="Times New Roman" w:hAnsi="Times New Roman" w:cs="Times New Roman"/>
                <w:color w:val="auto"/>
                <w:spacing w:val="-1"/>
                <w:kern w:val="0"/>
                <w:position w:val="2"/>
                <w:sz w:val="18"/>
                <w:szCs w:val="18"/>
                <w:highlight w:val="none"/>
                <w:lang w:val="en-US" w:eastAsia="zh-CN"/>
              </w:rPr>
              <w:t>/</w:t>
            </w:r>
          </w:p>
        </w:tc>
        <w:tc>
          <w:tcPr>
            <w:tcW w:w="959" w:type="pct"/>
            <w:tcBorders>
              <w:tl2br w:val="nil"/>
              <w:tr2bl w:val="nil"/>
            </w:tcBorders>
            <w:noWrap w:val="0"/>
            <w:tcMar>
              <w:top w:w="15" w:type="dxa"/>
              <w:left w:w="15" w:type="dxa"/>
              <w:right w:w="15" w:type="dxa"/>
            </w:tcMar>
            <w:vAlign w:val="center"/>
          </w:tcPr>
          <w:p w14:paraId="7E1F90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pacing w:val="-2"/>
                <w:sz w:val="18"/>
                <w:szCs w:val="18"/>
                <w:highlight w:val="none"/>
                <w:lang w:val="en-US"/>
              </w:rPr>
            </w:pPr>
            <w:r>
              <w:rPr>
                <w:rFonts w:hint="default" w:ascii="Times New Roman" w:hAnsi="Times New Roman" w:cs="Times New Roman"/>
                <w:color w:val="auto"/>
                <w:kern w:val="0"/>
                <w:sz w:val="18"/>
                <w:szCs w:val="18"/>
                <w:highlight w:val="none"/>
                <w:lang w:val="en-US" w:eastAsia="zh-CN"/>
              </w:rPr>
              <w:t>0.489</w:t>
            </w:r>
          </w:p>
        </w:tc>
      </w:tr>
    </w:tbl>
    <w:p w14:paraId="7BDB1B10">
      <w:pPr>
        <w:keepNext w:val="0"/>
        <w:keepLines w:val="0"/>
        <w:pageBreakBefore w:val="0"/>
        <w:widowControl/>
        <w:kinsoku/>
        <w:wordWrap/>
        <w:overflowPunct/>
        <w:topLinePunct w:val="0"/>
        <w:autoSpaceDE w:val="0"/>
        <w:autoSpaceDN w:val="0"/>
        <w:bidi w:val="0"/>
        <w:adjustRightInd/>
        <w:snapToGrid/>
        <w:spacing w:before="157" w:beforeLines="50" w:line="360" w:lineRule="auto"/>
        <w:ind w:firstLine="49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（2）无组织排污量核算</w:t>
      </w:r>
    </w:p>
    <w:p w14:paraId="5317F86F">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bCs/>
          <w:color w:val="auto"/>
          <w:highlight w:val="none"/>
        </w:rPr>
      </w:pPr>
      <w:r>
        <w:rPr>
          <w:rFonts w:hint="default" w:ascii="Times New Roman" w:hAnsi="Times New Roman" w:eastAsia="黑体" w:cs="Times New Roman"/>
          <w:b w:val="0"/>
          <w:bCs/>
          <w:i w:val="0"/>
          <w:iCs w:val="0"/>
          <w:color w:val="auto"/>
          <w:sz w:val="21"/>
          <w:szCs w:val="21"/>
          <w:highlight w:val="none"/>
        </w:rPr>
        <w:t>表</w:t>
      </w:r>
      <w:r>
        <w:rPr>
          <w:rFonts w:hint="default" w:ascii="Times New Roman" w:hAnsi="Times New Roman" w:eastAsia="黑体" w:cs="Times New Roman"/>
          <w:b w:val="0"/>
          <w:bCs/>
          <w:i w:val="0"/>
          <w:iCs w:val="0"/>
          <w:color w:val="auto"/>
          <w:sz w:val="21"/>
          <w:szCs w:val="21"/>
          <w:highlight w:val="none"/>
          <w:lang w:val="en-US" w:eastAsia="zh-CN"/>
        </w:rPr>
        <w:t>6.1.4-2</w:t>
      </w:r>
      <w:r>
        <w:rPr>
          <w:rFonts w:hint="default" w:ascii="Times New Roman" w:hAnsi="Times New Roman" w:eastAsia="黑体" w:cs="Times New Roman"/>
          <w:bCs/>
          <w:color w:val="auto"/>
          <w:highlight w:val="none"/>
        </w:rPr>
        <w:t xml:space="preserve"> </w:t>
      </w:r>
      <w:r>
        <w:rPr>
          <w:rFonts w:hint="default" w:ascii="Times New Roman" w:hAnsi="Times New Roman" w:eastAsia="黑体" w:cs="Times New Roman"/>
          <w:bCs/>
          <w:color w:val="auto"/>
          <w:sz w:val="21"/>
          <w:szCs w:val="21"/>
          <w:highlight w:val="none"/>
          <w:lang w:val="en-US" w:eastAsia="zh-CN"/>
        </w:rPr>
        <w:t xml:space="preserve"> 本</w:t>
      </w:r>
      <w:r>
        <w:rPr>
          <w:rFonts w:hint="default" w:ascii="Times New Roman" w:hAnsi="Times New Roman" w:eastAsia="黑体" w:cs="Times New Roman"/>
          <w:bCs/>
          <w:color w:val="auto"/>
          <w:sz w:val="21"/>
          <w:szCs w:val="21"/>
          <w:highlight w:val="none"/>
        </w:rPr>
        <w:t>项目大气污染物无组织排放量核算表</w:t>
      </w:r>
    </w:p>
    <w:tbl>
      <w:tblPr>
        <w:tblStyle w:val="29"/>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66"/>
        <w:gridCol w:w="1427"/>
        <w:gridCol w:w="983"/>
        <w:gridCol w:w="841"/>
        <w:gridCol w:w="2190"/>
        <w:gridCol w:w="1649"/>
        <w:gridCol w:w="832"/>
        <w:gridCol w:w="809"/>
      </w:tblGrid>
      <w:tr w14:paraId="08923D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1" w:type="pct"/>
            <w:vMerge w:val="restart"/>
            <w:tcBorders>
              <w:tl2br w:val="nil"/>
              <w:tr2bl w:val="nil"/>
            </w:tcBorders>
            <w:noWrap w:val="0"/>
            <w:tcMar>
              <w:top w:w="15" w:type="dxa"/>
              <w:left w:w="15" w:type="dxa"/>
              <w:right w:w="15" w:type="dxa"/>
            </w:tcMar>
            <w:vAlign w:val="center"/>
          </w:tcPr>
          <w:p w14:paraId="0EBEFFA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序号</w:t>
            </w:r>
          </w:p>
        </w:tc>
        <w:tc>
          <w:tcPr>
            <w:tcW w:w="784" w:type="pct"/>
            <w:vMerge w:val="restart"/>
            <w:tcBorders>
              <w:tl2br w:val="nil"/>
              <w:tr2bl w:val="nil"/>
            </w:tcBorders>
            <w:noWrap w:val="0"/>
            <w:tcMar>
              <w:top w:w="15" w:type="dxa"/>
              <w:left w:w="15" w:type="dxa"/>
              <w:right w:w="15" w:type="dxa"/>
            </w:tcMar>
            <w:vAlign w:val="center"/>
          </w:tcPr>
          <w:p w14:paraId="0996CDA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排放口编号及名称</w:t>
            </w:r>
          </w:p>
        </w:tc>
        <w:tc>
          <w:tcPr>
            <w:tcW w:w="540" w:type="pct"/>
            <w:vMerge w:val="restart"/>
            <w:tcBorders>
              <w:tl2br w:val="nil"/>
              <w:tr2bl w:val="nil"/>
            </w:tcBorders>
            <w:noWrap w:val="0"/>
            <w:tcMar>
              <w:top w:w="15" w:type="dxa"/>
              <w:left w:w="15" w:type="dxa"/>
              <w:right w:w="15" w:type="dxa"/>
            </w:tcMar>
            <w:vAlign w:val="center"/>
          </w:tcPr>
          <w:p w14:paraId="5F5B31C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产污环节</w:t>
            </w:r>
          </w:p>
        </w:tc>
        <w:tc>
          <w:tcPr>
            <w:tcW w:w="462" w:type="pct"/>
            <w:vMerge w:val="restart"/>
            <w:tcBorders>
              <w:tl2br w:val="nil"/>
              <w:tr2bl w:val="nil"/>
            </w:tcBorders>
            <w:noWrap w:val="0"/>
            <w:tcMar>
              <w:top w:w="15" w:type="dxa"/>
              <w:left w:w="15" w:type="dxa"/>
              <w:right w:w="15" w:type="dxa"/>
            </w:tcMar>
            <w:vAlign w:val="center"/>
          </w:tcPr>
          <w:p w14:paraId="3D663C5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污染物</w:t>
            </w:r>
          </w:p>
        </w:tc>
        <w:tc>
          <w:tcPr>
            <w:tcW w:w="1203" w:type="pct"/>
            <w:vMerge w:val="restart"/>
            <w:tcBorders>
              <w:tl2br w:val="nil"/>
              <w:tr2bl w:val="nil"/>
            </w:tcBorders>
            <w:noWrap w:val="0"/>
            <w:tcMar>
              <w:top w:w="15" w:type="dxa"/>
              <w:left w:w="15" w:type="dxa"/>
              <w:right w:w="15" w:type="dxa"/>
            </w:tcMar>
            <w:vAlign w:val="center"/>
          </w:tcPr>
          <w:p w14:paraId="0BA9E72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治理措施</w:t>
            </w:r>
          </w:p>
        </w:tc>
        <w:tc>
          <w:tcPr>
            <w:tcW w:w="1363" w:type="pct"/>
            <w:gridSpan w:val="2"/>
            <w:tcBorders>
              <w:tl2br w:val="nil"/>
              <w:tr2bl w:val="nil"/>
            </w:tcBorders>
            <w:noWrap w:val="0"/>
            <w:tcMar>
              <w:top w:w="15" w:type="dxa"/>
              <w:left w:w="15" w:type="dxa"/>
              <w:right w:w="15" w:type="dxa"/>
            </w:tcMar>
            <w:vAlign w:val="center"/>
          </w:tcPr>
          <w:p w14:paraId="335F64F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国家或地方污染物排放标准</w:t>
            </w:r>
          </w:p>
        </w:tc>
        <w:tc>
          <w:tcPr>
            <w:tcW w:w="444" w:type="pct"/>
            <w:vMerge w:val="restart"/>
            <w:tcBorders>
              <w:tl2br w:val="nil"/>
              <w:tr2bl w:val="nil"/>
            </w:tcBorders>
            <w:noWrap w:val="0"/>
            <w:tcMar>
              <w:top w:w="15" w:type="dxa"/>
              <w:left w:w="15" w:type="dxa"/>
              <w:right w:w="15" w:type="dxa"/>
            </w:tcMar>
            <w:vAlign w:val="center"/>
          </w:tcPr>
          <w:p w14:paraId="2E8783C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年排放量</w:t>
            </w:r>
            <w:r>
              <w:rPr>
                <w:rFonts w:hint="default" w:ascii="Times New Roman" w:hAnsi="Times New Roman" w:cs="Times New Roman"/>
                <w:color w:val="auto"/>
                <w:kern w:val="0"/>
                <w:sz w:val="18"/>
                <w:szCs w:val="18"/>
                <w:highlight w:val="none"/>
                <w:lang w:eastAsia="zh-CN"/>
              </w:rPr>
              <w:t>（</w:t>
            </w:r>
            <w:r>
              <w:rPr>
                <w:rFonts w:hint="default" w:ascii="Times New Roman" w:hAnsi="Times New Roman" w:eastAsia="宋体" w:cs="Times New Roman"/>
                <w:color w:val="auto"/>
                <w:kern w:val="0"/>
                <w:sz w:val="18"/>
                <w:szCs w:val="18"/>
                <w:highlight w:val="none"/>
              </w:rPr>
              <w:t>t/a</w:t>
            </w:r>
            <w:r>
              <w:rPr>
                <w:rFonts w:hint="default" w:ascii="Times New Roman" w:hAnsi="Times New Roman" w:cs="Times New Roman"/>
                <w:color w:val="auto"/>
                <w:kern w:val="0"/>
                <w:sz w:val="18"/>
                <w:szCs w:val="18"/>
                <w:highlight w:val="none"/>
                <w:lang w:eastAsia="zh-CN"/>
              </w:rPr>
              <w:t>）</w:t>
            </w:r>
          </w:p>
        </w:tc>
      </w:tr>
      <w:tr w14:paraId="7B69B8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1" w:type="pct"/>
            <w:vMerge w:val="continue"/>
            <w:tcBorders>
              <w:tl2br w:val="nil"/>
              <w:tr2bl w:val="nil"/>
            </w:tcBorders>
            <w:noWrap w:val="0"/>
            <w:tcMar>
              <w:top w:w="15" w:type="dxa"/>
              <w:left w:w="15" w:type="dxa"/>
              <w:right w:w="15" w:type="dxa"/>
            </w:tcMar>
            <w:vAlign w:val="center"/>
          </w:tcPr>
          <w:p w14:paraId="060DF4F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auto"/>
                <w:sz w:val="18"/>
                <w:szCs w:val="18"/>
                <w:highlight w:val="none"/>
              </w:rPr>
            </w:pPr>
          </w:p>
        </w:tc>
        <w:tc>
          <w:tcPr>
            <w:tcW w:w="784" w:type="pct"/>
            <w:vMerge w:val="continue"/>
            <w:tcBorders>
              <w:tl2br w:val="nil"/>
              <w:tr2bl w:val="nil"/>
            </w:tcBorders>
            <w:noWrap w:val="0"/>
            <w:tcMar>
              <w:top w:w="15" w:type="dxa"/>
              <w:left w:w="15" w:type="dxa"/>
              <w:right w:w="15" w:type="dxa"/>
            </w:tcMar>
            <w:vAlign w:val="center"/>
          </w:tcPr>
          <w:p w14:paraId="2D12671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auto"/>
                <w:sz w:val="18"/>
                <w:szCs w:val="18"/>
                <w:highlight w:val="none"/>
              </w:rPr>
            </w:pPr>
          </w:p>
        </w:tc>
        <w:tc>
          <w:tcPr>
            <w:tcW w:w="540" w:type="pct"/>
            <w:vMerge w:val="continue"/>
            <w:tcBorders>
              <w:tl2br w:val="nil"/>
              <w:tr2bl w:val="nil"/>
            </w:tcBorders>
            <w:noWrap w:val="0"/>
            <w:tcMar>
              <w:top w:w="15" w:type="dxa"/>
              <w:left w:w="15" w:type="dxa"/>
              <w:right w:w="15" w:type="dxa"/>
            </w:tcMar>
            <w:vAlign w:val="center"/>
          </w:tcPr>
          <w:p w14:paraId="72492B3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auto"/>
                <w:sz w:val="18"/>
                <w:szCs w:val="18"/>
                <w:highlight w:val="none"/>
              </w:rPr>
            </w:pPr>
          </w:p>
        </w:tc>
        <w:tc>
          <w:tcPr>
            <w:tcW w:w="462" w:type="pct"/>
            <w:vMerge w:val="continue"/>
            <w:tcBorders>
              <w:tl2br w:val="nil"/>
              <w:tr2bl w:val="nil"/>
            </w:tcBorders>
            <w:noWrap w:val="0"/>
            <w:tcMar>
              <w:top w:w="15" w:type="dxa"/>
              <w:left w:w="15" w:type="dxa"/>
              <w:right w:w="15" w:type="dxa"/>
            </w:tcMar>
            <w:vAlign w:val="center"/>
          </w:tcPr>
          <w:p w14:paraId="776EF01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auto"/>
                <w:sz w:val="18"/>
                <w:szCs w:val="18"/>
                <w:highlight w:val="none"/>
              </w:rPr>
            </w:pPr>
          </w:p>
        </w:tc>
        <w:tc>
          <w:tcPr>
            <w:tcW w:w="1203" w:type="pct"/>
            <w:vMerge w:val="continue"/>
            <w:tcBorders>
              <w:tl2br w:val="nil"/>
              <w:tr2bl w:val="nil"/>
            </w:tcBorders>
            <w:noWrap w:val="0"/>
            <w:tcMar>
              <w:top w:w="15" w:type="dxa"/>
              <w:left w:w="15" w:type="dxa"/>
              <w:right w:w="15" w:type="dxa"/>
            </w:tcMar>
            <w:vAlign w:val="center"/>
          </w:tcPr>
          <w:p w14:paraId="6A07524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auto"/>
                <w:sz w:val="18"/>
                <w:szCs w:val="18"/>
                <w:highlight w:val="none"/>
              </w:rPr>
            </w:pPr>
          </w:p>
        </w:tc>
        <w:tc>
          <w:tcPr>
            <w:tcW w:w="906" w:type="pct"/>
            <w:tcBorders>
              <w:tl2br w:val="nil"/>
              <w:tr2bl w:val="nil"/>
            </w:tcBorders>
            <w:noWrap w:val="0"/>
            <w:tcMar>
              <w:top w:w="15" w:type="dxa"/>
              <w:left w:w="15" w:type="dxa"/>
              <w:right w:w="15" w:type="dxa"/>
            </w:tcMar>
            <w:vAlign w:val="center"/>
          </w:tcPr>
          <w:p w14:paraId="3B13F8B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标准名称</w:t>
            </w:r>
          </w:p>
        </w:tc>
        <w:tc>
          <w:tcPr>
            <w:tcW w:w="457" w:type="pct"/>
            <w:tcBorders>
              <w:tl2br w:val="nil"/>
              <w:tr2bl w:val="nil"/>
            </w:tcBorders>
            <w:noWrap w:val="0"/>
            <w:tcMar>
              <w:top w:w="15" w:type="dxa"/>
              <w:left w:w="15" w:type="dxa"/>
              <w:right w:w="15" w:type="dxa"/>
            </w:tcMar>
            <w:vAlign w:val="center"/>
          </w:tcPr>
          <w:p w14:paraId="0D1044B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浓度限值</w:t>
            </w:r>
          </w:p>
        </w:tc>
        <w:tc>
          <w:tcPr>
            <w:tcW w:w="444" w:type="pct"/>
            <w:vMerge w:val="continue"/>
            <w:tcBorders>
              <w:tl2br w:val="nil"/>
              <w:tr2bl w:val="nil"/>
            </w:tcBorders>
            <w:noWrap w:val="0"/>
            <w:tcMar>
              <w:top w:w="15" w:type="dxa"/>
              <w:left w:w="15" w:type="dxa"/>
              <w:right w:w="15" w:type="dxa"/>
            </w:tcMar>
            <w:vAlign w:val="center"/>
          </w:tcPr>
          <w:p w14:paraId="24ACDE8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auto"/>
                <w:sz w:val="18"/>
                <w:szCs w:val="18"/>
                <w:highlight w:val="none"/>
              </w:rPr>
            </w:pPr>
          </w:p>
        </w:tc>
      </w:tr>
      <w:tr w14:paraId="2B088F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1" w:type="pct"/>
            <w:tcBorders>
              <w:tl2br w:val="nil"/>
              <w:tr2bl w:val="nil"/>
            </w:tcBorders>
            <w:noWrap w:val="0"/>
            <w:tcMar>
              <w:top w:w="15" w:type="dxa"/>
              <w:left w:w="15" w:type="dxa"/>
              <w:right w:w="15" w:type="dxa"/>
            </w:tcMar>
            <w:vAlign w:val="center"/>
          </w:tcPr>
          <w:p w14:paraId="225EA1F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784" w:type="pct"/>
            <w:tcBorders>
              <w:tl2br w:val="nil"/>
              <w:tr2bl w:val="nil"/>
            </w:tcBorders>
            <w:noWrap w:val="0"/>
            <w:tcMar>
              <w:top w:w="15" w:type="dxa"/>
              <w:left w:w="15" w:type="dxa"/>
              <w:right w:w="15" w:type="dxa"/>
            </w:tcMar>
            <w:vAlign w:val="center"/>
          </w:tcPr>
          <w:p w14:paraId="76BFE551">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原矿料斗给料粉尘</w:t>
            </w:r>
          </w:p>
        </w:tc>
        <w:tc>
          <w:tcPr>
            <w:tcW w:w="540" w:type="pct"/>
            <w:tcBorders>
              <w:tl2br w:val="nil"/>
              <w:tr2bl w:val="nil"/>
            </w:tcBorders>
            <w:noWrap w:val="0"/>
            <w:tcMar>
              <w:top w:w="15" w:type="dxa"/>
              <w:left w:w="15" w:type="dxa"/>
              <w:right w:w="15" w:type="dxa"/>
            </w:tcMar>
            <w:vAlign w:val="center"/>
          </w:tcPr>
          <w:p w14:paraId="765B247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料斗给料</w:t>
            </w:r>
          </w:p>
        </w:tc>
        <w:tc>
          <w:tcPr>
            <w:tcW w:w="462" w:type="pct"/>
            <w:tcBorders>
              <w:tl2br w:val="nil"/>
              <w:tr2bl w:val="nil"/>
            </w:tcBorders>
            <w:noWrap w:val="0"/>
            <w:tcMar>
              <w:top w:w="15" w:type="dxa"/>
              <w:left w:w="15" w:type="dxa"/>
              <w:right w:w="15" w:type="dxa"/>
            </w:tcMar>
            <w:vAlign w:val="center"/>
          </w:tcPr>
          <w:p w14:paraId="328629F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val="en-US" w:eastAsia="zh-CN"/>
              </w:rPr>
              <w:t>颗粒物</w:t>
            </w:r>
          </w:p>
        </w:tc>
        <w:tc>
          <w:tcPr>
            <w:tcW w:w="1203" w:type="pct"/>
            <w:tcBorders>
              <w:tl2br w:val="nil"/>
              <w:tr2bl w:val="nil"/>
            </w:tcBorders>
            <w:noWrap w:val="0"/>
            <w:tcMar>
              <w:top w:w="15" w:type="dxa"/>
              <w:left w:w="15" w:type="dxa"/>
              <w:right w:w="15" w:type="dxa"/>
            </w:tcMar>
            <w:vAlign w:val="center"/>
          </w:tcPr>
          <w:p w14:paraId="12C93DB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color w:val="auto"/>
                <w:sz w:val="18"/>
                <w:szCs w:val="18"/>
              </w:rPr>
              <w:t>三面围挡</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喷雾除尘</w:t>
            </w:r>
          </w:p>
        </w:tc>
        <w:tc>
          <w:tcPr>
            <w:tcW w:w="906" w:type="pct"/>
            <w:vMerge w:val="restart"/>
            <w:tcBorders>
              <w:tl2br w:val="nil"/>
              <w:tr2bl w:val="nil"/>
            </w:tcBorders>
            <w:noWrap w:val="0"/>
            <w:tcMar>
              <w:top w:w="15" w:type="dxa"/>
              <w:left w:w="15" w:type="dxa"/>
              <w:right w:w="15" w:type="dxa"/>
            </w:tcMar>
            <w:vAlign w:val="center"/>
          </w:tcPr>
          <w:p w14:paraId="45E8C6E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eastAsiaTheme="minorEastAsia"/>
                <w:color w:val="auto"/>
                <w:sz w:val="18"/>
                <w:szCs w:val="18"/>
              </w:rPr>
              <w:t>《铁矿采选工业污染物排放标准》（GB28661-2012）表7现有和新建企业大气污染物无组织排放浓度限值</w:t>
            </w:r>
          </w:p>
        </w:tc>
        <w:tc>
          <w:tcPr>
            <w:tcW w:w="457" w:type="pct"/>
            <w:vMerge w:val="restart"/>
            <w:tcBorders>
              <w:tl2br w:val="nil"/>
              <w:tr2bl w:val="nil"/>
            </w:tcBorders>
            <w:noWrap w:val="0"/>
            <w:tcMar>
              <w:top w:w="15" w:type="dxa"/>
              <w:left w:w="15" w:type="dxa"/>
              <w:right w:w="15" w:type="dxa"/>
            </w:tcMar>
            <w:vAlign w:val="center"/>
          </w:tcPr>
          <w:p w14:paraId="5CE485EE">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1.0mg/m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p>
        </w:tc>
        <w:tc>
          <w:tcPr>
            <w:tcW w:w="444" w:type="pct"/>
            <w:tcBorders>
              <w:tl2br w:val="nil"/>
              <w:tr2bl w:val="nil"/>
            </w:tcBorders>
            <w:noWrap w:val="0"/>
            <w:tcMar>
              <w:top w:w="15" w:type="dxa"/>
              <w:left w:w="15" w:type="dxa"/>
              <w:right w:w="15" w:type="dxa"/>
            </w:tcMar>
            <w:vAlign w:val="center"/>
          </w:tcPr>
          <w:p w14:paraId="47B762F6">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4874CB" w:themeColor="accent1"/>
                <w:sz w:val="18"/>
                <w:szCs w:val="18"/>
                <w:highlight w:val="none"/>
                <w:lang w:val="en-US" w:eastAsia="zh-CN"/>
                <w14:textFill>
                  <w14:solidFill>
                    <w14:schemeClr w14:val="accent1"/>
                  </w14:solidFill>
                </w14:textFill>
              </w:rPr>
            </w:pPr>
            <w:r>
              <w:rPr>
                <w:rFonts w:hint="default" w:ascii="Times New Roman" w:hAnsi="Times New Roman" w:cs="Times New Roman"/>
                <w:color w:val="auto"/>
                <w:sz w:val="18"/>
                <w:szCs w:val="18"/>
                <w:highlight w:val="none"/>
                <w:lang w:val="en-US" w:eastAsia="zh-CN"/>
              </w:rPr>
              <w:t>0.208</w:t>
            </w:r>
          </w:p>
        </w:tc>
      </w:tr>
      <w:tr w14:paraId="76ECD4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1" w:type="pct"/>
            <w:tcBorders>
              <w:tl2br w:val="nil"/>
              <w:tr2bl w:val="nil"/>
            </w:tcBorders>
            <w:noWrap w:val="0"/>
            <w:tcMar>
              <w:top w:w="15" w:type="dxa"/>
              <w:left w:w="15" w:type="dxa"/>
              <w:right w:w="15" w:type="dxa"/>
            </w:tcMar>
            <w:vAlign w:val="center"/>
          </w:tcPr>
          <w:p w14:paraId="3B69264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2</w:t>
            </w:r>
          </w:p>
        </w:tc>
        <w:tc>
          <w:tcPr>
            <w:tcW w:w="784" w:type="pct"/>
            <w:tcBorders>
              <w:tl2br w:val="nil"/>
              <w:tr2bl w:val="nil"/>
            </w:tcBorders>
            <w:noWrap w:val="0"/>
            <w:tcMar>
              <w:top w:w="15" w:type="dxa"/>
              <w:left w:w="15" w:type="dxa"/>
              <w:right w:w="15" w:type="dxa"/>
            </w:tcMar>
            <w:vAlign w:val="center"/>
          </w:tcPr>
          <w:p w14:paraId="26B36CC7">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auto"/>
                <w:spacing w:val="-2"/>
                <w:sz w:val="18"/>
                <w:szCs w:val="18"/>
                <w:highlight w:val="none"/>
              </w:rPr>
            </w:pPr>
            <w:r>
              <w:rPr>
                <w:rFonts w:hint="default" w:ascii="Times New Roman" w:hAnsi="Times New Roman" w:cs="Times New Roman"/>
                <w:i w:val="0"/>
                <w:iCs w:val="0"/>
                <w:color w:val="auto"/>
                <w:kern w:val="0"/>
                <w:sz w:val="18"/>
                <w:szCs w:val="18"/>
                <w:u w:val="none"/>
                <w:lang w:val="en-US" w:eastAsia="zh-CN" w:bidi="ar"/>
              </w:rPr>
              <w:t>生产</w:t>
            </w:r>
            <w:r>
              <w:rPr>
                <w:rFonts w:hint="default" w:ascii="Times New Roman" w:hAnsi="Times New Roman" w:eastAsia="宋体" w:cs="Times New Roman"/>
                <w:i w:val="0"/>
                <w:iCs w:val="0"/>
                <w:color w:val="auto"/>
                <w:kern w:val="0"/>
                <w:sz w:val="18"/>
                <w:szCs w:val="18"/>
                <w:u w:val="none"/>
                <w:lang w:val="en-US" w:eastAsia="zh-CN" w:bidi="ar"/>
              </w:rPr>
              <w:t>工序无组织粉尘</w:t>
            </w:r>
          </w:p>
        </w:tc>
        <w:tc>
          <w:tcPr>
            <w:tcW w:w="540" w:type="pct"/>
            <w:tcBorders>
              <w:tl2br w:val="nil"/>
              <w:tr2bl w:val="nil"/>
            </w:tcBorders>
            <w:noWrap w:val="0"/>
            <w:tcMar>
              <w:top w:w="15" w:type="dxa"/>
              <w:left w:w="15" w:type="dxa"/>
              <w:right w:w="15" w:type="dxa"/>
            </w:tcMar>
            <w:vAlign w:val="center"/>
          </w:tcPr>
          <w:p w14:paraId="0619A6C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破碎</w:t>
            </w:r>
            <w:r>
              <w:rPr>
                <w:rFonts w:hint="default" w:ascii="Times New Roman" w:hAnsi="Times New Roman" w:cs="Times New Roman"/>
                <w:i w:val="0"/>
                <w:iCs w:val="0"/>
                <w:color w:val="auto"/>
                <w:kern w:val="0"/>
                <w:sz w:val="18"/>
                <w:szCs w:val="18"/>
                <w:u w:val="none"/>
                <w:lang w:val="en-US" w:eastAsia="zh-CN" w:bidi="ar"/>
              </w:rPr>
              <w:t>、筛分、磁选</w:t>
            </w:r>
          </w:p>
        </w:tc>
        <w:tc>
          <w:tcPr>
            <w:tcW w:w="462" w:type="pct"/>
            <w:tcBorders>
              <w:tl2br w:val="nil"/>
              <w:tr2bl w:val="nil"/>
            </w:tcBorders>
            <w:noWrap w:val="0"/>
            <w:tcMar>
              <w:top w:w="15" w:type="dxa"/>
              <w:left w:w="15" w:type="dxa"/>
              <w:right w:w="15" w:type="dxa"/>
            </w:tcMar>
            <w:vAlign w:val="center"/>
          </w:tcPr>
          <w:p w14:paraId="112A061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颗粒物</w:t>
            </w:r>
          </w:p>
        </w:tc>
        <w:tc>
          <w:tcPr>
            <w:tcW w:w="1203" w:type="pct"/>
            <w:tcBorders>
              <w:tl2br w:val="nil"/>
              <w:tr2bl w:val="nil"/>
            </w:tcBorders>
            <w:noWrap w:val="0"/>
            <w:tcMar>
              <w:top w:w="15" w:type="dxa"/>
              <w:left w:w="15" w:type="dxa"/>
              <w:right w:w="15" w:type="dxa"/>
            </w:tcMar>
            <w:vAlign w:val="center"/>
          </w:tcPr>
          <w:p w14:paraId="4D618A3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color w:val="auto"/>
                <w:sz w:val="18"/>
                <w:szCs w:val="18"/>
                <w:lang w:val="en-US" w:eastAsia="zh-CN"/>
              </w:rPr>
              <w:t>设备封闭+</w:t>
            </w:r>
            <w:r>
              <w:rPr>
                <w:rFonts w:hint="default" w:ascii="Times New Roman" w:hAnsi="Times New Roman" w:cs="Times New Roman"/>
                <w:color w:val="auto"/>
                <w:sz w:val="18"/>
                <w:szCs w:val="18"/>
              </w:rPr>
              <w:t>喷雾除尘</w:t>
            </w:r>
          </w:p>
        </w:tc>
        <w:tc>
          <w:tcPr>
            <w:tcW w:w="906" w:type="pct"/>
            <w:vMerge w:val="continue"/>
            <w:tcBorders>
              <w:tl2br w:val="nil"/>
              <w:tr2bl w:val="nil"/>
            </w:tcBorders>
            <w:noWrap w:val="0"/>
            <w:tcMar>
              <w:top w:w="15" w:type="dxa"/>
              <w:left w:w="15" w:type="dxa"/>
              <w:right w:w="15" w:type="dxa"/>
            </w:tcMar>
            <w:vAlign w:val="center"/>
          </w:tcPr>
          <w:p w14:paraId="279115F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57" w:type="pct"/>
            <w:vMerge w:val="continue"/>
            <w:tcBorders>
              <w:tl2br w:val="nil"/>
              <w:tr2bl w:val="nil"/>
            </w:tcBorders>
            <w:noWrap w:val="0"/>
            <w:tcMar>
              <w:top w:w="15" w:type="dxa"/>
              <w:left w:w="15" w:type="dxa"/>
              <w:right w:w="15" w:type="dxa"/>
            </w:tcMar>
            <w:vAlign w:val="center"/>
          </w:tcPr>
          <w:p w14:paraId="35B172A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44" w:type="pct"/>
            <w:tcBorders>
              <w:tl2br w:val="nil"/>
              <w:tr2bl w:val="nil"/>
            </w:tcBorders>
            <w:noWrap w:val="0"/>
            <w:tcMar>
              <w:top w:w="15" w:type="dxa"/>
              <w:left w:w="15" w:type="dxa"/>
              <w:right w:w="15" w:type="dxa"/>
            </w:tcMar>
            <w:vAlign w:val="center"/>
          </w:tcPr>
          <w:p w14:paraId="21264A2D">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0.449</w:t>
            </w:r>
          </w:p>
        </w:tc>
      </w:tr>
      <w:tr w14:paraId="553A62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1" w:type="pct"/>
            <w:tcBorders>
              <w:tl2br w:val="nil"/>
              <w:tr2bl w:val="nil"/>
            </w:tcBorders>
            <w:noWrap w:val="0"/>
            <w:tcMar>
              <w:top w:w="15" w:type="dxa"/>
              <w:left w:w="15" w:type="dxa"/>
              <w:right w:w="15" w:type="dxa"/>
            </w:tcMar>
            <w:vAlign w:val="center"/>
          </w:tcPr>
          <w:p w14:paraId="6F419AC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4</w:t>
            </w:r>
          </w:p>
        </w:tc>
        <w:tc>
          <w:tcPr>
            <w:tcW w:w="784" w:type="pct"/>
            <w:tcBorders>
              <w:tl2br w:val="nil"/>
              <w:tr2bl w:val="nil"/>
            </w:tcBorders>
            <w:noWrap w:val="0"/>
            <w:tcMar>
              <w:top w:w="15" w:type="dxa"/>
              <w:left w:w="15" w:type="dxa"/>
              <w:right w:w="15" w:type="dxa"/>
            </w:tcMar>
            <w:vAlign w:val="center"/>
          </w:tcPr>
          <w:p w14:paraId="70D84506">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auto"/>
                <w:spacing w:val="-2"/>
                <w:sz w:val="18"/>
                <w:szCs w:val="18"/>
                <w:highlight w:val="none"/>
              </w:rPr>
            </w:pPr>
            <w:r>
              <w:rPr>
                <w:rFonts w:hint="default" w:ascii="Times New Roman" w:hAnsi="Times New Roman" w:cs="Times New Roman"/>
                <w:i w:val="0"/>
                <w:iCs w:val="0"/>
                <w:color w:val="auto"/>
                <w:kern w:val="0"/>
                <w:sz w:val="18"/>
                <w:szCs w:val="18"/>
                <w:u w:val="none"/>
                <w:lang w:val="en-US" w:eastAsia="zh-CN" w:bidi="ar"/>
              </w:rPr>
              <w:t>铁矿石</w:t>
            </w:r>
            <w:r>
              <w:rPr>
                <w:rFonts w:hint="default" w:ascii="Times New Roman" w:hAnsi="Times New Roman" w:eastAsia="宋体" w:cs="Times New Roman"/>
                <w:i w:val="0"/>
                <w:iCs w:val="0"/>
                <w:color w:val="auto"/>
                <w:kern w:val="0"/>
                <w:sz w:val="18"/>
                <w:szCs w:val="18"/>
                <w:u w:val="none"/>
                <w:lang w:val="en-US" w:eastAsia="zh-CN" w:bidi="ar"/>
              </w:rPr>
              <w:t>堆场扬尘</w:t>
            </w:r>
          </w:p>
        </w:tc>
        <w:tc>
          <w:tcPr>
            <w:tcW w:w="540" w:type="pct"/>
            <w:tcBorders>
              <w:tl2br w:val="nil"/>
              <w:tr2bl w:val="nil"/>
            </w:tcBorders>
            <w:noWrap w:val="0"/>
            <w:tcMar>
              <w:top w:w="15" w:type="dxa"/>
              <w:left w:w="15" w:type="dxa"/>
              <w:right w:w="15" w:type="dxa"/>
            </w:tcMar>
            <w:vAlign w:val="center"/>
          </w:tcPr>
          <w:p w14:paraId="4502628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i w:val="0"/>
                <w:iCs w:val="0"/>
                <w:color w:val="auto"/>
                <w:kern w:val="0"/>
                <w:sz w:val="18"/>
                <w:szCs w:val="18"/>
                <w:u w:val="none"/>
                <w:lang w:val="en-US" w:eastAsia="zh-CN" w:bidi="ar"/>
              </w:rPr>
              <w:t>铁矿石堆存</w:t>
            </w:r>
          </w:p>
        </w:tc>
        <w:tc>
          <w:tcPr>
            <w:tcW w:w="462" w:type="pct"/>
            <w:tcBorders>
              <w:tl2br w:val="nil"/>
              <w:tr2bl w:val="nil"/>
            </w:tcBorders>
            <w:noWrap w:val="0"/>
            <w:tcMar>
              <w:top w:w="15" w:type="dxa"/>
              <w:left w:w="15" w:type="dxa"/>
              <w:right w:w="15" w:type="dxa"/>
            </w:tcMar>
            <w:vAlign w:val="center"/>
          </w:tcPr>
          <w:p w14:paraId="2AEB44B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颗粒物</w:t>
            </w:r>
          </w:p>
        </w:tc>
        <w:tc>
          <w:tcPr>
            <w:tcW w:w="1203" w:type="pct"/>
            <w:tcBorders>
              <w:tl2br w:val="nil"/>
              <w:tr2bl w:val="nil"/>
            </w:tcBorders>
            <w:noWrap w:val="0"/>
            <w:tcMar>
              <w:top w:w="15" w:type="dxa"/>
              <w:left w:w="15" w:type="dxa"/>
              <w:right w:w="15" w:type="dxa"/>
            </w:tcMar>
            <w:vAlign w:val="center"/>
          </w:tcPr>
          <w:p w14:paraId="6C6D0A7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color w:val="auto"/>
                <w:sz w:val="18"/>
                <w:szCs w:val="18"/>
              </w:rPr>
              <w:t>三面围挡+彩钢瓦顶棚</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喷雾降尘</w:t>
            </w:r>
            <w:r>
              <w:rPr>
                <w:rFonts w:hint="default" w:ascii="Times New Roman" w:hAnsi="Times New Roman" w:cs="Times New Roman"/>
                <w:color w:val="auto"/>
                <w:sz w:val="18"/>
                <w:szCs w:val="18"/>
                <w:lang w:val="en-US" w:eastAsia="zh-CN"/>
              </w:rPr>
              <w:t>+编织物覆盖</w:t>
            </w:r>
          </w:p>
        </w:tc>
        <w:tc>
          <w:tcPr>
            <w:tcW w:w="906" w:type="pct"/>
            <w:vMerge w:val="continue"/>
            <w:tcBorders>
              <w:tl2br w:val="nil"/>
              <w:tr2bl w:val="nil"/>
            </w:tcBorders>
            <w:noWrap w:val="0"/>
            <w:tcMar>
              <w:top w:w="15" w:type="dxa"/>
              <w:left w:w="15" w:type="dxa"/>
              <w:right w:w="15" w:type="dxa"/>
            </w:tcMar>
            <w:vAlign w:val="center"/>
          </w:tcPr>
          <w:p w14:paraId="02A68B8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57" w:type="pct"/>
            <w:vMerge w:val="continue"/>
            <w:tcBorders>
              <w:tl2br w:val="nil"/>
              <w:tr2bl w:val="nil"/>
            </w:tcBorders>
            <w:noWrap w:val="0"/>
            <w:tcMar>
              <w:top w:w="15" w:type="dxa"/>
              <w:left w:w="15" w:type="dxa"/>
              <w:right w:w="15" w:type="dxa"/>
            </w:tcMar>
            <w:vAlign w:val="center"/>
          </w:tcPr>
          <w:p w14:paraId="5E554CF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44" w:type="pct"/>
            <w:tcBorders>
              <w:tl2br w:val="nil"/>
              <w:tr2bl w:val="nil"/>
            </w:tcBorders>
            <w:noWrap w:val="0"/>
            <w:tcMar>
              <w:top w:w="15" w:type="dxa"/>
              <w:left w:w="15" w:type="dxa"/>
              <w:right w:w="15" w:type="dxa"/>
            </w:tcMar>
            <w:vAlign w:val="center"/>
          </w:tcPr>
          <w:p w14:paraId="7AF8AA9B">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0.049</w:t>
            </w:r>
          </w:p>
        </w:tc>
      </w:tr>
      <w:tr w14:paraId="11C220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1" w:type="pct"/>
            <w:tcBorders>
              <w:tl2br w:val="nil"/>
              <w:tr2bl w:val="nil"/>
            </w:tcBorders>
            <w:noWrap w:val="0"/>
            <w:tcMar>
              <w:top w:w="15" w:type="dxa"/>
              <w:left w:w="15" w:type="dxa"/>
              <w:right w:w="15" w:type="dxa"/>
            </w:tcMar>
            <w:vAlign w:val="center"/>
          </w:tcPr>
          <w:p w14:paraId="56B3BBD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5</w:t>
            </w:r>
          </w:p>
        </w:tc>
        <w:tc>
          <w:tcPr>
            <w:tcW w:w="784" w:type="pct"/>
            <w:tcBorders>
              <w:tl2br w:val="nil"/>
              <w:tr2bl w:val="nil"/>
            </w:tcBorders>
            <w:noWrap w:val="0"/>
            <w:tcMar>
              <w:top w:w="15" w:type="dxa"/>
              <w:left w:w="15" w:type="dxa"/>
              <w:right w:w="15" w:type="dxa"/>
            </w:tcMar>
            <w:vAlign w:val="center"/>
          </w:tcPr>
          <w:p w14:paraId="494910F3">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砂石料</w:t>
            </w:r>
            <w:r>
              <w:rPr>
                <w:rFonts w:hint="default" w:ascii="Times New Roman" w:hAnsi="Times New Roman" w:eastAsia="宋体" w:cs="Times New Roman"/>
                <w:i w:val="0"/>
                <w:iCs w:val="0"/>
                <w:color w:val="auto"/>
                <w:kern w:val="0"/>
                <w:sz w:val="18"/>
                <w:szCs w:val="18"/>
                <w:u w:val="none"/>
                <w:lang w:val="en-US" w:eastAsia="zh-CN" w:bidi="ar"/>
              </w:rPr>
              <w:t>堆场扬尘</w:t>
            </w:r>
          </w:p>
        </w:tc>
        <w:tc>
          <w:tcPr>
            <w:tcW w:w="540" w:type="pct"/>
            <w:tcBorders>
              <w:tl2br w:val="nil"/>
              <w:tr2bl w:val="nil"/>
            </w:tcBorders>
            <w:noWrap w:val="0"/>
            <w:tcMar>
              <w:top w:w="15" w:type="dxa"/>
              <w:left w:w="15" w:type="dxa"/>
              <w:right w:w="15" w:type="dxa"/>
            </w:tcMar>
            <w:vAlign w:val="center"/>
          </w:tcPr>
          <w:p w14:paraId="09D0FCE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i w:val="0"/>
                <w:iCs w:val="0"/>
                <w:color w:val="auto"/>
                <w:kern w:val="0"/>
                <w:sz w:val="18"/>
                <w:szCs w:val="18"/>
                <w:u w:val="none"/>
                <w:lang w:val="en-US" w:eastAsia="zh-CN" w:bidi="ar"/>
              </w:rPr>
              <w:t>砂石料堆存</w:t>
            </w:r>
          </w:p>
        </w:tc>
        <w:tc>
          <w:tcPr>
            <w:tcW w:w="462" w:type="pct"/>
            <w:tcBorders>
              <w:tl2br w:val="nil"/>
              <w:tr2bl w:val="nil"/>
            </w:tcBorders>
            <w:noWrap w:val="0"/>
            <w:tcMar>
              <w:top w:w="15" w:type="dxa"/>
              <w:left w:w="15" w:type="dxa"/>
              <w:right w:w="15" w:type="dxa"/>
            </w:tcMar>
            <w:vAlign w:val="center"/>
          </w:tcPr>
          <w:p w14:paraId="66C0AA0B">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颗粒物</w:t>
            </w:r>
          </w:p>
        </w:tc>
        <w:tc>
          <w:tcPr>
            <w:tcW w:w="1203" w:type="pct"/>
            <w:tcBorders>
              <w:tl2br w:val="nil"/>
              <w:tr2bl w:val="nil"/>
            </w:tcBorders>
            <w:noWrap w:val="0"/>
            <w:tcMar>
              <w:top w:w="15" w:type="dxa"/>
              <w:left w:w="15" w:type="dxa"/>
              <w:right w:w="15" w:type="dxa"/>
            </w:tcMar>
            <w:vAlign w:val="center"/>
          </w:tcPr>
          <w:p w14:paraId="2E8E86DE">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color w:val="auto"/>
                <w:sz w:val="18"/>
                <w:szCs w:val="18"/>
              </w:rPr>
              <w:t>三面围挡+彩钢瓦顶棚</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喷雾降尘</w:t>
            </w:r>
            <w:r>
              <w:rPr>
                <w:rFonts w:hint="default" w:ascii="Times New Roman" w:hAnsi="Times New Roman" w:cs="Times New Roman"/>
                <w:color w:val="auto"/>
                <w:sz w:val="18"/>
                <w:szCs w:val="18"/>
                <w:lang w:val="en-US" w:eastAsia="zh-CN"/>
              </w:rPr>
              <w:t>+编织物覆盖</w:t>
            </w:r>
          </w:p>
        </w:tc>
        <w:tc>
          <w:tcPr>
            <w:tcW w:w="906" w:type="pct"/>
            <w:vMerge w:val="continue"/>
            <w:tcBorders>
              <w:tl2br w:val="nil"/>
              <w:tr2bl w:val="nil"/>
            </w:tcBorders>
            <w:noWrap w:val="0"/>
            <w:tcMar>
              <w:top w:w="15" w:type="dxa"/>
              <w:left w:w="15" w:type="dxa"/>
              <w:right w:w="15" w:type="dxa"/>
            </w:tcMar>
            <w:vAlign w:val="center"/>
          </w:tcPr>
          <w:p w14:paraId="1190A0F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57" w:type="pct"/>
            <w:vMerge w:val="continue"/>
            <w:tcBorders>
              <w:tl2br w:val="nil"/>
              <w:tr2bl w:val="nil"/>
            </w:tcBorders>
            <w:noWrap w:val="0"/>
            <w:tcMar>
              <w:top w:w="15" w:type="dxa"/>
              <w:left w:w="15" w:type="dxa"/>
              <w:right w:w="15" w:type="dxa"/>
            </w:tcMar>
            <w:vAlign w:val="center"/>
          </w:tcPr>
          <w:p w14:paraId="3BF2684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44" w:type="pct"/>
            <w:tcBorders>
              <w:tl2br w:val="nil"/>
              <w:tr2bl w:val="nil"/>
            </w:tcBorders>
            <w:noWrap w:val="0"/>
            <w:tcMar>
              <w:top w:w="15" w:type="dxa"/>
              <w:left w:w="15" w:type="dxa"/>
              <w:right w:w="15" w:type="dxa"/>
            </w:tcMar>
            <w:vAlign w:val="center"/>
          </w:tcPr>
          <w:p w14:paraId="086C206F">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0.11</w:t>
            </w:r>
          </w:p>
        </w:tc>
      </w:tr>
      <w:tr w14:paraId="008893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1" w:type="pct"/>
            <w:tcBorders>
              <w:tl2br w:val="nil"/>
              <w:tr2bl w:val="nil"/>
            </w:tcBorders>
            <w:noWrap w:val="0"/>
            <w:tcMar>
              <w:top w:w="15" w:type="dxa"/>
              <w:left w:w="15" w:type="dxa"/>
              <w:right w:w="15" w:type="dxa"/>
            </w:tcMar>
            <w:vAlign w:val="center"/>
          </w:tcPr>
          <w:p w14:paraId="40F49FDB">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6</w:t>
            </w:r>
          </w:p>
        </w:tc>
        <w:tc>
          <w:tcPr>
            <w:tcW w:w="784" w:type="pct"/>
            <w:tcBorders>
              <w:tl2br w:val="nil"/>
              <w:tr2bl w:val="nil"/>
            </w:tcBorders>
            <w:noWrap w:val="0"/>
            <w:tcMar>
              <w:top w:w="15" w:type="dxa"/>
              <w:left w:w="15" w:type="dxa"/>
              <w:right w:w="15" w:type="dxa"/>
            </w:tcMar>
            <w:vAlign w:val="center"/>
          </w:tcPr>
          <w:p w14:paraId="1178BEBC">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一次筛分落料粉尘</w:t>
            </w:r>
          </w:p>
        </w:tc>
        <w:tc>
          <w:tcPr>
            <w:tcW w:w="540" w:type="pct"/>
            <w:tcBorders>
              <w:tl2br w:val="nil"/>
              <w:tr2bl w:val="nil"/>
            </w:tcBorders>
            <w:noWrap w:val="0"/>
            <w:tcMar>
              <w:top w:w="15" w:type="dxa"/>
              <w:left w:w="15" w:type="dxa"/>
              <w:right w:w="15" w:type="dxa"/>
            </w:tcMar>
            <w:vAlign w:val="center"/>
          </w:tcPr>
          <w:p w14:paraId="047201E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i w:val="0"/>
                <w:iCs w:val="0"/>
                <w:color w:val="auto"/>
                <w:kern w:val="0"/>
                <w:sz w:val="18"/>
                <w:szCs w:val="18"/>
                <w:u w:val="none"/>
                <w:lang w:val="en-US" w:eastAsia="zh-CN" w:bidi="ar"/>
              </w:rPr>
              <w:t>落料粉尘</w:t>
            </w:r>
          </w:p>
        </w:tc>
        <w:tc>
          <w:tcPr>
            <w:tcW w:w="462" w:type="pct"/>
            <w:tcBorders>
              <w:tl2br w:val="nil"/>
              <w:tr2bl w:val="nil"/>
            </w:tcBorders>
            <w:noWrap w:val="0"/>
            <w:tcMar>
              <w:top w:w="15" w:type="dxa"/>
              <w:left w:w="15" w:type="dxa"/>
              <w:right w:w="15" w:type="dxa"/>
            </w:tcMar>
            <w:vAlign w:val="center"/>
          </w:tcPr>
          <w:p w14:paraId="3D7FF29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颗粒物</w:t>
            </w:r>
          </w:p>
        </w:tc>
        <w:tc>
          <w:tcPr>
            <w:tcW w:w="1203" w:type="pct"/>
            <w:tcBorders>
              <w:tl2br w:val="nil"/>
              <w:tr2bl w:val="nil"/>
            </w:tcBorders>
            <w:noWrap w:val="0"/>
            <w:tcMar>
              <w:top w:w="15" w:type="dxa"/>
              <w:left w:w="15" w:type="dxa"/>
              <w:right w:w="15" w:type="dxa"/>
            </w:tcMar>
            <w:vAlign w:val="center"/>
          </w:tcPr>
          <w:p w14:paraId="7278360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color w:val="auto"/>
                <w:sz w:val="18"/>
                <w:szCs w:val="18"/>
              </w:rPr>
              <w:t>三面围挡</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喷雾降尘</w:t>
            </w:r>
          </w:p>
        </w:tc>
        <w:tc>
          <w:tcPr>
            <w:tcW w:w="906" w:type="pct"/>
            <w:vMerge w:val="continue"/>
            <w:tcBorders>
              <w:tl2br w:val="nil"/>
              <w:tr2bl w:val="nil"/>
            </w:tcBorders>
            <w:noWrap w:val="0"/>
            <w:tcMar>
              <w:top w:w="15" w:type="dxa"/>
              <w:left w:w="15" w:type="dxa"/>
              <w:right w:w="15" w:type="dxa"/>
            </w:tcMar>
            <w:vAlign w:val="center"/>
          </w:tcPr>
          <w:p w14:paraId="2881203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57" w:type="pct"/>
            <w:vMerge w:val="continue"/>
            <w:tcBorders>
              <w:tl2br w:val="nil"/>
              <w:tr2bl w:val="nil"/>
            </w:tcBorders>
            <w:noWrap w:val="0"/>
            <w:tcMar>
              <w:top w:w="15" w:type="dxa"/>
              <w:left w:w="15" w:type="dxa"/>
              <w:right w:w="15" w:type="dxa"/>
            </w:tcMar>
            <w:vAlign w:val="center"/>
          </w:tcPr>
          <w:p w14:paraId="487A039E">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44" w:type="pct"/>
            <w:tcBorders>
              <w:tl2br w:val="nil"/>
              <w:tr2bl w:val="nil"/>
            </w:tcBorders>
            <w:noWrap w:val="0"/>
            <w:tcMar>
              <w:top w:w="15" w:type="dxa"/>
              <w:left w:w="15" w:type="dxa"/>
              <w:right w:w="15" w:type="dxa"/>
            </w:tcMar>
            <w:vAlign w:val="center"/>
          </w:tcPr>
          <w:p w14:paraId="5F3F8B2D">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0.021</w:t>
            </w:r>
          </w:p>
        </w:tc>
      </w:tr>
      <w:tr w14:paraId="592D2E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1" w:type="pct"/>
            <w:tcBorders>
              <w:tl2br w:val="nil"/>
              <w:tr2bl w:val="nil"/>
            </w:tcBorders>
            <w:noWrap w:val="0"/>
            <w:tcMar>
              <w:top w:w="15" w:type="dxa"/>
              <w:left w:w="15" w:type="dxa"/>
              <w:right w:w="15" w:type="dxa"/>
            </w:tcMar>
            <w:vAlign w:val="center"/>
          </w:tcPr>
          <w:p w14:paraId="4C68FDE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7</w:t>
            </w:r>
          </w:p>
        </w:tc>
        <w:tc>
          <w:tcPr>
            <w:tcW w:w="784" w:type="pct"/>
            <w:tcBorders>
              <w:tl2br w:val="nil"/>
              <w:tr2bl w:val="nil"/>
            </w:tcBorders>
            <w:noWrap w:val="0"/>
            <w:tcMar>
              <w:top w:w="15" w:type="dxa"/>
              <w:left w:w="15" w:type="dxa"/>
              <w:right w:w="15" w:type="dxa"/>
            </w:tcMar>
            <w:vAlign w:val="center"/>
          </w:tcPr>
          <w:p w14:paraId="46618415">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原料堆场</w:t>
            </w:r>
          </w:p>
        </w:tc>
        <w:tc>
          <w:tcPr>
            <w:tcW w:w="540" w:type="pct"/>
            <w:tcBorders>
              <w:tl2br w:val="nil"/>
              <w:tr2bl w:val="nil"/>
            </w:tcBorders>
            <w:noWrap w:val="0"/>
            <w:tcMar>
              <w:top w:w="15" w:type="dxa"/>
              <w:left w:w="15" w:type="dxa"/>
              <w:right w:w="15" w:type="dxa"/>
            </w:tcMar>
            <w:vAlign w:val="center"/>
          </w:tcPr>
          <w:p w14:paraId="682C4C8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原料堆存</w:t>
            </w:r>
          </w:p>
        </w:tc>
        <w:tc>
          <w:tcPr>
            <w:tcW w:w="462" w:type="pct"/>
            <w:tcBorders>
              <w:tl2br w:val="nil"/>
              <w:tr2bl w:val="nil"/>
            </w:tcBorders>
            <w:noWrap w:val="0"/>
            <w:tcMar>
              <w:top w:w="15" w:type="dxa"/>
              <w:left w:w="15" w:type="dxa"/>
              <w:right w:w="15" w:type="dxa"/>
            </w:tcMar>
            <w:vAlign w:val="center"/>
          </w:tcPr>
          <w:p w14:paraId="2B2B580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颗粒物</w:t>
            </w:r>
          </w:p>
        </w:tc>
        <w:tc>
          <w:tcPr>
            <w:tcW w:w="1203" w:type="pct"/>
            <w:tcBorders>
              <w:tl2br w:val="nil"/>
              <w:tr2bl w:val="nil"/>
            </w:tcBorders>
            <w:noWrap w:val="0"/>
            <w:tcMar>
              <w:top w:w="15" w:type="dxa"/>
              <w:left w:w="15" w:type="dxa"/>
              <w:right w:w="15" w:type="dxa"/>
            </w:tcMar>
            <w:vAlign w:val="center"/>
          </w:tcPr>
          <w:p w14:paraId="3A00BEA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三面围挡+彩钢瓦顶棚</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喷雾降尘</w:t>
            </w:r>
            <w:r>
              <w:rPr>
                <w:rFonts w:hint="default" w:ascii="Times New Roman" w:hAnsi="Times New Roman" w:cs="Times New Roman"/>
                <w:color w:val="auto"/>
                <w:sz w:val="18"/>
                <w:szCs w:val="18"/>
                <w:lang w:val="en-US" w:eastAsia="zh-CN"/>
              </w:rPr>
              <w:t>+编织物覆盖</w:t>
            </w:r>
          </w:p>
        </w:tc>
        <w:tc>
          <w:tcPr>
            <w:tcW w:w="906" w:type="pct"/>
            <w:vMerge w:val="continue"/>
            <w:tcBorders>
              <w:tl2br w:val="nil"/>
              <w:tr2bl w:val="nil"/>
            </w:tcBorders>
            <w:noWrap w:val="0"/>
            <w:tcMar>
              <w:top w:w="15" w:type="dxa"/>
              <w:left w:w="15" w:type="dxa"/>
              <w:right w:w="15" w:type="dxa"/>
            </w:tcMar>
            <w:vAlign w:val="center"/>
          </w:tcPr>
          <w:p w14:paraId="321BDC1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57" w:type="pct"/>
            <w:vMerge w:val="continue"/>
            <w:tcBorders>
              <w:tl2br w:val="nil"/>
              <w:tr2bl w:val="nil"/>
            </w:tcBorders>
            <w:noWrap w:val="0"/>
            <w:tcMar>
              <w:top w:w="15" w:type="dxa"/>
              <w:left w:w="15" w:type="dxa"/>
              <w:right w:w="15" w:type="dxa"/>
            </w:tcMar>
            <w:vAlign w:val="center"/>
          </w:tcPr>
          <w:p w14:paraId="582C1CA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44" w:type="pct"/>
            <w:tcBorders>
              <w:tl2br w:val="nil"/>
              <w:tr2bl w:val="nil"/>
            </w:tcBorders>
            <w:noWrap w:val="0"/>
            <w:tcMar>
              <w:top w:w="15" w:type="dxa"/>
              <w:left w:w="15" w:type="dxa"/>
              <w:right w:w="15" w:type="dxa"/>
            </w:tcMar>
            <w:vAlign w:val="center"/>
          </w:tcPr>
          <w:p w14:paraId="5C9F502D">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0.18</w:t>
            </w:r>
          </w:p>
        </w:tc>
      </w:tr>
      <w:tr w14:paraId="473601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1" w:type="pct"/>
            <w:tcBorders>
              <w:tl2br w:val="nil"/>
              <w:tr2bl w:val="nil"/>
            </w:tcBorders>
            <w:noWrap w:val="0"/>
            <w:tcMar>
              <w:top w:w="15" w:type="dxa"/>
              <w:left w:w="15" w:type="dxa"/>
              <w:right w:w="15" w:type="dxa"/>
            </w:tcMar>
            <w:vAlign w:val="center"/>
          </w:tcPr>
          <w:p w14:paraId="3B0C4F7E">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8</w:t>
            </w:r>
          </w:p>
        </w:tc>
        <w:tc>
          <w:tcPr>
            <w:tcW w:w="784" w:type="pct"/>
            <w:tcBorders>
              <w:tl2br w:val="nil"/>
              <w:tr2bl w:val="nil"/>
            </w:tcBorders>
            <w:noWrap w:val="0"/>
            <w:tcMar>
              <w:top w:w="15" w:type="dxa"/>
              <w:left w:w="15" w:type="dxa"/>
              <w:right w:w="15" w:type="dxa"/>
            </w:tcMar>
            <w:vAlign w:val="center"/>
          </w:tcPr>
          <w:p w14:paraId="2C16C5C5">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车辆运输</w:t>
            </w:r>
          </w:p>
        </w:tc>
        <w:tc>
          <w:tcPr>
            <w:tcW w:w="540" w:type="pct"/>
            <w:tcBorders>
              <w:tl2br w:val="nil"/>
              <w:tr2bl w:val="nil"/>
            </w:tcBorders>
            <w:noWrap w:val="0"/>
            <w:tcMar>
              <w:top w:w="15" w:type="dxa"/>
              <w:left w:w="15" w:type="dxa"/>
              <w:right w:w="15" w:type="dxa"/>
            </w:tcMar>
            <w:vAlign w:val="center"/>
          </w:tcPr>
          <w:p w14:paraId="02B8064B">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运输扬尘</w:t>
            </w:r>
          </w:p>
        </w:tc>
        <w:tc>
          <w:tcPr>
            <w:tcW w:w="462" w:type="pct"/>
            <w:tcBorders>
              <w:tl2br w:val="nil"/>
              <w:tr2bl w:val="nil"/>
            </w:tcBorders>
            <w:noWrap w:val="0"/>
            <w:tcMar>
              <w:top w:w="15" w:type="dxa"/>
              <w:left w:w="15" w:type="dxa"/>
              <w:right w:w="15" w:type="dxa"/>
            </w:tcMar>
            <w:vAlign w:val="center"/>
          </w:tcPr>
          <w:p w14:paraId="5BD630F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颗粒物</w:t>
            </w:r>
          </w:p>
        </w:tc>
        <w:tc>
          <w:tcPr>
            <w:tcW w:w="1203" w:type="pct"/>
            <w:tcBorders>
              <w:tl2br w:val="nil"/>
              <w:tr2bl w:val="nil"/>
            </w:tcBorders>
            <w:noWrap w:val="0"/>
            <w:tcMar>
              <w:top w:w="15" w:type="dxa"/>
              <w:left w:w="15" w:type="dxa"/>
              <w:right w:w="15" w:type="dxa"/>
            </w:tcMar>
            <w:vAlign w:val="center"/>
          </w:tcPr>
          <w:p w14:paraId="3F0A68B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喷雾降尘</w:t>
            </w:r>
          </w:p>
        </w:tc>
        <w:tc>
          <w:tcPr>
            <w:tcW w:w="906" w:type="pct"/>
            <w:vMerge w:val="continue"/>
            <w:tcBorders>
              <w:tl2br w:val="nil"/>
              <w:tr2bl w:val="nil"/>
            </w:tcBorders>
            <w:noWrap w:val="0"/>
            <w:tcMar>
              <w:top w:w="15" w:type="dxa"/>
              <w:left w:w="15" w:type="dxa"/>
              <w:right w:w="15" w:type="dxa"/>
            </w:tcMar>
            <w:vAlign w:val="center"/>
          </w:tcPr>
          <w:p w14:paraId="4787584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57" w:type="pct"/>
            <w:vMerge w:val="continue"/>
            <w:tcBorders>
              <w:tl2br w:val="nil"/>
              <w:tr2bl w:val="nil"/>
            </w:tcBorders>
            <w:noWrap w:val="0"/>
            <w:tcMar>
              <w:top w:w="15" w:type="dxa"/>
              <w:left w:w="15" w:type="dxa"/>
              <w:right w:w="15" w:type="dxa"/>
            </w:tcMar>
            <w:vAlign w:val="center"/>
          </w:tcPr>
          <w:p w14:paraId="237D44C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44" w:type="pct"/>
            <w:tcBorders>
              <w:tl2br w:val="nil"/>
              <w:tr2bl w:val="nil"/>
            </w:tcBorders>
            <w:noWrap w:val="0"/>
            <w:tcMar>
              <w:top w:w="15" w:type="dxa"/>
              <w:left w:w="15" w:type="dxa"/>
              <w:right w:w="15" w:type="dxa"/>
            </w:tcMar>
            <w:vAlign w:val="center"/>
          </w:tcPr>
          <w:p w14:paraId="1250A57F">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0.042</w:t>
            </w:r>
          </w:p>
        </w:tc>
      </w:tr>
      <w:tr w14:paraId="7402D1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25" w:type="pct"/>
            <w:gridSpan w:val="3"/>
            <w:tcBorders>
              <w:tl2br w:val="nil"/>
              <w:tr2bl w:val="nil"/>
            </w:tcBorders>
            <w:noWrap w:val="0"/>
            <w:tcMar>
              <w:top w:w="15" w:type="dxa"/>
              <w:left w:w="15" w:type="dxa"/>
              <w:right w:w="15" w:type="dxa"/>
            </w:tcMar>
            <w:vAlign w:val="center"/>
          </w:tcPr>
          <w:p w14:paraId="0AE2943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合计</w:t>
            </w:r>
          </w:p>
        </w:tc>
        <w:tc>
          <w:tcPr>
            <w:tcW w:w="462" w:type="pct"/>
            <w:tcBorders>
              <w:tl2br w:val="nil"/>
              <w:tr2bl w:val="nil"/>
            </w:tcBorders>
            <w:noWrap w:val="0"/>
            <w:tcMar>
              <w:top w:w="15" w:type="dxa"/>
              <w:left w:w="15" w:type="dxa"/>
              <w:right w:w="15" w:type="dxa"/>
            </w:tcMar>
            <w:vAlign w:val="center"/>
          </w:tcPr>
          <w:p w14:paraId="34C870FB">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颗粒物</w:t>
            </w:r>
          </w:p>
        </w:tc>
        <w:tc>
          <w:tcPr>
            <w:tcW w:w="1203" w:type="pct"/>
            <w:tcBorders>
              <w:tl2br w:val="nil"/>
              <w:tr2bl w:val="nil"/>
            </w:tcBorders>
            <w:noWrap w:val="0"/>
            <w:tcMar>
              <w:top w:w="15" w:type="dxa"/>
              <w:left w:w="15" w:type="dxa"/>
              <w:right w:w="15" w:type="dxa"/>
            </w:tcMar>
            <w:vAlign w:val="center"/>
          </w:tcPr>
          <w:p w14:paraId="7C34D95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906" w:type="pct"/>
            <w:tcBorders>
              <w:tl2br w:val="nil"/>
              <w:tr2bl w:val="nil"/>
            </w:tcBorders>
            <w:noWrap w:val="0"/>
            <w:tcMar>
              <w:top w:w="15" w:type="dxa"/>
              <w:left w:w="15" w:type="dxa"/>
              <w:right w:w="15" w:type="dxa"/>
            </w:tcMar>
            <w:vAlign w:val="center"/>
          </w:tcPr>
          <w:p w14:paraId="3AE8D35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w:t>
            </w:r>
          </w:p>
        </w:tc>
        <w:tc>
          <w:tcPr>
            <w:tcW w:w="457" w:type="pct"/>
            <w:tcBorders>
              <w:tl2br w:val="nil"/>
              <w:tr2bl w:val="nil"/>
            </w:tcBorders>
            <w:noWrap w:val="0"/>
            <w:tcMar>
              <w:top w:w="15" w:type="dxa"/>
              <w:left w:w="15" w:type="dxa"/>
              <w:right w:w="15" w:type="dxa"/>
            </w:tcMar>
            <w:vAlign w:val="center"/>
          </w:tcPr>
          <w:p w14:paraId="2493F95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w:t>
            </w:r>
          </w:p>
        </w:tc>
        <w:tc>
          <w:tcPr>
            <w:tcW w:w="444" w:type="pct"/>
            <w:tcBorders>
              <w:tl2br w:val="nil"/>
              <w:tr2bl w:val="nil"/>
            </w:tcBorders>
            <w:noWrap w:val="0"/>
            <w:tcMar>
              <w:top w:w="15" w:type="dxa"/>
              <w:left w:w="15" w:type="dxa"/>
              <w:right w:w="15" w:type="dxa"/>
            </w:tcMar>
            <w:vAlign w:val="center"/>
          </w:tcPr>
          <w:p w14:paraId="75B88598">
            <w:pPr>
              <w:pStyle w:val="9"/>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1.059</w:t>
            </w:r>
          </w:p>
        </w:tc>
      </w:tr>
    </w:tbl>
    <w:p w14:paraId="741ADFCD">
      <w:pPr>
        <w:keepNext w:val="0"/>
        <w:keepLines w:val="0"/>
        <w:pageBreakBefore w:val="0"/>
        <w:widowControl/>
        <w:kinsoku/>
        <w:wordWrap/>
        <w:overflowPunct/>
        <w:topLinePunct w:val="0"/>
        <w:autoSpaceDE w:val="0"/>
        <w:autoSpaceDN w:val="0"/>
        <w:bidi w:val="0"/>
        <w:adjustRightInd/>
        <w:snapToGrid/>
        <w:spacing w:before="157" w:beforeLines="50" w:line="360" w:lineRule="auto"/>
        <w:ind w:firstLine="49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（3）大气污染源合计</w:t>
      </w:r>
    </w:p>
    <w:p w14:paraId="7C52F47D">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w:t>
      </w:r>
      <w:r>
        <w:rPr>
          <w:rFonts w:hint="default" w:ascii="Times New Roman" w:hAnsi="Times New Roman" w:eastAsia="黑体" w:cs="Times New Roman"/>
          <w:b w:val="0"/>
          <w:bCs/>
          <w:color w:val="auto"/>
          <w:sz w:val="21"/>
          <w:szCs w:val="21"/>
          <w:highlight w:val="none"/>
          <w:lang w:val="en-US" w:eastAsia="zh-CN"/>
        </w:rPr>
        <w:t>6.1.4-3</w:t>
      </w:r>
      <w:r>
        <w:rPr>
          <w:rFonts w:hint="default" w:ascii="Times New Roman" w:hAnsi="Times New Roman" w:eastAsia="黑体" w:cs="Times New Roman"/>
          <w:b w:val="0"/>
          <w:bCs/>
          <w:color w:val="auto"/>
          <w:sz w:val="21"/>
          <w:szCs w:val="21"/>
          <w:highlight w:val="none"/>
        </w:rPr>
        <w:t xml:space="preserve">  </w:t>
      </w:r>
      <w:r>
        <w:rPr>
          <w:rFonts w:hint="default" w:ascii="Times New Roman" w:hAnsi="Times New Roman" w:eastAsia="黑体" w:cs="Times New Roman"/>
          <w:b w:val="0"/>
          <w:bCs/>
          <w:color w:val="auto"/>
          <w:sz w:val="21"/>
          <w:szCs w:val="21"/>
          <w:highlight w:val="none"/>
          <w:lang w:val="en-US" w:eastAsia="zh-CN"/>
        </w:rPr>
        <w:t>本</w:t>
      </w:r>
      <w:r>
        <w:rPr>
          <w:rFonts w:hint="default" w:ascii="Times New Roman" w:hAnsi="Times New Roman" w:eastAsia="黑体" w:cs="Times New Roman"/>
          <w:b w:val="0"/>
          <w:bCs/>
          <w:color w:val="auto"/>
          <w:sz w:val="21"/>
          <w:szCs w:val="21"/>
          <w:highlight w:val="none"/>
        </w:rPr>
        <w:t>项目大气污染物年排放核算表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929"/>
        <w:gridCol w:w="2097"/>
        <w:gridCol w:w="4972"/>
      </w:tblGrid>
      <w:tr w14:paraId="0B02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2" w:type="pct"/>
            <w:tcBorders>
              <w:top w:val="single" w:color="000000" w:sz="4" w:space="0"/>
              <w:left w:val="nil"/>
              <w:bottom w:val="single" w:color="000000" w:sz="4" w:space="0"/>
              <w:right w:val="single" w:color="000000" w:sz="4" w:space="0"/>
            </w:tcBorders>
            <w:noWrap w:val="0"/>
            <w:vAlign w:val="center"/>
          </w:tcPr>
          <w:p w14:paraId="28406168">
            <w:pPr>
              <w:keepNext w:val="0"/>
              <w:keepLines w:val="0"/>
              <w:pageBreakBefore w:val="0"/>
              <w:widowControl/>
              <w:suppressLineNumbers w:val="0"/>
              <w:kinsoku/>
              <w:bidi w:val="0"/>
              <w:adjustRightInd w:val="0"/>
              <w:snapToGrid w:val="0"/>
              <w:spacing w:before="0" w:beforeAutospacing="0" w:after="0" w:afterAutospacing="0"/>
              <w:ind w:left="0" w:right="0"/>
              <w:jc w:val="center"/>
              <w:textAlignment w:val="center"/>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序号</w:t>
            </w:r>
          </w:p>
        </w:tc>
        <w:tc>
          <w:tcPr>
            <w:tcW w:w="1629" w:type="pct"/>
            <w:gridSpan w:val="2"/>
            <w:tcBorders>
              <w:top w:val="single" w:color="000000" w:sz="4" w:space="0"/>
              <w:left w:val="single" w:color="000000" w:sz="4" w:space="0"/>
              <w:bottom w:val="single" w:color="000000" w:sz="4" w:space="0"/>
              <w:right w:val="single" w:color="000000" w:sz="4" w:space="0"/>
            </w:tcBorders>
            <w:noWrap w:val="0"/>
            <w:vAlign w:val="center"/>
          </w:tcPr>
          <w:p w14:paraId="3D6F9ACB">
            <w:pPr>
              <w:pStyle w:val="26"/>
              <w:keepNext w:val="0"/>
              <w:keepLines w:val="0"/>
              <w:pageBreakBefore w:val="0"/>
              <w:widowControl w:val="0"/>
              <w:suppressLineNumbers w:val="0"/>
              <w:kinsoku/>
              <w:bidi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kern w:val="2"/>
                <w:sz w:val="18"/>
                <w:szCs w:val="18"/>
                <w:highlight w:val="none"/>
                <w:lang w:val="en-US" w:eastAsia="zh-CN" w:bidi="ar"/>
              </w:rPr>
              <w:t>污染物</w:t>
            </w:r>
          </w:p>
        </w:tc>
        <w:tc>
          <w:tcPr>
            <w:tcW w:w="2677" w:type="pct"/>
            <w:tcBorders>
              <w:top w:val="single" w:color="000000" w:sz="4" w:space="0"/>
              <w:left w:val="single" w:color="000000" w:sz="4" w:space="0"/>
              <w:bottom w:val="single" w:color="000000" w:sz="4" w:space="0"/>
              <w:right w:val="nil"/>
            </w:tcBorders>
            <w:noWrap w:val="0"/>
            <w:vAlign w:val="center"/>
          </w:tcPr>
          <w:p w14:paraId="7C0082F2">
            <w:pPr>
              <w:pStyle w:val="26"/>
              <w:keepNext w:val="0"/>
              <w:keepLines w:val="0"/>
              <w:pageBreakBefore w:val="0"/>
              <w:widowControl w:val="0"/>
              <w:suppressLineNumbers w:val="0"/>
              <w:kinsoku/>
              <w:bidi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kern w:val="2"/>
                <w:sz w:val="18"/>
                <w:szCs w:val="18"/>
                <w:highlight w:val="none"/>
                <w:lang w:val="en-US" w:eastAsia="zh-CN" w:bidi="ar"/>
              </w:rPr>
              <w:t>年排放量（</w:t>
            </w:r>
            <w:r>
              <w:rPr>
                <w:rFonts w:hint="default" w:ascii="Times New Roman" w:hAnsi="Times New Roman" w:eastAsia="Arial Unicode MS" w:cs="Times New Roman"/>
                <w:color w:val="auto"/>
                <w:kern w:val="2"/>
                <w:sz w:val="18"/>
                <w:szCs w:val="18"/>
                <w:highlight w:val="none"/>
                <w:lang w:val="en-US" w:eastAsia="zh-CN" w:bidi="ar"/>
              </w:rPr>
              <w:t>t/a</w:t>
            </w:r>
            <w:r>
              <w:rPr>
                <w:rFonts w:hint="default" w:ascii="Times New Roman" w:hAnsi="Times New Roman" w:eastAsia="宋体" w:cs="Times New Roman"/>
                <w:color w:val="auto"/>
                <w:kern w:val="2"/>
                <w:sz w:val="18"/>
                <w:szCs w:val="18"/>
                <w:highlight w:val="none"/>
                <w:lang w:val="en-US" w:eastAsia="zh-CN" w:bidi="ar"/>
              </w:rPr>
              <w:t>）</w:t>
            </w:r>
          </w:p>
        </w:tc>
      </w:tr>
      <w:tr w14:paraId="24B1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2" w:type="pct"/>
            <w:tcBorders>
              <w:top w:val="single" w:color="000000" w:sz="4" w:space="0"/>
              <w:left w:val="nil"/>
              <w:bottom w:val="single" w:color="000000" w:sz="4" w:space="0"/>
              <w:right w:val="single" w:color="000000" w:sz="4" w:space="0"/>
            </w:tcBorders>
            <w:noWrap w:val="0"/>
            <w:vAlign w:val="center"/>
          </w:tcPr>
          <w:p w14:paraId="0FF6D1BC">
            <w:pPr>
              <w:keepNext w:val="0"/>
              <w:keepLines w:val="0"/>
              <w:pageBreakBefore w:val="0"/>
              <w:widowControl/>
              <w:suppressLineNumbers w:val="0"/>
              <w:kinsoku/>
              <w:bidi w:val="0"/>
              <w:adjustRightInd w:val="0"/>
              <w:snapToGrid w:val="0"/>
              <w:spacing w:before="0" w:beforeAutospacing="0" w:after="0" w:afterAutospacing="0"/>
              <w:ind w:left="0" w:right="0"/>
              <w:jc w:val="center"/>
              <w:textAlignment w:val="center"/>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1</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108A306">
            <w:pPr>
              <w:pStyle w:val="26"/>
              <w:keepNext w:val="0"/>
              <w:keepLines w:val="0"/>
              <w:pageBreakBefore w:val="0"/>
              <w:widowControl w:val="0"/>
              <w:suppressLineNumbers w:val="0"/>
              <w:kinsoku/>
              <w:bidi w:val="0"/>
              <w:adjustRightInd w:val="0"/>
              <w:snapToGrid w:val="0"/>
              <w:spacing w:before="0" w:beforeAutospacing="0" w:after="0" w:afterAutospacing="0"/>
              <w:ind w:left="0" w:leftChars="0" w:right="0" w:firstLine="0" w:firstLineChars="0"/>
              <w:jc w:val="both"/>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有组织</w:t>
            </w:r>
          </w:p>
        </w:tc>
        <w:tc>
          <w:tcPr>
            <w:tcW w:w="1129" w:type="pct"/>
            <w:tcBorders>
              <w:top w:val="single" w:color="000000" w:sz="4" w:space="0"/>
              <w:left w:val="single" w:color="000000" w:sz="4" w:space="0"/>
              <w:bottom w:val="single" w:color="000000" w:sz="4" w:space="0"/>
              <w:right w:val="single" w:color="000000" w:sz="4" w:space="0"/>
            </w:tcBorders>
            <w:noWrap w:val="0"/>
            <w:vAlign w:val="center"/>
          </w:tcPr>
          <w:p w14:paraId="6DEA2FE3">
            <w:pPr>
              <w:pStyle w:val="26"/>
              <w:keepNext w:val="0"/>
              <w:keepLines w:val="0"/>
              <w:pageBreakBefore w:val="0"/>
              <w:widowControl w:val="0"/>
              <w:suppressLineNumbers w:val="0"/>
              <w:kinsoku/>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kern w:val="2"/>
                <w:sz w:val="18"/>
                <w:szCs w:val="18"/>
                <w:highlight w:val="none"/>
                <w:lang w:val="en-US" w:eastAsia="zh-CN" w:bidi="ar"/>
              </w:rPr>
              <w:t>颗粒物</w:t>
            </w:r>
          </w:p>
        </w:tc>
        <w:tc>
          <w:tcPr>
            <w:tcW w:w="2677" w:type="pct"/>
            <w:tcBorders>
              <w:top w:val="single" w:color="000000" w:sz="4" w:space="0"/>
              <w:left w:val="single" w:color="000000" w:sz="4" w:space="0"/>
              <w:bottom w:val="single" w:color="000000" w:sz="4" w:space="0"/>
              <w:right w:val="nil"/>
            </w:tcBorders>
            <w:noWrap w:val="0"/>
            <w:vAlign w:val="center"/>
          </w:tcPr>
          <w:p w14:paraId="2F758C0C">
            <w:pPr>
              <w:keepNext w:val="0"/>
              <w:keepLines w:val="0"/>
              <w:pageBreakBefore w:val="0"/>
              <w:suppressLineNumbers w:val="0"/>
              <w:kinsoku/>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kern w:val="2"/>
                <w:sz w:val="18"/>
                <w:szCs w:val="18"/>
                <w:highlight w:val="none"/>
                <w:lang w:val="en-US" w:eastAsia="zh-CN" w:bidi="ar"/>
              </w:rPr>
              <w:t>0.489</w:t>
            </w:r>
          </w:p>
        </w:tc>
      </w:tr>
      <w:tr w14:paraId="726C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2" w:type="pct"/>
            <w:tcBorders>
              <w:top w:val="single" w:color="000000" w:sz="4" w:space="0"/>
              <w:left w:val="nil"/>
              <w:bottom w:val="single" w:color="000000" w:sz="4" w:space="0"/>
              <w:right w:val="single" w:color="000000" w:sz="4" w:space="0"/>
            </w:tcBorders>
            <w:noWrap w:val="0"/>
            <w:vAlign w:val="center"/>
          </w:tcPr>
          <w:p w14:paraId="551F8A42">
            <w:pPr>
              <w:keepNext w:val="0"/>
              <w:keepLines w:val="0"/>
              <w:pageBreakBefore w:val="0"/>
              <w:widowControl/>
              <w:suppressLineNumbers w:val="0"/>
              <w:kinsoku/>
              <w:bidi w:val="0"/>
              <w:adjustRightInd w:val="0"/>
              <w:snapToGrid w:val="0"/>
              <w:spacing w:before="0" w:beforeAutospacing="0" w:after="0" w:afterAutospacing="0"/>
              <w:ind w:left="0" w:right="0"/>
              <w:jc w:val="center"/>
              <w:textAlignment w:val="center"/>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2</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6DB6A50">
            <w:pPr>
              <w:pStyle w:val="26"/>
              <w:keepNext w:val="0"/>
              <w:keepLines w:val="0"/>
              <w:pageBreakBefore w:val="0"/>
              <w:widowControl w:val="0"/>
              <w:suppressLineNumbers w:val="0"/>
              <w:kinsoku/>
              <w:bidi w:val="0"/>
              <w:adjustRightInd w:val="0"/>
              <w:snapToGrid w:val="0"/>
              <w:spacing w:before="0" w:beforeAutospacing="0" w:after="0" w:afterAutospacing="0"/>
              <w:ind w:left="0" w:leftChars="0" w:right="0" w:firstLine="0" w:firstLineChars="0"/>
              <w:jc w:val="both"/>
              <w:rPr>
                <w:rFonts w:hint="default" w:ascii="Times New Roman" w:hAnsi="Times New Roman" w:cs="Times New Roman"/>
                <w:color w:val="auto"/>
                <w:kern w:val="2"/>
                <w:sz w:val="18"/>
                <w:szCs w:val="18"/>
                <w:highlight w:val="none"/>
              </w:rPr>
            </w:pPr>
            <w:r>
              <w:rPr>
                <w:rFonts w:hint="default" w:ascii="Times New Roman" w:hAnsi="Times New Roman" w:eastAsia="宋体" w:cs="Times New Roman"/>
                <w:color w:val="auto"/>
                <w:kern w:val="2"/>
                <w:sz w:val="18"/>
                <w:szCs w:val="18"/>
                <w:highlight w:val="none"/>
                <w:lang w:val="en-US" w:eastAsia="zh-CN" w:bidi="ar"/>
              </w:rPr>
              <w:t>无组织</w:t>
            </w:r>
          </w:p>
        </w:tc>
        <w:tc>
          <w:tcPr>
            <w:tcW w:w="1129" w:type="pct"/>
            <w:tcBorders>
              <w:top w:val="single" w:color="000000" w:sz="4" w:space="0"/>
              <w:left w:val="single" w:color="000000" w:sz="4" w:space="0"/>
              <w:bottom w:val="single" w:color="000000" w:sz="4" w:space="0"/>
              <w:right w:val="single" w:color="000000" w:sz="4" w:space="0"/>
            </w:tcBorders>
            <w:noWrap w:val="0"/>
            <w:vAlign w:val="center"/>
          </w:tcPr>
          <w:p w14:paraId="7C885EB9">
            <w:pPr>
              <w:pStyle w:val="26"/>
              <w:keepNext w:val="0"/>
              <w:keepLines w:val="0"/>
              <w:pageBreakBefore w:val="0"/>
              <w:widowControl w:val="0"/>
              <w:suppressLineNumbers w:val="0"/>
              <w:kinsoku/>
              <w:bidi w:val="0"/>
              <w:adjustRightInd w:val="0"/>
              <w:snapToGrid w:val="0"/>
              <w:spacing w:before="0" w:beforeAutospacing="0" w:after="0" w:afterAutospacing="0"/>
              <w:ind w:left="0" w:leftChars="0" w:right="0" w:rightChars="0"/>
              <w:jc w:val="center"/>
              <w:rPr>
                <w:rFonts w:hint="default" w:ascii="Times New Roman" w:hAnsi="Times New Roman" w:eastAsia="Arial Unicode MS"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
              </w:rPr>
              <w:t>颗粒物</w:t>
            </w:r>
          </w:p>
        </w:tc>
        <w:tc>
          <w:tcPr>
            <w:tcW w:w="4562" w:type="dxa"/>
            <w:tcBorders>
              <w:top w:val="single" w:color="000000" w:sz="4" w:space="0"/>
              <w:left w:val="single" w:color="000000" w:sz="4" w:space="0"/>
              <w:bottom w:val="single" w:color="000000" w:sz="4" w:space="0"/>
              <w:right w:val="nil"/>
            </w:tcBorders>
            <w:noWrap w:val="0"/>
            <w:vAlign w:val="center"/>
          </w:tcPr>
          <w:p w14:paraId="4697E6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1.059</w:t>
            </w:r>
          </w:p>
        </w:tc>
      </w:tr>
      <w:tr w14:paraId="188D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92" w:type="pct"/>
            <w:tcBorders>
              <w:top w:val="single" w:color="000000" w:sz="4" w:space="0"/>
              <w:left w:val="nil"/>
              <w:bottom w:val="single" w:color="000000" w:sz="4" w:space="0"/>
              <w:right w:val="single" w:color="000000" w:sz="4" w:space="0"/>
            </w:tcBorders>
            <w:noWrap w:val="0"/>
            <w:vAlign w:val="center"/>
          </w:tcPr>
          <w:p w14:paraId="656BEF92">
            <w:pPr>
              <w:keepNext w:val="0"/>
              <w:keepLines w:val="0"/>
              <w:pageBreakBefore w:val="0"/>
              <w:widowControl/>
              <w:suppressLineNumbers w:val="0"/>
              <w:kinsoku/>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3</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6D66C02">
            <w:pPr>
              <w:pStyle w:val="26"/>
              <w:keepNext w:val="0"/>
              <w:keepLines w:val="0"/>
              <w:pageBreakBefore w:val="0"/>
              <w:widowControl w:val="0"/>
              <w:suppressLineNumbers w:val="0"/>
              <w:kinsoku/>
              <w:bidi w:val="0"/>
              <w:adjustRightInd w:val="0"/>
              <w:snapToGrid w:val="0"/>
              <w:spacing w:before="0" w:beforeAutospacing="0" w:after="0" w:afterAutospacing="0"/>
              <w:ind w:left="0" w:leftChars="0" w:right="0" w:firstLine="0" w:firstLineChars="0"/>
              <w:jc w:val="both"/>
              <w:rPr>
                <w:rFonts w:hint="default" w:ascii="Times New Roman" w:hAnsi="Times New Roman" w:eastAsia="宋体" w:cs="Times New Roman"/>
                <w:color w:val="auto"/>
                <w:kern w:val="2"/>
                <w:sz w:val="18"/>
                <w:szCs w:val="18"/>
                <w:highlight w:val="none"/>
                <w:lang w:val="en-US" w:eastAsia="zh-CN" w:bidi="ar"/>
              </w:rPr>
            </w:pPr>
            <w:r>
              <w:rPr>
                <w:rFonts w:hint="default" w:ascii="Times New Roman" w:hAnsi="Times New Roman" w:eastAsia="宋体" w:cs="Times New Roman"/>
                <w:color w:val="auto"/>
                <w:kern w:val="2"/>
                <w:sz w:val="18"/>
                <w:szCs w:val="18"/>
                <w:highlight w:val="none"/>
                <w:lang w:val="en-US" w:eastAsia="zh-CN" w:bidi="ar"/>
              </w:rPr>
              <w:t>合计</w:t>
            </w:r>
          </w:p>
        </w:tc>
        <w:tc>
          <w:tcPr>
            <w:tcW w:w="1129" w:type="pct"/>
            <w:tcBorders>
              <w:top w:val="single" w:color="000000" w:sz="4" w:space="0"/>
              <w:left w:val="single" w:color="000000" w:sz="4" w:space="0"/>
              <w:bottom w:val="single" w:color="000000" w:sz="4" w:space="0"/>
              <w:right w:val="single" w:color="000000" w:sz="4" w:space="0"/>
            </w:tcBorders>
            <w:noWrap w:val="0"/>
            <w:vAlign w:val="center"/>
          </w:tcPr>
          <w:p w14:paraId="72A75F1F">
            <w:pPr>
              <w:pStyle w:val="26"/>
              <w:keepNext w:val="0"/>
              <w:keepLines w:val="0"/>
              <w:pageBreakBefore w:val="0"/>
              <w:widowControl w:val="0"/>
              <w:suppressLineNumbers w:val="0"/>
              <w:kinsoku/>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
              </w:rPr>
            </w:pPr>
            <w:r>
              <w:rPr>
                <w:rFonts w:hint="default" w:ascii="Times New Roman" w:hAnsi="Times New Roman" w:eastAsia="宋体" w:cs="Times New Roman"/>
                <w:color w:val="auto"/>
                <w:kern w:val="2"/>
                <w:sz w:val="18"/>
                <w:szCs w:val="18"/>
                <w:highlight w:val="none"/>
                <w:lang w:val="en-US" w:eastAsia="zh-CN" w:bidi="ar"/>
              </w:rPr>
              <w:t>颗粒物</w:t>
            </w:r>
          </w:p>
        </w:tc>
        <w:tc>
          <w:tcPr>
            <w:tcW w:w="4562" w:type="dxa"/>
            <w:tcBorders>
              <w:top w:val="single" w:color="000000" w:sz="4" w:space="0"/>
              <w:left w:val="single" w:color="000000" w:sz="4" w:space="0"/>
              <w:bottom w:val="single" w:color="000000" w:sz="4" w:space="0"/>
              <w:right w:val="nil"/>
            </w:tcBorders>
            <w:noWrap w:val="0"/>
            <w:vAlign w:val="center"/>
          </w:tcPr>
          <w:p w14:paraId="449372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1.548</w:t>
            </w:r>
          </w:p>
        </w:tc>
      </w:tr>
      <w:bookmarkEnd w:id="453"/>
      <w:bookmarkEnd w:id="454"/>
      <w:bookmarkEnd w:id="455"/>
    </w:tbl>
    <w:p w14:paraId="5442D489">
      <w:pPr>
        <w:pStyle w:val="6"/>
        <w:bidi w:val="0"/>
        <w:rPr>
          <w:rFonts w:hint="default" w:ascii="Times New Roman" w:hAnsi="Times New Roman" w:cs="Times New Roman"/>
          <w:lang w:val="en-US" w:eastAsia="zh-CN"/>
        </w:rPr>
      </w:pPr>
      <w:bookmarkStart w:id="460" w:name="_Toc165816781"/>
      <w:bookmarkStart w:id="461" w:name="_Toc17744"/>
      <w:bookmarkStart w:id="462" w:name="_Toc15822"/>
      <w:r>
        <w:rPr>
          <w:rFonts w:hint="default" w:ascii="Times New Roman" w:hAnsi="Times New Roman" w:cs="Times New Roman"/>
          <w:lang w:val="en-US" w:eastAsia="zh-CN"/>
        </w:rPr>
        <w:t>6.1.5大气环境影响评价结论</w:t>
      </w:r>
    </w:p>
    <w:p w14:paraId="5039E0F1">
      <w:pPr>
        <w:pStyle w:val="2"/>
        <w:autoSpaceDE w:val="0"/>
        <w:spacing w:before="0" w:line="360" w:lineRule="auto"/>
        <w:ind w:left="0" w:firstLine="49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综上所述，在采取各项环评提出的措施后，项目正常排放的大气污染物对周围地区空气质量影响小。</w:t>
      </w:r>
      <w:r>
        <w:rPr>
          <w:rFonts w:hint="default" w:ascii="Times New Roman" w:hAnsi="Times New Roman" w:cs="Times New Roman"/>
          <w:b w:val="0"/>
          <w:bCs w:val="0"/>
          <w:color w:val="auto"/>
          <w:sz w:val="24"/>
          <w:szCs w:val="24"/>
          <w:highlight w:val="none"/>
          <w:lang w:val="en-US" w:eastAsia="zh-CN"/>
        </w:rPr>
        <w:t>项目最近的大气环境保护目标为西北侧约2km处放牛村，</w:t>
      </w:r>
      <w:r>
        <w:rPr>
          <w:rFonts w:hint="default" w:ascii="Times New Roman" w:hAnsi="Times New Roman" w:cs="Times New Roman"/>
          <w:b w:val="0"/>
          <w:bCs w:val="0"/>
          <w:color w:val="auto"/>
          <w:kern w:val="0"/>
          <w:sz w:val="24"/>
          <w:szCs w:val="24"/>
          <w:highlight w:val="none"/>
          <w:lang w:val="en-US" w:eastAsia="zh-CN"/>
        </w:rPr>
        <w:t>根据估算模型估算结果，项目有组织及物质排放的颗粒物对此处的影响均很小。</w:t>
      </w:r>
      <w:r>
        <w:rPr>
          <w:rFonts w:hint="default" w:ascii="Times New Roman" w:hAnsi="Times New Roman" w:eastAsia="宋体" w:cs="Times New Roman"/>
          <w:b w:val="0"/>
          <w:bCs w:val="0"/>
          <w:color w:val="auto"/>
          <w:sz w:val="24"/>
          <w:szCs w:val="24"/>
        </w:rPr>
        <w:t>评价认为从环境空气角度出发</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工程的建设是可行的。</w:t>
      </w:r>
    </w:p>
    <w:p w14:paraId="2C1C366A">
      <w:pPr>
        <w:pStyle w:val="5"/>
        <w:bidi w:val="0"/>
        <w:rPr>
          <w:rFonts w:hint="default" w:ascii="Times New Roman" w:hAnsi="Times New Roman" w:cs="Times New Roman"/>
        </w:rPr>
      </w:pPr>
      <w:bookmarkStart w:id="463" w:name="_Toc27534"/>
      <w:bookmarkStart w:id="464" w:name="_Toc7886"/>
      <w:bookmarkStart w:id="465" w:name="_Toc7842"/>
      <w:r>
        <w:rPr>
          <w:rFonts w:hint="default" w:ascii="Times New Roman" w:hAnsi="Times New Roman" w:cs="Times New Roman"/>
          <w:lang w:val="en-US" w:eastAsia="zh-CN"/>
        </w:rPr>
        <w:t>6</w:t>
      </w:r>
      <w:r>
        <w:rPr>
          <w:rFonts w:hint="default" w:ascii="Times New Roman" w:hAnsi="Times New Roman" w:cs="Times New Roman"/>
        </w:rPr>
        <w:t>.2地表水环境影响预测与评价</w:t>
      </w:r>
      <w:bookmarkEnd w:id="460"/>
      <w:bookmarkEnd w:id="461"/>
      <w:bookmarkEnd w:id="462"/>
      <w:bookmarkEnd w:id="463"/>
      <w:bookmarkEnd w:id="464"/>
      <w:bookmarkEnd w:id="465"/>
    </w:p>
    <w:p w14:paraId="321172F5">
      <w:pPr>
        <w:pStyle w:val="6"/>
        <w:bidi w:val="0"/>
        <w:spacing w:line="360" w:lineRule="auto"/>
        <w:rPr>
          <w:rFonts w:hint="default" w:ascii="Times New Roman" w:hAnsi="Times New Roman" w:cs="Times New Roman"/>
        </w:rPr>
      </w:pPr>
      <w:bookmarkStart w:id="466" w:name="_Toc28831"/>
      <w:r>
        <w:rPr>
          <w:rFonts w:hint="default" w:ascii="Times New Roman" w:hAnsi="Times New Roman" w:cs="Times New Roman"/>
          <w:lang w:val="en-US" w:eastAsia="zh-CN"/>
        </w:rPr>
        <w:t>6</w:t>
      </w:r>
      <w:r>
        <w:rPr>
          <w:rFonts w:hint="default" w:ascii="Times New Roman" w:hAnsi="Times New Roman" w:cs="Times New Roman"/>
        </w:rPr>
        <w:t>.2.1评价等级确定</w:t>
      </w:r>
      <w:bookmarkEnd w:id="466"/>
    </w:p>
    <w:p w14:paraId="65DB545B">
      <w:pPr>
        <w:spacing w:line="360" w:lineRule="auto"/>
        <w:ind w:firstLine="490" w:firstLineChars="200"/>
        <w:rPr>
          <w:rFonts w:hint="default" w:ascii="Times New Roman" w:hAnsi="Times New Roman" w:cs="Times New Roman"/>
        </w:rPr>
      </w:pPr>
      <w:r>
        <w:rPr>
          <w:rFonts w:hint="default" w:ascii="Times New Roman" w:hAnsi="Times New Roman" w:cs="Times New Roman"/>
        </w:rPr>
        <w:t>本项目无生产废水产生，废水主要为生活污水及雨季初期雨水。生活污水依托</w:t>
      </w:r>
      <w:r>
        <w:rPr>
          <w:rFonts w:hint="default" w:ascii="Times New Roman" w:hAnsi="Times New Roman" w:cs="Times New Roman"/>
          <w:lang w:val="en-US" w:eastAsia="zh-CN"/>
        </w:rPr>
        <w:t>鲁奎山铁矿</w:t>
      </w:r>
      <w:r>
        <w:rPr>
          <w:rFonts w:hint="default" w:ascii="Times New Roman" w:hAnsi="Times New Roman" w:cs="Times New Roman"/>
        </w:rPr>
        <w:t>生活污水处理设施，厨房废水经隔油池隔油处理，宿舍区生活污水经化粪池处理后与厨房废水进入一体化污水处理设备，总处理规模为</w:t>
      </w:r>
      <w:r>
        <w:rPr>
          <w:rFonts w:hint="default" w:ascii="Times New Roman" w:hAnsi="Times New Roman" w:cs="Times New Roman"/>
          <w:lang w:val="en-US" w:eastAsia="zh-CN"/>
        </w:rPr>
        <w:t>2</w:t>
      </w:r>
      <w:r>
        <w:rPr>
          <w:rFonts w:hint="default" w:ascii="Times New Roman" w:hAnsi="Times New Roman" w:cs="Times New Roman"/>
        </w:rPr>
        <w:t>0m</w:t>
      </w:r>
      <w:r>
        <w:rPr>
          <w:rFonts w:hint="default" w:ascii="Times New Roman" w:hAnsi="Times New Roman" w:cs="Times New Roman"/>
          <w:vertAlign w:val="superscript"/>
        </w:rPr>
        <w:t>3</w:t>
      </w:r>
      <w:r>
        <w:rPr>
          <w:rFonts w:hint="default" w:ascii="Times New Roman" w:hAnsi="Times New Roman" w:cs="Times New Roman"/>
        </w:rPr>
        <w:t>/d，处理达标后回用于</w:t>
      </w:r>
      <w:r>
        <w:rPr>
          <w:rFonts w:hint="default" w:ascii="Times New Roman" w:hAnsi="Times New Roman" w:cs="Times New Roman"/>
          <w:lang w:val="en-US" w:eastAsia="zh-CN"/>
        </w:rPr>
        <w:t>矿山</w:t>
      </w:r>
      <w:r>
        <w:rPr>
          <w:rFonts w:hint="default" w:ascii="Times New Roman" w:hAnsi="Times New Roman" w:cs="Times New Roman"/>
        </w:rPr>
        <w:t>绿化及洒水降尘。</w:t>
      </w:r>
      <w:bookmarkStart w:id="467" w:name="_Hlk162448736"/>
      <w:r>
        <w:rPr>
          <w:rFonts w:hint="default" w:ascii="Times New Roman" w:hAnsi="Times New Roman" w:cs="Times New Roman"/>
        </w:rPr>
        <w:t>初期雨水经雨水收集池收集沉淀后回用于洒水降尘。</w:t>
      </w:r>
    </w:p>
    <w:bookmarkEnd w:id="467"/>
    <w:p w14:paraId="1F5C9BB3">
      <w:pPr>
        <w:spacing w:line="360" w:lineRule="auto"/>
        <w:ind w:firstLine="490" w:firstLineChars="200"/>
        <w:rPr>
          <w:rFonts w:hint="default" w:ascii="Times New Roman" w:hAnsi="Times New Roman" w:cs="Times New Roman"/>
        </w:rPr>
      </w:pPr>
      <w:r>
        <w:rPr>
          <w:rFonts w:hint="default" w:ascii="Times New Roman" w:hAnsi="Times New Roman" w:cs="Times New Roman"/>
        </w:rPr>
        <w:t>根据《环境影响评价技术导则 地表水环境》（HJ2.3-2018）的相关要求，水环境评价工作等级确定为三级B。</w:t>
      </w:r>
    </w:p>
    <w:p w14:paraId="679858DC">
      <w:pPr>
        <w:pStyle w:val="6"/>
        <w:bidi w:val="0"/>
        <w:spacing w:line="360" w:lineRule="auto"/>
        <w:rPr>
          <w:rFonts w:hint="default" w:ascii="Times New Roman" w:hAnsi="Times New Roman" w:cs="Times New Roman"/>
        </w:rPr>
      </w:pPr>
      <w:bookmarkStart w:id="468" w:name="_Toc23679"/>
      <w:r>
        <w:rPr>
          <w:rFonts w:hint="default" w:ascii="Times New Roman" w:hAnsi="Times New Roman" w:cs="Times New Roman"/>
          <w:lang w:val="en-US" w:eastAsia="zh-CN"/>
        </w:rPr>
        <w:t>6</w:t>
      </w:r>
      <w:r>
        <w:rPr>
          <w:rFonts w:hint="default" w:ascii="Times New Roman" w:hAnsi="Times New Roman" w:cs="Times New Roman"/>
        </w:rPr>
        <w:t>.2.2水污染控制和水环境影响减缓措施有效性分析</w:t>
      </w:r>
      <w:bookmarkEnd w:id="468"/>
    </w:p>
    <w:p w14:paraId="3EA3F810">
      <w:pPr>
        <w:pStyle w:val="39"/>
        <w:adjustRightIn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本项目不产生生产废水，生活污水依托云南新平仙福矿冶有限公司</w:t>
      </w:r>
      <w:r>
        <w:rPr>
          <w:rFonts w:hint="default" w:ascii="Times New Roman" w:hAnsi="Times New Roman" w:cs="Times New Roman"/>
          <w:color w:val="auto"/>
          <w:lang w:val="en-US" w:eastAsia="zh-CN"/>
        </w:rPr>
        <w:t>鲁奎山铁矿</w:t>
      </w:r>
      <w:r>
        <w:rPr>
          <w:rFonts w:hint="default" w:ascii="Times New Roman" w:hAnsi="Times New Roman" w:cs="Times New Roman"/>
          <w:color w:val="auto"/>
        </w:rPr>
        <w:t>污水处理设备处理。项目厨房废水先经隔油池隔油处理，</w:t>
      </w:r>
      <w:r>
        <w:rPr>
          <w:rFonts w:hint="default" w:ascii="Times New Roman" w:hAnsi="Times New Roman" w:cs="Times New Roman"/>
          <w:color w:val="auto"/>
          <w:lang w:val="en-US" w:eastAsia="zh-CN"/>
        </w:rPr>
        <w:t>与其他生活污水经化粪池处理后，进入</w:t>
      </w:r>
      <w:r>
        <w:rPr>
          <w:rFonts w:hint="default" w:ascii="Times New Roman" w:hAnsi="Times New Roman" w:cs="Times New Roman"/>
          <w:color w:val="auto"/>
        </w:rPr>
        <w:t>一体化污水处理设备进行处理，处理达《城市污水再生利用 城市杂用水水质》</w:t>
      </w:r>
      <w:r>
        <w:rPr>
          <w:rFonts w:hint="default" w:ascii="Times New Roman" w:hAnsi="Times New Roman" w:cs="Times New Roman"/>
          <w:color w:val="auto"/>
          <w:lang w:eastAsia="zh-CN"/>
        </w:rPr>
        <w:t>（</w:t>
      </w:r>
      <w:r>
        <w:rPr>
          <w:rFonts w:hint="default" w:ascii="Times New Roman" w:hAnsi="Times New Roman" w:cs="Times New Roman"/>
          <w:color w:val="auto"/>
        </w:rPr>
        <w:t>GB/T 18920-2020</w:t>
      </w:r>
      <w:r>
        <w:rPr>
          <w:rFonts w:hint="default" w:ascii="Times New Roman" w:hAnsi="Times New Roman" w:cs="Times New Roman"/>
          <w:color w:val="auto"/>
          <w:lang w:eastAsia="zh-CN"/>
        </w:rPr>
        <w:t>）</w:t>
      </w:r>
      <w:r>
        <w:rPr>
          <w:rFonts w:hint="default" w:ascii="Times New Roman" w:hAnsi="Times New Roman" w:cs="Times New Roman"/>
          <w:color w:val="auto"/>
        </w:rPr>
        <w:t>中表1城市杂用水水质基本控制项目及限值中的城市绿化、道路清扫标准限值后回用于项目区绿化用水及洒水降尘，不外排。</w:t>
      </w:r>
    </w:p>
    <w:p w14:paraId="06C0D62B">
      <w:pPr>
        <w:spacing w:line="360" w:lineRule="auto"/>
        <w:ind w:firstLine="573"/>
        <w:rPr>
          <w:rFonts w:hint="default" w:ascii="Times New Roman" w:hAnsi="Times New Roman" w:cs="Times New Roman"/>
          <w:szCs w:val="24"/>
        </w:rPr>
      </w:pPr>
      <w:r>
        <w:rPr>
          <w:rFonts w:hint="default" w:ascii="Times New Roman" w:hAnsi="Times New Roman" w:cs="Times New Roman"/>
        </w:rPr>
        <w:t>本项目生活污水对周围环境的影响可得到控制</w:t>
      </w:r>
      <w:r>
        <w:rPr>
          <w:rFonts w:hint="default" w:ascii="Times New Roman" w:hAnsi="Times New Roman" w:cs="Times New Roman"/>
          <w:szCs w:val="24"/>
        </w:rPr>
        <w:t>，对地表水环境影响可接受。</w:t>
      </w:r>
    </w:p>
    <w:p w14:paraId="0B86CD63">
      <w:pPr>
        <w:pStyle w:val="6"/>
        <w:bidi w:val="0"/>
        <w:spacing w:line="360" w:lineRule="auto"/>
        <w:rPr>
          <w:rFonts w:hint="default" w:ascii="Times New Roman" w:hAnsi="Times New Roman" w:cs="Times New Roman"/>
        </w:rPr>
      </w:pPr>
      <w:bookmarkStart w:id="469" w:name="_Toc88"/>
      <w:r>
        <w:rPr>
          <w:rFonts w:hint="default" w:ascii="Times New Roman" w:hAnsi="Times New Roman" w:cs="Times New Roman"/>
          <w:lang w:val="en-US" w:eastAsia="zh-CN"/>
        </w:rPr>
        <w:t>6</w:t>
      </w:r>
      <w:r>
        <w:rPr>
          <w:rFonts w:hint="default" w:ascii="Times New Roman" w:hAnsi="Times New Roman" w:cs="Times New Roman"/>
        </w:rPr>
        <w:t>.2.3污（废）水不外排可行性分析</w:t>
      </w:r>
      <w:bookmarkEnd w:id="469"/>
    </w:p>
    <w:p w14:paraId="4168CB45">
      <w:pPr>
        <w:adjustRightInd w:val="0"/>
        <w:snapToGrid w:val="0"/>
        <w:spacing w:line="360" w:lineRule="auto"/>
        <w:ind w:firstLine="490" w:firstLineChars="200"/>
        <w:rPr>
          <w:rFonts w:hint="default" w:ascii="Times New Roman" w:hAnsi="Times New Roman" w:cs="Times New Roman"/>
          <w:kern w:val="24"/>
          <w:lang w:val="en-GB"/>
        </w:rPr>
      </w:pPr>
      <w:r>
        <w:rPr>
          <w:rFonts w:hint="default" w:ascii="Times New Roman" w:hAnsi="Times New Roman" w:cs="Times New Roman"/>
          <w:kern w:val="24"/>
          <w:lang w:val="en-GB"/>
        </w:rPr>
        <w:t>（1）</w:t>
      </w:r>
      <w:r>
        <w:rPr>
          <w:rFonts w:hint="default" w:ascii="Times New Roman" w:hAnsi="Times New Roman" w:cs="Times New Roman"/>
          <w:kern w:val="24"/>
          <w:lang w:val="en-US" w:eastAsia="zh-CN"/>
        </w:rPr>
        <w:t>鲁奎山铁矿</w:t>
      </w:r>
      <w:r>
        <w:rPr>
          <w:rFonts w:hint="default" w:ascii="Times New Roman" w:hAnsi="Times New Roman" w:cs="Times New Roman"/>
          <w:kern w:val="24"/>
          <w:lang w:val="en-GB"/>
        </w:rPr>
        <w:t>废（污）水处理设施情况</w:t>
      </w:r>
    </w:p>
    <w:p w14:paraId="1D7F4FAB">
      <w:pPr>
        <w:pStyle w:val="39"/>
        <w:spacing w:line="360" w:lineRule="auto"/>
        <w:ind w:firstLine="480"/>
        <w:rPr>
          <w:rFonts w:hint="default" w:ascii="Times New Roman" w:hAnsi="Times New Roman" w:cs="Times New Roman"/>
          <w:lang w:eastAsia="zh-CN"/>
        </w:rPr>
      </w:pPr>
      <w:r>
        <w:rPr>
          <w:rFonts w:hint="default" w:ascii="Times New Roman" w:hAnsi="Times New Roman" w:cs="Times New Roman"/>
          <w:lang w:val="en-US" w:eastAsia="zh-CN"/>
        </w:rPr>
        <w:t>矿山污水处理设施：</w:t>
      </w:r>
      <w:r>
        <w:rPr>
          <w:rFonts w:hint="default" w:ascii="Times New Roman" w:hAnsi="Times New Roman" w:cs="Times New Roman"/>
        </w:rPr>
        <w:t>1个60m³的污水收集</w:t>
      </w:r>
      <w:r>
        <w:rPr>
          <w:rFonts w:hint="default" w:ascii="Times New Roman" w:hAnsi="Times New Roman" w:cs="Times New Roman"/>
          <w:lang w:val="en-US" w:eastAsia="zh-CN"/>
        </w:rPr>
        <w:t>池，1个处理能力为20m³/d的一体化污水处理站</w:t>
      </w:r>
      <w:r>
        <w:rPr>
          <w:rFonts w:hint="default" w:ascii="Times New Roman" w:hAnsi="Times New Roman" w:cs="Times New Roman"/>
          <w:color w:val="auto"/>
          <w:lang w:val="en-US" w:eastAsia="zh-CN"/>
        </w:rPr>
        <w:t>，并建设1个25m³回水池。生活污水经隔油池、化粪池处理后通过管道引至60m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的污水收集池，再进入一体化污水处理站</w:t>
      </w:r>
      <w:r>
        <w:rPr>
          <w:rFonts w:hint="default" w:ascii="Times New Roman" w:hAnsi="Times New Roman" w:cs="Times New Roman"/>
          <w:color w:val="4874CB" w:themeColor="accent1"/>
          <w:lang w:val="en-US" w:eastAsia="zh-CN"/>
          <w14:textFill>
            <w14:solidFill>
              <w14:schemeClr w14:val="accent1"/>
            </w14:solidFill>
          </w14:textFill>
        </w:rPr>
        <w:t>。</w:t>
      </w:r>
      <w:r>
        <w:rPr>
          <w:rFonts w:hint="default" w:ascii="Times New Roman" w:hAnsi="Times New Roman" w:cs="Times New Roman"/>
        </w:rPr>
        <w:t>污水处理站采用生化处理工艺，处理达到《城市污水再生利用 城市杂用水水质》（GB/T18920-20</w:t>
      </w:r>
      <w:r>
        <w:rPr>
          <w:rFonts w:hint="default" w:ascii="Times New Roman" w:hAnsi="Times New Roman" w:cs="Times New Roman"/>
          <w:lang w:val="en-US" w:eastAsia="zh-CN"/>
        </w:rPr>
        <w:t>20</w:t>
      </w:r>
      <w:r>
        <w:rPr>
          <w:rFonts w:hint="default" w:ascii="Times New Roman" w:hAnsi="Times New Roman" w:cs="Times New Roman"/>
        </w:rPr>
        <w:t>）中道路清扫、绿化用水标准后利用</w:t>
      </w:r>
      <w:r>
        <w:rPr>
          <w:rFonts w:hint="default" w:ascii="Times New Roman" w:hAnsi="Times New Roman" w:cs="Times New Roman"/>
          <w:lang w:eastAsia="zh-CN"/>
        </w:rPr>
        <w:t>。</w:t>
      </w:r>
    </w:p>
    <w:p w14:paraId="0DAB7EA9">
      <w:pPr>
        <w:pStyle w:val="39"/>
        <w:spacing w:line="360" w:lineRule="auto"/>
        <w:ind w:firstLine="480"/>
        <w:rPr>
          <w:rFonts w:hint="default" w:ascii="Times New Roman" w:hAnsi="Times New Roman" w:cs="Times New Roman"/>
        </w:rPr>
      </w:pPr>
      <w:r>
        <w:rPr>
          <w:rFonts w:hint="default" w:ascii="Times New Roman" w:hAnsi="Times New Roman" w:cs="Times New Roman"/>
          <w:lang w:val="en-US" w:eastAsia="zh-CN"/>
        </w:rPr>
        <w:t>矿山</w:t>
      </w:r>
      <w:r>
        <w:rPr>
          <w:rFonts w:hint="default" w:ascii="Times New Roman" w:hAnsi="Times New Roman" w:cs="Times New Roman"/>
        </w:rPr>
        <w:t>生活污水产生量</w:t>
      </w:r>
      <w:r>
        <w:rPr>
          <w:rFonts w:hint="default" w:ascii="Times New Roman" w:hAnsi="Times New Roman" w:cs="Times New Roman"/>
          <w:color w:val="auto"/>
        </w:rPr>
        <w:t>为</w:t>
      </w:r>
      <w:r>
        <w:rPr>
          <w:rFonts w:hint="default" w:ascii="Times New Roman" w:hAnsi="Times New Roman" w:cs="Times New Roman"/>
          <w:color w:val="auto"/>
          <w:kern w:val="24"/>
          <w:lang w:val="en-US" w:eastAsia="zh-CN"/>
        </w:rPr>
        <w:t>4380</w:t>
      </w:r>
      <w:r>
        <w:rPr>
          <w:rFonts w:hint="default" w:ascii="Times New Roman" w:hAnsi="Times New Roman" w:cs="Times New Roman"/>
          <w:color w:val="auto"/>
          <w:kern w:val="24"/>
        </w:rPr>
        <w:t>m</w:t>
      </w:r>
      <w:r>
        <w:rPr>
          <w:rFonts w:hint="default" w:ascii="Times New Roman" w:hAnsi="Times New Roman" w:cs="Times New Roman"/>
          <w:color w:val="auto"/>
          <w:kern w:val="24"/>
          <w:vertAlign w:val="superscript"/>
        </w:rPr>
        <w:t>3</w:t>
      </w:r>
      <w:r>
        <w:rPr>
          <w:rFonts w:hint="default" w:ascii="Times New Roman" w:hAnsi="Times New Roman" w:cs="Times New Roman"/>
          <w:color w:val="auto"/>
          <w:kern w:val="24"/>
        </w:rPr>
        <w:t>/a（</w:t>
      </w:r>
      <w:r>
        <w:rPr>
          <w:rFonts w:hint="default" w:ascii="Times New Roman" w:hAnsi="Times New Roman" w:cs="Times New Roman"/>
          <w:color w:val="auto"/>
          <w:kern w:val="24"/>
          <w:lang w:val="en-US" w:eastAsia="zh-CN"/>
        </w:rPr>
        <w:t>12</w:t>
      </w:r>
      <w:r>
        <w:rPr>
          <w:rFonts w:hint="default" w:ascii="Times New Roman" w:hAnsi="Times New Roman" w:cs="Times New Roman"/>
          <w:color w:val="auto"/>
          <w:kern w:val="24"/>
        </w:rPr>
        <w:t>m</w:t>
      </w:r>
      <w:r>
        <w:rPr>
          <w:rFonts w:hint="default" w:ascii="Times New Roman" w:hAnsi="Times New Roman" w:cs="Times New Roman"/>
          <w:color w:val="auto"/>
          <w:kern w:val="24"/>
          <w:vertAlign w:val="superscript"/>
        </w:rPr>
        <w:t>3</w:t>
      </w:r>
      <w:r>
        <w:rPr>
          <w:rFonts w:hint="default" w:ascii="Times New Roman" w:hAnsi="Times New Roman" w:cs="Times New Roman"/>
          <w:color w:val="auto"/>
          <w:kern w:val="24"/>
        </w:rPr>
        <w:t>/d）</w:t>
      </w:r>
      <w:r>
        <w:rPr>
          <w:rFonts w:hint="default" w:ascii="Times New Roman" w:hAnsi="Times New Roman" w:cs="Times New Roman"/>
          <w:color w:val="auto"/>
        </w:rPr>
        <w:t>。</w:t>
      </w:r>
      <w:r>
        <w:rPr>
          <w:rFonts w:hint="default" w:ascii="Times New Roman" w:hAnsi="Times New Roman" w:cs="Times New Roman"/>
        </w:rPr>
        <w:t>食堂废水先经隔油池隔油处理后，与生活污水一起，统一进入矿区污水收集管道，</w:t>
      </w:r>
      <w:r>
        <w:rPr>
          <w:rFonts w:hint="default" w:ascii="Times New Roman" w:hAnsi="Times New Roman" w:cs="Times New Roman"/>
          <w:lang w:val="en-US" w:eastAsia="zh-CN"/>
        </w:rPr>
        <w:t>进入</w:t>
      </w:r>
      <w:r>
        <w:rPr>
          <w:rFonts w:hint="default" w:ascii="Times New Roman" w:hAnsi="Times New Roman" w:cs="Times New Roman"/>
        </w:rPr>
        <w:t>一体化污水处理设备进行处理达《城市污水再生利用 城市杂用水水质》</w:t>
      </w:r>
      <w:r>
        <w:rPr>
          <w:rFonts w:hint="default" w:ascii="Times New Roman" w:hAnsi="Times New Roman" w:cs="Times New Roman"/>
          <w:lang w:eastAsia="zh-CN"/>
        </w:rPr>
        <w:t>（</w:t>
      </w:r>
      <w:r>
        <w:rPr>
          <w:rFonts w:hint="default" w:ascii="Times New Roman" w:hAnsi="Times New Roman" w:cs="Times New Roman"/>
        </w:rPr>
        <w:t>GB/T 18920-2020</w:t>
      </w:r>
      <w:r>
        <w:rPr>
          <w:rFonts w:hint="default" w:ascii="Times New Roman" w:hAnsi="Times New Roman" w:cs="Times New Roman"/>
          <w:lang w:eastAsia="zh-CN"/>
        </w:rPr>
        <w:t>）</w:t>
      </w:r>
      <w:r>
        <w:rPr>
          <w:rFonts w:hint="default" w:ascii="Times New Roman" w:hAnsi="Times New Roman" w:cs="Times New Roman"/>
        </w:rPr>
        <w:t>中表1城市杂用水水质基本控制项目及限值中的城市绿化、道路清扫标准限值后回用于</w:t>
      </w:r>
      <w:r>
        <w:rPr>
          <w:rFonts w:hint="default" w:ascii="Times New Roman" w:hAnsi="Times New Roman" w:cs="Times New Roman"/>
          <w:lang w:val="en-US" w:eastAsia="zh-CN"/>
        </w:rPr>
        <w:t>矿山</w:t>
      </w:r>
      <w:r>
        <w:rPr>
          <w:rFonts w:hint="default" w:ascii="Times New Roman" w:hAnsi="Times New Roman" w:cs="Times New Roman"/>
        </w:rPr>
        <w:t>绿化用水及洒水降尘，不外排。</w:t>
      </w:r>
    </w:p>
    <w:p w14:paraId="64668B9B">
      <w:pPr>
        <w:spacing w:line="360" w:lineRule="auto"/>
        <w:ind w:firstLine="490" w:firstLineChars="200"/>
        <w:rPr>
          <w:rFonts w:hint="default" w:ascii="Times New Roman" w:hAnsi="Times New Roman" w:cs="Times New Roman"/>
        </w:rPr>
      </w:pPr>
      <w:r>
        <w:rPr>
          <w:rFonts w:hint="default" w:ascii="Times New Roman" w:hAnsi="Times New Roman" w:cs="Times New Roman"/>
          <w:kern w:val="24"/>
          <w:lang w:val="en-GB"/>
        </w:rPr>
        <w:t>（2）</w:t>
      </w:r>
      <w:r>
        <w:rPr>
          <w:rFonts w:hint="default" w:ascii="Times New Roman" w:hAnsi="Times New Roman" w:cs="Times New Roman"/>
        </w:rPr>
        <w:t>依托</w:t>
      </w:r>
      <w:r>
        <w:rPr>
          <w:rFonts w:hint="default" w:ascii="Times New Roman" w:hAnsi="Times New Roman" w:cs="Times New Roman"/>
          <w:kern w:val="24"/>
          <w:lang w:val="en-US" w:eastAsia="zh-CN"/>
        </w:rPr>
        <w:t>鲁奎山铁矿</w:t>
      </w:r>
      <w:r>
        <w:rPr>
          <w:rFonts w:hint="default" w:ascii="Times New Roman" w:hAnsi="Times New Roman" w:cs="Times New Roman"/>
          <w:kern w:val="24"/>
          <w:lang w:val="en-GB"/>
        </w:rPr>
        <w:t>废（污）水处理设施</w:t>
      </w:r>
      <w:r>
        <w:rPr>
          <w:rFonts w:hint="default" w:ascii="Times New Roman" w:hAnsi="Times New Roman" w:cs="Times New Roman"/>
        </w:rPr>
        <w:t>的可行性分析</w:t>
      </w:r>
    </w:p>
    <w:p w14:paraId="4F4D9D64">
      <w:pPr>
        <w:spacing w:line="360" w:lineRule="auto"/>
        <w:ind w:firstLine="49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矿山</w:t>
      </w:r>
      <w:r>
        <w:rPr>
          <w:rFonts w:hint="default" w:ascii="Times New Roman" w:hAnsi="Times New Roman" w:cs="Times New Roman"/>
          <w:color w:val="auto"/>
          <w:lang w:val="en-US" w:eastAsia="zh-CN"/>
        </w:rPr>
        <w:t>目前</w:t>
      </w:r>
      <w:r>
        <w:rPr>
          <w:rFonts w:hint="default" w:ascii="Times New Roman" w:hAnsi="Times New Roman" w:eastAsia="宋体" w:cs="Times New Roman"/>
          <w:color w:val="auto"/>
        </w:rPr>
        <w:t>生活污水处理量为</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/d，有1个容积为2m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的隔油池和</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个总容积为</w:t>
      </w:r>
      <w:r>
        <w:rPr>
          <w:rFonts w:hint="default" w:ascii="Times New Roman" w:hAnsi="Times New Roman" w:eastAsia="宋体" w:cs="Times New Roman"/>
          <w:color w:val="auto"/>
          <w:lang w:val="en-US" w:eastAsia="zh-CN"/>
        </w:rPr>
        <w:t>60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的化粪池，本项目建成后废水增加量为</w:t>
      </w:r>
      <w:r>
        <w:rPr>
          <w:rFonts w:hint="default" w:ascii="Times New Roman" w:hAnsi="Times New Roman" w:eastAsia="宋体" w:cs="Times New Roman"/>
          <w:color w:val="auto"/>
          <w:lang w:val="en-US" w:eastAsia="zh-CN"/>
        </w:rPr>
        <w:t>0.4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/d。隔油池、化粪池容量大小能够满足1.2的变化系数，</w:t>
      </w:r>
      <w:r>
        <w:rPr>
          <w:rFonts w:hint="default" w:ascii="Times New Roman" w:hAnsi="Times New Roman" w:cs="Times New Roman"/>
          <w:color w:val="auto"/>
          <w:lang w:val="en-US" w:eastAsia="zh-CN"/>
        </w:rPr>
        <w:t>并</w:t>
      </w:r>
      <w:r>
        <w:rPr>
          <w:rFonts w:hint="default" w:ascii="Times New Roman" w:hAnsi="Times New Roman" w:eastAsia="宋体" w:cs="Times New Roman"/>
          <w:color w:val="auto"/>
        </w:rPr>
        <w:t>满足24h的水力停留时间，具备依托条件。</w:t>
      </w:r>
      <w:r>
        <w:rPr>
          <w:rFonts w:hint="default" w:ascii="Times New Roman" w:hAnsi="Times New Roman" w:cs="Times New Roman"/>
          <w:color w:val="auto"/>
          <w:lang w:val="en-US" w:eastAsia="zh-CN"/>
        </w:rPr>
        <w:t>矿山</w:t>
      </w:r>
      <w:r>
        <w:rPr>
          <w:rFonts w:hint="default" w:ascii="Times New Roman" w:hAnsi="Times New Roman" w:eastAsia="宋体" w:cs="Times New Roman"/>
          <w:color w:val="auto"/>
        </w:rPr>
        <w:t>污水处理设施总处理规模为</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/d，本项目建成后污水量为</w:t>
      </w:r>
      <w:r>
        <w:rPr>
          <w:rFonts w:hint="default" w:ascii="Times New Roman" w:hAnsi="Times New Roman" w:eastAsia="宋体" w:cs="Times New Roman"/>
          <w:color w:val="auto"/>
          <w:lang w:val="en-US" w:eastAsia="zh-CN"/>
        </w:rPr>
        <w:t>12.4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/d，因此，污水处理站处理能力能够接纳本项目产生的生活污水</w:t>
      </w:r>
      <w:r>
        <w:rPr>
          <w:rFonts w:hint="default" w:ascii="Times New Roman" w:hAnsi="Times New Roman" w:eastAsia="宋体" w:cs="Times New Roman"/>
          <w:bCs/>
          <w:color w:val="auto"/>
        </w:rPr>
        <w:t>。</w:t>
      </w:r>
    </w:p>
    <w:p w14:paraId="3937D2A9">
      <w:pPr>
        <w:pStyle w:val="56"/>
        <w:spacing w:line="360" w:lineRule="auto"/>
        <w:ind w:firstLine="480"/>
        <w:rPr>
          <w:rFonts w:hint="default" w:ascii="Times New Roman" w:hAnsi="Times New Roman" w:cs="Times New Roman"/>
          <w:color w:val="auto"/>
        </w:rPr>
      </w:pPr>
      <w:r>
        <w:rPr>
          <w:rFonts w:hint="default" w:ascii="Times New Roman" w:hAnsi="Times New Roman" w:eastAsia="宋体" w:cs="Times New Roman"/>
          <w:color w:val="auto"/>
          <w:lang w:val="en-US" w:eastAsia="zh-CN"/>
        </w:rPr>
        <w:t>矿山污水处理设施采用“调节池+厌氧生物处理＋好氧生物处理＋沉淀池＋消毒池”工艺，参照《排污许可证申请与核发技术规范 水处理（试行）》</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HJ 978-2018）中表4污水处理可行技术参照表中生活污水可行技术，污水处理工艺属于可行技术。同时根据</w:t>
      </w:r>
      <w:r>
        <w:rPr>
          <w:rFonts w:hint="default" w:ascii="Times New Roman" w:hAnsi="Times New Roman" w:cs="Times New Roman"/>
          <w:color w:val="auto"/>
          <w:lang w:val="en-US" w:eastAsia="zh-CN"/>
        </w:rPr>
        <w:t>本次建设单位委托云南浩辰环保科技有限公司</w:t>
      </w:r>
      <w:r>
        <w:rPr>
          <w:rFonts w:hint="default" w:ascii="Times New Roman" w:hAnsi="Times New Roman" w:cs="Times New Roman" w:eastAsiaTheme="minorEastAsia"/>
          <w:color w:val="auto"/>
          <w:sz w:val="24"/>
          <w:szCs w:val="24"/>
          <w:lang w:val="en-US" w:eastAsia="zh-CN"/>
        </w:rPr>
        <w:t>对矿山生活污水处理站出水采样检测</w:t>
      </w:r>
      <w:r>
        <w:rPr>
          <w:rFonts w:hint="default" w:ascii="Times New Roman" w:hAnsi="Times New Roman" w:eastAsia="宋体" w:cs="Times New Roman"/>
          <w:color w:val="auto"/>
          <w:lang w:val="en-US" w:eastAsia="zh-CN"/>
        </w:rPr>
        <w:t>，矿山生活污水经隔油池、化粪池处理后经自建污水处理站处理后，出水水质</w:t>
      </w:r>
      <w:r>
        <w:rPr>
          <w:rFonts w:hint="default" w:ascii="Times New Roman" w:hAnsi="Times New Roman" w:cs="Times New Roman"/>
          <w:color w:val="auto"/>
          <w:lang w:val="en-US" w:eastAsia="zh-CN"/>
        </w:rPr>
        <w:t>能够</w:t>
      </w:r>
      <w:r>
        <w:rPr>
          <w:rFonts w:hint="default" w:ascii="Times New Roman" w:hAnsi="Times New Roman" w:eastAsia="宋体" w:cs="Times New Roman"/>
          <w:color w:val="auto"/>
          <w:lang w:val="en-US" w:eastAsia="zh-CN"/>
        </w:rPr>
        <w:t>达到《城市污水再生利用 城市杂用水水质》（GB/T18920-2020）中绿化用水标准，回用于矿区绿化及道路洒水降尘。</w:t>
      </w:r>
      <w:r>
        <w:rPr>
          <w:rFonts w:hint="default" w:ascii="Times New Roman" w:hAnsi="Times New Roman" w:cs="Times New Roman"/>
          <w:color w:val="auto"/>
          <w:lang w:val="en-US" w:eastAsia="zh-CN"/>
        </w:rPr>
        <w:t>综上</w:t>
      </w:r>
      <w:r>
        <w:rPr>
          <w:rFonts w:hint="default" w:ascii="Times New Roman" w:hAnsi="Times New Roman" w:cs="Times New Roman"/>
          <w:color w:val="auto"/>
        </w:rPr>
        <w:t>，本项目生活污水依托</w:t>
      </w:r>
      <w:r>
        <w:rPr>
          <w:rFonts w:hint="default" w:ascii="Times New Roman" w:hAnsi="Times New Roman" w:cs="Times New Roman"/>
          <w:color w:val="auto"/>
          <w:kern w:val="24"/>
          <w:lang w:val="en-US" w:eastAsia="zh-CN"/>
        </w:rPr>
        <w:t>鲁奎山铁矿</w:t>
      </w:r>
      <w:r>
        <w:rPr>
          <w:rFonts w:hint="default" w:ascii="Times New Roman" w:hAnsi="Times New Roman" w:cs="Times New Roman"/>
          <w:color w:val="auto"/>
          <w:kern w:val="24"/>
          <w:lang w:val="en-GB"/>
        </w:rPr>
        <w:t>废（污）水处理设施</w:t>
      </w:r>
      <w:r>
        <w:rPr>
          <w:rFonts w:hint="default" w:ascii="Times New Roman" w:hAnsi="Times New Roman" w:cs="Times New Roman"/>
          <w:color w:val="auto"/>
        </w:rPr>
        <w:t>可行。</w:t>
      </w:r>
    </w:p>
    <w:p w14:paraId="7FF980A6">
      <w:pPr>
        <w:pStyle w:val="56"/>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初期雨水不外排可行性分析</w:t>
      </w:r>
    </w:p>
    <w:p w14:paraId="46CB0754">
      <w:pPr>
        <w:pStyle w:val="56"/>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项目区</w:t>
      </w:r>
      <w:r>
        <w:rPr>
          <w:rFonts w:hint="default" w:ascii="Times New Roman" w:hAnsi="Times New Roman" w:cs="Times New Roman"/>
          <w:color w:val="auto"/>
          <w:lang w:val="en-US" w:eastAsia="zh-CN"/>
        </w:rPr>
        <w:t>初期雨水进入初期雨水收集池</w:t>
      </w:r>
      <w:r>
        <w:rPr>
          <w:rFonts w:hint="default" w:ascii="Times New Roman" w:hAnsi="Times New Roman" w:cs="Times New Roman"/>
          <w:color w:val="auto"/>
        </w:rPr>
        <w:t>，用于降尘，不外排。雨水收集池总容积</w:t>
      </w:r>
      <w:r>
        <w:rPr>
          <w:rFonts w:hint="default" w:ascii="Times New Roman" w:hAnsi="Times New Roman" w:cs="Times New Roman"/>
          <w:color w:val="auto"/>
          <w:lang w:val="en-US" w:eastAsia="zh-CN"/>
        </w:rPr>
        <w:t>325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，可以满足最大暴雨强度情况下</w:t>
      </w:r>
      <w:r>
        <w:rPr>
          <w:rFonts w:hint="default" w:ascii="Times New Roman" w:hAnsi="Times New Roman" w:cs="Times New Roman"/>
          <w:color w:val="auto"/>
          <w:lang w:val="en-US" w:eastAsia="zh-CN"/>
        </w:rPr>
        <w:t>整个6号料场的初期</w:t>
      </w:r>
      <w:r>
        <w:rPr>
          <w:rFonts w:hint="default" w:ascii="Times New Roman" w:hAnsi="Times New Roman" w:cs="Times New Roman"/>
          <w:color w:val="auto"/>
        </w:rPr>
        <w:t>雨水的收集。初期雨水主要含泥沙等悬浮物，沉淀可去除大部分，能满足降尘对水质的基本要求。</w:t>
      </w:r>
      <w:r>
        <w:rPr>
          <w:rFonts w:hint="default" w:ascii="Times New Roman" w:hAnsi="Times New Roman" w:cs="Times New Roman"/>
          <w:color w:val="auto"/>
          <w:lang w:val="en-US" w:eastAsia="zh-CN"/>
        </w:rPr>
        <w:t>初期雨水沉淀后回用于洒水降尘可行。</w:t>
      </w:r>
    </w:p>
    <w:p w14:paraId="104494C1">
      <w:pPr>
        <w:pStyle w:val="6"/>
        <w:bidi w:val="0"/>
        <w:spacing w:line="360" w:lineRule="auto"/>
        <w:rPr>
          <w:rFonts w:hint="default" w:ascii="Times New Roman" w:hAnsi="Times New Roman" w:cs="Times New Roman"/>
        </w:rPr>
      </w:pPr>
      <w:bookmarkStart w:id="470" w:name="_Toc16657"/>
      <w:r>
        <w:rPr>
          <w:rFonts w:hint="default" w:ascii="Times New Roman" w:hAnsi="Times New Roman" w:cs="Times New Roman"/>
          <w:lang w:val="en-US" w:eastAsia="zh-CN"/>
        </w:rPr>
        <w:t>6</w:t>
      </w:r>
      <w:r>
        <w:rPr>
          <w:rFonts w:hint="default" w:ascii="Times New Roman" w:hAnsi="Times New Roman" w:cs="Times New Roman"/>
        </w:rPr>
        <w:t>.2.4地表水环境影响评价结论</w:t>
      </w:r>
      <w:bookmarkEnd w:id="470"/>
    </w:p>
    <w:p w14:paraId="757730E1">
      <w:pPr>
        <w:spacing w:line="360" w:lineRule="auto"/>
        <w:ind w:firstLine="490" w:firstLineChars="200"/>
        <w:rPr>
          <w:rFonts w:hint="default" w:ascii="Times New Roman" w:hAnsi="Times New Roman" w:cs="Times New Roman"/>
        </w:rPr>
      </w:pPr>
      <w:r>
        <w:rPr>
          <w:rFonts w:hint="default" w:ascii="Times New Roman" w:hAnsi="Times New Roman" w:cs="Times New Roman"/>
        </w:rPr>
        <w:t>根据前文分析，项目水污染控制和水环境影响减缓措施有效，因此项目地表水环境影响可接受。</w:t>
      </w:r>
    </w:p>
    <w:p w14:paraId="6C699BC6">
      <w:pPr>
        <w:pStyle w:val="5"/>
        <w:bidi w:val="0"/>
        <w:rPr>
          <w:rFonts w:hint="default" w:ascii="Times New Roman" w:hAnsi="Times New Roman" w:cs="Times New Roman"/>
        </w:rPr>
      </w:pPr>
      <w:bookmarkStart w:id="471" w:name="_Toc4615"/>
      <w:bookmarkStart w:id="472" w:name="_Toc29499"/>
      <w:bookmarkStart w:id="473" w:name="_Toc165816782"/>
      <w:bookmarkStart w:id="474" w:name="_Toc20952"/>
      <w:bookmarkStart w:id="475" w:name="_Toc21841"/>
      <w:bookmarkStart w:id="476" w:name="_Toc17034"/>
      <w:r>
        <w:rPr>
          <w:rFonts w:hint="default" w:ascii="Times New Roman" w:hAnsi="Times New Roman" w:cs="Times New Roman"/>
          <w:lang w:val="en-US" w:eastAsia="zh-CN"/>
        </w:rPr>
        <w:t>6</w:t>
      </w:r>
      <w:r>
        <w:rPr>
          <w:rFonts w:hint="default" w:ascii="Times New Roman" w:hAnsi="Times New Roman" w:cs="Times New Roman"/>
        </w:rPr>
        <w:t>.3地下水环境影响预测与评价</w:t>
      </w:r>
      <w:bookmarkEnd w:id="471"/>
      <w:bookmarkEnd w:id="472"/>
      <w:bookmarkEnd w:id="473"/>
      <w:bookmarkEnd w:id="474"/>
      <w:bookmarkEnd w:id="475"/>
      <w:bookmarkEnd w:id="476"/>
    </w:p>
    <w:p w14:paraId="2988F994">
      <w:pPr>
        <w:pStyle w:val="6"/>
        <w:bidi w:val="0"/>
        <w:rPr>
          <w:rFonts w:hint="default" w:ascii="Times New Roman" w:hAnsi="Times New Roman" w:cs="Times New Roman"/>
        </w:rPr>
      </w:pPr>
      <w:bookmarkStart w:id="477" w:name="_Toc24053"/>
      <w:r>
        <w:rPr>
          <w:rFonts w:hint="default" w:ascii="Times New Roman" w:hAnsi="Times New Roman" w:cs="Times New Roman"/>
          <w:lang w:val="en-US" w:eastAsia="zh-CN"/>
        </w:rPr>
        <w:t>6.3.1</w:t>
      </w:r>
      <w:r>
        <w:rPr>
          <w:rFonts w:hint="default" w:ascii="Times New Roman" w:hAnsi="Times New Roman" w:cs="Times New Roman"/>
        </w:rPr>
        <w:t>区域地层</w:t>
      </w:r>
    </w:p>
    <w:p w14:paraId="28B46FDC">
      <w:pPr>
        <w:pStyle w:val="17"/>
        <w:spacing w:line="360" w:lineRule="auto"/>
        <w:ind w:firstLine="480"/>
        <w:rPr>
          <w:rFonts w:hint="default" w:ascii="Times New Roman" w:hAnsi="Times New Roman" w:cs="Times New Roman"/>
          <w:sz w:val="24"/>
        </w:rPr>
      </w:pPr>
      <w:r>
        <w:rPr>
          <w:rFonts w:hint="default" w:ascii="Times New Roman" w:hAnsi="Times New Roman" w:cs="Times New Roman"/>
          <w:sz w:val="24"/>
          <w:lang w:val="en-US" w:eastAsia="zh-CN"/>
        </w:rPr>
        <w:t>项目</w:t>
      </w:r>
      <w:r>
        <w:rPr>
          <w:rFonts w:hint="default" w:ascii="Times New Roman" w:hAnsi="Times New Roman" w:cs="Times New Roman"/>
          <w:sz w:val="24"/>
        </w:rPr>
        <w:t>位于鲁奎山向斜西翼。出露地层由老到新依次为昆阳群黑山头组、富良棚组、大龙口组，上三叠系干海子组、第四系。核部出露最新地层为第四系、昆阳群大龙口组地层，向斜两翼由老至新依次出露黑山头组、富良棚组地层、三叠系干海子组，其间缺失古生界地层，中元古界、中生界和新生界较发育。</w:t>
      </w:r>
    </w:p>
    <w:p w14:paraId="4D86FAA3">
      <w:pPr>
        <w:pStyle w:val="17"/>
        <w:spacing w:line="360" w:lineRule="auto"/>
        <w:ind w:firstLine="480"/>
        <w:rPr>
          <w:rFonts w:hint="default" w:ascii="Times New Roman" w:hAnsi="Times New Roman" w:cs="Times New Roman"/>
          <w:sz w:val="24"/>
        </w:rPr>
      </w:pPr>
      <w:r>
        <w:rPr>
          <w:rFonts w:hint="default" w:ascii="Times New Roman" w:hAnsi="Times New Roman" w:cs="Times New Roman"/>
          <w:sz w:val="24"/>
        </w:rPr>
        <w:t>区域地层情况详见表</w:t>
      </w:r>
      <w:r>
        <w:rPr>
          <w:rFonts w:hint="default" w:ascii="Times New Roman" w:hAnsi="Times New Roman" w:cs="Times New Roman"/>
          <w:sz w:val="24"/>
          <w:lang w:val="en-US" w:eastAsia="zh-CN"/>
        </w:rPr>
        <w:t>6.3</w:t>
      </w:r>
      <w:r>
        <w:rPr>
          <w:rFonts w:hint="default" w:ascii="Times New Roman" w:hAnsi="Times New Roman" w:cs="Times New Roman"/>
          <w:sz w:val="24"/>
        </w:rPr>
        <w:t>.1-1。</w:t>
      </w:r>
    </w:p>
    <w:p w14:paraId="1A4AA1CF">
      <w:pPr>
        <w:rPr>
          <w:rFonts w:hint="default" w:ascii="Times New Roman" w:hAnsi="Times New Roman" w:eastAsia="黑体" w:cs="Times New Roman"/>
          <w:spacing w:val="-2"/>
          <w:sz w:val="21"/>
          <w:szCs w:val="21"/>
        </w:rPr>
      </w:pPr>
      <w:r>
        <w:rPr>
          <w:rFonts w:hint="default" w:ascii="Times New Roman" w:hAnsi="Times New Roman" w:eastAsia="黑体" w:cs="Times New Roman"/>
          <w:spacing w:val="-2"/>
          <w:sz w:val="21"/>
          <w:szCs w:val="21"/>
        </w:rPr>
        <w:br w:type="page"/>
      </w:r>
    </w:p>
    <w:p w14:paraId="0B8E29AB">
      <w:pPr>
        <w:adjustRightInd w:val="0"/>
        <w:snapToGrid w:val="0"/>
        <w:spacing w:line="360" w:lineRule="auto"/>
        <w:ind w:firstLine="422" w:firstLineChars="200"/>
        <w:jc w:val="center"/>
        <w:rPr>
          <w:rFonts w:hint="default" w:ascii="Times New Roman" w:hAnsi="Times New Roman" w:eastAsia="黑体" w:cs="Times New Roman"/>
          <w:spacing w:val="-2"/>
          <w:sz w:val="21"/>
          <w:szCs w:val="21"/>
        </w:rPr>
      </w:pPr>
      <w:r>
        <w:rPr>
          <w:rFonts w:hint="default" w:ascii="Times New Roman" w:hAnsi="Times New Roman" w:eastAsia="黑体" w:cs="Times New Roman"/>
          <w:spacing w:val="-2"/>
          <w:sz w:val="21"/>
          <w:szCs w:val="21"/>
        </w:rPr>
        <w:t>表</w:t>
      </w:r>
      <w:r>
        <w:rPr>
          <w:rFonts w:hint="default" w:ascii="Times New Roman" w:hAnsi="Times New Roman" w:eastAsia="黑体" w:cs="Times New Roman"/>
          <w:spacing w:val="-2"/>
          <w:sz w:val="21"/>
          <w:szCs w:val="21"/>
          <w:lang w:val="en-US" w:eastAsia="zh-CN"/>
        </w:rPr>
        <w:t>6.3</w:t>
      </w:r>
      <w:r>
        <w:rPr>
          <w:rFonts w:hint="default" w:ascii="Times New Roman" w:hAnsi="Times New Roman" w:eastAsia="黑体" w:cs="Times New Roman"/>
          <w:spacing w:val="-2"/>
          <w:sz w:val="21"/>
          <w:szCs w:val="21"/>
        </w:rPr>
        <w:t>.1-1鲁奎山地区地层简表</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81"/>
        <w:gridCol w:w="818"/>
        <w:gridCol w:w="976"/>
        <w:gridCol w:w="1177"/>
        <w:gridCol w:w="1884"/>
        <w:gridCol w:w="3136"/>
      </w:tblGrid>
      <w:tr w14:paraId="0E95F3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pct"/>
            <w:gridSpan w:val="3"/>
            <w:noWrap w:val="0"/>
            <w:vAlign w:val="center"/>
          </w:tcPr>
          <w:p w14:paraId="7D1F3BBE">
            <w:pPr>
              <w:ind w:firstLine="420"/>
              <w:rPr>
                <w:rFonts w:hint="default" w:ascii="Times New Roman" w:hAnsi="Times New Roman" w:cs="Times New Roman"/>
                <w:sz w:val="18"/>
                <w:szCs w:val="18"/>
              </w:rPr>
            </w:pPr>
            <w:r>
              <w:rPr>
                <w:rFonts w:hint="default" w:ascii="Times New Roman" w:hAnsi="Times New Roman" w:cs="Times New Roman"/>
                <w:sz w:val="18"/>
                <w:szCs w:val="18"/>
              </w:rPr>
              <w:t>时 代</w:t>
            </w:r>
          </w:p>
        </w:tc>
        <w:tc>
          <w:tcPr>
            <w:tcW w:w="526" w:type="pct"/>
            <w:noWrap w:val="0"/>
            <w:vAlign w:val="center"/>
          </w:tcPr>
          <w:p w14:paraId="7C51C697">
            <w:pPr>
              <w:jc w:val="center"/>
              <w:rPr>
                <w:rFonts w:hint="default" w:ascii="Times New Roman" w:hAnsi="Times New Roman" w:cs="Times New Roman"/>
                <w:sz w:val="18"/>
                <w:szCs w:val="18"/>
              </w:rPr>
            </w:pPr>
            <w:r>
              <w:rPr>
                <w:rFonts w:hint="default" w:ascii="Times New Roman" w:hAnsi="Times New Roman" w:cs="Times New Roman"/>
                <w:sz w:val="18"/>
                <w:szCs w:val="18"/>
              </w:rPr>
              <w:t>符号</w:t>
            </w:r>
          </w:p>
        </w:tc>
        <w:tc>
          <w:tcPr>
            <w:tcW w:w="634" w:type="pct"/>
            <w:noWrap w:val="0"/>
            <w:vAlign w:val="center"/>
          </w:tcPr>
          <w:p w14:paraId="6D382341">
            <w:pPr>
              <w:jc w:val="center"/>
              <w:rPr>
                <w:rFonts w:hint="default" w:ascii="Times New Roman" w:hAnsi="Times New Roman" w:cs="Times New Roman"/>
                <w:sz w:val="18"/>
                <w:szCs w:val="18"/>
              </w:rPr>
            </w:pPr>
            <w:r>
              <w:rPr>
                <w:rFonts w:hint="default" w:ascii="Times New Roman" w:hAnsi="Times New Roman" w:cs="Times New Roman"/>
                <w:sz w:val="18"/>
                <w:szCs w:val="18"/>
              </w:rPr>
              <w:t>厚度（米）</w:t>
            </w:r>
          </w:p>
        </w:tc>
        <w:tc>
          <w:tcPr>
            <w:tcW w:w="1014" w:type="pct"/>
            <w:noWrap w:val="0"/>
            <w:vAlign w:val="center"/>
          </w:tcPr>
          <w:p w14:paraId="1E7A0507">
            <w:pPr>
              <w:jc w:val="center"/>
              <w:rPr>
                <w:rFonts w:hint="default" w:ascii="Times New Roman" w:hAnsi="Times New Roman" w:cs="Times New Roman"/>
                <w:sz w:val="18"/>
                <w:szCs w:val="18"/>
              </w:rPr>
            </w:pPr>
            <w:r>
              <w:rPr>
                <w:rFonts w:hint="default" w:ascii="Times New Roman" w:hAnsi="Times New Roman" w:cs="Times New Roman"/>
                <w:sz w:val="18"/>
                <w:szCs w:val="18"/>
              </w:rPr>
              <w:t>分布地点</w:t>
            </w:r>
          </w:p>
        </w:tc>
        <w:tc>
          <w:tcPr>
            <w:tcW w:w="1688" w:type="pct"/>
            <w:noWrap w:val="0"/>
            <w:vAlign w:val="center"/>
          </w:tcPr>
          <w:p w14:paraId="4A840A10">
            <w:pPr>
              <w:jc w:val="center"/>
              <w:rPr>
                <w:rFonts w:hint="default" w:ascii="Times New Roman" w:hAnsi="Times New Roman" w:cs="Times New Roman"/>
                <w:sz w:val="18"/>
                <w:szCs w:val="18"/>
              </w:rPr>
            </w:pPr>
            <w:r>
              <w:rPr>
                <w:rFonts w:hint="default" w:ascii="Times New Roman" w:hAnsi="Times New Roman" w:cs="Times New Roman"/>
                <w:sz w:val="18"/>
                <w:szCs w:val="18"/>
              </w:rPr>
              <w:t>岩性描述</w:t>
            </w:r>
          </w:p>
        </w:tc>
      </w:tr>
      <w:tr w14:paraId="2F079A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pct"/>
            <w:gridSpan w:val="3"/>
            <w:noWrap w:val="0"/>
            <w:vAlign w:val="center"/>
          </w:tcPr>
          <w:p w14:paraId="01B0B163">
            <w:pPr>
              <w:jc w:val="center"/>
              <w:rPr>
                <w:rFonts w:hint="default" w:ascii="Times New Roman" w:hAnsi="Times New Roman" w:cs="Times New Roman"/>
                <w:sz w:val="18"/>
                <w:szCs w:val="18"/>
              </w:rPr>
            </w:pPr>
            <w:r>
              <w:rPr>
                <w:rFonts w:hint="default" w:ascii="Times New Roman" w:hAnsi="Times New Roman" w:cs="Times New Roman"/>
                <w:sz w:val="18"/>
                <w:szCs w:val="18"/>
              </w:rPr>
              <w:t>第四系</w:t>
            </w:r>
          </w:p>
        </w:tc>
        <w:tc>
          <w:tcPr>
            <w:tcW w:w="526" w:type="pct"/>
            <w:noWrap w:val="0"/>
            <w:vAlign w:val="center"/>
          </w:tcPr>
          <w:p w14:paraId="3226E1E2">
            <w:pPr>
              <w:jc w:val="center"/>
              <w:rPr>
                <w:rFonts w:hint="default" w:ascii="Times New Roman" w:hAnsi="Times New Roman" w:cs="Times New Roman"/>
                <w:sz w:val="18"/>
                <w:szCs w:val="18"/>
              </w:rPr>
            </w:pPr>
            <w:r>
              <w:rPr>
                <w:rFonts w:hint="default" w:ascii="Times New Roman" w:hAnsi="Times New Roman" w:cs="Times New Roman"/>
                <w:sz w:val="18"/>
                <w:szCs w:val="18"/>
              </w:rPr>
              <w:t>Q</w:t>
            </w:r>
          </w:p>
        </w:tc>
        <w:tc>
          <w:tcPr>
            <w:tcW w:w="634" w:type="pct"/>
            <w:noWrap w:val="0"/>
            <w:vAlign w:val="center"/>
          </w:tcPr>
          <w:p w14:paraId="7B3D14FA">
            <w:pPr>
              <w:ind w:firstLine="420"/>
              <w:jc w:val="center"/>
              <w:rPr>
                <w:rFonts w:hint="default" w:ascii="Times New Roman" w:hAnsi="Times New Roman" w:cs="Times New Roman"/>
                <w:sz w:val="18"/>
                <w:szCs w:val="18"/>
              </w:rPr>
            </w:pPr>
          </w:p>
        </w:tc>
        <w:tc>
          <w:tcPr>
            <w:tcW w:w="1014" w:type="pct"/>
            <w:noWrap w:val="0"/>
            <w:vAlign w:val="center"/>
          </w:tcPr>
          <w:p w14:paraId="7C91A004">
            <w:pPr>
              <w:jc w:val="center"/>
              <w:rPr>
                <w:rFonts w:hint="default" w:ascii="Times New Roman" w:hAnsi="Times New Roman" w:cs="Times New Roman"/>
                <w:sz w:val="18"/>
                <w:szCs w:val="18"/>
              </w:rPr>
            </w:pPr>
            <w:r>
              <w:rPr>
                <w:rFonts w:hint="default" w:ascii="Times New Roman" w:hAnsi="Times New Roman" w:cs="Times New Roman"/>
                <w:sz w:val="18"/>
                <w:szCs w:val="18"/>
              </w:rPr>
              <w:t>扬武、化念</w:t>
            </w:r>
          </w:p>
        </w:tc>
        <w:tc>
          <w:tcPr>
            <w:tcW w:w="1688" w:type="pct"/>
            <w:noWrap w:val="0"/>
            <w:vAlign w:val="center"/>
          </w:tcPr>
          <w:p w14:paraId="50262482">
            <w:pPr>
              <w:rPr>
                <w:rFonts w:hint="default" w:ascii="Times New Roman" w:hAnsi="Times New Roman" w:cs="Times New Roman"/>
                <w:sz w:val="18"/>
                <w:szCs w:val="18"/>
              </w:rPr>
            </w:pPr>
            <w:r>
              <w:rPr>
                <w:rFonts w:hint="default" w:ascii="Times New Roman" w:hAnsi="Times New Roman" w:cs="Times New Roman"/>
                <w:sz w:val="18"/>
                <w:szCs w:val="18"/>
              </w:rPr>
              <w:t>沉积相之粘土及理石层</w:t>
            </w:r>
          </w:p>
        </w:tc>
      </w:tr>
      <w:tr w14:paraId="0F50EE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pct"/>
            <w:gridSpan w:val="3"/>
            <w:noWrap w:val="0"/>
            <w:vAlign w:val="center"/>
          </w:tcPr>
          <w:p w14:paraId="32A683D3">
            <w:pPr>
              <w:jc w:val="center"/>
              <w:rPr>
                <w:rFonts w:hint="default" w:ascii="Times New Roman" w:hAnsi="Times New Roman" w:cs="Times New Roman"/>
                <w:sz w:val="18"/>
                <w:szCs w:val="18"/>
              </w:rPr>
            </w:pPr>
            <w:r>
              <w:rPr>
                <w:rFonts w:hint="default" w:ascii="Times New Roman" w:hAnsi="Times New Roman" w:cs="Times New Roman"/>
                <w:sz w:val="18"/>
                <w:szCs w:val="18"/>
              </w:rPr>
              <w:t>新第三系</w:t>
            </w:r>
          </w:p>
        </w:tc>
        <w:tc>
          <w:tcPr>
            <w:tcW w:w="526" w:type="pct"/>
            <w:noWrap w:val="0"/>
            <w:vAlign w:val="center"/>
          </w:tcPr>
          <w:p w14:paraId="1B456C7A">
            <w:pPr>
              <w:jc w:val="center"/>
              <w:rPr>
                <w:rFonts w:hint="default" w:ascii="Times New Roman" w:hAnsi="Times New Roman" w:cs="Times New Roman"/>
                <w:sz w:val="18"/>
                <w:szCs w:val="18"/>
              </w:rPr>
            </w:pPr>
            <w:r>
              <w:rPr>
                <w:rFonts w:hint="default" w:ascii="Times New Roman" w:hAnsi="Times New Roman" w:cs="Times New Roman"/>
                <w:sz w:val="18"/>
                <w:szCs w:val="18"/>
              </w:rPr>
              <w:t>N</w:t>
            </w:r>
          </w:p>
        </w:tc>
        <w:tc>
          <w:tcPr>
            <w:tcW w:w="634" w:type="pct"/>
            <w:noWrap w:val="0"/>
            <w:vAlign w:val="center"/>
          </w:tcPr>
          <w:p w14:paraId="04005B8B">
            <w:pPr>
              <w:jc w:val="center"/>
              <w:rPr>
                <w:rFonts w:hint="default" w:ascii="Times New Roman" w:hAnsi="Times New Roman" w:cs="Times New Roman"/>
                <w:sz w:val="18"/>
                <w:szCs w:val="18"/>
              </w:rPr>
            </w:pPr>
            <w:r>
              <w:rPr>
                <w:rFonts w:hint="default" w:ascii="Times New Roman" w:hAnsi="Times New Roman" w:cs="Times New Roman"/>
                <w:sz w:val="18"/>
                <w:szCs w:val="18"/>
              </w:rPr>
              <w:t>&gt;100</w:t>
            </w:r>
          </w:p>
        </w:tc>
        <w:tc>
          <w:tcPr>
            <w:tcW w:w="1014" w:type="pct"/>
            <w:noWrap w:val="0"/>
            <w:vAlign w:val="center"/>
          </w:tcPr>
          <w:p w14:paraId="45C41976">
            <w:pPr>
              <w:jc w:val="center"/>
              <w:rPr>
                <w:rFonts w:hint="default" w:ascii="Times New Roman" w:hAnsi="Times New Roman" w:cs="Times New Roman"/>
                <w:sz w:val="18"/>
                <w:szCs w:val="18"/>
              </w:rPr>
            </w:pPr>
            <w:r>
              <w:rPr>
                <w:rFonts w:hint="default" w:ascii="Times New Roman" w:hAnsi="Times New Roman" w:cs="Times New Roman"/>
                <w:sz w:val="18"/>
                <w:szCs w:val="18"/>
              </w:rPr>
              <w:t>扬武、石岩头村</w:t>
            </w:r>
          </w:p>
        </w:tc>
        <w:tc>
          <w:tcPr>
            <w:tcW w:w="1688" w:type="pct"/>
            <w:noWrap w:val="0"/>
            <w:vAlign w:val="center"/>
          </w:tcPr>
          <w:p w14:paraId="6C7B09AA">
            <w:pPr>
              <w:rPr>
                <w:rFonts w:hint="default" w:ascii="Times New Roman" w:hAnsi="Times New Roman" w:cs="Times New Roman"/>
                <w:sz w:val="18"/>
                <w:szCs w:val="18"/>
              </w:rPr>
            </w:pPr>
            <w:r>
              <w:rPr>
                <w:rFonts w:hint="default" w:ascii="Times New Roman" w:hAnsi="Times New Roman" w:cs="Times New Roman"/>
                <w:sz w:val="18"/>
                <w:szCs w:val="18"/>
              </w:rPr>
              <w:t>灰岩、灰白色泥质粉砂岩，砾岩夹含砾粗砂岩及褐煤。</w:t>
            </w:r>
          </w:p>
        </w:tc>
      </w:tr>
      <w:tr w14:paraId="433488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noWrap w:val="0"/>
            <w:vAlign w:val="center"/>
          </w:tcPr>
          <w:p w14:paraId="07E653AA">
            <w:pPr>
              <w:jc w:val="center"/>
              <w:rPr>
                <w:rFonts w:hint="default" w:ascii="Times New Roman" w:hAnsi="Times New Roman" w:cs="Times New Roman"/>
                <w:sz w:val="18"/>
                <w:szCs w:val="18"/>
              </w:rPr>
            </w:pPr>
            <w:r>
              <w:rPr>
                <w:rFonts w:hint="default" w:ascii="Times New Roman" w:hAnsi="Times New Roman" w:cs="Times New Roman"/>
                <w:sz w:val="18"/>
                <w:szCs w:val="18"/>
              </w:rPr>
              <w:t>侏</w:t>
            </w:r>
          </w:p>
          <w:p w14:paraId="21B2FFED">
            <w:pPr>
              <w:jc w:val="center"/>
              <w:rPr>
                <w:rFonts w:hint="default" w:ascii="Times New Roman" w:hAnsi="Times New Roman" w:cs="Times New Roman"/>
                <w:sz w:val="18"/>
                <w:szCs w:val="18"/>
              </w:rPr>
            </w:pPr>
            <w:r>
              <w:rPr>
                <w:rFonts w:hint="default" w:ascii="Times New Roman" w:hAnsi="Times New Roman" w:cs="Times New Roman"/>
                <w:sz w:val="18"/>
                <w:szCs w:val="18"/>
              </w:rPr>
              <w:t>罗</w:t>
            </w:r>
          </w:p>
          <w:p w14:paraId="22A723EC">
            <w:pPr>
              <w:jc w:val="center"/>
              <w:rPr>
                <w:rFonts w:hint="default" w:ascii="Times New Roman" w:hAnsi="Times New Roman" w:cs="Times New Roman"/>
                <w:sz w:val="18"/>
                <w:szCs w:val="18"/>
              </w:rPr>
            </w:pPr>
            <w:r>
              <w:rPr>
                <w:rFonts w:hint="default" w:ascii="Times New Roman" w:hAnsi="Times New Roman" w:cs="Times New Roman"/>
                <w:sz w:val="18"/>
                <w:szCs w:val="18"/>
              </w:rPr>
              <w:t>系</w:t>
            </w:r>
          </w:p>
        </w:tc>
        <w:tc>
          <w:tcPr>
            <w:tcW w:w="699" w:type="pct"/>
            <w:gridSpan w:val="2"/>
            <w:noWrap w:val="0"/>
            <w:vAlign w:val="center"/>
          </w:tcPr>
          <w:p w14:paraId="41CD967E">
            <w:pPr>
              <w:jc w:val="center"/>
              <w:rPr>
                <w:rFonts w:hint="default" w:ascii="Times New Roman" w:hAnsi="Times New Roman" w:cs="Times New Roman"/>
                <w:sz w:val="18"/>
                <w:szCs w:val="18"/>
              </w:rPr>
            </w:pPr>
            <w:r>
              <w:rPr>
                <w:rFonts w:hint="default" w:ascii="Times New Roman" w:hAnsi="Times New Roman" w:cs="Times New Roman"/>
                <w:sz w:val="18"/>
                <w:szCs w:val="18"/>
              </w:rPr>
              <w:t>张河组</w:t>
            </w:r>
          </w:p>
        </w:tc>
        <w:tc>
          <w:tcPr>
            <w:tcW w:w="526" w:type="pct"/>
            <w:noWrap w:val="0"/>
            <w:vAlign w:val="center"/>
          </w:tcPr>
          <w:p w14:paraId="66E52910">
            <w:pPr>
              <w:jc w:val="center"/>
              <w:rPr>
                <w:rFonts w:hint="default" w:ascii="Times New Roman" w:hAnsi="Times New Roman" w:cs="Times New Roman"/>
                <w:sz w:val="18"/>
                <w:szCs w:val="18"/>
              </w:rPr>
            </w:pPr>
            <w:r>
              <w:rPr>
                <w:rFonts w:hint="default" w:ascii="Times New Roman" w:hAnsi="Times New Roman" w:cs="Times New Roman"/>
                <w:sz w:val="18"/>
                <w:szCs w:val="18"/>
              </w:rPr>
              <w:t>J</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z</w:t>
            </w:r>
          </w:p>
        </w:tc>
        <w:tc>
          <w:tcPr>
            <w:tcW w:w="634" w:type="pct"/>
            <w:noWrap w:val="0"/>
            <w:vAlign w:val="center"/>
          </w:tcPr>
          <w:p w14:paraId="79149626">
            <w:pPr>
              <w:jc w:val="center"/>
              <w:rPr>
                <w:rFonts w:hint="default" w:ascii="Times New Roman" w:hAnsi="Times New Roman" w:cs="Times New Roman"/>
                <w:sz w:val="18"/>
                <w:szCs w:val="18"/>
              </w:rPr>
            </w:pPr>
            <w:r>
              <w:rPr>
                <w:rFonts w:hint="default" w:ascii="Times New Roman" w:hAnsi="Times New Roman" w:cs="Times New Roman"/>
                <w:sz w:val="18"/>
                <w:szCs w:val="18"/>
              </w:rPr>
              <w:t>&gt;700</w:t>
            </w:r>
          </w:p>
        </w:tc>
        <w:tc>
          <w:tcPr>
            <w:tcW w:w="1014" w:type="pct"/>
            <w:noWrap w:val="0"/>
            <w:vAlign w:val="center"/>
          </w:tcPr>
          <w:p w14:paraId="34EEE170">
            <w:pPr>
              <w:jc w:val="center"/>
              <w:rPr>
                <w:rFonts w:hint="default" w:ascii="Times New Roman" w:hAnsi="Times New Roman" w:cs="Times New Roman"/>
                <w:sz w:val="18"/>
                <w:szCs w:val="18"/>
              </w:rPr>
            </w:pPr>
            <w:r>
              <w:rPr>
                <w:rFonts w:hint="default" w:ascii="Times New Roman" w:hAnsi="Times New Roman" w:cs="Times New Roman"/>
                <w:sz w:val="18"/>
                <w:szCs w:val="18"/>
              </w:rPr>
              <w:t>化念街北面</w:t>
            </w:r>
          </w:p>
        </w:tc>
        <w:tc>
          <w:tcPr>
            <w:tcW w:w="1688" w:type="pct"/>
            <w:noWrap w:val="0"/>
            <w:vAlign w:val="center"/>
          </w:tcPr>
          <w:p w14:paraId="1F679600">
            <w:pPr>
              <w:rPr>
                <w:rFonts w:hint="default" w:ascii="Times New Roman" w:hAnsi="Times New Roman" w:cs="Times New Roman"/>
                <w:sz w:val="18"/>
                <w:szCs w:val="18"/>
              </w:rPr>
            </w:pPr>
            <w:r>
              <w:rPr>
                <w:rFonts w:hint="default" w:ascii="Times New Roman" w:hAnsi="Times New Roman" w:cs="Times New Roman"/>
                <w:sz w:val="18"/>
                <w:szCs w:val="18"/>
              </w:rPr>
              <w:t>紫红色泥岩夹粉砂质泥岩，粉砂岩，泥灰岩，底部为砂砾岩</w:t>
            </w:r>
          </w:p>
        </w:tc>
      </w:tr>
      <w:tr w14:paraId="6515E0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noWrap w:val="0"/>
            <w:vAlign w:val="center"/>
          </w:tcPr>
          <w:p w14:paraId="62EF5D57">
            <w:pPr>
              <w:ind w:firstLine="420"/>
              <w:jc w:val="center"/>
              <w:rPr>
                <w:rFonts w:hint="default" w:ascii="Times New Roman" w:hAnsi="Times New Roman" w:cs="Times New Roman"/>
                <w:sz w:val="18"/>
                <w:szCs w:val="18"/>
              </w:rPr>
            </w:pPr>
          </w:p>
        </w:tc>
        <w:tc>
          <w:tcPr>
            <w:tcW w:w="699" w:type="pct"/>
            <w:gridSpan w:val="2"/>
            <w:noWrap w:val="0"/>
            <w:vAlign w:val="center"/>
          </w:tcPr>
          <w:p w14:paraId="4C07C9A2">
            <w:pPr>
              <w:jc w:val="center"/>
              <w:rPr>
                <w:rFonts w:hint="default" w:ascii="Times New Roman" w:hAnsi="Times New Roman" w:cs="Times New Roman"/>
                <w:sz w:val="18"/>
                <w:szCs w:val="18"/>
              </w:rPr>
            </w:pPr>
            <w:r>
              <w:rPr>
                <w:rFonts w:hint="default" w:ascii="Times New Roman" w:hAnsi="Times New Roman" w:cs="Times New Roman"/>
                <w:sz w:val="18"/>
                <w:szCs w:val="18"/>
              </w:rPr>
              <w:t>冯家河组</w:t>
            </w:r>
          </w:p>
        </w:tc>
        <w:tc>
          <w:tcPr>
            <w:tcW w:w="526" w:type="pct"/>
            <w:noWrap w:val="0"/>
            <w:vAlign w:val="center"/>
          </w:tcPr>
          <w:p w14:paraId="6249E76E">
            <w:pPr>
              <w:jc w:val="center"/>
              <w:rPr>
                <w:rFonts w:hint="default" w:ascii="Times New Roman" w:hAnsi="Times New Roman" w:cs="Times New Roman"/>
                <w:sz w:val="18"/>
                <w:szCs w:val="18"/>
              </w:rPr>
            </w:pPr>
            <w:r>
              <w:rPr>
                <w:rFonts w:hint="default" w:ascii="Times New Roman" w:hAnsi="Times New Roman" w:cs="Times New Roman"/>
                <w:sz w:val="18"/>
                <w:szCs w:val="18"/>
              </w:rPr>
              <w:t>J</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f</w:t>
            </w:r>
          </w:p>
        </w:tc>
        <w:tc>
          <w:tcPr>
            <w:tcW w:w="634" w:type="pct"/>
            <w:noWrap w:val="0"/>
            <w:vAlign w:val="center"/>
          </w:tcPr>
          <w:p w14:paraId="0A6EA3CE">
            <w:pPr>
              <w:jc w:val="center"/>
              <w:rPr>
                <w:rFonts w:hint="default" w:ascii="Times New Roman" w:hAnsi="Times New Roman" w:cs="Times New Roman"/>
                <w:sz w:val="18"/>
                <w:szCs w:val="18"/>
              </w:rPr>
            </w:pPr>
            <w:r>
              <w:rPr>
                <w:rFonts w:hint="default" w:ascii="Times New Roman" w:hAnsi="Times New Roman" w:cs="Times New Roman"/>
                <w:sz w:val="18"/>
                <w:szCs w:val="18"/>
              </w:rPr>
              <w:t>&gt;1000</w:t>
            </w:r>
          </w:p>
        </w:tc>
        <w:tc>
          <w:tcPr>
            <w:tcW w:w="1014" w:type="pct"/>
            <w:noWrap w:val="0"/>
            <w:vAlign w:val="center"/>
          </w:tcPr>
          <w:p w14:paraId="3DB0D0CF">
            <w:pPr>
              <w:jc w:val="center"/>
              <w:rPr>
                <w:rFonts w:hint="default" w:ascii="Times New Roman" w:hAnsi="Times New Roman" w:cs="Times New Roman"/>
                <w:sz w:val="18"/>
                <w:szCs w:val="18"/>
              </w:rPr>
            </w:pPr>
            <w:r>
              <w:rPr>
                <w:rFonts w:hint="default" w:ascii="Times New Roman" w:hAnsi="Times New Roman" w:cs="Times New Roman"/>
                <w:sz w:val="18"/>
                <w:szCs w:val="18"/>
              </w:rPr>
              <w:t>化念街北面</w:t>
            </w:r>
          </w:p>
        </w:tc>
        <w:tc>
          <w:tcPr>
            <w:tcW w:w="1688" w:type="pct"/>
            <w:noWrap w:val="0"/>
            <w:vAlign w:val="center"/>
          </w:tcPr>
          <w:p w14:paraId="61371383">
            <w:pPr>
              <w:rPr>
                <w:rFonts w:hint="default" w:ascii="Times New Roman" w:hAnsi="Times New Roman" w:cs="Times New Roman"/>
                <w:sz w:val="18"/>
                <w:szCs w:val="18"/>
              </w:rPr>
            </w:pPr>
            <w:r>
              <w:rPr>
                <w:rFonts w:hint="default" w:ascii="Times New Roman" w:hAnsi="Times New Roman" w:cs="Times New Roman"/>
                <w:sz w:val="18"/>
                <w:szCs w:val="18"/>
              </w:rPr>
              <w:t>上部：猪肝色泥岩、细砂岩下部：紫色泥岩。</w:t>
            </w:r>
          </w:p>
        </w:tc>
      </w:tr>
      <w:tr w14:paraId="03714F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noWrap w:val="0"/>
            <w:vAlign w:val="center"/>
          </w:tcPr>
          <w:p w14:paraId="595D909A">
            <w:pPr>
              <w:jc w:val="center"/>
              <w:rPr>
                <w:rFonts w:hint="default" w:ascii="Times New Roman" w:hAnsi="Times New Roman" w:cs="Times New Roman"/>
                <w:sz w:val="18"/>
                <w:szCs w:val="18"/>
              </w:rPr>
            </w:pPr>
            <w:r>
              <w:rPr>
                <w:rFonts w:hint="default" w:ascii="Times New Roman" w:hAnsi="Times New Roman" w:cs="Times New Roman"/>
                <w:sz w:val="18"/>
                <w:szCs w:val="18"/>
              </w:rPr>
              <w:t>上</w:t>
            </w:r>
          </w:p>
          <w:p w14:paraId="56A582FE">
            <w:pPr>
              <w:jc w:val="center"/>
              <w:rPr>
                <w:rFonts w:hint="default" w:ascii="Times New Roman" w:hAnsi="Times New Roman" w:cs="Times New Roman"/>
                <w:sz w:val="18"/>
                <w:szCs w:val="18"/>
              </w:rPr>
            </w:pPr>
            <w:r>
              <w:rPr>
                <w:rFonts w:hint="default" w:ascii="Times New Roman" w:hAnsi="Times New Roman" w:cs="Times New Roman"/>
                <w:sz w:val="18"/>
                <w:szCs w:val="18"/>
              </w:rPr>
              <w:t>三</w:t>
            </w:r>
          </w:p>
          <w:p w14:paraId="7160926E">
            <w:pPr>
              <w:jc w:val="center"/>
              <w:rPr>
                <w:rFonts w:hint="default" w:ascii="Times New Roman" w:hAnsi="Times New Roman" w:cs="Times New Roman"/>
                <w:sz w:val="18"/>
                <w:szCs w:val="18"/>
              </w:rPr>
            </w:pPr>
            <w:r>
              <w:rPr>
                <w:rFonts w:hint="default" w:ascii="Times New Roman" w:hAnsi="Times New Roman" w:cs="Times New Roman"/>
                <w:sz w:val="18"/>
                <w:szCs w:val="18"/>
              </w:rPr>
              <w:t>叠</w:t>
            </w:r>
          </w:p>
          <w:p w14:paraId="540FF420">
            <w:pPr>
              <w:jc w:val="center"/>
              <w:rPr>
                <w:rFonts w:hint="default" w:ascii="Times New Roman" w:hAnsi="Times New Roman" w:cs="Times New Roman"/>
                <w:sz w:val="18"/>
                <w:szCs w:val="18"/>
              </w:rPr>
            </w:pPr>
            <w:r>
              <w:rPr>
                <w:rFonts w:hint="default" w:ascii="Times New Roman" w:hAnsi="Times New Roman" w:cs="Times New Roman"/>
                <w:sz w:val="18"/>
                <w:szCs w:val="18"/>
              </w:rPr>
              <w:t>系</w:t>
            </w:r>
          </w:p>
        </w:tc>
        <w:tc>
          <w:tcPr>
            <w:tcW w:w="699" w:type="pct"/>
            <w:gridSpan w:val="2"/>
            <w:noWrap w:val="0"/>
            <w:vAlign w:val="center"/>
          </w:tcPr>
          <w:p w14:paraId="6F6A3A7C">
            <w:pPr>
              <w:jc w:val="center"/>
              <w:rPr>
                <w:rFonts w:hint="default" w:ascii="Times New Roman" w:hAnsi="Times New Roman" w:cs="Times New Roman"/>
                <w:sz w:val="18"/>
                <w:szCs w:val="18"/>
              </w:rPr>
            </w:pPr>
            <w:r>
              <w:rPr>
                <w:rFonts w:hint="default" w:ascii="Times New Roman" w:hAnsi="Times New Roman" w:cs="Times New Roman"/>
                <w:sz w:val="18"/>
                <w:szCs w:val="18"/>
              </w:rPr>
              <w:t>舍资组</w:t>
            </w:r>
          </w:p>
        </w:tc>
        <w:tc>
          <w:tcPr>
            <w:tcW w:w="526" w:type="pct"/>
            <w:noWrap w:val="0"/>
            <w:vAlign w:val="center"/>
          </w:tcPr>
          <w:p w14:paraId="7C843E7B">
            <w:pPr>
              <w:jc w:val="center"/>
              <w:rPr>
                <w:rFonts w:hint="default" w:ascii="Times New Roman" w:hAnsi="Times New Roman" w:cs="Times New Roman"/>
                <w:sz w:val="18"/>
                <w:szCs w:val="18"/>
              </w:rPr>
            </w:pPr>
            <w:r>
              <w:rPr>
                <w:rFonts w:hint="default" w:ascii="Times New Roman" w:hAnsi="Times New Roman" w:cs="Times New Roman"/>
                <w:sz w:val="18"/>
                <w:szCs w:val="18"/>
              </w:rPr>
              <w:t>T</w:t>
            </w:r>
            <w:r>
              <w:rPr>
                <w:rFonts w:hint="default" w:ascii="Times New Roman" w:hAnsi="Times New Roman" w:cs="Times New Roman"/>
                <w:sz w:val="18"/>
                <w:szCs w:val="18"/>
                <w:vertAlign w:val="subscript"/>
              </w:rPr>
              <w:t>3</w:t>
            </w:r>
            <w:r>
              <w:rPr>
                <w:rFonts w:hint="default" w:ascii="Times New Roman" w:hAnsi="Times New Roman" w:cs="Times New Roman"/>
                <w:sz w:val="18"/>
                <w:szCs w:val="18"/>
              </w:rPr>
              <w:t>s</w:t>
            </w:r>
          </w:p>
        </w:tc>
        <w:tc>
          <w:tcPr>
            <w:tcW w:w="634" w:type="pct"/>
            <w:noWrap w:val="0"/>
            <w:vAlign w:val="center"/>
          </w:tcPr>
          <w:p w14:paraId="27FCD592">
            <w:pPr>
              <w:jc w:val="center"/>
              <w:rPr>
                <w:rFonts w:hint="default" w:ascii="Times New Roman" w:hAnsi="Times New Roman" w:cs="Times New Roman"/>
                <w:sz w:val="18"/>
                <w:szCs w:val="18"/>
              </w:rPr>
            </w:pPr>
            <w:r>
              <w:rPr>
                <w:rFonts w:hint="default" w:ascii="Times New Roman" w:hAnsi="Times New Roman" w:cs="Times New Roman"/>
                <w:sz w:val="18"/>
                <w:szCs w:val="18"/>
              </w:rPr>
              <w:t>500</w:t>
            </w:r>
          </w:p>
        </w:tc>
        <w:tc>
          <w:tcPr>
            <w:tcW w:w="1014" w:type="pct"/>
            <w:vMerge w:val="restart"/>
            <w:noWrap w:val="0"/>
            <w:vAlign w:val="center"/>
          </w:tcPr>
          <w:p w14:paraId="01ED3A98">
            <w:pPr>
              <w:jc w:val="center"/>
              <w:rPr>
                <w:rFonts w:hint="default" w:ascii="Times New Roman" w:hAnsi="Times New Roman" w:cs="Times New Roman"/>
                <w:sz w:val="18"/>
                <w:szCs w:val="18"/>
              </w:rPr>
            </w:pPr>
            <w:r>
              <w:rPr>
                <w:rFonts w:hint="default" w:ascii="Times New Roman" w:hAnsi="Times New Roman" w:cs="Times New Roman"/>
                <w:sz w:val="18"/>
                <w:szCs w:val="18"/>
              </w:rPr>
              <w:t>青—扬断裂以西</w:t>
            </w:r>
          </w:p>
        </w:tc>
        <w:tc>
          <w:tcPr>
            <w:tcW w:w="1688" w:type="pct"/>
            <w:noWrap w:val="0"/>
            <w:vAlign w:val="center"/>
          </w:tcPr>
          <w:p w14:paraId="208FFA57">
            <w:pPr>
              <w:rPr>
                <w:rFonts w:hint="default" w:ascii="Times New Roman" w:hAnsi="Times New Roman" w:cs="Times New Roman"/>
                <w:sz w:val="18"/>
                <w:szCs w:val="18"/>
              </w:rPr>
            </w:pPr>
            <w:r>
              <w:rPr>
                <w:rFonts w:hint="default" w:ascii="Times New Roman" w:hAnsi="Times New Roman" w:cs="Times New Roman"/>
                <w:sz w:val="18"/>
                <w:szCs w:val="18"/>
              </w:rPr>
              <w:t>浅黄、灰白色中粒长石石英砂岩，黑色泥质灰岩，黏土岩。</w:t>
            </w:r>
          </w:p>
        </w:tc>
      </w:tr>
      <w:tr w14:paraId="4570E7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noWrap w:val="0"/>
            <w:vAlign w:val="center"/>
          </w:tcPr>
          <w:p w14:paraId="7550ABA2">
            <w:pPr>
              <w:ind w:firstLine="420"/>
              <w:jc w:val="center"/>
              <w:rPr>
                <w:rFonts w:hint="default" w:ascii="Times New Roman" w:hAnsi="Times New Roman" w:cs="Times New Roman"/>
                <w:sz w:val="18"/>
                <w:szCs w:val="18"/>
              </w:rPr>
            </w:pPr>
          </w:p>
        </w:tc>
        <w:tc>
          <w:tcPr>
            <w:tcW w:w="699" w:type="pct"/>
            <w:gridSpan w:val="2"/>
            <w:noWrap w:val="0"/>
            <w:vAlign w:val="center"/>
          </w:tcPr>
          <w:p w14:paraId="59A31942">
            <w:pPr>
              <w:jc w:val="center"/>
              <w:rPr>
                <w:rFonts w:hint="default" w:ascii="Times New Roman" w:hAnsi="Times New Roman" w:cs="Times New Roman"/>
                <w:sz w:val="18"/>
                <w:szCs w:val="18"/>
              </w:rPr>
            </w:pPr>
            <w:r>
              <w:rPr>
                <w:rFonts w:hint="default" w:ascii="Times New Roman" w:hAnsi="Times New Roman" w:cs="Times New Roman"/>
                <w:sz w:val="18"/>
                <w:szCs w:val="18"/>
              </w:rPr>
              <w:t>干海子组</w:t>
            </w:r>
          </w:p>
        </w:tc>
        <w:tc>
          <w:tcPr>
            <w:tcW w:w="526" w:type="pct"/>
            <w:noWrap w:val="0"/>
            <w:vAlign w:val="center"/>
          </w:tcPr>
          <w:p w14:paraId="027CC831">
            <w:pPr>
              <w:jc w:val="center"/>
              <w:rPr>
                <w:rFonts w:hint="default" w:ascii="Times New Roman" w:hAnsi="Times New Roman" w:cs="Times New Roman"/>
                <w:sz w:val="18"/>
                <w:szCs w:val="18"/>
              </w:rPr>
            </w:pPr>
            <w:r>
              <w:rPr>
                <w:rFonts w:hint="default" w:ascii="Times New Roman" w:hAnsi="Times New Roman" w:cs="Times New Roman"/>
                <w:sz w:val="18"/>
                <w:szCs w:val="18"/>
              </w:rPr>
              <w:t>T</w:t>
            </w:r>
            <w:r>
              <w:rPr>
                <w:rFonts w:hint="default" w:ascii="Times New Roman" w:hAnsi="Times New Roman" w:cs="Times New Roman"/>
                <w:sz w:val="18"/>
                <w:szCs w:val="18"/>
                <w:vertAlign w:val="subscript"/>
              </w:rPr>
              <w:t>3</w:t>
            </w:r>
            <w:r>
              <w:rPr>
                <w:rFonts w:hint="default" w:ascii="Times New Roman" w:hAnsi="Times New Roman" w:cs="Times New Roman"/>
                <w:sz w:val="18"/>
                <w:szCs w:val="18"/>
              </w:rPr>
              <w:t>g</w:t>
            </w:r>
          </w:p>
        </w:tc>
        <w:tc>
          <w:tcPr>
            <w:tcW w:w="634" w:type="pct"/>
            <w:noWrap w:val="0"/>
            <w:vAlign w:val="center"/>
          </w:tcPr>
          <w:p w14:paraId="4C9D0401">
            <w:pPr>
              <w:jc w:val="center"/>
              <w:rPr>
                <w:rFonts w:hint="default" w:ascii="Times New Roman" w:hAnsi="Times New Roman" w:cs="Times New Roman"/>
                <w:sz w:val="18"/>
                <w:szCs w:val="18"/>
              </w:rPr>
            </w:pPr>
            <w:r>
              <w:rPr>
                <w:rFonts w:hint="default" w:ascii="Times New Roman" w:hAnsi="Times New Roman" w:cs="Times New Roman"/>
                <w:sz w:val="18"/>
                <w:szCs w:val="18"/>
              </w:rPr>
              <w:t>200</w:t>
            </w:r>
          </w:p>
        </w:tc>
        <w:tc>
          <w:tcPr>
            <w:tcW w:w="1014" w:type="pct"/>
            <w:vMerge w:val="continue"/>
            <w:noWrap w:val="0"/>
            <w:vAlign w:val="center"/>
          </w:tcPr>
          <w:p w14:paraId="428AF99A">
            <w:pPr>
              <w:ind w:firstLine="420"/>
              <w:jc w:val="center"/>
              <w:rPr>
                <w:rFonts w:hint="default" w:ascii="Times New Roman" w:hAnsi="Times New Roman" w:cs="Times New Roman"/>
                <w:sz w:val="18"/>
                <w:szCs w:val="18"/>
              </w:rPr>
            </w:pPr>
          </w:p>
        </w:tc>
        <w:tc>
          <w:tcPr>
            <w:tcW w:w="1688" w:type="pct"/>
            <w:noWrap w:val="0"/>
            <w:vAlign w:val="center"/>
          </w:tcPr>
          <w:p w14:paraId="485C4E22">
            <w:pPr>
              <w:rPr>
                <w:rFonts w:hint="default" w:ascii="Times New Roman" w:hAnsi="Times New Roman" w:cs="Times New Roman"/>
                <w:sz w:val="18"/>
                <w:szCs w:val="18"/>
              </w:rPr>
            </w:pPr>
            <w:r>
              <w:rPr>
                <w:rFonts w:hint="default" w:ascii="Times New Roman" w:hAnsi="Times New Roman" w:cs="Times New Roman"/>
                <w:sz w:val="18"/>
                <w:szCs w:val="18"/>
              </w:rPr>
              <w:t>细粒石英砂岩，黏土质石英粉砂岩，水云母黏土岩夹煤线。</w:t>
            </w:r>
          </w:p>
        </w:tc>
      </w:tr>
      <w:tr w14:paraId="289A6D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noWrap w:val="0"/>
            <w:vAlign w:val="center"/>
          </w:tcPr>
          <w:p w14:paraId="4A19B950">
            <w:pPr>
              <w:ind w:firstLine="420"/>
              <w:jc w:val="center"/>
              <w:rPr>
                <w:rFonts w:hint="default" w:ascii="Times New Roman" w:hAnsi="Times New Roman" w:cs="Times New Roman"/>
                <w:sz w:val="18"/>
                <w:szCs w:val="18"/>
              </w:rPr>
            </w:pPr>
          </w:p>
        </w:tc>
        <w:tc>
          <w:tcPr>
            <w:tcW w:w="699" w:type="pct"/>
            <w:gridSpan w:val="2"/>
            <w:noWrap w:val="0"/>
            <w:vAlign w:val="center"/>
          </w:tcPr>
          <w:p w14:paraId="150C610F">
            <w:pPr>
              <w:jc w:val="center"/>
              <w:rPr>
                <w:rFonts w:hint="default" w:ascii="Times New Roman" w:hAnsi="Times New Roman" w:cs="Times New Roman"/>
                <w:sz w:val="18"/>
                <w:szCs w:val="18"/>
              </w:rPr>
            </w:pPr>
            <w:r>
              <w:rPr>
                <w:rFonts w:hint="default" w:ascii="Times New Roman" w:hAnsi="Times New Roman" w:cs="Times New Roman"/>
                <w:sz w:val="18"/>
                <w:szCs w:val="18"/>
              </w:rPr>
              <w:t>普家村组</w:t>
            </w:r>
          </w:p>
        </w:tc>
        <w:tc>
          <w:tcPr>
            <w:tcW w:w="526" w:type="pct"/>
            <w:noWrap w:val="0"/>
            <w:vAlign w:val="center"/>
          </w:tcPr>
          <w:p w14:paraId="42FF4105">
            <w:pPr>
              <w:jc w:val="center"/>
              <w:rPr>
                <w:rFonts w:hint="default" w:ascii="Times New Roman" w:hAnsi="Times New Roman" w:cs="Times New Roman"/>
                <w:sz w:val="18"/>
                <w:szCs w:val="18"/>
              </w:rPr>
            </w:pPr>
            <w:r>
              <w:rPr>
                <w:rFonts w:hint="default" w:ascii="Times New Roman" w:hAnsi="Times New Roman" w:cs="Times New Roman"/>
                <w:sz w:val="18"/>
                <w:szCs w:val="18"/>
              </w:rPr>
              <w:t>T</w:t>
            </w:r>
            <w:r>
              <w:rPr>
                <w:rFonts w:hint="default" w:ascii="Times New Roman" w:hAnsi="Times New Roman" w:cs="Times New Roman"/>
                <w:sz w:val="18"/>
                <w:szCs w:val="18"/>
                <w:vertAlign w:val="subscript"/>
              </w:rPr>
              <w:t>3</w:t>
            </w:r>
            <w:r>
              <w:rPr>
                <w:rFonts w:hint="default" w:ascii="Times New Roman" w:hAnsi="Times New Roman" w:cs="Times New Roman"/>
                <w:sz w:val="18"/>
                <w:szCs w:val="18"/>
              </w:rPr>
              <w:t>p</w:t>
            </w:r>
          </w:p>
        </w:tc>
        <w:tc>
          <w:tcPr>
            <w:tcW w:w="634" w:type="pct"/>
            <w:noWrap w:val="0"/>
            <w:vAlign w:val="center"/>
          </w:tcPr>
          <w:p w14:paraId="70C2BFBD">
            <w:pPr>
              <w:jc w:val="center"/>
              <w:rPr>
                <w:rFonts w:hint="default" w:ascii="Times New Roman" w:hAnsi="Times New Roman" w:cs="Times New Roman"/>
                <w:sz w:val="18"/>
                <w:szCs w:val="18"/>
              </w:rPr>
            </w:pPr>
            <w:r>
              <w:rPr>
                <w:rFonts w:hint="default" w:ascii="Times New Roman" w:hAnsi="Times New Roman" w:cs="Times New Roman"/>
                <w:sz w:val="18"/>
                <w:szCs w:val="18"/>
              </w:rPr>
              <w:t>200</w:t>
            </w:r>
          </w:p>
        </w:tc>
        <w:tc>
          <w:tcPr>
            <w:tcW w:w="1014" w:type="pct"/>
            <w:vMerge w:val="continue"/>
            <w:noWrap w:val="0"/>
            <w:vAlign w:val="center"/>
          </w:tcPr>
          <w:p w14:paraId="77519019">
            <w:pPr>
              <w:ind w:firstLine="420"/>
              <w:jc w:val="center"/>
              <w:rPr>
                <w:rFonts w:hint="default" w:ascii="Times New Roman" w:hAnsi="Times New Roman" w:cs="Times New Roman"/>
                <w:sz w:val="18"/>
                <w:szCs w:val="18"/>
              </w:rPr>
            </w:pPr>
          </w:p>
        </w:tc>
        <w:tc>
          <w:tcPr>
            <w:tcW w:w="1688" w:type="pct"/>
            <w:noWrap w:val="0"/>
            <w:vAlign w:val="center"/>
          </w:tcPr>
          <w:p w14:paraId="1BF85B55">
            <w:pPr>
              <w:rPr>
                <w:rFonts w:hint="default" w:ascii="Times New Roman" w:hAnsi="Times New Roman" w:cs="Times New Roman"/>
                <w:sz w:val="18"/>
                <w:szCs w:val="18"/>
              </w:rPr>
            </w:pPr>
            <w:r>
              <w:rPr>
                <w:rFonts w:hint="default" w:ascii="Times New Roman" w:hAnsi="Times New Roman" w:cs="Times New Roman"/>
                <w:sz w:val="18"/>
                <w:szCs w:val="18"/>
              </w:rPr>
              <w:t>浅灰色、黄色粉砂岩夹页岩，泥岩。</w:t>
            </w:r>
          </w:p>
        </w:tc>
      </w:tr>
      <w:tr w14:paraId="06DD12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noWrap w:val="0"/>
            <w:vAlign w:val="center"/>
          </w:tcPr>
          <w:p w14:paraId="42CFFA07">
            <w:pPr>
              <w:jc w:val="center"/>
              <w:rPr>
                <w:rFonts w:hint="default" w:ascii="Times New Roman" w:hAnsi="Times New Roman" w:cs="Times New Roman"/>
                <w:sz w:val="18"/>
                <w:szCs w:val="18"/>
              </w:rPr>
            </w:pPr>
            <w:r>
              <w:rPr>
                <w:rFonts w:hint="default" w:ascii="Times New Roman" w:hAnsi="Times New Roman" w:cs="Times New Roman"/>
                <w:sz w:val="18"/>
                <w:szCs w:val="18"/>
              </w:rPr>
              <w:t>震旦系</w:t>
            </w:r>
          </w:p>
        </w:tc>
        <w:tc>
          <w:tcPr>
            <w:tcW w:w="699" w:type="pct"/>
            <w:gridSpan w:val="2"/>
            <w:noWrap w:val="0"/>
            <w:vAlign w:val="center"/>
          </w:tcPr>
          <w:p w14:paraId="1620474E">
            <w:pPr>
              <w:widowControl/>
              <w:jc w:val="center"/>
              <w:rPr>
                <w:rFonts w:hint="default" w:ascii="Times New Roman" w:hAnsi="Times New Roman" w:cs="Times New Roman"/>
                <w:sz w:val="18"/>
                <w:szCs w:val="18"/>
              </w:rPr>
            </w:pPr>
            <w:r>
              <w:rPr>
                <w:rFonts w:hint="default" w:ascii="Times New Roman" w:hAnsi="Times New Roman" w:cs="Times New Roman"/>
                <w:sz w:val="18"/>
                <w:szCs w:val="18"/>
              </w:rPr>
              <w:t>澄江组</w:t>
            </w:r>
          </w:p>
        </w:tc>
        <w:tc>
          <w:tcPr>
            <w:tcW w:w="526" w:type="pct"/>
            <w:noWrap w:val="0"/>
            <w:vAlign w:val="center"/>
          </w:tcPr>
          <w:p w14:paraId="3DCCD4BF">
            <w:pPr>
              <w:jc w:val="center"/>
              <w:rPr>
                <w:rFonts w:hint="default" w:ascii="Times New Roman" w:hAnsi="Times New Roman" w:cs="Times New Roman"/>
                <w:sz w:val="18"/>
                <w:szCs w:val="18"/>
              </w:rPr>
            </w:pPr>
            <w:r>
              <w:rPr>
                <w:rFonts w:hint="default" w:ascii="Times New Roman" w:hAnsi="Times New Roman" w:cs="Times New Roman"/>
                <w:sz w:val="18"/>
                <w:szCs w:val="18"/>
              </w:rPr>
              <w:t>Zac</w:t>
            </w:r>
          </w:p>
        </w:tc>
        <w:tc>
          <w:tcPr>
            <w:tcW w:w="634" w:type="pct"/>
            <w:noWrap w:val="0"/>
            <w:vAlign w:val="center"/>
          </w:tcPr>
          <w:p w14:paraId="1C4F6A02">
            <w:pPr>
              <w:jc w:val="center"/>
              <w:rPr>
                <w:rFonts w:hint="default" w:ascii="Times New Roman" w:hAnsi="Times New Roman" w:cs="Times New Roman"/>
                <w:sz w:val="18"/>
                <w:szCs w:val="18"/>
              </w:rPr>
            </w:pPr>
            <w:r>
              <w:rPr>
                <w:rFonts w:hint="default" w:ascii="Times New Roman" w:hAnsi="Times New Roman" w:cs="Times New Roman"/>
                <w:sz w:val="18"/>
                <w:szCs w:val="18"/>
              </w:rPr>
              <w:t>&gt;250</w:t>
            </w:r>
          </w:p>
        </w:tc>
        <w:tc>
          <w:tcPr>
            <w:tcW w:w="1014" w:type="pct"/>
            <w:noWrap w:val="0"/>
            <w:vAlign w:val="center"/>
          </w:tcPr>
          <w:p w14:paraId="6F818B67">
            <w:pPr>
              <w:jc w:val="center"/>
              <w:rPr>
                <w:rFonts w:hint="default" w:ascii="Times New Roman" w:hAnsi="Times New Roman" w:cs="Times New Roman"/>
                <w:sz w:val="18"/>
                <w:szCs w:val="18"/>
              </w:rPr>
            </w:pPr>
            <w:r>
              <w:rPr>
                <w:rFonts w:hint="default" w:ascii="Times New Roman" w:hAnsi="Times New Roman" w:cs="Times New Roman"/>
                <w:sz w:val="18"/>
                <w:szCs w:val="18"/>
              </w:rPr>
              <w:t>记亩白南东</w:t>
            </w:r>
          </w:p>
        </w:tc>
        <w:tc>
          <w:tcPr>
            <w:tcW w:w="1688" w:type="pct"/>
            <w:noWrap w:val="0"/>
            <w:vAlign w:val="center"/>
          </w:tcPr>
          <w:p w14:paraId="561EDA15">
            <w:pPr>
              <w:rPr>
                <w:rFonts w:hint="default" w:ascii="Times New Roman" w:hAnsi="Times New Roman" w:cs="Times New Roman"/>
                <w:sz w:val="18"/>
                <w:szCs w:val="18"/>
              </w:rPr>
            </w:pPr>
            <w:r>
              <w:rPr>
                <w:rFonts w:hint="default" w:ascii="Times New Roman" w:hAnsi="Times New Roman" w:cs="Times New Roman"/>
                <w:sz w:val="18"/>
                <w:szCs w:val="18"/>
              </w:rPr>
              <w:t>紫灰、紫红色砾岩及粗粒长石石英砂岩、细砂岩，页岩，砾岩。</w:t>
            </w:r>
          </w:p>
        </w:tc>
      </w:tr>
      <w:tr w14:paraId="2819C2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noWrap w:val="0"/>
            <w:vAlign w:val="center"/>
          </w:tcPr>
          <w:p w14:paraId="6607F4AD">
            <w:pPr>
              <w:jc w:val="center"/>
              <w:rPr>
                <w:rFonts w:hint="default" w:ascii="Times New Roman" w:hAnsi="Times New Roman" w:cs="Times New Roman"/>
                <w:sz w:val="18"/>
                <w:szCs w:val="18"/>
              </w:rPr>
            </w:pPr>
          </w:p>
          <w:p w14:paraId="7576EF31">
            <w:pPr>
              <w:jc w:val="center"/>
              <w:rPr>
                <w:rFonts w:hint="default" w:ascii="Times New Roman" w:hAnsi="Times New Roman" w:cs="Times New Roman"/>
                <w:sz w:val="18"/>
                <w:szCs w:val="18"/>
              </w:rPr>
            </w:pPr>
            <w:r>
              <w:rPr>
                <w:rFonts w:hint="default" w:ascii="Times New Roman" w:hAnsi="Times New Roman" w:cs="Times New Roman"/>
                <w:sz w:val="18"/>
                <w:szCs w:val="18"/>
              </w:rPr>
              <w:t>昆</w:t>
            </w:r>
          </w:p>
          <w:p w14:paraId="726C673C">
            <w:pPr>
              <w:jc w:val="center"/>
              <w:rPr>
                <w:rFonts w:hint="default" w:ascii="Times New Roman" w:hAnsi="Times New Roman" w:cs="Times New Roman"/>
                <w:sz w:val="18"/>
                <w:szCs w:val="18"/>
              </w:rPr>
            </w:pPr>
            <w:r>
              <w:rPr>
                <w:rFonts w:hint="default" w:ascii="Times New Roman" w:hAnsi="Times New Roman" w:cs="Times New Roman"/>
                <w:sz w:val="18"/>
                <w:szCs w:val="18"/>
              </w:rPr>
              <w:t>阳</w:t>
            </w:r>
          </w:p>
          <w:p w14:paraId="2E0B1465">
            <w:pPr>
              <w:jc w:val="center"/>
              <w:rPr>
                <w:rFonts w:hint="default" w:ascii="Times New Roman" w:hAnsi="Times New Roman" w:cs="Times New Roman"/>
                <w:sz w:val="18"/>
                <w:szCs w:val="18"/>
              </w:rPr>
            </w:pPr>
            <w:r>
              <w:rPr>
                <w:rFonts w:hint="default" w:ascii="Times New Roman" w:hAnsi="Times New Roman" w:cs="Times New Roman"/>
                <w:sz w:val="18"/>
                <w:szCs w:val="18"/>
              </w:rPr>
              <w:t>群</w:t>
            </w:r>
          </w:p>
          <w:p w14:paraId="1EBCAB1C">
            <w:pPr>
              <w:ind w:firstLine="420"/>
              <w:jc w:val="center"/>
              <w:rPr>
                <w:rFonts w:hint="default" w:ascii="Times New Roman" w:hAnsi="Times New Roman" w:cs="Times New Roman"/>
                <w:sz w:val="18"/>
                <w:szCs w:val="18"/>
              </w:rPr>
            </w:pPr>
          </w:p>
        </w:tc>
        <w:tc>
          <w:tcPr>
            <w:tcW w:w="699" w:type="pct"/>
            <w:gridSpan w:val="2"/>
            <w:noWrap w:val="0"/>
            <w:vAlign w:val="center"/>
          </w:tcPr>
          <w:p w14:paraId="0B641BF1">
            <w:pPr>
              <w:jc w:val="center"/>
              <w:rPr>
                <w:rFonts w:hint="default" w:ascii="Times New Roman" w:hAnsi="Times New Roman" w:cs="Times New Roman"/>
                <w:sz w:val="18"/>
                <w:szCs w:val="18"/>
              </w:rPr>
            </w:pPr>
            <w:r>
              <w:rPr>
                <w:rFonts w:hint="default" w:ascii="Times New Roman" w:hAnsi="Times New Roman" w:cs="Times New Roman"/>
                <w:sz w:val="18"/>
                <w:szCs w:val="18"/>
              </w:rPr>
              <w:t>绿汁江组</w:t>
            </w:r>
          </w:p>
        </w:tc>
        <w:tc>
          <w:tcPr>
            <w:tcW w:w="526" w:type="pct"/>
            <w:noWrap w:val="0"/>
            <w:vAlign w:val="center"/>
          </w:tcPr>
          <w:p w14:paraId="5821AB0A">
            <w:pPr>
              <w:jc w:val="center"/>
              <w:rPr>
                <w:rFonts w:hint="default" w:ascii="Times New Roman" w:hAnsi="Times New Roman" w:cs="Times New Roman"/>
                <w:sz w:val="18"/>
                <w:szCs w:val="18"/>
              </w:rPr>
            </w:pPr>
            <w:r>
              <w:rPr>
                <w:rFonts w:hint="default" w:ascii="Times New Roman" w:hAnsi="Times New Roman" w:cs="Times New Roman"/>
                <w:sz w:val="18"/>
                <w:szCs w:val="18"/>
              </w:rPr>
              <w:t>Pt</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l</w:t>
            </w:r>
          </w:p>
        </w:tc>
        <w:tc>
          <w:tcPr>
            <w:tcW w:w="634" w:type="pct"/>
            <w:noWrap w:val="0"/>
            <w:vAlign w:val="center"/>
          </w:tcPr>
          <w:p w14:paraId="4CF9BFCB">
            <w:pPr>
              <w:jc w:val="center"/>
              <w:rPr>
                <w:rFonts w:hint="default" w:ascii="Times New Roman" w:hAnsi="Times New Roman" w:cs="Times New Roman"/>
                <w:sz w:val="18"/>
                <w:szCs w:val="18"/>
              </w:rPr>
            </w:pPr>
            <w:r>
              <w:rPr>
                <w:rFonts w:hint="default" w:ascii="Times New Roman" w:hAnsi="Times New Roman" w:cs="Times New Roman"/>
                <w:sz w:val="18"/>
                <w:szCs w:val="18"/>
              </w:rPr>
              <w:t>&gt;850</w:t>
            </w:r>
          </w:p>
        </w:tc>
        <w:tc>
          <w:tcPr>
            <w:tcW w:w="1014" w:type="pct"/>
            <w:noWrap w:val="0"/>
            <w:vAlign w:val="center"/>
          </w:tcPr>
          <w:p w14:paraId="0690BC4B">
            <w:pPr>
              <w:jc w:val="center"/>
              <w:rPr>
                <w:rFonts w:hint="default" w:ascii="Times New Roman" w:hAnsi="Times New Roman" w:cs="Times New Roman"/>
                <w:sz w:val="18"/>
                <w:szCs w:val="18"/>
              </w:rPr>
            </w:pPr>
            <w:r>
              <w:rPr>
                <w:rFonts w:hint="default" w:ascii="Times New Roman" w:hAnsi="Times New Roman" w:cs="Times New Roman"/>
                <w:sz w:val="18"/>
                <w:szCs w:val="18"/>
              </w:rPr>
              <w:t>赵米克</w:t>
            </w:r>
          </w:p>
        </w:tc>
        <w:tc>
          <w:tcPr>
            <w:tcW w:w="1688" w:type="pct"/>
            <w:noWrap w:val="0"/>
            <w:vAlign w:val="center"/>
          </w:tcPr>
          <w:p w14:paraId="41E7D913">
            <w:pPr>
              <w:rPr>
                <w:rFonts w:hint="default" w:ascii="Times New Roman" w:hAnsi="Times New Roman" w:cs="Times New Roman"/>
                <w:sz w:val="18"/>
                <w:szCs w:val="18"/>
              </w:rPr>
            </w:pPr>
            <w:r>
              <w:rPr>
                <w:rFonts w:hint="default" w:ascii="Times New Roman" w:hAnsi="Times New Roman" w:cs="Times New Roman"/>
                <w:sz w:val="18"/>
                <w:szCs w:val="18"/>
              </w:rPr>
              <w:t>灰、浅灰色白云岩，夹岩夹板岩，泥灰岩。</w:t>
            </w:r>
          </w:p>
        </w:tc>
      </w:tr>
      <w:tr w14:paraId="37575A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noWrap w:val="0"/>
            <w:vAlign w:val="center"/>
          </w:tcPr>
          <w:p w14:paraId="60631C86">
            <w:pPr>
              <w:ind w:firstLine="420"/>
              <w:jc w:val="center"/>
              <w:rPr>
                <w:rFonts w:hint="default" w:ascii="Times New Roman" w:hAnsi="Times New Roman" w:cs="Times New Roman"/>
                <w:sz w:val="18"/>
                <w:szCs w:val="18"/>
              </w:rPr>
            </w:pPr>
          </w:p>
        </w:tc>
        <w:tc>
          <w:tcPr>
            <w:tcW w:w="699" w:type="pct"/>
            <w:gridSpan w:val="2"/>
            <w:noWrap w:val="0"/>
            <w:vAlign w:val="center"/>
          </w:tcPr>
          <w:p w14:paraId="255CA983">
            <w:pPr>
              <w:jc w:val="center"/>
              <w:rPr>
                <w:rFonts w:hint="default" w:ascii="Times New Roman" w:hAnsi="Times New Roman" w:cs="Times New Roman"/>
                <w:sz w:val="18"/>
                <w:szCs w:val="18"/>
              </w:rPr>
            </w:pPr>
            <w:r>
              <w:rPr>
                <w:rFonts w:hint="default" w:ascii="Times New Roman" w:hAnsi="Times New Roman" w:cs="Times New Roman"/>
                <w:sz w:val="18"/>
                <w:szCs w:val="18"/>
              </w:rPr>
              <w:t>鹅头厂组</w:t>
            </w:r>
          </w:p>
        </w:tc>
        <w:tc>
          <w:tcPr>
            <w:tcW w:w="526" w:type="pct"/>
            <w:noWrap w:val="0"/>
            <w:vAlign w:val="center"/>
          </w:tcPr>
          <w:p w14:paraId="18F0C803">
            <w:pPr>
              <w:jc w:val="center"/>
              <w:rPr>
                <w:rFonts w:hint="default" w:ascii="Times New Roman" w:hAnsi="Times New Roman" w:cs="Times New Roman"/>
                <w:sz w:val="18"/>
                <w:szCs w:val="18"/>
              </w:rPr>
            </w:pPr>
            <w:r>
              <w:rPr>
                <w:rFonts w:hint="default" w:ascii="Times New Roman" w:hAnsi="Times New Roman" w:cs="Times New Roman"/>
                <w:sz w:val="18"/>
                <w:szCs w:val="18"/>
              </w:rPr>
              <w:t>Pt</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e</w:t>
            </w:r>
          </w:p>
        </w:tc>
        <w:tc>
          <w:tcPr>
            <w:tcW w:w="634" w:type="pct"/>
            <w:noWrap w:val="0"/>
            <w:vAlign w:val="center"/>
          </w:tcPr>
          <w:p w14:paraId="69B1FD99">
            <w:pPr>
              <w:jc w:val="center"/>
              <w:rPr>
                <w:rFonts w:hint="default" w:ascii="Times New Roman" w:hAnsi="Times New Roman" w:cs="Times New Roman"/>
                <w:sz w:val="18"/>
                <w:szCs w:val="18"/>
              </w:rPr>
            </w:pPr>
            <w:r>
              <w:rPr>
                <w:rFonts w:hint="default" w:ascii="Times New Roman" w:hAnsi="Times New Roman" w:cs="Times New Roman"/>
                <w:sz w:val="18"/>
                <w:szCs w:val="18"/>
              </w:rPr>
              <w:t>&gt;1000</w:t>
            </w:r>
          </w:p>
        </w:tc>
        <w:tc>
          <w:tcPr>
            <w:tcW w:w="1014" w:type="pct"/>
            <w:noWrap w:val="0"/>
            <w:vAlign w:val="center"/>
          </w:tcPr>
          <w:p w14:paraId="6773499D">
            <w:pPr>
              <w:jc w:val="center"/>
              <w:rPr>
                <w:rFonts w:hint="default" w:ascii="Times New Roman" w:hAnsi="Times New Roman" w:cs="Times New Roman"/>
                <w:sz w:val="18"/>
                <w:szCs w:val="18"/>
              </w:rPr>
            </w:pPr>
            <w:r>
              <w:rPr>
                <w:rFonts w:hint="default" w:ascii="Times New Roman" w:hAnsi="Times New Roman" w:cs="Times New Roman"/>
                <w:sz w:val="18"/>
                <w:szCs w:val="18"/>
              </w:rPr>
              <w:t>龙潭山以西</w:t>
            </w:r>
          </w:p>
        </w:tc>
        <w:tc>
          <w:tcPr>
            <w:tcW w:w="1688" w:type="pct"/>
            <w:noWrap w:val="0"/>
            <w:vAlign w:val="center"/>
          </w:tcPr>
          <w:p w14:paraId="0C41F0AB">
            <w:pPr>
              <w:rPr>
                <w:rFonts w:hint="default" w:ascii="Times New Roman" w:hAnsi="Times New Roman" w:cs="Times New Roman"/>
                <w:sz w:val="18"/>
                <w:szCs w:val="18"/>
              </w:rPr>
            </w:pPr>
            <w:r>
              <w:rPr>
                <w:rFonts w:hint="default" w:ascii="Times New Roman" w:hAnsi="Times New Roman" w:cs="Times New Roman"/>
                <w:sz w:val="18"/>
                <w:szCs w:val="18"/>
              </w:rPr>
              <w:t>板岩为主，间夹石灰岩、白云岩、千枚岩，砂岩。</w:t>
            </w:r>
          </w:p>
        </w:tc>
      </w:tr>
      <w:tr w14:paraId="68209E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noWrap w:val="0"/>
            <w:vAlign w:val="center"/>
          </w:tcPr>
          <w:p w14:paraId="170642B6">
            <w:pPr>
              <w:ind w:firstLine="420"/>
              <w:jc w:val="center"/>
              <w:rPr>
                <w:rFonts w:hint="default" w:ascii="Times New Roman" w:hAnsi="Times New Roman" w:cs="Times New Roman"/>
                <w:sz w:val="18"/>
                <w:szCs w:val="18"/>
              </w:rPr>
            </w:pPr>
          </w:p>
        </w:tc>
        <w:tc>
          <w:tcPr>
            <w:tcW w:w="699" w:type="pct"/>
            <w:gridSpan w:val="2"/>
            <w:noWrap w:val="0"/>
            <w:vAlign w:val="center"/>
          </w:tcPr>
          <w:p w14:paraId="5BDFAE44">
            <w:pPr>
              <w:jc w:val="center"/>
              <w:rPr>
                <w:rFonts w:hint="default" w:ascii="Times New Roman" w:hAnsi="Times New Roman" w:cs="Times New Roman"/>
                <w:sz w:val="18"/>
                <w:szCs w:val="18"/>
              </w:rPr>
            </w:pPr>
            <w:r>
              <w:rPr>
                <w:rFonts w:hint="default" w:ascii="Times New Roman" w:hAnsi="Times New Roman" w:cs="Times New Roman"/>
                <w:sz w:val="18"/>
                <w:szCs w:val="18"/>
              </w:rPr>
              <w:t>因民组</w:t>
            </w:r>
          </w:p>
        </w:tc>
        <w:tc>
          <w:tcPr>
            <w:tcW w:w="526" w:type="pct"/>
            <w:noWrap w:val="0"/>
            <w:vAlign w:val="center"/>
          </w:tcPr>
          <w:p w14:paraId="1C4DFAEB">
            <w:pPr>
              <w:jc w:val="center"/>
              <w:rPr>
                <w:rFonts w:hint="default" w:ascii="Times New Roman" w:hAnsi="Times New Roman" w:cs="Times New Roman"/>
                <w:sz w:val="18"/>
                <w:szCs w:val="18"/>
              </w:rPr>
            </w:pPr>
            <w:r>
              <w:rPr>
                <w:rFonts w:hint="default" w:ascii="Times New Roman" w:hAnsi="Times New Roman" w:cs="Times New Roman"/>
                <w:sz w:val="18"/>
                <w:szCs w:val="18"/>
              </w:rPr>
              <w:t>Pt</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y</w:t>
            </w:r>
          </w:p>
        </w:tc>
        <w:tc>
          <w:tcPr>
            <w:tcW w:w="634" w:type="pct"/>
            <w:noWrap w:val="0"/>
            <w:vAlign w:val="center"/>
          </w:tcPr>
          <w:p w14:paraId="5B1478BC">
            <w:pPr>
              <w:jc w:val="center"/>
              <w:rPr>
                <w:rFonts w:hint="default" w:ascii="Times New Roman" w:hAnsi="Times New Roman" w:cs="Times New Roman"/>
                <w:sz w:val="18"/>
                <w:szCs w:val="18"/>
              </w:rPr>
            </w:pPr>
            <w:r>
              <w:rPr>
                <w:rFonts w:hint="default" w:ascii="Times New Roman" w:hAnsi="Times New Roman" w:cs="Times New Roman"/>
                <w:sz w:val="18"/>
                <w:szCs w:val="18"/>
              </w:rPr>
              <w:t>100—300</w:t>
            </w:r>
          </w:p>
        </w:tc>
        <w:tc>
          <w:tcPr>
            <w:tcW w:w="1014" w:type="pct"/>
            <w:noWrap w:val="0"/>
            <w:vAlign w:val="center"/>
          </w:tcPr>
          <w:p w14:paraId="16FCD9A4">
            <w:pPr>
              <w:jc w:val="center"/>
              <w:rPr>
                <w:rFonts w:hint="default" w:ascii="Times New Roman" w:hAnsi="Times New Roman" w:cs="Times New Roman"/>
                <w:sz w:val="18"/>
                <w:szCs w:val="18"/>
              </w:rPr>
            </w:pPr>
            <w:r>
              <w:rPr>
                <w:rFonts w:hint="default" w:ascii="Times New Roman" w:hAnsi="Times New Roman" w:cs="Times New Roman"/>
                <w:sz w:val="18"/>
                <w:szCs w:val="18"/>
              </w:rPr>
              <w:t>他革冲</w:t>
            </w:r>
          </w:p>
        </w:tc>
        <w:tc>
          <w:tcPr>
            <w:tcW w:w="1688" w:type="pct"/>
            <w:noWrap w:val="0"/>
            <w:vAlign w:val="center"/>
          </w:tcPr>
          <w:p w14:paraId="5931D746">
            <w:pPr>
              <w:rPr>
                <w:rFonts w:hint="default" w:ascii="Times New Roman" w:hAnsi="Times New Roman" w:cs="Times New Roman"/>
                <w:sz w:val="18"/>
                <w:szCs w:val="18"/>
              </w:rPr>
            </w:pPr>
            <w:r>
              <w:rPr>
                <w:rFonts w:hint="default" w:ascii="Times New Roman" w:hAnsi="Times New Roman" w:cs="Times New Roman"/>
                <w:sz w:val="18"/>
                <w:szCs w:val="18"/>
              </w:rPr>
              <w:t>角砾岩、板岩。</w:t>
            </w:r>
          </w:p>
        </w:tc>
      </w:tr>
      <w:tr w14:paraId="7B393B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noWrap w:val="0"/>
            <w:vAlign w:val="center"/>
          </w:tcPr>
          <w:p w14:paraId="6146548D">
            <w:pPr>
              <w:jc w:val="center"/>
              <w:rPr>
                <w:rFonts w:hint="default" w:ascii="Times New Roman" w:hAnsi="Times New Roman" w:cs="Times New Roman"/>
                <w:sz w:val="18"/>
                <w:szCs w:val="18"/>
              </w:rPr>
            </w:pPr>
          </w:p>
        </w:tc>
        <w:tc>
          <w:tcPr>
            <w:tcW w:w="699" w:type="pct"/>
            <w:gridSpan w:val="2"/>
            <w:noWrap w:val="0"/>
            <w:vAlign w:val="center"/>
          </w:tcPr>
          <w:p w14:paraId="3F04C46F">
            <w:pPr>
              <w:jc w:val="center"/>
              <w:rPr>
                <w:rFonts w:hint="default" w:ascii="Times New Roman" w:hAnsi="Times New Roman" w:cs="Times New Roman"/>
                <w:sz w:val="18"/>
                <w:szCs w:val="18"/>
              </w:rPr>
            </w:pPr>
            <w:r>
              <w:rPr>
                <w:rFonts w:hint="default" w:ascii="Times New Roman" w:hAnsi="Times New Roman" w:cs="Times New Roman"/>
                <w:sz w:val="18"/>
                <w:szCs w:val="18"/>
              </w:rPr>
              <w:t>大龙口组</w:t>
            </w:r>
          </w:p>
        </w:tc>
        <w:tc>
          <w:tcPr>
            <w:tcW w:w="526" w:type="pct"/>
            <w:noWrap w:val="0"/>
            <w:vAlign w:val="center"/>
          </w:tcPr>
          <w:p w14:paraId="7F2D4968">
            <w:pPr>
              <w:jc w:val="center"/>
              <w:rPr>
                <w:rFonts w:hint="default" w:ascii="Times New Roman" w:hAnsi="Times New Roman" w:cs="Times New Roman"/>
                <w:sz w:val="18"/>
                <w:szCs w:val="18"/>
              </w:rPr>
            </w:pPr>
            <w:r>
              <w:rPr>
                <w:rFonts w:hint="default" w:ascii="Times New Roman" w:hAnsi="Times New Roman" w:cs="Times New Roman"/>
                <w:sz w:val="18"/>
                <w:szCs w:val="18"/>
              </w:rPr>
              <w:t>Pt</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d</w:t>
            </w:r>
          </w:p>
        </w:tc>
        <w:tc>
          <w:tcPr>
            <w:tcW w:w="634" w:type="pct"/>
            <w:noWrap w:val="0"/>
            <w:vAlign w:val="center"/>
          </w:tcPr>
          <w:p w14:paraId="7CAB2F61">
            <w:pPr>
              <w:jc w:val="center"/>
              <w:rPr>
                <w:rFonts w:hint="default" w:ascii="Times New Roman" w:hAnsi="Times New Roman" w:cs="Times New Roman"/>
                <w:sz w:val="18"/>
                <w:szCs w:val="18"/>
              </w:rPr>
            </w:pPr>
            <w:r>
              <w:rPr>
                <w:rFonts w:hint="default" w:ascii="Times New Roman" w:hAnsi="Times New Roman" w:cs="Times New Roman"/>
                <w:sz w:val="18"/>
                <w:szCs w:val="18"/>
              </w:rPr>
              <w:t>1700</w:t>
            </w:r>
          </w:p>
        </w:tc>
        <w:tc>
          <w:tcPr>
            <w:tcW w:w="1014" w:type="pct"/>
            <w:noWrap w:val="0"/>
            <w:vAlign w:val="center"/>
          </w:tcPr>
          <w:p w14:paraId="2EA61927">
            <w:pPr>
              <w:jc w:val="center"/>
              <w:rPr>
                <w:rFonts w:hint="default" w:ascii="Times New Roman" w:hAnsi="Times New Roman" w:cs="Times New Roman"/>
                <w:sz w:val="18"/>
                <w:szCs w:val="18"/>
              </w:rPr>
            </w:pPr>
            <w:r>
              <w:rPr>
                <w:rFonts w:hint="default" w:ascii="Times New Roman" w:hAnsi="Times New Roman" w:cs="Times New Roman"/>
                <w:sz w:val="18"/>
                <w:szCs w:val="18"/>
              </w:rPr>
              <w:t>鲁奎山、田房</w:t>
            </w:r>
          </w:p>
        </w:tc>
        <w:tc>
          <w:tcPr>
            <w:tcW w:w="1688" w:type="pct"/>
            <w:noWrap w:val="0"/>
            <w:vAlign w:val="center"/>
          </w:tcPr>
          <w:p w14:paraId="3CC5E1C6">
            <w:pPr>
              <w:rPr>
                <w:rFonts w:hint="default" w:ascii="Times New Roman" w:hAnsi="Times New Roman" w:cs="Times New Roman"/>
                <w:sz w:val="18"/>
                <w:szCs w:val="18"/>
              </w:rPr>
            </w:pPr>
            <w:r>
              <w:rPr>
                <w:rFonts w:hint="default" w:ascii="Times New Roman" w:hAnsi="Times New Roman" w:cs="Times New Roman"/>
                <w:sz w:val="18"/>
                <w:szCs w:val="18"/>
              </w:rPr>
              <w:t>上部：灰、灰黄色薄至中厚层状石灰岩夹薄层泥质灰岩。中部：灰至深灰色中至厚层状石灰岩。</w:t>
            </w:r>
          </w:p>
          <w:p w14:paraId="4A74EBA3">
            <w:pPr>
              <w:rPr>
                <w:rFonts w:hint="default" w:ascii="Times New Roman" w:hAnsi="Times New Roman" w:cs="Times New Roman"/>
                <w:sz w:val="18"/>
                <w:szCs w:val="18"/>
              </w:rPr>
            </w:pPr>
            <w:r>
              <w:rPr>
                <w:rFonts w:hint="default" w:ascii="Times New Roman" w:hAnsi="Times New Roman" w:cs="Times New Roman"/>
                <w:sz w:val="18"/>
                <w:szCs w:val="18"/>
              </w:rPr>
              <w:t>下部：灰、灰黑色薄层条带状灰岩，微纹状炭质石灰岩。</w:t>
            </w:r>
          </w:p>
        </w:tc>
      </w:tr>
      <w:tr w14:paraId="0B2212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noWrap w:val="0"/>
            <w:vAlign w:val="center"/>
          </w:tcPr>
          <w:p w14:paraId="22CCFA59">
            <w:pPr>
              <w:ind w:firstLine="420"/>
              <w:jc w:val="center"/>
              <w:rPr>
                <w:rFonts w:hint="default" w:ascii="Times New Roman" w:hAnsi="Times New Roman" w:cs="Times New Roman"/>
                <w:sz w:val="18"/>
                <w:szCs w:val="18"/>
              </w:rPr>
            </w:pPr>
          </w:p>
        </w:tc>
        <w:tc>
          <w:tcPr>
            <w:tcW w:w="258" w:type="pct"/>
            <w:vMerge w:val="restart"/>
            <w:noWrap w:val="0"/>
            <w:vAlign w:val="center"/>
          </w:tcPr>
          <w:p w14:paraId="2476C69F">
            <w:pPr>
              <w:jc w:val="right"/>
              <w:rPr>
                <w:rFonts w:hint="default" w:ascii="Times New Roman" w:hAnsi="Times New Roman" w:cs="Times New Roman"/>
                <w:sz w:val="18"/>
                <w:szCs w:val="18"/>
              </w:rPr>
            </w:pPr>
            <w:r>
              <w:rPr>
                <w:rFonts w:hint="default" w:ascii="Times New Roman" w:hAnsi="Times New Roman" w:cs="Times New Roman"/>
                <w:sz w:val="18"/>
                <w:szCs w:val="18"/>
              </w:rPr>
              <w:t>黑山头组</w:t>
            </w:r>
          </w:p>
        </w:tc>
        <w:tc>
          <w:tcPr>
            <w:tcW w:w="440" w:type="pct"/>
            <w:noWrap w:val="0"/>
            <w:vAlign w:val="center"/>
          </w:tcPr>
          <w:p w14:paraId="3319F6F3">
            <w:pPr>
              <w:jc w:val="center"/>
              <w:rPr>
                <w:rFonts w:hint="default" w:ascii="Times New Roman" w:hAnsi="Times New Roman" w:cs="Times New Roman"/>
                <w:sz w:val="18"/>
                <w:szCs w:val="18"/>
              </w:rPr>
            </w:pPr>
            <w:r>
              <w:rPr>
                <w:rFonts w:hint="default" w:ascii="Times New Roman" w:hAnsi="Times New Roman" w:cs="Times New Roman"/>
                <w:sz w:val="18"/>
                <w:szCs w:val="18"/>
              </w:rPr>
              <w:t>富</w:t>
            </w:r>
            <w:bookmarkStart w:id="478" w:name="OLE_LINK13"/>
            <w:r>
              <w:rPr>
                <w:rFonts w:hint="default" w:ascii="Times New Roman" w:hAnsi="Times New Roman" w:cs="Times New Roman"/>
                <w:sz w:val="18"/>
                <w:szCs w:val="18"/>
              </w:rPr>
              <w:t>良</w:t>
            </w:r>
            <w:bookmarkEnd w:id="478"/>
            <w:r>
              <w:rPr>
                <w:rFonts w:hint="default" w:ascii="Times New Roman" w:hAnsi="Times New Roman" w:cs="Times New Roman"/>
                <w:sz w:val="18"/>
                <w:szCs w:val="18"/>
              </w:rPr>
              <w:t>棚段</w:t>
            </w:r>
          </w:p>
        </w:tc>
        <w:tc>
          <w:tcPr>
            <w:tcW w:w="526" w:type="pct"/>
            <w:noWrap w:val="0"/>
            <w:vAlign w:val="center"/>
          </w:tcPr>
          <w:p w14:paraId="10129625">
            <w:pPr>
              <w:jc w:val="center"/>
              <w:rPr>
                <w:rFonts w:hint="default" w:ascii="Times New Roman" w:hAnsi="Times New Roman" w:cs="Times New Roman"/>
                <w:sz w:val="18"/>
                <w:szCs w:val="18"/>
              </w:rPr>
            </w:pPr>
            <w:r>
              <w:rPr>
                <w:rFonts w:hint="default" w:ascii="Times New Roman" w:hAnsi="Times New Roman" w:cs="Times New Roman"/>
                <w:sz w:val="18"/>
                <w:szCs w:val="18"/>
              </w:rPr>
              <w:t>Pt</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f</w:t>
            </w:r>
          </w:p>
        </w:tc>
        <w:tc>
          <w:tcPr>
            <w:tcW w:w="634" w:type="pct"/>
            <w:vMerge w:val="restart"/>
            <w:noWrap w:val="0"/>
            <w:vAlign w:val="center"/>
          </w:tcPr>
          <w:p w14:paraId="40269302">
            <w:pPr>
              <w:jc w:val="center"/>
              <w:rPr>
                <w:rFonts w:hint="default" w:ascii="Times New Roman" w:hAnsi="Times New Roman" w:cs="Times New Roman"/>
                <w:sz w:val="18"/>
                <w:szCs w:val="18"/>
              </w:rPr>
            </w:pPr>
            <w:r>
              <w:rPr>
                <w:rFonts w:hint="default" w:ascii="Times New Roman" w:hAnsi="Times New Roman" w:cs="Times New Roman"/>
                <w:sz w:val="18"/>
                <w:szCs w:val="18"/>
              </w:rPr>
              <w:t>&gt;960</w:t>
            </w:r>
          </w:p>
        </w:tc>
        <w:tc>
          <w:tcPr>
            <w:tcW w:w="1014" w:type="pct"/>
            <w:noWrap w:val="0"/>
            <w:vAlign w:val="center"/>
          </w:tcPr>
          <w:p w14:paraId="402C5608">
            <w:pPr>
              <w:jc w:val="center"/>
              <w:rPr>
                <w:rFonts w:hint="default" w:ascii="Times New Roman" w:hAnsi="Times New Roman" w:cs="Times New Roman"/>
                <w:sz w:val="18"/>
                <w:szCs w:val="18"/>
              </w:rPr>
            </w:pPr>
            <w:r>
              <w:rPr>
                <w:rFonts w:hint="default" w:ascii="Times New Roman" w:hAnsi="Times New Roman" w:cs="Times New Roman"/>
                <w:sz w:val="18"/>
                <w:szCs w:val="18"/>
              </w:rPr>
              <w:t>鲁奎山</w:t>
            </w:r>
          </w:p>
        </w:tc>
        <w:tc>
          <w:tcPr>
            <w:tcW w:w="1688" w:type="pct"/>
            <w:noWrap w:val="0"/>
            <w:vAlign w:val="center"/>
          </w:tcPr>
          <w:p w14:paraId="60F87017">
            <w:pPr>
              <w:rPr>
                <w:rFonts w:hint="default" w:ascii="Times New Roman" w:hAnsi="Times New Roman" w:cs="Times New Roman"/>
                <w:sz w:val="18"/>
                <w:szCs w:val="18"/>
              </w:rPr>
            </w:pPr>
            <w:r>
              <w:rPr>
                <w:rFonts w:hint="default" w:ascii="Times New Roman" w:hAnsi="Times New Roman" w:cs="Times New Roman"/>
                <w:sz w:val="18"/>
                <w:szCs w:val="18"/>
              </w:rPr>
              <w:t>晶屑岩屑层凝灰岩及鸭蛋绿色泥灰岩。</w:t>
            </w:r>
          </w:p>
        </w:tc>
      </w:tr>
      <w:tr w14:paraId="2DF993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noWrap w:val="0"/>
            <w:vAlign w:val="center"/>
          </w:tcPr>
          <w:p w14:paraId="25AAFC0E">
            <w:pPr>
              <w:ind w:firstLine="420"/>
              <w:jc w:val="center"/>
              <w:rPr>
                <w:rFonts w:hint="default" w:ascii="Times New Roman" w:hAnsi="Times New Roman" w:cs="Times New Roman"/>
                <w:sz w:val="18"/>
                <w:szCs w:val="18"/>
              </w:rPr>
            </w:pPr>
          </w:p>
        </w:tc>
        <w:tc>
          <w:tcPr>
            <w:tcW w:w="258" w:type="pct"/>
            <w:vMerge w:val="continue"/>
            <w:noWrap w:val="0"/>
            <w:vAlign w:val="center"/>
          </w:tcPr>
          <w:p w14:paraId="740B18EC">
            <w:pPr>
              <w:jc w:val="right"/>
              <w:rPr>
                <w:rFonts w:hint="default" w:ascii="Times New Roman" w:hAnsi="Times New Roman" w:cs="Times New Roman"/>
                <w:sz w:val="18"/>
                <w:szCs w:val="18"/>
              </w:rPr>
            </w:pPr>
          </w:p>
        </w:tc>
        <w:tc>
          <w:tcPr>
            <w:tcW w:w="440" w:type="pct"/>
            <w:noWrap w:val="0"/>
            <w:vAlign w:val="center"/>
          </w:tcPr>
          <w:p w14:paraId="1438B30E">
            <w:pPr>
              <w:jc w:val="center"/>
              <w:rPr>
                <w:rFonts w:hint="default" w:ascii="Times New Roman" w:hAnsi="Times New Roman" w:cs="Times New Roman"/>
                <w:sz w:val="18"/>
                <w:szCs w:val="18"/>
              </w:rPr>
            </w:pPr>
            <w:r>
              <w:rPr>
                <w:rFonts w:hint="default" w:ascii="Times New Roman" w:hAnsi="Times New Roman" w:cs="Times New Roman"/>
                <w:sz w:val="18"/>
                <w:szCs w:val="18"/>
              </w:rPr>
              <w:t>黑山头段</w:t>
            </w:r>
          </w:p>
        </w:tc>
        <w:tc>
          <w:tcPr>
            <w:tcW w:w="526" w:type="pct"/>
            <w:noWrap w:val="0"/>
            <w:vAlign w:val="center"/>
          </w:tcPr>
          <w:p w14:paraId="5633275F">
            <w:pPr>
              <w:jc w:val="center"/>
              <w:rPr>
                <w:rFonts w:hint="default" w:ascii="Times New Roman" w:hAnsi="Times New Roman" w:cs="Times New Roman"/>
                <w:sz w:val="18"/>
                <w:szCs w:val="18"/>
              </w:rPr>
            </w:pPr>
            <w:r>
              <w:rPr>
                <w:rFonts w:hint="default" w:ascii="Times New Roman" w:hAnsi="Times New Roman" w:cs="Times New Roman"/>
                <w:sz w:val="18"/>
                <w:szCs w:val="18"/>
              </w:rPr>
              <w:t>Pt</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hs</w:t>
            </w:r>
          </w:p>
        </w:tc>
        <w:tc>
          <w:tcPr>
            <w:tcW w:w="634" w:type="pct"/>
            <w:vMerge w:val="continue"/>
            <w:noWrap w:val="0"/>
            <w:vAlign w:val="center"/>
          </w:tcPr>
          <w:p w14:paraId="5D2691C5">
            <w:pPr>
              <w:ind w:firstLine="420"/>
              <w:jc w:val="center"/>
              <w:rPr>
                <w:rFonts w:hint="default" w:ascii="Times New Roman" w:hAnsi="Times New Roman" w:cs="Times New Roman"/>
                <w:sz w:val="18"/>
                <w:szCs w:val="18"/>
              </w:rPr>
            </w:pPr>
          </w:p>
        </w:tc>
        <w:tc>
          <w:tcPr>
            <w:tcW w:w="1014" w:type="pct"/>
            <w:noWrap w:val="0"/>
            <w:vAlign w:val="center"/>
          </w:tcPr>
          <w:p w14:paraId="4B2087CA">
            <w:pPr>
              <w:jc w:val="center"/>
              <w:rPr>
                <w:rFonts w:hint="default" w:ascii="Times New Roman" w:hAnsi="Times New Roman" w:cs="Times New Roman"/>
                <w:sz w:val="18"/>
                <w:szCs w:val="18"/>
              </w:rPr>
            </w:pPr>
            <w:r>
              <w:rPr>
                <w:rFonts w:hint="default" w:ascii="Times New Roman" w:hAnsi="Times New Roman" w:cs="Times New Roman"/>
                <w:sz w:val="18"/>
                <w:szCs w:val="18"/>
              </w:rPr>
              <w:t>鲁奎山</w:t>
            </w:r>
          </w:p>
        </w:tc>
        <w:tc>
          <w:tcPr>
            <w:tcW w:w="1688" w:type="pct"/>
            <w:noWrap w:val="0"/>
            <w:vAlign w:val="center"/>
          </w:tcPr>
          <w:p w14:paraId="11BCCC8C">
            <w:pPr>
              <w:rPr>
                <w:rFonts w:hint="default" w:ascii="Times New Roman" w:hAnsi="Times New Roman" w:cs="Times New Roman"/>
                <w:sz w:val="18"/>
                <w:szCs w:val="18"/>
              </w:rPr>
            </w:pPr>
            <w:r>
              <w:rPr>
                <w:rFonts w:hint="default" w:ascii="Times New Roman" w:hAnsi="Times New Roman" w:cs="Times New Roman"/>
                <w:sz w:val="18"/>
                <w:szCs w:val="18"/>
              </w:rPr>
              <w:t>薄至中厚层状石英岩，石英粉砂岩及黑色板岩。</w:t>
            </w:r>
          </w:p>
        </w:tc>
      </w:tr>
      <w:tr w14:paraId="0CB489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noWrap w:val="0"/>
            <w:vAlign w:val="center"/>
          </w:tcPr>
          <w:p w14:paraId="40E5E184">
            <w:pPr>
              <w:ind w:firstLine="420"/>
              <w:jc w:val="center"/>
              <w:rPr>
                <w:rFonts w:hint="default" w:ascii="Times New Roman" w:hAnsi="Times New Roman" w:cs="Times New Roman"/>
                <w:sz w:val="18"/>
                <w:szCs w:val="18"/>
              </w:rPr>
            </w:pPr>
          </w:p>
        </w:tc>
        <w:tc>
          <w:tcPr>
            <w:tcW w:w="699" w:type="pct"/>
            <w:gridSpan w:val="2"/>
            <w:noWrap w:val="0"/>
            <w:vAlign w:val="center"/>
          </w:tcPr>
          <w:p w14:paraId="33C9EA87">
            <w:pPr>
              <w:jc w:val="center"/>
              <w:rPr>
                <w:rFonts w:hint="default" w:ascii="Times New Roman" w:hAnsi="Times New Roman" w:cs="Times New Roman"/>
                <w:sz w:val="18"/>
                <w:szCs w:val="18"/>
              </w:rPr>
            </w:pPr>
            <w:r>
              <w:rPr>
                <w:rFonts w:hint="default" w:ascii="Times New Roman" w:hAnsi="Times New Roman" w:cs="Times New Roman"/>
                <w:sz w:val="18"/>
                <w:szCs w:val="18"/>
              </w:rPr>
              <w:t>黄草岭组</w:t>
            </w:r>
          </w:p>
        </w:tc>
        <w:tc>
          <w:tcPr>
            <w:tcW w:w="526" w:type="pct"/>
            <w:noWrap w:val="0"/>
            <w:vAlign w:val="center"/>
          </w:tcPr>
          <w:p w14:paraId="3A46AB79">
            <w:pPr>
              <w:jc w:val="center"/>
              <w:rPr>
                <w:rFonts w:hint="default" w:ascii="Times New Roman" w:hAnsi="Times New Roman" w:cs="Times New Roman"/>
                <w:sz w:val="18"/>
                <w:szCs w:val="18"/>
              </w:rPr>
            </w:pPr>
            <w:r>
              <w:rPr>
                <w:rFonts w:hint="default" w:ascii="Times New Roman" w:hAnsi="Times New Roman" w:cs="Times New Roman"/>
                <w:sz w:val="18"/>
                <w:szCs w:val="18"/>
              </w:rPr>
              <w:t>Pt</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h</w:t>
            </w:r>
          </w:p>
        </w:tc>
        <w:tc>
          <w:tcPr>
            <w:tcW w:w="634" w:type="pct"/>
            <w:noWrap w:val="0"/>
            <w:vAlign w:val="center"/>
          </w:tcPr>
          <w:p w14:paraId="296DCE89">
            <w:pPr>
              <w:jc w:val="center"/>
              <w:rPr>
                <w:rFonts w:hint="default" w:ascii="Times New Roman" w:hAnsi="Times New Roman" w:cs="Times New Roman"/>
                <w:sz w:val="18"/>
                <w:szCs w:val="18"/>
              </w:rPr>
            </w:pPr>
            <w:r>
              <w:rPr>
                <w:rFonts w:hint="default" w:ascii="Times New Roman" w:hAnsi="Times New Roman" w:cs="Times New Roman"/>
                <w:sz w:val="18"/>
                <w:szCs w:val="18"/>
              </w:rPr>
              <w:t>&gt;1500</w:t>
            </w:r>
          </w:p>
        </w:tc>
        <w:tc>
          <w:tcPr>
            <w:tcW w:w="1014" w:type="pct"/>
            <w:noWrap w:val="0"/>
            <w:vAlign w:val="center"/>
          </w:tcPr>
          <w:p w14:paraId="10E3E695">
            <w:pPr>
              <w:jc w:val="center"/>
              <w:rPr>
                <w:rFonts w:hint="default" w:ascii="Times New Roman" w:hAnsi="Times New Roman" w:cs="Times New Roman"/>
                <w:sz w:val="18"/>
                <w:szCs w:val="18"/>
              </w:rPr>
            </w:pPr>
            <w:r>
              <w:rPr>
                <w:rFonts w:hint="default" w:ascii="Times New Roman" w:hAnsi="Times New Roman" w:cs="Times New Roman"/>
                <w:sz w:val="18"/>
                <w:szCs w:val="18"/>
              </w:rPr>
              <w:t>鲁奎山以南</w:t>
            </w:r>
          </w:p>
        </w:tc>
        <w:tc>
          <w:tcPr>
            <w:tcW w:w="1688" w:type="pct"/>
            <w:noWrap w:val="0"/>
            <w:vAlign w:val="center"/>
          </w:tcPr>
          <w:p w14:paraId="4E860E82">
            <w:pPr>
              <w:rPr>
                <w:rFonts w:hint="default" w:ascii="Times New Roman" w:hAnsi="Times New Roman" w:cs="Times New Roman"/>
                <w:sz w:val="18"/>
                <w:szCs w:val="18"/>
              </w:rPr>
            </w:pPr>
            <w:r>
              <w:rPr>
                <w:rFonts w:hint="default" w:ascii="Times New Roman" w:hAnsi="Times New Roman" w:cs="Times New Roman"/>
                <w:sz w:val="18"/>
                <w:szCs w:val="18"/>
              </w:rPr>
              <w:t>黑色板岩，粉砂质板岩，千枚岩夹粉砂岩、砂岩。</w:t>
            </w:r>
          </w:p>
        </w:tc>
      </w:tr>
    </w:tbl>
    <w:p w14:paraId="59B97445">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default" w:ascii="Times New Roman" w:hAnsi="Times New Roman" w:cs="Times New Roman"/>
        </w:rPr>
        <w:t>.3.</w:t>
      </w:r>
      <w:r>
        <w:rPr>
          <w:rFonts w:hint="default" w:ascii="Times New Roman" w:hAnsi="Times New Roman" w:cs="Times New Roman"/>
          <w:lang w:val="en-US" w:eastAsia="zh-CN"/>
        </w:rPr>
        <w:t>2</w:t>
      </w:r>
      <w:r>
        <w:rPr>
          <w:rFonts w:hint="default" w:ascii="Times New Roman" w:hAnsi="Times New Roman" w:cs="Times New Roman"/>
        </w:rPr>
        <w:t>水文</w:t>
      </w:r>
      <w:bookmarkEnd w:id="477"/>
      <w:r>
        <w:rPr>
          <w:rFonts w:hint="default" w:ascii="Times New Roman" w:hAnsi="Times New Roman" w:cs="Times New Roman"/>
          <w:lang w:val="en-US" w:eastAsia="zh-CN"/>
        </w:rPr>
        <w:t>地质特征</w:t>
      </w:r>
    </w:p>
    <w:p w14:paraId="65F2C18F">
      <w:pPr>
        <w:adjustRightInd w:val="0"/>
        <w:snapToGrid w:val="0"/>
        <w:spacing w:line="360" w:lineRule="auto"/>
        <w:ind w:firstLine="560"/>
        <w:rPr>
          <w:rFonts w:hint="default" w:ascii="Times New Roman" w:hAnsi="Times New Roman" w:eastAsia="宋体" w:cs="Times New Roman"/>
          <w:b w:val="0"/>
          <w:bCs/>
          <w:sz w:val="24"/>
        </w:rPr>
      </w:pPr>
      <w:r>
        <w:rPr>
          <w:rFonts w:hint="default" w:ascii="Times New Roman" w:hAnsi="Times New Roman" w:eastAsia="宋体" w:cs="Times New Roman"/>
          <w:b w:val="0"/>
          <w:bCs/>
          <w:sz w:val="24"/>
        </w:rPr>
        <w:t>1、地下水类型、含隔水层（组）划分及其特征</w:t>
      </w:r>
    </w:p>
    <w:p w14:paraId="14B868D8">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根据含水层（组）岩性、地下水赋存条件、水力性质、特征，将区域内地下水划分为5种类型：第四系（Q）松散堆积物孔隙含（透）水层；三叠系上统干海子组（T</w:t>
      </w:r>
      <w:r>
        <w:rPr>
          <w:rFonts w:hint="default" w:ascii="Times New Roman" w:hAnsi="Times New Roman" w:cs="Times New Roman"/>
          <w:sz w:val="24"/>
          <w:vertAlign w:val="subscript"/>
        </w:rPr>
        <w:t>2</w:t>
      </w:r>
      <w:r>
        <w:rPr>
          <w:rFonts w:hint="default" w:ascii="Times New Roman" w:hAnsi="Times New Roman" w:cs="Times New Roman"/>
          <w:i/>
          <w:sz w:val="24"/>
        </w:rPr>
        <w:t>g</w:t>
      </w:r>
      <w:r>
        <w:rPr>
          <w:rFonts w:hint="default" w:ascii="Times New Roman" w:hAnsi="Times New Roman" w:cs="Times New Roman"/>
          <w:sz w:val="24"/>
        </w:rPr>
        <w:t>）碎屑岩类裂隙水极弱含水层（相对隔水层）；昆阳群大龙口组下段（Pt</w:t>
      </w:r>
      <w:r>
        <w:rPr>
          <w:rFonts w:hint="default" w:ascii="Times New Roman" w:hAnsi="Times New Roman" w:cs="Times New Roman"/>
          <w:sz w:val="24"/>
          <w:vertAlign w:val="subscript"/>
        </w:rPr>
        <w:t>1</w:t>
      </w:r>
      <w:r>
        <w:rPr>
          <w:rFonts w:hint="default" w:ascii="Times New Roman" w:hAnsi="Times New Roman" w:cs="Times New Roman"/>
          <w:i/>
          <w:sz w:val="24"/>
        </w:rPr>
        <w:t>d</w:t>
      </w:r>
      <w:r>
        <w:rPr>
          <w:rFonts w:hint="default" w:ascii="Times New Roman" w:hAnsi="Times New Roman" w:cs="Times New Roman"/>
          <w:sz w:val="24"/>
          <w:vertAlign w:val="superscript"/>
        </w:rPr>
        <w:t>a</w:t>
      </w:r>
      <w:r>
        <w:rPr>
          <w:rFonts w:hint="default" w:ascii="Times New Roman" w:hAnsi="Times New Roman" w:cs="Times New Roman"/>
          <w:sz w:val="24"/>
        </w:rPr>
        <w:t>）碳酸盐岩类岩溶裂隙含水层（组）；昆阳群富良棚组（Pt</w:t>
      </w:r>
      <w:r>
        <w:rPr>
          <w:rFonts w:hint="default" w:ascii="Times New Roman" w:hAnsi="Times New Roman" w:cs="Times New Roman"/>
          <w:sz w:val="24"/>
          <w:vertAlign w:val="subscript"/>
        </w:rPr>
        <w:t>2</w:t>
      </w:r>
      <w:r>
        <w:rPr>
          <w:rFonts w:hint="default" w:ascii="Times New Roman" w:hAnsi="Times New Roman" w:cs="Times New Roman"/>
          <w:i/>
          <w:sz w:val="24"/>
        </w:rPr>
        <w:t>f</w:t>
      </w:r>
      <w:r>
        <w:rPr>
          <w:rFonts w:hint="default" w:ascii="Times New Roman" w:hAnsi="Times New Roman" w:cs="Times New Roman"/>
          <w:sz w:val="24"/>
        </w:rPr>
        <w:t>）、黑山头组（Pt</w:t>
      </w:r>
      <w:r>
        <w:rPr>
          <w:rFonts w:hint="default" w:ascii="Times New Roman" w:hAnsi="Times New Roman" w:cs="Times New Roman"/>
          <w:sz w:val="24"/>
          <w:vertAlign w:val="subscript"/>
        </w:rPr>
        <w:t>2</w:t>
      </w:r>
      <w:r>
        <w:rPr>
          <w:rFonts w:hint="default" w:ascii="Times New Roman" w:hAnsi="Times New Roman" w:cs="Times New Roman"/>
          <w:i/>
          <w:sz w:val="24"/>
        </w:rPr>
        <w:t>hs</w:t>
      </w:r>
      <w:r>
        <w:rPr>
          <w:rFonts w:hint="default" w:ascii="Times New Roman" w:hAnsi="Times New Roman" w:cs="Times New Roman"/>
          <w:sz w:val="24"/>
        </w:rPr>
        <w:t>）变质岩裂隙水极弱含水层（组）（相对隔水层）；辉绿岩（βμ）火成岩风化带网状裂隙极弱含水层（隔水层）。各含、隔水层水文地质特征如下：</w:t>
      </w:r>
    </w:p>
    <w:p w14:paraId="41FE262A">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（1）第四系（Q）松散堆积物孔隙含（透）水层</w:t>
      </w:r>
    </w:p>
    <w:p w14:paraId="5CC38884">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第四系松散堆积层主要为残坡积红粘土、砂质含砾粘土及洪积砂砾石，分布在低洼凹地及冲沟中。分布在灰岩区的松散堆积层透水，而在砂页岩分布区的低洼处的松散堆积层雨季时含孔隙水，枯季时不含水为透水层。冲积砂砾石分布在河谷阶地中，含孔隙水。第四系松散堆积层分布零星，厚度0～30 m。</w:t>
      </w:r>
    </w:p>
    <w:p w14:paraId="263EF736">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（2）三叠系上统干海子组（T</w:t>
      </w:r>
      <w:r>
        <w:rPr>
          <w:rFonts w:hint="default" w:ascii="Times New Roman" w:hAnsi="Times New Roman" w:cs="Times New Roman"/>
          <w:sz w:val="24"/>
          <w:vertAlign w:val="subscript"/>
        </w:rPr>
        <w:t>3</w:t>
      </w:r>
      <w:r>
        <w:rPr>
          <w:rFonts w:hint="default" w:ascii="Times New Roman" w:hAnsi="Times New Roman" w:cs="Times New Roman"/>
          <w:iCs/>
          <w:sz w:val="24"/>
        </w:rPr>
        <w:t>g</w:t>
      </w:r>
      <w:r>
        <w:rPr>
          <w:rFonts w:hint="default" w:ascii="Times New Roman" w:hAnsi="Times New Roman" w:cs="Times New Roman"/>
          <w:sz w:val="24"/>
        </w:rPr>
        <w:t xml:space="preserve">）砂页岩相对隔水层 </w:t>
      </w:r>
    </w:p>
    <w:p w14:paraId="2DD087A1">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该层出露较少，零星分布。岩性上部为页岩，中部为粉砂质页岩、粉砂岩及细砂岩互层，底部为硅铁质胶结的砾岩；裂隙不发育；残留厚度0～100 m，为相对隔水层。</w:t>
      </w:r>
    </w:p>
    <w:p w14:paraId="381AB43D">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（3）昆阳群大龙口组下段（Pt</w:t>
      </w:r>
      <w:r>
        <w:rPr>
          <w:rFonts w:hint="default" w:ascii="Times New Roman" w:hAnsi="Times New Roman" w:cs="Times New Roman"/>
          <w:sz w:val="24"/>
          <w:vertAlign w:val="subscript"/>
        </w:rPr>
        <w:t>2</w:t>
      </w:r>
      <w:r>
        <w:rPr>
          <w:rFonts w:hint="default" w:ascii="Times New Roman" w:hAnsi="Times New Roman" w:cs="Times New Roman"/>
          <w:sz w:val="24"/>
          <w:vertAlign w:val="superscript"/>
        </w:rPr>
        <w:t xml:space="preserve"> </w:t>
      </w:r>
      <w:r>
        <w:rPr>
          <w:rFonts w:hint="default" w:ascii="Times New Roman" w:hAnsi="Times New Roman" w:cs="Times New Roman"/>
          <w:i/>
          <w:iCs/>
          <w:sz w:val="24"/>
        </w:rPr>
        <w:t>d</w:t>
      </w:r>
      <w:r>
        <w:rPr>
          <w:rFonts w:hint="default" w:ascii="Times New Roman" w:hAnsi="Times New Roman" w:cs="Times New Roman"/>
          <w:sz w:val="24"/>
          <w:vertAlign w:val="superscript"/>
        </w:rPr>
        <w:t xml:space="preserve"> a</w:t>
      </w:r>
      <w:r>
        <w:rPr>
          <w:rFonts w:hint="default" w:ascii="Times New Roman" w:hAnsi="Times New Roman" w:cs="Times New Roman"/>
          <w:sz w:val="24"/>
        </w:rPr>
        <w:t>）灰岩岩溶裂隙含水层（组）</w:t>
      </w:r>
    </w:p>
    <w:p w14:paraId="4D18169B">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分布于矿区中东部，为区内出露最大的地层。岩性为灰、深灰色灰岩，厚＞1000 m，含岩溶裂隙水。据原勘探资料，区域出露泉水较多，枯季泉水流量为0.01～5.64L/s；地下径流模数：枯季为0.66 L/s·km</w:t>
      </w:r>
      <w:r>
        <w:rPr>
          <w:rFonts w:hint="default" w:ascii="Times New Roman" w:hAnsi="Times New Roman" w:cs="Times New Roman"/>
          <w:sz w:val="24"/>
          <w:vertAlign w:val="superscript"/>
        </w:rPr>
        <w:t>2</w:t>
      </w:r>
      <w:r>
        <w:rPr>
          <w:rFonts w:hint="default" w:ascii="Times New Roman" w:hAnsi="Times New Roman" w:cs="Times New Roman"/>
          <w:sz w:val="24"/>
        </w:rPr>
        <w:t>，雨季为9.76 L/s·km</w:t>
      </w:r>
      <w:r>
        <w:rPr>
          <w:rFonts w:hint="default" w:ascii="Times New Roman" w:hAnsi="Times New Roman" w:cs="Times New Roman"/>
          <w:sz w:val="24"/>
          <w:vertAlign w:val="superscript"/>
        </w:rPr>
        <w:t>2</w:t>
      </w:r>
      <w:r>
        <w:rPr>
          <w:rFonts w:hint="default" w:ascii="Times New Roman" w:hAnsi="Times New Roman" w:cs="Times New Roman"/>
          <w:sz w:val="24"/>
        </w:rPr>
        <w:t>；水化学类型为HCO</w:t>
      </w:r>
      <w:r>
        <w:rPr>
          <w:rFonts w:hint="default" w:ascii="Times New Roman" w:hAnsi="Times New Roman" w:cs="Times New Roman"/>
          <w:sz w:val="24"/>
          <w:vertAlign w:val="subscript"/>
        </w:rPr>
        <w:t>3</w:t>
      </w:r>
      <w:r>
        <w:rPr>
          <w:rFonts w:hint="default" w:ascii="Times New Roman" w:hAnsi="Times New Roman" w:cs="Times New Roman"/>
          <w:sz w:val="24"/>
        </w:rPr>
        <w:t>-Ca·Mg型水。该层组在剖面上可分为上部强透水带、中部弱含水带和下部极微弱含水带，总体富水性弱。矿体赋存于该含水层中，它是矿床充水的主要含水层。</w:t>
      </w:r>
    </w:p>
    <w:p w14:paraId="6A870C69">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（4）昆阳群富良棚组（Pt</w:t>
      </w:r>
      <w:r>
        <w:rPr>
          <w:rFonts w:hint="default" w:ascii="Times New Roman" w:hAnsi="Times New Roman" w:cs="Times New Roman"/>
          <w:sz w:val="24"/>
          <w:vertAlign w:val="subscript"/>
        </w:rPr>
        <w:t>2</w:t>
      </w:r>
      <w:r>
        <w:rPr>
          <w:rFonts w:hint="default" w:ascii="Times New Roman" w:hAnsi="Times New Roman" w:cs="Times New Roman"/>
          <w:i/>
          <w:iCs/>
          <w:sz w:val="24"/>
        </w:rPr>
        <w:t>f</w:t>
      </w:r>
      <w:r>
        <w:rPr>
          <w:rFonts w:hint="default" w:ascii="Times New Roman" w:hAnsi="Times New Roman" w:cs="Times New Roman"/>
          <w:sz w:val="24"/>
        </w:rPr>
        <w:t>）凝灰岩夹泥灰岩相对隔水层</w:t>
      </w:r>
    </w:p>
    <w:p w14:paraId="665BE37B">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分布于大龙口组外围，岩性为灰绿色晶屑岩屑凝灰岩夹泥灰岩，厚度201 m。该层在区内未见泉水出露，为相对隔水层。</w:t>
      </w:r>
    </w:p>
    <w:p w14:paraId="132BCF2F">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（5）昆阳群黑山头组（Pt</w:t>
      </w:r>
      <w:r>
        <w:rPr>
          <w:rFonts w:hint="default" w:ascii="Times New Roman" w:hAnsi="Times New Roman" w:cs="Times New Roman"/>
          <w:sz w:val="24"/>
          <w:vertAlign w:val="subscript"/>
        </w:rPr>
        <w:t>2</w:t>
      </w:r>
      <w:r>
        <w:rPr>
          <w:rFonts w:hint="default" w:ascii="Times New Roman" w:hAnsi="Times New Roman" w:cs="Times New Roman"/>
          <w:i/>
          <w:iCs/>
          <w:sz w:val="24"/>
        </w:rPr>
        <w:t>hs</w:t>
      </w:r>
      <w:r>
        <w:rPr>
          <w:rFonts w:hint="default" w:ascii="Times New Roman" w:hAnsi="Times New Roman" w:cs="Times New Roman"/>
          <w:sz w:val="24"/>
        </w:rPr>
        <w:t>） 石英砂岩、板岩相对隔水层</w:t>
      </w:r>
    </w:p>
    <w:p w14:paraId="137FD841">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lang w:val="en-US" w:eastAsia="zh-CN"/>
        </w:rPr>
        <w:t>本项目出露地层，</w:t>
      </w:r>
      <w:r>
        <w:rPr>
          <w:rFonts w:hint="default" w:ascii="Times New Roman" w:hAnsi="Times New Roman" w:cs="Times New Roman"/>
          <w:sz w:val="24"/>
        </w:rPr>
        <w:t>分布于大龙口组和富良棚组外围，岩性为石英砂岩、板岩互层，厚度&gt;1000 m；该层中的石英岩在地形低洼处的风化裂隙带含浅层风化裂隙水，水量甚微，枯季时断流。该层与灰岩接触时起阻水作用，为相对隔水层。</w:t>
      </w:r>
    </w:p>
    <w:p w14:paraId="1C61B1EB">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（6）辉绿岩（βμ）相对隔水层</w:t>
      </w:r>
    </w:p>
    <w:p w14:paraId="74B5B410">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区内火成岩主要为辉绿岩岩脉、岩床，区内出露较少。辉绿岩裂隙不发育，为相对隔水岩体。</w:t>
      </w:r>
    </w:p>
    <w:p w14:paraId="31D23C1B">
      <w:pPr>
        <w:adjustRightInd w:val="0"/>
        <w:snapToGrid w:val="0"/>
        <w:spacing w:line="360" w:lineRule="auto"/>
        <w:ind w:firstLine="560"/>
        <w:rPr>
          <w:rFonts w:hint="default" w:ascii="Times New Roman" w:hAnsi="Times New Roman" w:cs="Times New Roman"/>
          <w:b/>
          <w:sz w:val="24"/>
        </w:rPr>
      </w:pPr>
      <w:r>
        <w:rPr>
          <w:rFonts w:hint="default" w:ascii="Times New Roman" w:hAnsi="Times New Roman" w:cs="Times New Roman"/>
          <w:b/>
          <w:sz w:val="24"/>
          <w:lang w:val="en-US" w:eastAsia="zh-CN"/>
        </w:rPr>
        <w:t>2</w:t>
      </w:r>
      <w:r>
        <w:rPr>
          <w:rFonts w:hint="default" w:ascii="Times New Roman" w:hAnsi="Times New Roman" w:cs="Times New Roman"/>
          <w:b/>
          <w:sz w:val="24"/>
        </w:rPr>
        <w:t>、区域地下水补、径、排特征</w:t>
      </w:r>
    </w:p>
    <w:p w14:paraId="0E77B5FF">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鲁奎山铁矿在构造上为一轴向北西—南东的向斜，北西端扬起，向南东倾伏，昆阳群大龙口组灰岩组成向斜核部及内翼，为区内主要含水层。昆阳群黑山头组石英岩、板岩及凝灰岩组成向斜外翼，属隔水层。由于隔水层的封闭，使鲁奎山为一完整的水文地质单元，地下水由降雨补给，沿灰岩中的裂隙、溶洞运动，最后由山麓河谷地段的泉水排泄。</w:t>
      </w:r>
    </w:p>
    <w:p w14:paraId="5D2A3656">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鲁奎山铁矿区广泛出露的昆阳群大龙口组灰岩是区内地下水物质基础，丰富的降雨为区内地下水提供了补给来源，构造运动造成含水的灰岩和相对隔水的板岩和凝灰岩在空间上的复杂组合，因而构造条件控制了矿区含水体的空间展布，构造和地形条件又一起控制了地下水的补给和排泄。鲁奎山在地貌上为一岩溶断块山地，山岭灰岩裸露，有利于降雨的渗入补给，山麓地带因断层错动含水层与隔水层接触而形成排泄边界或因含水层被河流侵蚀切割而形成排泄边界。根据山岭的地下分水岭和山麓地带的隔水边界及排泄边界将全区分为三个补给—径流—排泄区。</w:t>
      </w:r>
    </w:p>
    <w:p w14:paraId="702D5489">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（1）麻拉依区：以新寨—鲁奎山—丕且莫一线的地下分水岭为补给边界，以F</w:t>
      </w:r>
      <w:r>
        <w:rPr>
          <w:rFonts w:hint="default" w:ascii="Times New Roman" w:hAnsi="Times New Roman" w:cs="Times New Roman"/>
          <w:sz w:val="24"/>
          <w:vertAlign w:val="subscript"/>
        </w:rPr>
        <w:t>13</w:t>
      </w:r>
      <w:r>
        <w:rPr>
          <w:rFonts w:hint="default" w:ascii="Times New Roman" w:hAnsi="Times New Roman" w:cs="Times New Roman"/>
          <w:sz w:val="24"/>
        </w:rPr>
        <w:t>断层西段为排泄边界，地下水由北向南运动，因隔水层的阻挡而在山麓以泉水形式排泄出地表。麻拉依矿段即位于该区的补给带中。</w:t>
      </w:r>
    </w:p>
    <w:p w14:paraId="6BFD25C9">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（2）田房区：本区以新寨—鲁奎山—雨布一线的地下分水岭为补给边界，以田房一带的含隔水层接触界线为排泄边界，地下水由南向北运动，因受隔水层阻挡而成泉水形式排泄出地表。</w:t>
      </w:r>
    </w:p>
    <w:p w14:paraId="1FE81238">
      <w:pPr>
        <w:adjustRightInd w:val="0"/>
        <w:snapToGrid w:val="0"/>
        <w:spacing w:line="360" w:lineRule="auto"/>
        <w:ind w:firstLine="560"/>
        <w:rPr>
          <w:rFonts w:hint="default" w:ascii="Times New Roman" w:hAnsi="Times New Roman" w:cs="Times New Roman"/>
          <w:sz w:val="24"/>
        </w:rPr>
      </w:pPr>
      <w:r>
        <w:rPr>
          <w:rFonts w:hint="default" w:ascii="Times New Roman" w:hAnsi="Times New Roman" w:cs="Times New Roman"/>
          <w:sz w:val="24"/>
        </w:rPr>
        <w:t>（3）野猪塘区：本区以丕且莫—鲁奎山—雨布一线的地下分水岭为补给边界，以山麓地带的含隔水层接触界线及小河底河为排泄边界，地下水由西向东运动，因受隔水层阻挡或因河谷侵蚀而以泉水形式排泄出地表。</w:t>
      </w:r>
    </w:p>
    <w:p w14:paraId="2548CFAB">
      <w:pPr>
        <w:autoSpaceDE w:val="0"/>
        <w:autoSpaceDN w:val="0"/>
        <w:adjustRightInd w:val="0"/>
        <w:spacing w:line="360" w:lineRule="auto"/>
        <w:ind w:firstLine="560"/>
        <w:rPr>
          <w:rFonts w:hint="default" w:ascii="Times New Roman" w:hAnsi="Times New Roman" w:cs="Times New Roman"/>
          <w:color w:val="auto"/>
          <w:szCs w:val="28"/>
        </w:rPr>
      </w:pPr>
      <w:r>
        <w:rPr>
          <w:rFonts w:hint="default" w:ascii="Times New Roman" w:hAnsi="Times New Roman" w:cs="Times New Roman"/>
          <w:color w:val="auto"/>
          <w:szCs w:val="24"/>
        </w:rPr>
        <w:t>本项目位于水文地质Ⅰ单元（麻拉依区）</w:t>
      </w:r>
      <w:r>
        <w:rPr>
          <w:rFonts w:hint="default" w:ascii="Times New Roman" w:hAnsi="Times New Roman" w:cs="Times New Roman"/>
          <w:color w:val="auto"/>
          <w:szCs w:val="28"/>
        </w:rPr>
        <w:t>，</w:t>
      </w:r>
      <w:r>
        <w:rPr>
          <w:rFonts w:hint="default" w:ascii="Times New Roman" w:hAnsi="Times New Roman" w:cs="Times New Roman"/>
          <w:bCs/>
          <w:sz w:val="24"/>
        </w:rPr>
        <w:t>黑山头组（Pt</w:t>
      </w:r>
      <w:r>
        <w:rPr>
          <w:rFonts w:hint="default" w:ascii="Times New Roman" w:hAnsi="Times New Roman" w:cs="Times New Roman"/>
          <w:bCs/>
          <w:sz w:val="24"/>
          <w:vertAlign w:val="subscript"/>
        </w:rPr>
        <w:t>2</w:t>
      </w:r>
      <w:r>
        <w:rPr>
          <w:rFonts w:hint="default" w:ascii="Times New Roman" w:hAnsi="Times New Roman" w:cs="Times New Roman"/>
          <w:bCs/>
          <w:i/>
          <w:iCs/>
          <w:sz w:val="24"/>
        </w:rPr>
        <w:t>hs</w:t>
      </w:r>
      <w:r>
        <w:rPr>
          <w:rFonts w:hint="default" w:ascii="Times New Roman" w:hAnsi="Times New Roman" w:cs="Times New Roman"/>
          <w:bCs/>
          <w:sz w:val="24"/>
        </w:rPr>
        <w:t>）石英砂岩、板岩相对隔水层</w:t>
      </w:r>
      <w:r>
        <w:rPr>
          <w:rFonts w:hint="default" w:ascii="Times New Roman" w:hAnsi="Times New Roman" w:cs="Times New Roman"/>
          <w:color w:val="auto"/>
          <w:szCs w:val="28"/>
        </w:rPr>
        <w:t>。主要接受大气降水补给，以蒸发、向下部岩层渗透、通过溶洞、裂隙方式进行深部径流，以矿山矿坑排水、泉等方式向南侧斜查拉河排泄。</w:t>
      </w:r>
    </w:p>
    <w:p w14:paraId="436D4BF1">
      <w:pPr>
        <w:pStyle w:val="6"/>
        <w:spacing w:before="0" w:after="0" w:line="360" w:lineRule="auto"/>
        <w:rPr>
          <w:rFonts w:hint="default" w:ascii="Times New Roman" w:hAnsi="Times New Roman" w:cs="Times New Roman"/>
          <w:sz w:val="24"/>
          <w:szCs w:val="24"/>
        </w:rPr>
      </w:pPr>
      <w:bookmarkStart w:id="479" w:name="_Toc5422"/>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泉点利用情况调查</w:t>
      </w:r>
    </w:p>
    <w:p w14:paraId="14938AD1">
      <w:pPr>
        <w:pStyle w:val="17"/>
        <w:spacing w:line="360" w:lineRule="auto"/>
        <w:ind w:firstLine="480"/>
        <w:rPr>
          <w:rFonts w:hint="default" w:ascii="Times New Roman" w:hAnsi="Times New Roman" w:cs="Times New Roman"/>
          <w:sz w:val="24"/>
        </w:rPr>
      </w:pPr>
      <w:r>
        <w:rPr>
          <w:rFonts w:hint="default" w:ascii="Times New Roman" w:hAnsi="Times New Roman" w:cs="Times New Roman"/>
          <w:sz w:val="24"/>
        </w:rPr>
        <w:t>根据水文地质图可知，项目矿区范围及周边共有3个泉点。泉点调查见</w:t>
      </w:r>
      <w:r>
        <w:rPr>
          <w:rFonts w:hint="default" w:ascii="Times New Roman" w:hAnsi="Times New Roman" w:cs="Times New Roman"/>
          <w:sz w:val="24"/>
          <w:lang w:val="en-US" w:eastAsia="zh-CN"/>
        </w:rPr>
        <w:t>下表</w:t>
      </w:r>
      <w:r>
        <w:rPr>
          <w:rFonts w:hint="default" w:ascii="Times New Roman" w:hAnsi="Times New Roman" w:cs="Times New Roman"/>
          <w:sz w:val="24"/>
        </w:rPr>
        <w:t>。</w:t>
      </w:r>
    </w:p>
    <w:p w14:paraId="27B1BE7E">
      <w:pPr>
        <w:adjustRightInd w:val="0"/>
        <w:snapToGrid w:val="0"/>
        <w:spacing w:line="360" w:lineRule="auto"/>
        <w:ind w:firstLine="482" w:firstLineChars="200"/>
        <w:jc w:val="center"/>
        <w:rPr>
          <w:rFonts w:hint="default" w:ascii="Times New Roman" w:hAnsi="Times New Roman" w:eastAsia="黑体" w:cs="Times New Roman"/>
          <w:spacing w:val="-2"/>
          <w:szCs w:val="22"/>
        </w:rPr>
      </w:pPr>
      <w:r>
        <w:rPr>
          <w:rFonts w:hint="default" w:ascii="Times New Roman" w:hAnsi="Times New Roman" w:eastAsia="黑体" w:cs="Times New Roman"/>
          <w:spacing w:val="-2"/>
          <w:szCs w:val="22"/>
        </w:rPr>
        <w:t>表</w:t>
      </w:r>
      <w:r>
        <w:rPr>
          <w:rFonts w:hint="default" w:ascii="Times New Roman" w:hAnsi="Times New Roman" w:eastAsia="黑体" w:cs="Times New Roman"/>
          <w:spacing w:val="-2"/>
          <w:szCs w:val="22"/>
          <w:lang w:val="en-US" w:eastAsia="zh-CN"/>
        </w:rPr>
        <w:t>6</w:t>
      </w:r>
      <w:r>
        <w:rPr>
          <w:rFonts w:hint="default" w:ascii="Times New Roman" w:hAnsi="Times New Roman" w:eastAsia="黑体" w:cs="Times New Roman"/>
          <w:spacing w:val="-2"/>
          <w:szCs w:val="22"/>
        </w:rPr>
        <w:t>.</w:t>
      </w:r>
      <w:r>
        <w:rPr>
          <w:rFonts w:hint="default" w:ascii="Times New Roman" w:hAnsi="Times New Roman" w:eastAsia="黑体" w:cs="Times New Roman"/>
          <w:spacing w:val="-2"/>
          <w:szCs w:val="22"/>
          <w:lang w:val="en-US" w:eastAsia="zh-CN"/>
        </w:rPr>
        <w:t>3.3</w:t>
      </w:r>
      <w:r>
        <w:rPr>
          <w:rFonts w:hint="default" w:ascii="Times New Roman" w:hAnsi="Times New Roman" w:eastAsia="黑体" w:cs="Times New Roman"/>
          <w:spacing w:val="-2"/>
          <w:szCs w:val="22"/>
        </w:rPr>
        <w:t>-1  项目区及周边泉点调查结果表</w:t>
      </w:r>
    </w:p>
    <w:tbl>
      <w:tblPr>
        <w:tblStyle w:val="29"/>
        <w:tblW w:w="462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183"/>
        <w:gridCol w:w="1213"/>
        <w:gridCol w:w="1159"/>
        <w:gridCol w:w="1295"/>
        <w:gridCol w:w="870"/>
        <w:gridCol w:w="1268"/>
        <w:gridCol w:w="919"/>
      </w:tblGrid>
      <w:tr w14:paraId="67E802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1" w:type="pct"/>
            <w:vMerge w:val="restart"/>
            <w:noWrap w:val="0"/>
            <w:vAlign w:val="center"/>
          </w:tcPr>
          <w:p w14:paraId="2A1A89EB">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泉点编号</w:t>
            </w:r>
          </w:p>
        </w:tc>
        <w:tc>
          <w:tcPr>
            <w:tcW w:w="687" w:type="pct"/>
            <w:vMerge w:val="restart"/>
            <w:noWrap w:val="0"/>
            <w:vAlign w:val="center"/>
          </w:tcPr>
          <w:p w14:paraId="13C49A3E">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监测点名称</w:t>
            </w:r>
          </w:p>
        </w:tc>
        <w:tc>
          <w:tcPr>
            <w:tcW w:w="1379" w:type="pct"/>
            <w:gridSpan w:val="2"/>
            <w:noWrap w:val="0"/>
            <w:vAlign w:val="center"/>
          </w:tcPr>
          <w:p w14:paraId="6495E67A">
            <w:pPr>
              <w:pStyle w:val="17"/>
              <w:adjustRightInd w:val="0"/>
              <w:spacing w:line="240" w:lineRule="auto"/>
              <w:jc w:val="center"/>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坐标</w:t>
            </w:r>
          </w:p>
        </w:tc>
        <w:tc>
          <w:tcPr>
            <w:tcW w:w="753" w:type="pct"/>
            <w:vMerge w:val="restart"/>
            <w:noWrap w:val="0"/>
            <w:vAlign w:val="center"/>
          </w:tcPr>
          <w:p w14:paraId="08DD9997">
            <w:pPr>
              <w:pStyle w:val="17"/>
              <w:adjustRightInd w:val="0"/>
              <w:spacing w:line="240" w:lineRule="auto"/>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位置</w:t>
            </w:r>
          </w:p>
        </w:tc>
        <w:tc>
          <w:tcPr>
            <w:tcW w:w="505" w:type="pct"/>
            <w:vMerge w:val="restart"/>
            <w:noWrap w:val="0"/>
            <w:vAlign w:val="center"/>
          </w:tcPr>
          <w:p w14:paraId="4329C580">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出露高程（m）</w:t>
            </w:r>
          </w:p>
        </w:tc>
        <w:tc>
          <w:tcPr>
            <w:tcW w:w="737" w:type="pct"/>
            <w:vMerge w:val="restart"/>
            <w:noWrap w:val="0"/>
            <w:vAlign w:val="center"/>
          </w:tcPr>
          <w:p w14:paraId="1B6D5A56">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泉点出露层位</w:t>
            </w:r>
          </w:p>
        </w:tc>
        <w:tc>
          <w:tcPr>
            <w:tcW w:w="534" w:type="pct"/>
            <w:vMerge w:val="restart"/>
            <w:noWrap w:val="0"/>
            <w:vAlign w:val="center"/>
          </w:tcPr>
          <w:p w14:paraId="17F7E4EC">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现状功能</w:t>
            </w:r>
          </w:p>
        </w:tc>
      </w:tr>
      <w:tr w14:paraId="26B8E8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1" w:type="pct"/>
            <w:vMerge w:val="continue"/>
            <w:noWrap w:val="0"/>
            <w:vAlign w:val="center"/>
          </w:tcPr>
          <w:p w14:paraId="0DF83C9C">
            <w:pPr>
              <w:pStyle w:val="17"/>
              <w:adjustRightInd w:val="0"/>
              <w:spacing w:line="240" w:lineRule="auto"/>
              <w:jc w:val="center"/>
              <w:rPr>
                <w:rFonts w:hint="default" w:ascii="Times New Roman" w:hAnsi="Times New Roman" w:eastAsia="宋体" w:cs="Times New Roman"/>
                <w:b w:val="0"/>
                <w:bCs/>
                <w:sz w:val="18"/>
                <w:szCs w:val="18"/>
              </w:rPr>
            </w:pPr>
          </w:p>
        </w:tc>
        <w:tc>
          <w:tcPr>
            <w:tcW w:w="687" w:type="pct"/>
            <w:vMerge w:val="continue"/>
            <w:noWrap w:val="0"/>
            <w:vAlign w:val="center"/>
          </w:tcPr>
          <w:p w14:paraId="6CDD26A9">
            <w:pPr>
              <w:pStyle w:val="17"/>
              <w:adjustRightInd w:val="0"/>
              <w:spacing w:line="240" w:lineRule="auto"/>
              <w:jc w:val="center"/>
              <w:rPr>
                <w:rFonts w:hint="default" w:ascii="Times New Roman" w:hAnsi="Times New Roman" w:eastAsia="宋体" w:cs="Times New Roman"/>
                <w:b w:val="0"/>
                <w:bCs/>
                <w:sz w:val="18"/>
                <w:szCs w:val="18"/>
              </w:rPr>
            </w:pPr>
          </w:p>
        </w:tc>
        <w:tc>
          <w:tcPr>
            <w:tcW w:w="705" w:type="pct"/>
            <w:noWrap w:val="0"/>
            <w:vAlign w:val="center"/>
          </w:tcPr>
          <w:p w14:paraId="2A768228">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经度（°）</w:t>
            </w:r>
          </w:p>
        </w:tc>
        <w:tc>
          <w:tcPr>
            <w:tcW w:w="673" w:type="pct"/>
            <w:noWrap w:val="0"/>
            <w:vAlign w:val="center"/>
          </w:tcPr>
          <w:p w14:paraId="43C8289F">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纬度（°）</w:t>
            </w:r>
          </w:p>
        </w:tc>
        <w:tc>
          <w:tcPr>
            <w:tcW w:w="753" w:type="pct"/>
            <w:vMerge w:val="continue"/>
            <w:noWrap w:val="0"/>
            <w:vAlign w:val="center"/>
          </w:tcPr>
          <w:p w14:paraId="17CE1317">
            <w:pPr>
              <w:pStyle w:val="17"/>
              <w:adjustRightInd w:val="0"/>
              <w:spacing w:line="240" w:lineRule="auto"/>
              <w:jc w:val="center"/>
              <w:rPr>
                <w:rFonts w:hint="default" w:ascii="Times New Roman" w:hAnsi="Times New Roman" w:eastAsia="宋体" w:cs="Times New Roman"/>
                <w:b w:val="0"/>
                <w:bCs/>
                <w:sz w:val="18"/>
                <w:szCs w:val="18"/>
              </w:rPr>
            </w:pPr>
          </w:p>
        </w:tc>
        <w:tc>
          <w:tcPr>
            <w:tcW w:w="505" w:type="pct"/>
            <w:vMerge w:val="continue"/>
            <w:noWrap w:val="0"/>
            <w:vAlign w:val="center"/>
          </w:tcPr>
          <w:p w14:paraId="5FCAA538">
            <w:pPr>
              <w:pStyle w:val="17"/>
              <w:adjustRightInd w:val="0"/>
              <w:spacing w:line="240" w:lineRule="auto"/>
              <w:jc w:val="center"/>
              <w:rPr>
                <w:rFonts w:hint="default" w:ascii="Times New Roman" w:hAnsi="Times New Roman" w:eastAsia="宋体" w:cs="Times New Roman"/>
                <w:b w:val="0"/>
                <w:bCs/>
                <w:sz w:val="18"/>
                <w:szCs w:val="18"/>
              </w:rPr>
            </w:pPr>
          </w:p>
        </w:tc>
        <w:tc>
          <w:tcPr>
            <w:tcW w:w="737" w:type="pct"/>
            <w:vMerge w:val="continue"/>
            <w:noWrap w:val="0"/>
            <w:vAlign w:val="center"/>
          </w:tcPr>
          <w:p w14:paraId="77D3A003">
            <w:pPr>
              <w:pStyle w:val="17"/>
              <w:adjustRightInd w:val="0"/>
              <w:spacing w:line="240" w:lineRule="auto"/>
              <w:jc w:val="center"/>
              <w:rPr>
                <w:rFonts w:hint="default" w:ascii="Times New Roman" w:hAnsi="Times New Roman" w:eastAsia="宋体" w:cs="Times New Roman"/>
                <w:b w:val="0"/>
                <w:bCs/>
                <w:sz w:val="18"/>
                <w:szCs w:val="18"/>
              </w:rPr>
            </w:pPr>
          </w:p>
        </w:tc>
        <w:tc>
          <w:tcPr>
            <w:tcW w:w="534" w:type="pct"/>
            <w:vMerge w:val="continue"/>
            <w:noWrap w:val="0"/>
            <w:vAlign w:val="center"/>
          </w:tcPr>
          <w:p w14:paraId="5A15354A">
            <w:pPr>
              <w:pStyle w:val="17"/>
              <w:adjustRightInd w:val="0"/>
              <w:spacing w:line="240" w:lineRule="auto"/>
              <w:jc w:val="center"/>
              <w:rPr>
                <w:rFonts w:hint="default" w:ascii="Times New Roman" w:hAnsi="Times New Roman" w:eastAsia="宋体" w:cs="Times New Roman"/>
                <w:b w:val="0"/>
                <w:bCs/>
                <w:sz w:val="18"/>
                <w:szCs w:val="18"/>
              </w:rPr>
            </w:pPr>
          </w:p>
        </w:tc>
      </w:tr>
      <w:tr w14:paraId="5C6F10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1" w:type="pct"/>
            <w:noWrap w:val="0"/>
            <w:vAlign w:val="center"/>
          </w:tcPr>
          <w:p w14:paraId="7568AA16">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1#</w:t>
            </w:r>
          </w:p>
        </w:tc>
        <w:tc>
          <w:tcPr>
            <w:tcW w:w="687" w:type="pct"/>
            <w:noWrap w:val="0"/>
            <w:vAlign w:val="center"/>
          </w:tcPr>
          <w:p w14:paraId="70CF9770">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lang w:val="en-US" w:eastAsia="zh-CN"/>
              </w:rPr>
              <w:t>项目</w:t>
            </w:r>
            <w:r>
              <w:rPr>
                <w:rFonts w:hint="default" w:ascii="Times New Roman" w:hAnsi="Times New Roman" w:eastAsia="宋体" w:cs="Times New Roman"/>
                <w:b w:val="0"/>
                <w:bCs/>
                <w:sz w:val="18"/>
                <w:szCs w:val="18"/>
              </w:rPr>
              <w:t>北侧泉水点</w:t>
            </w:r>
          </w:p>
        </w:tc>
        <w:tc>
          <w:tcPr>
            <w:tcW w:w="1213" w:type="dxa"/>
            <w:noWrap w:val="0"/>
            <w:vAlign w:val="center"/>
          </w:tcPr>
          <w:p w14:paraId="44913E4A">
            <w:pPr>
              <w:pStyle w:val="61"/>
              <w:snapToGrid/>
              <w:spacing w:beforeLines="0" w:afterLines="0" w:line="240" w:lineRule="auto"/>
              <w:ind w:left="0" w:leftChars="0" w:firstLine="0" w:firstLineChars="0"/>
              <w:jc w:val="both"/>
              <w:rPr>
                <w:rFonts w:hint="default" w:ascii="Times New Roman" w:hAnsi="Times New Roman" w:eastAsia="宋体" w:cs="Times New Roman"/>
                <w:b w:val="0"/>
                <w:bCs/>
                <w:iCs/>
                <w:color w:val="auto"/>
                <w:sz w:val="18"/>
                <w:szCs w:val="18"/>
              </w:rPr>
            </w:pPr>
            <w:r>
              <w:rPr>
                <w:rFonts w:hint="default" w:ascii="Times New Roman" w:hAnsi="Times New Roman" w:eastAsia="宋体" w:cs="Times New Roman"/>
                <w:b w:val="0"/>
                <w:bCs/>
                <w:iCs/>
                <w:color w:val="auto"/>
                <w:kern w:val="2"/>
                <w:sz w:val="18"/>
                <w:szCs w:val="18"/>
                <w:lang w:eastAsia="zh-CN"/>
              </w:rPr>
              <w:t>102.195176</w:t>
            </w:r>
          </w:p>
        </w:tc>
        <w:tc>
          <w:tcPr>
            <w:tcW w:w="1159" w:type="dxa"/>
            <w:noWrap w:val="0"/>
            <w:vAlign w:val="center"/>
          </w:tcPr>
          <w:p w14:paraId="7EED581D">
            <w:pPr>
              <w:pStyle w:val="61"/>
              <w:snapToGrid/>
              <w:spacing w:beforeLines="0" w:afterLines="0" w:line="240" w:lineRule="auto"/>
              <w:ind w:left="0" w:leftChars="0" w:firstLine="0" w:firstLineChars="0"/>
              <w:jc w:val="both"/>
              <w:rPr>
                <w:rFonts w:hint="default" w:ascii="Times New Roman" w:hAnsi="Times New Roman" w:eastAsia="宋体" w:cs="Times New Roman"/>
                <w:b w:val="0"/>
                <w:bCs/>
                <w:iCs/>
                <w:color w:val="auto"/>
                <w:sz w:val="18"/>
                <w:szCs w:val="18"/>
              </w:rPr>
            </w:pPr>
            <w:r>
              <w:rPr>
                <w:rFonts w:hint="default" w:ascii="Times New Roman" w:hAnsi="Times New Roman" w:eastAsia="宋体" w:cs="Times New Roman"/>
                <w:b w:val="0"/>
                <w:bCs/>
                <w:iCs/>
                <w:color w:val="auto"/>
                <w:kern w:val="2"/>
                <w:sz w:val="18"/>
                <w:szCs w:val="18"/>
              </w:rPr>
              <w:t>23.963806</w:t>
            </w:r>
          </w:p>
        </w:tc>
        <w:tc>
          <w:tcPr>
            <w:tcW w:w="753" w:type="pct"/>
            <w:noWrap w:val="0"/>
            <w:vAlign w:val="center"/>
          </w:tcPr>
          <w:p w14:paraId="59777989">
            <w:pPr>
              <w:pStyle w:val="61"/>
              <w:spacing w:line="240" w:lineRule="auto"/>
              <w:ind w:left="0" w:leftChars="0" w:firstLine="0" w:firstLineChars="0"/>
              <w:jc w:val="both"/>
              <w:rPr>
                <w:rFonts w:hint="default" w:ascii="Times New Roman" w:hAnsi="Times New Roman" w:eastAsia="宋体" w:cs="Times New Roman"/>
                <w:b w:val="0"/>
                <w:bCs/>
                <w:iCs/>
                <w:sz w:val="18"/>
                <w:szCs w:val="18"/>
              </w:rPr>
            </w:pPr>
            <w:r>
              <w:rPr>
                <w:rFonts w:hint="default" w:ascii="Times New Roman" w:hAnsi="Times New Roman" w:eastAsia="宋体" w:cs="Times New Roman"/>
                <w:b w:val="0"/>
                <w:bCs/>
                <w:sz w:val="18"/>
                <w:szCs w:val="18"/>
                <w:lang w:val="en-US" w:eastAsia="zh-CN"/>
              </w:rPr>
              <w:t>项目</w:t>
            </w:r>
            <w:r>
              <w:rPr>
                <w:rFonts w:hint="default" w:ascii="Times New Roman" w:hAnsi="Times New Roman" w:eastAsia="宋体" w:cs="Times New Roman"/>
                <w:b w:val="0"/>
                <w:bCs/>
                <w:sz w:val="18"/>
                <w:szCs w:val="18"/>
              </w:rPr>
              <w:t>北侧</w:t>
            </w:r>
            <w:r>
              <w:rPr>
                <w:rFonts w:hint="default" w:ascii="Times New Roman" w:hAnsi="Times New Roman" w:eastAsia="宋体" w:cs="Times New Roman"/>
                <w:b w:val="0"/>
                <w:bCs/>
                <w:sz w:val="18"/>
                <w:szCs w:val="18"/>
                <w:lang w:val="en-US" w:eastAsia="zh-CN"/>
              </w:rPr>
              <w:t>600</w:t>
            </w:r>
            <w:r>
              <w:rPr>
                <w:rFonts w:hint="default" w:ascii="Times New Roman" w:hAnsi="Times New Roman" w:eastAsia="宋体" w:cs="Times New Roman"/>
                <w:b w:val="0"/>
                <w:bCs/>
                <w:sz w:val="18"/>
                <w:szCs w:val="18"/>
              </w:rPr>
              <w:t>m</w:t>
            </w:r>
          </w:p>
        </w:tc>
        <w:tc>
          <w:tcPr>
            <w:tcW w:w="505" w:type="pct"/>
            <w:noWrap w:val="0"/>
            <w:vAlign w:val="center"/>
          </w:tcPr>
          <w:p w14:paraId="12957EE0">
            <w:pPr>
              <w:pStyle w:val="61"/>
              <w:spacing w:line="240" w:lineRule="auto"/>
              <w:ind w:left="0" w:leftChars="0" w:firstLine="0" w:firstLineChars="0"/>
              <w:jc w:val="both"/>
              <w:rPr>
                <w:rFonts w:hint="default" w:ascii="Times New Roman" w:hAnsi="Times New Roman" w:eastAsia="宋体" w:cs="Times New Roman"/>
                <w:b w:val="0"/>
                <w:bCs/>
                <w:iCs/>
                <w:sz w:val="18"/>
                <w:szCs w:val="18"/>
                <w:lang w:val="en-US" w:eastAsia="zh-CN"/>
              </w:rPr>
            </w:pPr>
            <w:r>
              <w:rPr>
                <w:rFonts w:hint="default" w:ascii="Times New Roman" w:hAnsi="Times New Roman" w:eastAsia="宋体" w:cs="Times New Roman"/>
                <w:b w:val="0"/>
                <w:bCs/>
                <w:iCs/>
                <w:sz w:val="18"/>
                <w:szCs w:val="18"/>
              </w:rPr>
              <w:t>+</w:t>
            </w:r>
            <w:r>
              <w:rPr>
                <w:rFonts w:hint="default" w:ascii="Times New Roman" w:hAnsi="Times New Roman" w:eastAsia="宋体" w:cs="Times New Roman"/>
                <w:b w:val="0"/>
                <w:bCs/>
                <w:iCs/>
                <w:sz w:val="18"/>
                <w:szCs w:val="18"/>
                <w:lang w:val="en-US" w:eastAsia="zh-CN"/>
              </w:rPr>
              <w:t>1605</w:t>
            </w:r>
          </w:p>
        </w:tc>
        <w:tc>
          <w:tcPr>
            <w:tcW w:w="737" w:type="pct"/>
            <w:noWrap w:val="0"/>
            <w:vAlign w:val="center"/>
          </w:tcPr>
          <w:p w14:paraId="1FE32956">
            <w:pPr>
              <w:pStyle w:val="61"/>
              <w:spacing w:line="240" w:lineRule="auto"/>
              <w:ind w:left="0" w:leftChars="0" w:firstLine="0" w:firstLineChars="0"/>
              <w:jc w:val="both"/>
              <w:rPr>
                <w:rFonts w:hint="default" w:ascii="Times New Roman" w:hAnsi="Times New Roman" w:eastAsia="宋体" w:cs="Times New Roman"/>
                <w:b w:val="0"/>
                <w:bCs/>
                <w:iCs/>
                <w:sz w:val="18"/>
                <w:szCs w:val="18"/>
              </w:rPr>
            </w:pPr>
            <w:r>
              <w:rPr>
                <w:rFonts w:hint="default" w:ascii="Times New Roman" w:hAnsi="Times New Roman" w:eastAsia="宋体" w:cs="Times New Roman"/>
                <w:b w:val="0"/>
                <w:bCs/>
                <w:sz w:val="18"/>
                <w:szCs w:val="18"/>
              </w:rPr>
              <w:t>昆阳群黑山头组</w:t>
            </w:r>
          </w:p>
        </w:tc>
        <w:tc>
          <w:tcPr>
            <w:tcW w:w="534" w:type="pct"/>
            <w:noWrap w:val="0"/>
            <w:vAlign w:val="center"/>
          </w:tcPr>
          <w:p w14:paraId="130D7168">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补给地表水</w:t>
            </w:r>
          </w:p>
        </w:tc>
      </w:tr>
      <w:tr w14:paraId="4E80DC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1" w:type="pct"/>
            <w:noWrap w:val="0"/>
            <w:vAlign w:val="center"/>
          </w:tcPr>
          <w:p w14:paraId="63DF0D83">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2#</w:t>
            </w:r>
          </w:p>
        </w:tc>
        <w:tc>
          <w:tcPr>
            <w:tcW w:w="687" w:type="pct"/>
            <w:noWrap w:val="0"/>
            <w:vAlign w:val="center"/>
          </w:tcPr>
          <w:p w14:paraId="1ED18A4B">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lang w:val="en-US" w:eastAsia="zh-CN"/>
              </w:rPr>
              <w:t>鲁奎山</w:t>
            </w:r>
            <w:r>
              <w:rPr>
                <w:rFonts w:hint="default" w:ascii="Times New Roman" w:hAnsi="Times New Roman" w:eastAsia="宋体" w:cs="Times New Roman"/>
                <w:b w:val="0"/>
                <w:bCs/>
                <w:sz w:val="18"/>
                <w:szCs w:val="18"/>
              </w:rPr>
              <w:t>铁矿1</w:t>
            </w:r>
            <w:r>
              <w:rPr>
                <w:rFonts w:hint="default" w:ascii="Times New Roman" w:hAnsi="Times New Roman" w:eastAsia="宋体" w:cs="Times New Roman"/>
                <w:b w:val="0"/>
                <w:bCs/>
                <w:sz w:val="18"/>
                <w:szCs w:val="18"/>
                <w:lang w:val="en-US" w:eastAsia="zh-CN"/>
              </w:rPr>
              <w:t>580</w:t>
            </w:r>
            <w:r>
              <w:rPr>
                <w:rFonts w:hint="default" w:ascii="Times New Roman" w:hAnsi="Times New Roman" w:eastAsia="宋体" w:cs="Times New Roman"/>
                <w:b w:val="0"/>
                <w:bCs/>
                <w:sz w:val="18"/>
                <w:szCs w:val="18"/>
              </w:rPr>
              <w:t>m中段坑道地下水出水点</w:t>
            </w:r>
          </w:p>
        </w:tc>
        <w:tc>
          <w:tcPr>
            <w:tcW w:w="1213" w:type="dxa"/>
            <w:noWrap w:val="0"/>
            <w:vAlign w:val="center"/>
          </w:tcPr>
          <w:p w14:paraId="188E03EB">
            <w:pPr>
              <w:pStyle w:val="61"/>
              <w:snapToGrid/>
              <w:spacing w:beforeLines="0" w:afterLines="0" w:line="240" w:lineRule="auto"/>
              <w:ind w:left="0" w:leftChars="0" w:firstLine="0" w:firstLineChars="0"/>
              <w:jc w:val="both"/>
              <w:rPr>
                <w:rFonts w:hint="default" w:ascii="Times New Roman" w:hAnsi="Times New Roman" w:eastAsia="宋体" w:cs="Times New Roman"/>
                <w:b w:val="0"/>
                <w:bCs/>
                <w:iCs/>
                <w:sz w:val="18"/>
                <w:szCs w:val="18"/>
              </w:rPr>
            </w:pPr>
            <w:r>
              <w:rPr>
                <w:rFonts w:hint="default" w:ascii="Times New Roman" w:hAnsi="Times New Roman" w:eastAsia="宋体" w:cs="Times New Roman"/>
                <w:b w:val="0"/>
                <w:bCs/>
                <w:iCs/>
                <w:color w:val="auto"/>
                <w:kern w:val="2"/>
                <w:sz w:val="18"/>
                <w:szCs w:val="18"/>
              </w:rPr>
              <w:t>102.202848</w:t>
            </w:r>
          </w:p>
        </w:tc>
        <w:tc>
          <w:tcPr>
            <w:tcW w:w="1159" w:type="dxa"/>
            <w:noWrap w:val="0"/>
            <w:vAlign w:val="center"/>
          </w:tcPr>
          <w:p w14:paraId="73B9A1E1">
            <w:pPr>
              <w:pStyle w:val="61"/>
              <w:snapToGrid/>
              <w:spacing w:beforeLines="0" w:afterLines="0" w:line="240" w:lineRule="auto"/>
              <w:ind w:left="0" w:leftChars="0" w:firstLine="0" w:firstLineChars="0"/>
              <w:jc w:val="both"/>
              <w:rPr>
                <w:rFonts w:hint="default" w:ascii="Times New Roman" w:hAnsi="Times New Roman" w:eastAsia="宋体" w:cs="Times New Roman"/>
                <w:b w:val="0"/>
                <w:bCs/>
                <w:iCs/>
                <w:sz w:val="18"/>
                <w:szCs w:val="18"/>
              </w:rPr>
            </w:pPr>
            <w:r>
              <w:rPr>
                <w:rFonts w:hint="default" w:ascii="Times New Roman" w:hAnsi="Times New Roman" w:eastAsia="宋体" w:cs="Times New Roman"/>
                <w:b w:val="0"/>
                <w:bCs/>
                <w:iCs/>
                <w:color w:val="auto"/>
                <w:kern w:val="2"/>
                <w:sz w:val="18"/>
                <w:szCs w:val="18"/>
              </w:rPr>
              <w:t>23.953516</w:t>
            </w:r>
          </w:p>
        </w:tc>
        <w:tc>
          <w:tcPr>
            <w:tcW w:w="753" w:type="pct"/>
            <w:noWrap w:val="0"/>
            <w:vAlign w:val="center"/>
          </w:tcPr>
          <w:p w14:paraId="4CA29022">
            <w:pPr>
              <w:pStyle w:val="61"/>
              <w:spacing w:line="240" w:lineRule="auto"/>
              <w:ind w:left="0" w:leftChars="0" w:firstLine="0" w:firstLineChars="0"/>
              <w:jc w:val="both"/>
              <w:rPr>
                <w:rFonts w:hint="default" w:ascii="Times New Roman" w:hAnsi="Times New Roman" w:eastAsia="宋体" w:cs="Times New Roman"/>
                <w:b w:val="0"/>
                <w:bCs/>
                <w:iCs/>
                <w:sz w:val="18"/>
                <w:szCs w:val="18"/>
              </w:rPr>
            </w:pPr>
            <w:r>
              <w:rPr>
                <w:rFonts w:hint="default" w:ascii="Times New Roman" w:hAnsi="Times New Roman" w:eastAsia="宋体" w:cs="Times New Roman"/>
                <w:b w:val="0"/>
                <w:bCs/>
                <w:sz w:val="18"/>
                <w:szCs w:val="18"/>
              </w:rPr>
              <w:t>项目</w:t>
            </w:r>
            <w:r>
              <w:rPr>
                <w:rFonts w:hint="default" w:ascii="Times New Roman" w:hAnsi="Times New Roman" w:eastAsia="宋体" w:cs="Times New Roman"/>
                <w:b w:val="0"/>
                <w:bCs/>
                <w:sz w:val="18"/>
                <w:szCs w:val="18"/>
                <w:lang w:val="en-US" w:eastAsia="zh-CN"/>
              </w:rPr>
              <w:t>东</w:t>
            </w:r>
            <w:r>
              <w:rPr>
                <w:rFonts w:hint="default" w:ascii="Times New Roman" w:hAnsi="Times New Roman" w:eastAsia="宋体" w:cs="Times New Roman"/>
                <w:b w:val="0"/>
                <w:bCs/>
                <w:sz w:val="18"/>
                <w:szCs w:val="18"/>
              </w:rPr>
              <w:t>南侧</w:t>
            </w:r>
            <w:r>
              <w:rPr>
                <w:rFonts w:hint="default" w:ascii="Times New Roman" w:hAnsi="Times New Roman" w:eastAsia="宋体" w:cs="Times New Roman"/>
                <w:b w:val="0"/>
                <w:bCs/>
                <w:sz w:val="18"/>
                <w:szCs w:val="18"/>
                <w:lang w:val="en-US" w:eastAsia="zh-CN"/>
              </w:rPr>
              <w:t>700</w:t>
            </w:r>
            <w:r>
              <w:rPr>
                <w:rFonts w:hint="default" w:ascii="Times New Roman" w:hAnsi="Times New Roman" w:eastAsia="宋体" w:cs="Times New Roman"/>
                <w:b w:val="0"/>
                <w:bCs/>
                <w:sz w:val="18"/>
                <w:szCs w:val="18"/>
              </w:rPr>
              <w:t>m</w:t>
            </w:r>
          </w:p>
        </w:tc>
        <w:tc>
          <w:tcPr>
            <w:tcW w:w="505" w:type="pct"/>
            <w:noWrap w:val="0"/>
            <w:vAlign w:val="center"/>
          </w:tcPr>
          <w:p w14:paraId="52431A78">
            <w:pPr>
              <w:pStyle w:val="61"/>
              <w:spacing w:line="240" w:lineRule="auto"/>
              <w:ind w:left="0" w:leftChars="0" w:firstLine="0" w:firstLineChars="0"/>
              <w:jc w:val="both"/>
              <w:rPr>
                <w:rFonts w:hint="default" w:ascii="Times New Roman" w:hAnsi="Times New Roman" w:eastAsia="宋体" w:cs="Times New Roman"/>
                <w:b w:val="0"/>
                <w:bCs/>
                <w:iCs/>
                <w:sz w:val="18"/>
                <w:szCs w:val="18"/>
                <w:lang w:val="en-US" w:eastAsia="zh-CN"/>
              </w:rPr>
            </w:pPr>
            <w:r>
              <w:rPr>
                <w:rFonts w:hint="default" w:ascii="Times New Roman" w:hAnsi="Times New Roman" w:eastAsia="宋体" w:cs="Times New Roman"/>
                <w:b w:val="0"/>
                <w:bCs/>
                <w:iCs/>
                <w:sz w:val="18"/>
                <w:szCs w:val="18"/>
              </w:rPr>
              <w:t>+1</w:t>
            </w:r>
            <w:r>
              <w:rPr>
                <w:rFonts w:hint="default" w:ascii="Times New Roman" w:hAnsi="Times New Roman" w:eastAsia="宋体" w:cs="Times New Roman"/>
                <w:b w:val="0"/>
                <w:bCs/>
                <w:iCs/>
                <w:sz w:val="18"/>
                <w:szCs w:val="18"/>
                <w:lang w:val="en-US" w:eastAsia="zh-CN"/>
              </w:rPr>
              <w:t>570</w:t>
            </w:r>
          </w:p>
        </w:tc>
        <w:tc>
          <w:tcPr>
            <w:tcW w:w="737" w:type="pct"/>
            <w:noWrap w:val="0"/>
            <w:vAlign w:val="center"/>
          </w:tcPr>
          <w:p w14:paraId="18982703">
            <w:pPr>
              <w:pStyle w:val="61"/>
              <w:spacing w:line="240" w:lineRule="auto"/>
              <w:ind w:left="0" w:leftChars="0" w:firstLine="0" w:firstLineChars="0"/>
              <w:jc w:val="both"/>
              <w:rPr>
                <w:rFonts w:hint="default" w:ascii="Times New Roman" w:hAnsi="Times New Roman" w:eastAsia="宋体" w:cs="Times New Roman"/>
                <w:b w:val="0"/>
                <w:bCs/>
                <w:iCs/>
                <w:sz w:val="18"/>
                <w:szCs w:val="18"/>
              </w:rPr>
            </w:pPr>
            <w:r>
              <w:rPr>
                <w:rFonts w:hint="default" w:ascii="Times New Roman" w:hAnsi="Times New Roman" w:eastAsia="宋体" w:cs="Times New Roman"/>
                <w:b w:val="0"/>
                <w:bCs/>
                <w:sz w:val="18"/>
                <w:szCs w:val="18"/>
              </w:rPr>
              <w:t>昆阳群大龙口组</w:t>
            </w:r>
          </w:p>
        </w:tc>
        <w:tc>
          <w:tcPr>
            <w:tcW w:w="534" w:type="pct"/>
            <w:noWrap w:val="0"/>
            <w:vAlign w:val="center"/>
          </w:tcPr>
          <w:p w14:paraId="4AFA2966">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补给地表水</w:t>
            </w:r>
          </w:p>
        </w:tc>
      </w:tr>
      <w:tr w14:paraId="624AD9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1" w:type="pct"/>
            <w:noWrap w:val="0"/>
            <w:vAlign w:val="center"/>
          </w:tcPr>
          <w:p w14:paraId="0D3E3BC2">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3#</w:t>
            </w:r>
          </w:p>
        </w:tc>
        <w:tc>
          <w:tcPr>
            <w:tcW w:w="687" w:type="pct"/>
            <w:noWrap w:val="0"/>
            <w:vAlign w:val="center"/>
          </w:tcPr>
          <w:p w14:paraId="5D8FFDD5">
            <w:pPr>
              <w:pStyle w:val="17"/>
              <w:adjustRightInd w:val="0"/>
              <w:spacing w:line="240" w:lineRule="auto"/>
              <w:ind w:left="0" w:leftChars="0" w:firstLine="0" w:firstLineChars="0"/>
              <w:jc w:val="both"/>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鲁奎山西南侧泉水点</w:t>
            </w:r>
          </w:p>
        </w:tc>
        <w:tc>
          <w:tcPr>
            <w:tcW w:w="1213" w:type="dxa"/>
            <w:noWrap w:val="0"/>
            <w:vAlign w:val="center"/>
          </w:tcPr>
          <w:p w14:paraId="215D7603">
            <w:pPr>
              <w:pStyle w:val="47"/>
              <w:snapToGrid/>
              <w:spacing w:line="240" w:lineRule="auto"/>
              <w:ind w:firstLine="0" w:firstLineChars="0"/>
              <w:rPr>
                <w:rFonts w:hint="default" w:ascii="Times New Roman" w:hAnsi="Times New Roman" w:eastAsia="宋体" w:cs="Times New Roman"/>
                <w:b w:val="0"/>
                <w:bCs/>
                <w:iCs/>
                <w:sz w:val="18"/>
                <w:szCs w:val="18"/>
              </w:rPr>
            </w:pPr>
            <w:r>
              <w:rPr>
                <w:rFonts w:hint="default" w:ascii="Times New Roman" w:hAnsi="Times New Roman" w:eastAsia="宋体" w:cs="Times New Roman"/>
                <w:b w:val="0"/>
                <w:bCs/>
                <w:color w:val="auto"/>
                <w:sz w:val="18"/>
                <w:szCs w:val="18"/>
              </w:rPr>
              <w:t>102.198101</w:t>
            </w:r>
          </w:p>
        </w:tc>
        <w:tc>
          <w:tcPr>
            <w:tcW w:w="1159" w:type="dxa"/>
            <w:noWrap w:val="0"/>
            <w:vAlign w:val="center"/>
          </w:tcPr>
          <w:p w14:paraId="653EB64A">
            <w:pPr>
              <w:pStyle w:val="47"/>
              <w:snapToGrid/>
              <w:spacing w:line="240" w:lineRule="auto"/>
              <w:ind w:firstLine="0" w:firstLineChars="0"/>
              <w:rPr>
                <w:rFonts w:hint="default" w:ascii="Times New Roman" w:hAnsi="Times New Roman" w:eastAsia="宋体" w:cs="Times New Roman"/>
                <w:b w:val="0"/>
                <w:bCs/>
                <w:iCs/>
                <w:sz w:val="18"/>
                <w:szCs w:val="18"/>
              </w:rPr>
            </w:pPr>
            <w:r>
              <w:rPr>
                <w:rFonts w:hint="default" w:ascii="Times New Roman" w:hAnsi="Times New Roman" w:eastAsia="宋体" w:cs="Times New Roman"/>
                <w:b w:val="0"/>
                <w:bCs/>
                <w:color w:val="auto"/>
                <w:sz w:val="18"/>
                <w:szCs w:val="18"/>
              </w:rPr>
              <w:t>23.948170</w:t>
            </w:r>
          </w:p>
        </w:tc>
        <w:tc>
          <w:tcPr>
            <w:tcW w:w="753" w:type="pct"/>
            <w:noWrap w:val="0"/>
            <w:vAlign w:val="center"/>
          </w:tcPr>
          <w:p w14:paraId="21B64010">
            <w:pPr>
              <w:pStyle w:val="61"/>
              <w:spacing w:line="240" w:lineRule="auto"/>
              <w:ind w:left="0" w:leftChars="0" w:firstLine="0" w:firstLineChars="0"/>
              <w:jc w:val="both"/>
              <w:rPr>
                <w:rFonts w:hint="default" w:ascii="Times New Roman" w:hAnsi="Times New Roman" w:eastAsia="宋体" w:cs="Times New Roman"/>
                <w:b w:val="0"/>
                <w:bCs/>
                <w:iCs/>
                <w:sz w:val="18"/>
                <w:szCs w:val="18"/>
              </w:rPr>
            </w:pPr>
            <w:r>
              <w:rPr>
                <w:rFonts w:hint="default" w:ascii="Times New Roman" w:hAnsi="Times New Roman" w:eastAsia="宋体" w:cs="Times New Roman"/>
                <w:b w:val="0"/>
                <w:bCs/>
                <w:iCs/>
                <w:sz w:val="18"/>
                <w:szCs w:val="18"/>
              </w:rPr>
              <w:t>项目南侧</w:t>
            </w:r>
            <w:r>
              <w:rPr>
                <w:rFonts w:hint="default" w:ascii="Times New Roman" w:hAnsi="Times New Roman" w:eastAsia="宋体" w:cs="Times New Roman"/>
                <w:b w:val="0"/>
                <w:bCs/>
                <w:iCs/>
                <w:sz w:val="18"/>
                <w:szCs w:val="18"/>
                <w:lang w:val="en-US" w:eastAsia="zh-CN"/>
              </w:rPr>
              <w:t>1000</w:t>
            </w:r>
            <w:r>
              <w:rPr>
                <w:rFonts w:hint="default" w:ascii="Times New Roman" w:hAnsi="Times New Roman" w:eastAsia="宋体" w:cs="Times New Roman"/>
                <w:b w:val="0"/>
                <w:bCs/>
                <w:iCs/>
                <w:sz w:val="18"/>
                <w:szCs w:val="18"/>
              </w:rPr>
              <w:t>m</w:t>
            </w:r>
          </w:p>
        </w:tc>
        <w:tc>
          <w:tcPr>
            <w:tcW w:w="505" w:type="pct"/>
            <w:noWrap w:val="0"/>
            <w:vAlign w:val="center"/>
          </w:tcPr>
          <w:p w14:paraId="03478986">
            <w:pPr>
              <w:pStyle w:val="61"/>
              <w:spacing w:line="240" w:lineRule="auto"/>
              <w:ind w:left="0" w:leftChars="0" w:firstLine="0" w:firstLineChars="0"/>
              <w:jc w:val="both"/>
              <w:rPr>
                <w:rFonts w:hint="default" w:ascii="Times New Roman" w:hAnsi="Times New Roman" w:eastAsia="宋体" w:cs="Times New Roman"/>
                <w:b w:val="0"/>
                <w:bCs/>
                <w:iCs/>
                <w:sz w:val="18"/>
                <w:szCs w:val="18"/>
                <w:lang w:val="en-US" w:eastAsia="zh-CN"/>
              </w:rPr>
            </w:pPr>
            <w:r>
              <w:rPr>
                <w:rFonts w:hint="default" w:ascii="Times New Roman" w:hAnsi="Times New Roman" w:eastAsia="宋体" w:cs="Times New Roman"/>
                <w:b w:val="0"/>
                <w:bCs/>
                <w:iCs/>
                <w:sz w:val="18"/>
                <w:szCs w:val="18"/>
                <w:lang w:val="en-US"/>
              </w:rPr>
              <w:t>+1</w:t>
            </w:r>
            <w:r>
              <w:rPr>
                <w:rFonts w:hint="default" w:ascii="Times New Roman" w:hAnsi="Times New Roman" w:eastAsia="宋体" w:cs="Times New Roman"/>
                <w:b w:val="0"/>
                <w:bCs/>
                <w:iCs/>
                <w:sz w:val="18"/>
                <w:szCs w:val="18"/>
                <w:lang w:val="en-US" w:eastAsia="zh-CN"/>
              </w:rPr>
              <w:t>804</w:t>
            </w:r>
          </w:p>
        </w:tc>
        <w:tc>
          <w:tcPr>
            <w:tcW w:w="737" w:type="pct"/>
            <w:noWrap w:val="0"/>
            <w:vAlign w:val="center"/>
          </w:tcPr>
          <w:p w14:paraId="7FBA36CA">
            <w:pPr>
              <w:pStyle w:val="61"/>
              <w:spacing w:line="240" w:lineRule="auto"/>
              <w:ind w:left="0" w:leftChars="0" w:firstLine="0" w:firstLineChars="0"/>
              <w:jc w:val="both"/>
              <w:rPr>
                <w:rFonts w:hint="default" w:ascii="Times New Roman" w:hAnsi="Times New Roman" w:eastAsia="宋体" w:cs="Times New Roman"/>
                <w:b w:val="0"/>
                <w:bCs/>
                <w:iCs/>
                <w:color w:val="auto"/>
                <w:sz w:val="18"/>
                <w:szCs w:val="18"/>
                <w:lang w:val="en-US"/>
              </w:rPr>
            </w:pPr>
            <w:r>
              <w:rPr>
                <w:rFonts w:hint="default" w:ascii="Times New Roman" w:hAnsi="Times New Roman" w:eastAsia="宋体" w:cs="Times New Roman"/>
                <w:b w:val="0"/>
                <w:bCs/>
                <w:sz w:val="18"/>
                <w:szCs w:val="18"/>
              </w:rPr>
              <w:t>昆阳群黑山头组</w:t>
            </w:r>
          </w:p>
        </w:tc>
        <w:tc>
          <w:tcPr>
            <w:tcW w:w="534" w:type="pct"/>
            <w:noWrap w:val="0"/>
            <w:vAlign w:val="center"/>
          </w:tcPr>
          <w:p w14:paraId="2F98AA33">
            <w:pPr>
              <w:pStyle w:val="61"/>
              <w:spacing w:line="240" w:lineRule="auto"/>
              <w:ind w:left="0" w:leftChars="0" w:firstLine="0" w:firstLineChars="0"/>
              <w:jc w:val="both"/>
              <w:rPr>
                <w:rFonts w:hint="default" w:ascii="Times New Roman" w:hAnsi="Times New Roman" w:eastAsia="宋体" w:cs="Times New Roman"/>
                <w:b w:val="0"/>
                <w:bCs/>
                <w:iCs/>
                <w:color w:val="auto"/>
                <w:sz w:val="18"/>
                <w:szCs w:val="18"/>
                <w:lang w:val="en-US"/>
              </w:rPr>
            </w:pPr>
            <w:r>
              <w:rPr>
                <w:rFonts w:hint="default" w:ascii="Times New Roman" w:hAnsi="Times New Roman" w:eastAsia="宋体" w:cs="Times New Roman"/>
                <w:b w:val="0"/>
                <w:bCs/>
                <w:iCs/>
                <w:color w:val="auto"/>
                <w:sz w:val="18"/>
                <w:szCs w:val="18"/>
                <w:lang w:val="en-US"/>
              </w:rPr>
              <w:t>补给地表水</w:t>
            </w:r>
          </w:p>
        </w:tc>
      </w:tr>
    </w:tbl>
    <w:p w14:paraId="55D5B806">
      <w:pPr>
        <w:pStyle w:val="6"/>
        <w:bidi w:val="0"/>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.3.</w:t>
      </w:r>
      <w:r>
        <w:rPr>
          <w:rFonts w:hint="default" w:ascii="Times New Roman" w:hAnsi="Times New Roman" w:cs="Times New Roman"/>
          <w:lang w:val="en-US" w:eastAsia="zh-CN"/>
        </w:rPr>
        <w:t>4</w:t>
      </w:r>
      <w:r>
        <w:rPr>
          <w:rFonts w:hint="default" w:ascii="Times New Roman" w:hAnsi="Times New Roman" w:cs="Times New Roman"/>
        </w:rPr>
        <w:t>评价等级确定</w:t>
      </w:r>
      <w:bookmarkEnd w:id="479"/>
    </w:p>
    <w:p w14:paraId="7112AE5C">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rPr>
        <w:t>根据《环境影响评价技术导则—地下水环境》</w:t>
      </w:r>
      <w:r>
        <w:rPr>
          <w:rFonts w:hint="default" w:ascii="Times New Roman" w:hAnsi="Times New Roman" w:cs="Times New Roman"/>
          <w:lang w:eastAsia="zh-CN"/>
        </w:rPr>
        <w:t>（</w:t>
      </w:r>
      <w:r>
        <w:rPr>
          <w:rFonts w:hint="default" w:ascii="Times New Roman" w:hAnsi="Times New Roman" w:cs="Times New Roman"/>
        </w:rPr>
        <w:t>HJ610-2016</w:t>
      </w:r>
      <w:r>
        <w:rPr>
          <w:rFonts w:hint="default" w:ascii="Times New Roman" w:hAnsi="Times New Roman" w:cs="Times New Roman"/>
          <w:lang w:eastAsia="zh-CN"/>
        </w:rPr>
        <w:t>）</w:t>
      </w:r>
      <w:r>
        <w:rPr>
          <w:rFonts w:hint="default" w:ascii="Times New Roman" w:hAnsi="Times New Roman" w:cs="Times New Roman"/>
        </w:rPr>
        <w:t>附录 A—地下水环境影响评价行业分类表中的 “G黑色金属42、采选（含单独尾矿库）”，本项目选矿厂（报告书）属于地下水环境影响评价</w:t>
      </w:r>
      <w:r>
        <w:rPr>
          <w:rFonts w:hint="default" w:ascii="Times New Roman" w:hAnsi="Times New Roman" w:cs="Times New Roman"/>
          <w:lang w:eastAsia="zh-CN"/>
        </w:rPr>
        <w:t>Ⅱ类</w:t>
      </w:r>
      <w:r>
        <w:rPr>
          <w:rFonts w:hint="default" w:ascii="Times New Roman" w:hAnsi="Times New Roman" w:cs="Times New Roman"/>
        </w:rPr>
        <w:t>项目。本项目评价范围内不属于敏感、较敏感的地区，地下水环境敏感程度为不敏感。根据建设项目地下水环境影响评价工作等级划分表，本项目地下水评价等级为三级。</w:t>
      </w:r>
    </w:p>
    <w:p w14:paraId="274B6306">
      <w:pPr>
        <w:pStyle w:val="6"/>
        <w:bidi w:val="0"/>
        <w:rPr>
          <w:rFonts w:hint="default" w:ascii="Times New Roman" w:hAnsi="Times New Roman" w:cs="Times New Roman"/>
        </w:rPr>
      </w:pPr>
      <w:bookmarkStart w:id="480" w:name="_Toc22569"/>
      <w:r>
        <w:rPr>
          <w:rFonts w:hint="default" w:ascii="Times New Roman" w:hAnsi="Times New Roman" w:cs="Times New Roman"/>
          <w:lang w:val="en-US" w:eastAsia="zh-CN"/>
        </w:rPr>
        <w:t>6</w:t>
      </w:r>
      <w:r>
        <w:rPr>
          <w:rFonts w:hint="default" w:ascii="Times New Roman" w:hAnsi="Times New Roman" w:cs="Times New Roman"/>
        </w:rPr>
        <w:t>.3.</w:t>
      </w:r>
      <w:r>
        <w:rPr>
          <w:rFonts w:hint="default" w:ascii="Times New Roman" w:hAnsi="Times New Roman" w:cs="Times New Roman"/>
          <w:lang w:val="en-US" w:eastAsia="zh-CN"/>
        </w:rPr>
        <w:t>5</w:t>
      </w:r>
      <w:r>
        <w:rPr>
          <w:rFonts w:hint="default" w:ascii="Times New Roman" w:hAnsi="Times New Roman" w:cs="Times New Roman"/>
        </w:rPr>
        <w:t>地下水环境影响预测分析</w:t>
      </w:r>
      <w:bookmarkEnd w:id="480"/>
    </w:p>
    <w:p w14:paraId="1762D524">
      <w:pPr>
        <w:pStyle w:val="39"/>
        <w:spacing w:line="360" w:lineRule="auto"/>
        <w:ind w:firstLine="480"/>
        <w:rPr>
          <w:rFonts w:hint="default" w:ascii="Times New Roman" w:hAnsi="Times New Roman" w:cs="Times New Roman" w:eastAsiaTheme="minorEastAsia"/>
        </w:rPr>
      </w:pPr>
      <w:r>
        <w:rPr>
          <w:rFonts w:hint="default" w:ascii="Times New Roman" w:hAnsi="Times New Roman" w:cs="Times New Roman" w:eastAsiaTheme="minorEastAsia"/>
        </w:rPr>
        <w:t>1、预测范围</w:t>
      </w:r>
    </w:p>
    <w:p w14:paraId="4160A8C6">
      <w:pPr>
        <w:pStyle w:val="39"/>
        <w:adjustRightInd w:val="0"/>
        <w:spacing w:line="360" w:lineRule="auto"/>
        <w:ind w:firstLine="480"/>
        <w:rPr>
          <w:rFonts w:hint="default" w:ascii="Times New Roman" w:hAnsi="Times New Roman" w:cs="Times New Roman" w:eastAsiaTheme="minorEastAsia"/>
        </w:rPr>
      </w:pPr>
      <w:r>
        <w:rPr>
          <w:rFonts w:hint="default" w:ascii="Times New Roman" w:hAnsi="Times New Roman" w:cs="Times New Roman" w:eastAsiaTheme="minorEastAsia"/>
        </w:rPr>
        <w:t>本项目地下水环境影响预测范围与调查评价范围一致。</w:t>
      </w:r>
    </w:p>
    <w:p w14:paraId="69F2809B">
      <w:pPr>
        <w:pStyle w:val="39"/>
        <w:adjustRightInd w:val="0"/>
        <w:spacing w:line="360" w:lineRule="auto"/>
        <w:ind w:firstLine="480"/>
        <w:rPr>
          <w:rFonts w:hint="default" w:ascii="Times New Roman" w:hAnsi="Times New Roman" w:cs="Times New Roman" w:eastAsiaTheme="minorEastAsia"/>
        </w:rPr>
      </w:pPr>
      <w:r>
        <w:rPr>
          <w:rFonts w:hint="default" w:ascii="Times New Roman" w:hAnsi="Times New Roman" w:cs="Times New Roman" w:eastAsiaTheme="minorEastAsia"/>
        </w:rPr>
        <w:t>2、预测时段</w:t>
      </w:r>
    </w:p>
    <w:p w14:paraId="56229EF0">
      <w:pPr>
        <w:tabs>
          <w:tab w:val="left" w:pos="3345"/>
          <w:tab w:val="left" w:pos="4680"/>
        </w:tabs>
        <w:spacing w:line="360" w:lineRule="auto"/>
        <w:ind w:firstLine="480"/>
        <w:rPr>
          <w:rFonts w:hint="default" w:ascii="Times New Roman" w:hAnsi="Times New Roman" w:cs="Times New Roman"/>
          <w:szCs w:val="24"/>
        </w:rPr>
      </w:pPr>
      <w:r>
        <w:rPr>
          <w:rFonts w:hint="default" w:ascii="Times New Roman" w:hAnsi="Times New Roman" w:cs="Times New Roman"/>
          <w:szCs w:val="24"/>
        </w:rPr>
        <w:t>地下水环境影响预测时段应选取可能产生地下水污染的关键时段，至少包括污染发生后100d、1000d，服务年限或能反映特征因子迁移规律的其他重要的时间节点。根据本项目特点，本次评价预测时段选取污染发生后100d、365d、1000d</w:t>
      </w:r>
      <w:r>
        <w:rPr>
          <w:rFonts w:hint="default" w:ascii="Times New Roman" w:hAnsi="Times New Roman" w:cs="Times New Roman"/>
          <w:szCs w:val="24"/>
          <w:lang w:eastAsia="zh-CN"/>
        </w:rPr>
        <w:t>、</w:t>
      </w:r>
      <w:r>
        <w:rPr>
          <w:rFonts w:hint="default" w:ascii="Times New Roman" w:hAnsi="Times New Roman" w:cs="Times New Roman"/>
          <w:szCs w:val="24"/>
        </w:rPr>
        <w:t>1825d</w:t>
      </w:r>
      <w:r>
        <w:rPr>
          <w:rFonts w:hint="default" w:ascii="Times New Roman" w:hAnsi="Times New Roman" w:cs="Times New Roman"/>
          <w:szCs w:val="24"/>
          <w:lang w:eastAsia="zh-CN"/>
        </w:rPr>
        <w:t>（</w:t>
      </w:r>
      <w:r>
        <w:rPr>
          <w:rFonts w:hint="default" w:ascii="Times New Roman" w:hAnsi="Times New Roman" w:cs="Times New Roman"/>
          <w:szCs w:val="24"/>
          <w:lang w:val="en-US" w:eastAsia="zh-CN"/>
        </w:rPr>
        <w:t>五年）</w:t>
      </w:r>
      <w:r>
        <w:rPr>
          <w:rFonts w:hint="default" w:ascii="Times New Roman" w:hAnsi="Times New Roman" w:cs="Times New Roman"/>
          <w:szCs w:val="24"/>
        </w:rPr>
        <w:t>。</w:t>
      </w:r>
    </w:p>
    <w:p w14:paraId="2033722E">
      <w:pPr>
        <w:pStyle w:val="39"/>
        <w:spacing w:line="360" w:lineRule="auto"/>
        <w:ind w:firstLine="480"/>
        <w:rPr>
          <w:rFonts w:hint="default" w:ascii="Times New Roman" w:hAnsi="Times New Roman" w:cs="Times New Roman"/>
        </w:rPr>
      </w:pPr>
      <w:r>
        <w:rPr>
          <w:rFonts w:hint="default" w:ascii="Times New Roman" w:hAnsi="Times New Roman" w:cs="Times New Roman"/>
        </w:rPr>
        <w:t>3、预测情景</w:t>
      </w:r>
    </w:p>
    <w:p w14:paraId="054E00FE">
      <w:pPr>
        <w:pStyle w:val="39"/>
        <w:spacing w:line="360" w:lineRule="auto"/>
        <w:ind w:firstLine="480"/>
        <w:rPr>
          <w:rFonts w:hint="default" w:ascii="Times New Roman" w:hAnsi="Times New Roman" w:cs="Times New Roman"/>
          <w:kern w:val="0"/>
        </w:rPr>
      </w:pPr>
      <w:r>
        <w:rPr>
          <w:rFonts w:hint="default" w:ascii="Times New Roman" w:hAnsi="Times New Roman" w:cs="Times New Roman"/>
          <w:kern w:val="0"/>
        </w:rPr>
        <w:t>（1）正常状况</w:t>
      </w:r>
    </w:p>
    <w:p w14:paraId="0795790D">
      <w:pPr>
        <w:pStyle w:val="39"/>
        <w:spacing w:line="360" w:lineRule="auto"/>
        <w:ind w:firstLine="480"/>
        <w:rPr>
          <w:rFonts w:hint="default" w:ascii="Times New Roman" w:hAnsi="Times New Roman" w:cs="Times New Roman"/>
          <w:color w:val="auto"/>
          <w:kern w:val="0"/>
          <w:lang w:eastAsia="zh-CN"/>
        </w:rPr>
      </w:pPr>
      <w:r>
        <w:rPr>
          <w:rFonts w:hint="default" w:ascii="Times New Roman" w:hAnsi="Times New Roman" w:cs="Times New Roman"/>
          <w:color w:val="auto"/>
          <w:kern w:val="0"/>
          <w:lang w:val="en-US" w:eastAsia="zh-CN"/>
        </w:rPr>
        <w:t>原料、成品</w:t>
      </w:r>
      <w:r>
        <w:rPr>
          <w:rFonts w:hint="default" w:ascii="Times New Roman" w:hAnsi="Times New Roman" w:cs="Times New Roman"/>
          <w:color w:val="auto"/>
          <w:kern w:val="0"/>
          <w:lang w:eastAsia="zh-CN"/>
        </w:rPr>
        <w:t>堆场对地下水的影响分析</w:t>
      </w:r>
    </w:p>
    <w:p w14:paraId="13C30E21">
      <w:pPr>
        <w:pStyle w:val="39"/>
        <w:spacing w:line="360" w:lineRule="auto"/>
        <w:ind w:firstLine="480"/>
        <w:rPr>
          <w:rFonts w:hint="default" w:ascii="Times New Roman" w:hAnsi="Times New Roman" w:cs="Times New Roman"/>
          <w:color w:val="auto"/>
          <w:kern w:val="0"/>
        </w:rPr>
      </w:pPr>
      <w:r>
        <w:rPr>
          <w:rFonts w:hint="default" w:ascii="Times New Roman" w:hAnsi="Times New Roman" w:cs="Times New Roman"/>
          <w:color w:val="auto"/>
          <w:kern w:val="0"/>
        </w:rPr>
        <w:t>本次</w:t>
      </w:r>
      <w:r>
        <w:rPr>
          <w:rFonts w:hint="default" w:ascii="Times New Roman" w:hAnsi="Times New Roman" w:cs="Times New Roman"/>
          <w:color w:val="auto"/>
          <w:kern w:val="0"/>
          <w:lang w:val="en-US" w:eastAsia="zh-CN"/>
        </w:rPr>
        <w:t>环评</w:t>
      </w:r>
      <w:r>
        <w:rPr>
          <w:rFonts w:hint="default" w:ascii="Times New Roman" w:hAnsi="Times New Roman" w:cs="Times New Roman"/>
          <w:color w:val="auto"/>
          <w:kern w:val="0"/>
        </w:rPr>
        <w:t>要求对原矿堆场、成品砂石料堆场、</w:t>
      </w:r>
      <w:r>
        <w:rPr>
          <w:rFonts w:hint="default" w:ascii="Times New Roman" w:hAnsi="Times New Roman" w:cs="Times New Roman"/>
          <w:color w:val="auto"/>
          <w:kern w:val="0"/>
          <w:lang w:val="en-US" w:eastAsia="zh-CN"/>
        </w:rPr>
        <w:t>砂石料</w:t>
      </w:r>
      <w:r>
        <w:rPr>
          <w:rFonts w:hint="default" w:ascii="Times New Roman" w:hAnsi="Times New Roman" w:cs="Times New Roman"/>
          <w:color w:val="auto"/>
          <w:kern w:val="0"/>
        </w:rPr>
        <w:t>堆场地面均</w:t>
      </w:r>
      <w:r>
        <w:rPr>
          <w:rFonts w:hint="default" w:ascii="Times New Roman" w:hAnsi="Times New Roman" w:cs="Times New Roman"/>
          <w:color w:val="auto"/>
          <w:kern w:val="0"/>
          <w:lang w:val="en-US" w:eastAsia="zh-CN"/>
        </w:rPr>
        <w:t>进行防渗</w:t>
      </w:r>
      <w:r>
        <w:rPr>
          <w:rFonts w:hint="default" w:ascii="Times New Roman" w:hAnsi="Times New Roman" w:cs="Times New Roman"/>
          <w:color w:val="auto"/>
          <w:kern w:val="0"/>
        </w:rPr>
        <w:t>，设置三面</w:t>
      </w:r>
      <w:r>
        <w:rPr>
          <w:rFonts w:hint="default" w:ascii="Times New Roman" w:hAnsi="Times New Roman" w:cs="Times New Roman"/>
          <w:color w:val="auto"/>
          <w:kern w:val="0"/>
          <w:lang w:val="en-US" w:eastAsia="zh-CN"/>
        </w:rPr>
        <w:t>围</w:t>
      </w:r>
      <w:r>
        <w:rPr>
          <w:rFonts w:hint="default" w:ascii="Times New Roman" w:hAnsi="Times New Roman" w:cs="Times New Roman"/>
          <w:color w:val="auto"/>
          <w:kern w:val="0"/>
        </w:rPr>
        <w:t>挡+</w:t>
      </w:r>
      <w:r>
        <w:rPr>
          <w:rFonts w:hint="default" w:ascii="Times New Roman" w:hAnsi="Times New Roman" w:cs="Times New Roman"/>
          <w:color w:val="auto"/>
          <w:kern w:val="0"/>
          <w:lang w:val="en-US" w:eastAsia="zh-CN"/>
        </w:rPr>
        <w:t>顶</w:t>
      </w:r>
      <w:r>
        <w:rPr>
          <w:rFonts w:hint="default" w:ascii="Times New Roman" w:hAnsi="Times New Roman" w:cs="Times New Roman"/>
          <w:color w:val="auto"/>
          <w:kern w:val="0"/>
        </w:rPr>
        <w:t>棚的形式储存物料。对物料建棚封闭后，避免雨水对物料的淋溶，物料不容易进入土壤污染地下水，</w:t>
      </w:r>
      <w:r>
        <w:rPr>
          <w:rFonts w:hint="default" w:ascii="Times New Roman" w:hAnsi="Times New Roman" w:cs="Times New Roman"/>
          <w:color w:val="auto"/>
          <w:kern w:val="0"/>
          <w:lang w:val="en-US" w:eastAsia="zh-CN"/>
        </w:rPr>
        <w:t>项目区</w:t>
      </w:r>
      <w:r>
        <w:rPr>
          <w:rFonts w:hint="default" w:ascii="Times New Roman" w:hAnsi="Times New Roman" w:cs="Times New Roman"/>
          <w:color w:val="auto"/>
          <w:kern w:val="0"/>
        </w:rPr>
        <w:t>设置雨水沟，初期雨水经收集后暂存在雨水收集池，防止初期雨水中含有可溶污染物对地下水造成污染。</w:t>
      </w:r>
    </w:p>
    <w:p w14:paraId="6052D0EA">
      <w:pPr>
        <w:pStyle w:val="39"/>
        <w:spacing w:line="360" w:lineRule="auto"/>
        <w:ind w:firstLine="480"/>
        <w:rPr>
          <w:rFonts w:hint="default" w:ascii="Times New Roman" w:hAnsi="Times New Roman" w:cs="Times New Roman"/>
          <w:kern w:val="0"/>
        </w:rPr>
      </w:pPr>
      <w:r>
        <w:rPr>
          <w:rFonts w:hint="default" w:ascii="Times New Roman" w:hAnsi="Times New Roman" w:cs="Times New Roman"/>
          <w:kern w:val="0"/>
        </w:rPr>
        <w:t>本项目采取分区防渗措施，正常情况下不会有污水泄漏而发生渗漏至地下水的情景发生。根据《环境影响评价技术导则 地下水环境》（HJ610-2016）9.4.2条，已依据GB16889、GB18597、GB18598、GB18599、GB/T50934设计地下水污染防渗措施的建设项目，可不进行正常状况情景下的预测。</w:t>
      </w:r>
    </w:p>
    <w:p w14:paraId="1EC1E319">
      <w:pPr>
        <w:pStyle w:val="39"/>
        <w:spacing w:line="360" w:lineRule="auto"/>
        <w:ind w:firstLine="480"/>
        <w:rPr>
          <w:rFonts w:hint="default" w:ascii="Times New Roman" w:hAnsi="Times New Roman" w:cs="Times New Roman"/>
          <w:szCs w:val="22"/>
        </w:rPr>
      </w:pPr>
      <w:r>
        <w:rPr>
          <w:rFonts w:hint="default" w:ascii="Times New Roman" w:hAnsi="Times New Roman" w:cs="Times New Roman"/>
          <w:kern w:val="0"/>
        </w:rPr>
        <w:t>（2）非正常状况</w:t>
      </w:r>
    </w:p>
    <w:p w14:paraId="3A7C7DF4">
      <w:pPr>
        <w:pStyle w:val="39"/>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项目非正常状况下</w:t>
      </w:r>
      <w:r>
        <w:rPr>
          <w:rFonts w:hint="default" w:ascii="Times New Roman" w:hAnsi="Times New Roman" w:cs="Times New Roman"/>
          <w:color w:val="auto"/>
          <w:kern w:val="0"/>
          <w:szCs w:val="22"/>
        </w:rPr>
        <w:t>对地下水的影响主要为</w:t>
      </w:r>
      <w:bookmarkStart w:id="481" w:name="_Hlk162448937"/>
      <w:r>
        <w:rPr>
          <w:rFonts w:hint="default" w:ascii="Times New Roman" w:hAnsi="Times New Roman" w:cs="Times New Roman"/>
          <w:color w:val="auto"/>
          <w:kern w:val="0"/>
          <w:szCs w:val="22"/>
        </w:rPr>
        <w:t>初期雨水收集池防渗层出现裂缝破损，导致初期雨水、物料淋溶水等渗入地下影响地下水水质。</w:t>
      </w:r>
    </w:p>
    <w:bookmarkEnd w:id="481"/>
    <w:p w14:paraId="4D4958AE">
      <w:pPr>
        <w:pStyle w:val="39"/>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本次模拟预测情景设定为非正常状况下</w:t>
      </w:r>
      <w:r>
        <w:rPr>
          <w:rFonts w:hint="default" w:ascii="Times New Roman" w:hAnsi="Times New Roman" w:cs="Times New Roman"/>
          <w:color w:val="auto"/>
          <w:kern w:val="0"/>
          <w:szCs w:val="22"/>
        </w:rPr>
        <w:t>初期雨水收集池</w:t>
      </w:r>
      <w:r>
        <w:rPr>
          <w:rFonts w:hint="default" w:ascii="Times New Roman" w:hAnsi="Times New Roman" w:cs="Times New Roman"/>
          <w:color w:val="auto"/>
        </w:rPr>
        <w:t>出现裂缝导致污水持续泄漏的情景。</w:t>
      </w:r>
    </w:p>
    <w:p w14:paraId="009C5D33">
      <w:pPr>
        <w:pStyle w:val="39"/>
        <w:spacing w:line="360" w:lineRule="auto"/>
        <w:ind w:firstLine="480"/>
        <w:rPr>
          <w:rFonts w:hint="default" w:ascii="Times New Roman" w:hAnsi="Times New Roman" w:cs="Times New Roman"/>
        </w:rPr>
      </w:pPr>
      <w:r>
        <w:rPr>
          <w:rFonts w:hint="default" w:ascii="Times New Roman" w:hAnsi="Times New Roman" w:cs="Times New Roman"/>
        </w:rPr>
        <w:t>4、预测因子</w:t>
      </w:r>
    </w:p>
    <w:p w14:paraId="009F18F7">
      <w:pPr>
        <w:spacing w:line="360" w:lineRule="auto"/>
        <w:ind w:firstLine="480"/>
        <w:rPr>
          <w:rFonts w:hint="default" w:ascii="Times New Roman" w:hAnsi="Times New Roman" w:cs="Times New Roman"/>
          <w:bCs/>
          <w:color w:val="auto"/>
          <w:kern w:val="44"/>
        </w:rPr>
      </w:pPr>
      <w:r>
        <w:rPr>
          <w:rFonts w:hint="default" w:ascii="Times New Roman" w:hAnsi="Times New Roman" w:cs="Times New Roman"/>
          <w:bCs/>
          <w:color w:val="auto"/>
          <w:kern w:val="44"/>
        </w:rPr>
        <w:t>本次评价以初期雨水收集池为地下水主要污染源。根据建设项目污染源特征，本次评价选取</w:t>
      </w:r>
      <w:r>
        <w:rPr>
          <w:rFonts w:hint="default" w:ascii="Times New Roman" w:hAnsi="Times New Roman" w:cs="Times New Roman"/>
          <w:color w:val="000000" w:themeColor="text1"/>
          <w:kern w:val="0"/>
          <w:szCs w:val="24"/>
          <w:lang w:val="en-US" w:eastAsia="zh-CN"/>
          <w14:textFill>
            <w14:solidFill>
              <w14:schemeClr w14:val="tx1"/>
            </w14:solidFill>
          </w14:textFill>
        </w:rPr>
        <w:t>COD、</w:t>
      </w:r>
      <w:r>
        <w:rPr>
          <w:rFonts w:hint="default" w:ascii="Times New Roman" w:hAnsi="Times New Roman" w:cs="Times New Roman"/>
          <w:color w:val="auto"/>
          <w:szCs w:val="24"/>
          <w:lang w:val="en-US" w:bidi="zh-CN"/>
        </w:rPr>
        <w:t>铁</w:t>
      </w:r>
      <w:r>
        <w:rPr>
          <w:rFonts w:hint="default" w:ascii="Times New Roman" w:hAnsi="Times New Roman" w:cs="Times New Roman"/>
          <w:color w:val="auto"/>
          <w:szCs w:val="24"/>
          <w:lang w:bidi="zh-CN"/>
        </w:rPr>
        <w:t>、锰</w:t>
      </w:r>
      <w:r>
        <w:rPr>
          <w:rFonts w:hint="default" w:ascii="Times New Roman" w:hAnsi="Times New Roman" w:cs="Times New Roman"/>
          <w:color w:val="auto"/>
          <w:szCs w:val="24"/>
          <w:lang w:val="en-US" w:bidi="zh-CN"/>
        </w:rPr>
        <w:t>3</w:t>
      </w:r>
      <w:r>
        <w:rPr>
          <w:rFonts w:hint="default" w:ascii="Times New Roman" w:hAnsi="Times New Roman" w:cs="Times New Roman"/>
          <w:color w:val="auto"/>
          <w:szCs w:val="24"/>
          <w:lang w:bidi="zh-CN"/>
        </w:rPr>
        <w:t>项</w:t>
      </w:r>
      <w:r>
        <w:rPr>
          <w:rFonts w:hint="default" w:ascii="Times New Roman" w:hAnsi="Times New Roman" w:cs="Times New Roman"/>
          <w:bCs/>
          <w:color w:val="auto"/>
          <w:kern w:val="44"/>
        </w:rPr>
        <w:t>为预测因子。</w:t>
      </w:r>
    </w:p>
    <w:p w14:paraId="5C31CEA4">
      <w:pPr>
        <w:spacing w:line="360" w:lineRule="auto"/>
        <w:ind w:firstLine="480"/>
        <w:rPr>
          <w:rFonts w:hint="default" w:ascii="Times New Roman" w:hAnsi="Times New Roman" w:cs="Times New Roman"/>
          <w:bCs/>
          <w:kern w:val="44"/>
        </w:rPr>
      </w:pPr>
      <w:r>
        <w:rPr>
          <w:rFonts w:hint="default" w:ascii="Times New Roman" w:hAnsi="Times New Roman" w:cs="Times New Roman"/>
          <w:bCs/>
          <w:kern w:val="44"/>
        </w:rPr>
        <w:t>5、预测源强</w:t>
      </w:r>
    </w:p>
    <w:p w14:paraId="0F2AF3F6">
      <w:pPr>
        <w:widowControl/>
        <w:spacing w:line="360" w:lineRule="auto"/>
        <w:ind w:firstLine="480"/>
        <w:rPr>
          <w:rFonts w:hint="default" w:ascii="Times New Roman" w:hAnsi="Times New Roman" w:cs="Times New Roman"/>
          <w:color w:val="auto"/>
          <w:kern w:val="0"/>
          <w:szCs w:val="24"/>
        </w:rPr>
      </w:pPr>
      <w:r>
        <w:rPr>
          <w:rFonts w:hint="default" w:ascii="Times New Roman" w:hAnsi="Times New Roman" w:cs="Times New Roman"/>
          <w:color w:val="auto"/>
        </w:rPr>
        <w:t>在</w:t>
      </w:r>
      <w:r>
        <w:rPr>
          <w:rFonts w:hint="default" w:ascii="Times New Roman" w:hAnsi="Times New Roman" w:cs="Times New Roman"/>
          <w:color w:val="auto"/>
          <w:kern w:val="0"/>
        </w:rPr>
        <w:t>非正常状况</w:t>
      </w:r>
      <w:r>
        <w:rPr>
          <w:rFonts w:hint="default" w:ascii="Times New Roman" w:hAnsi="Times New Roman" w:cs="Times New Roman"/>
          <w:color w:val="auto"/>
        </w:rPr>
        <w:t>下，预测源强</w:t>
      </w:r>
      <w:r>
        <w:rPr>
          <w:rFonts w:hint="default" w:ascii="Times New Roman" w:hAnsi="Times New Roman" w:cs="Times New Roman"/>
          <w:color w:val="auto"/>
          <w:lang w:val="en-US" w:eastAsia="zh-CN"/>
        </w:rPr>
        <w:t>根据本次建设单位委托云南浩辰环保科技有限公司对6号料场堆场淋滤水取样检测结果</w:t>
      </w:r>
      <w:r>
        <w:rPr>
          <w:rFonts w:hint="default" w:ascii="Times New Roman" w:hAnsi="Times New Roman" w:cs="Times New Roman"/>
          <w:color w:val="auto"/>
        </w:rPr>
        <w:t>，</w:t>
      </w:r>
      <w:r>
        <w:rPr>
          <w:rFonts w:hint="default" w:ascii="Times New Roman" w:hAnsi="Times New Roman" w:cs="Times New Roman"/>
          <w:color w:val="auto"/>
          <w:lang w:val="en-US" w:eastAsia="zh-CN"/>
        </w:rPr>
        <w:t>详见下表。</w:t>
      </w:r>
    </w:p>
    <w:p w14:paraId="3C98D302">
      <w:pPr>
        <w:widowControl/>
        <w:ind w:firstLine="48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黑体" w:cs="Times New Roman"/>
          <w:b w:val="0"/>
          <w:bCs/>
          <w:color w:val="auto"/>
          <w:sz w:val="21"/>
          <w:szCs w:val="21"/>
        </w:rPr>
        <w:t>表</w:t>
      </w:r>
      <w:r>
        <w:rPr>
          <w:rFonts w:hint="default" w:ascii="Times New Roman" w:hAnsi="Times New Roman" w:eastAsia="黑体" w:cs="Times New Roman"/>
          <w:b w:val="0"/>
          <w:bCs/>
          <w:color w:val="auto"/>
          <w:sz w:val="21"/>
          <w:szCs w:val="21"/>
          <w:lang w:val="en-US" w:eastAsia="zh-CN"/>
        </w:rPr>
        <w:t>6</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3.5</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1  6号料场堆场淋滤水污染因子及指数</w:t>
      </w:r>
    </w:p>
    <w:tbl>
      <w:tblPr>
        <w:tblStyle w:val="29"/>
        <w:tblW w:w="5149"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19"/>
        <w:gridCol w:w="2086"/>
        <w:gridCol w:w="1275"/>
        <w:gridCol w:w="2654"/>
        <w:gridCol w:w="1535"/>
      </w:tblGrid>
      <w:tr w14:paraId="4E66921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3" w:type="pct"/>
            <w:tcMar>
              <w:top w:w="15" w:type="dxa"/>
              <w:left w:w="15" w:type="dxa"/>
              <w:bottom w:w="15" w:type="dxa"/>
              <w:right w:w="15" w:type="dxa"/>
            </w:tcMar>
            <w:vAlign w:val="center"/>
          </w:tcPr>
          <w:p w14:paraId="68BE39E8">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分析项目</w:t>
            </w:r>
          </w:p>
        </w:tc>
        <w:tc>
          <w:tcPr>
            <w:tcW w:w="1101" w:type="pct"/>
            <w:tcMar>
              <w:top w:w="15" w:type="dxa"/>
              <w:left w:w="15" w:type="dxa"/>
              <w:bottom w:w="15" w:type="dxa"/>
              <w:right w:w="15" w:type="dxa"/>
            </w:tcMar>
            <w:vAlign w:val="center"/>
          </w:tcPr>
          <w:p w14:paraId="71190297">
            <w:pPr>
              <w:jc w:val="center"/>
              <w:rPr>
                <w:rFonts w:hint="default" w:ascii="Times New Roman" w:hAnsi="Times New Roman" w:eastAsia="宋体" w:cs="Times New Roman"/>
                <w:kern w:val="2"/>
                <w:sz w:val="18"/>
                <w:szCs w:val="18"/>
                <w:highlight w:val="none"/>
              </w:rPr>
            </w:pPr>
            <w:r>
              <w:rPr>
                <w:rFonts w:hint="default" w:ascii="Times New Roman" w:hAnsi="Times New Roman" w:cs="Times New Roman"/>
                <w:color w:val="auto"/>
                <w:sz w:val="18"/>
                <w:szCs w:val="18"/>
                <w:highlight w:val="none"/>
                <w:lang w:val="en-US" w:eastAsia="zh-CN" w:bidi="ar-SA"/>
              </w:rPr>
              <w:t>浓度</w:t>
            </w:r>
          </w:p>
        </w:tc>
        <w:tc>
          <w:tcPr>
            <w:tcW w:w="673" w:type="pct"/>
            <w:vAlign w:val="center"/>
          </w:tcPr>
          <w:p w14:paraId="431A4449">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单位</w:t>
            </w:r>
          </w:p>
        </w:tc>
        <w:tc>
          <w:tcPr>
            <w:tcW w:w="1401" w:type="pct"/>
            <w:vAlign w:val="center"/>
          </w:tcPr>
          <w:p w14:paraId="7A641428">
            <w:pPr>
              <w:kinsoku w:val="0"/>
              <w:overflowPunct w:val="0"/>
              <w:autoSpaceDE w:val="0"/>
              <w:autoSpaceDN w:val="0"/>
              <w:adjustRightInd w:val="0"/>
              <w:snapToGrid w:val="0"/>
              <w:spacing w:line="240" w:lineRule="auto"/>
              <w:ind w:firstLine="0" w:firstLineChars="0"/>
              <w:jc w:val="center"/>
              <w:textAlignment w:val="baseline"/>
              <w:outlineLvl w:val="3"/>
              <w:rPr>
                <w:rFonts w:hint="default" w:ascii="Times New Roman" w:hAnsi="Times New Roman" w:cs="Times New Roman" w:eastAsiaTheme="minorEastAsia"/>
                <w:bCs/>
                <w:color w:val="000000" w:themeColor="text1"/>
                <w:kern w:val="0"/>
                <w:sz w:val="18"/>
                <w:szCs w:val="18"/>
                <w14:textFill>
                  <w14:solidFill>
                    <w14:schemeClr w14:val="tx1"/>
                  </w14:solidFill>
                </w14:textFill>
              </w:rPr>
            </w:pPr>
            <w:r>
              <w:rPr>
                <w:rFonts w:hint="default" w:ascii="Times New Roman" w:hAnsi="Times New Roman" w:cs="Times New Roman" w:eastAsiaTheme="minorEastAsia"/>
                <w:bCs/>
                <w:color w:val="000000" w:themeColor="text1"/>
                <w:kern w:val="0"/>
                <w:sz w:val="18"/>
                <w:szCs w:val="18"/>
                <w14:textFill>
                  <w14:solidFill>
                    <w14:schemeClr w14:val="tx1"/>
                  </w14:solidFill>
                </w14:textFill>
              </w:rPr>
              <w:t>《地下水环境质量标准》</w:t>
            </w:r>
          </w:p>
          <w:p w14:paraId="51F30D83">
            <w:pPr>
              <w:jc w:val="center"/>
              <w:rPr>
                <w:rFonts w:hint="default" w:ascii="Times New Roman" w:hAnsi="Times New Roman" w:eastAsia="宋体" w:cs="Times New Roman"/>
                <w:sz w:val="18"/>
                <w:szCs w:val="18"/>
                <w:highlight w:val="none"/>
              </w:rPr>
            </w:pPr>
            <w:r>
              <w:rPr>
                <w:rFonts w:hint="default" w:ascii="Times New Roman" w:hAnsi="Times New Roman" w:cs="Times New Roman" w:eastAsiaTheme="minorEastAsia"/>
                <w:bCs/>
                <w:color w:val="000000" w:themeColor="text1"/>
                <w:kern w:val="0"/>
                <w:sz w:val="18"/>
                <w:szCs w:val="18"/>
                <w14:textFill>
                  <w14:solidFill>
                    <w14:schemeClr w14:val="tx1"/>
                  </w14:solidFill>
                </w14:textFill>
              </w:rPr>
              <w:t>（GB/T14848-2017）三类标准（mg/L）</w:t>
            </w:r>
          </w:p>
        </w:tc>
        <w:tc>
          <w:tcPr>
            <w:tcW w:w="810" w:type="pct"/>
            <w:vAlign w:val="center"/>
          </w:tcPr>
          <w:p w14:paraId="6CE033C9">
            <w:pPr>
              <w:jc w:val="center"/>
              <w:rPr>
                <w:rFonts w:hint="default" w:ascii="Times New Roman" w:hAnsi="Times New Roman" w:eastAsia="宋体" w:cs="Times New Roman"/>
                <w:sz w:val="18"/>
                <w:szCs w:val="18"/>
                <w:highlight w:val="none"/>
              </w:rPr>
            </w:pPr>
            <w:r>
              <w:rPr>
                <w:rFonts w:hint="default" w:ascii="Times New Roman" w:hAnsi="Times New Roman" w:cs="Times New Roman" w:eastAsiaTheme="minorEastAsia"/>
                <w:bCs/>
                <w:color w:val="000000" w:themeColor="text1"/>
                <w:kern w:val="0"/>
                <w:sz w:val="18"/>
                <w:szCs w:val="18"/>
                <w14:textFill>
                  <w14:solidFill>
                    <w14:schemeClr w14:val="tx1"/>
                  </w14:solidFill>
                </w14:textFill>
              </w:rPr>
              <w:t>污染指数</w:t>
            </w:r>
          </w:p>
        </w:tc>
      </w:tr>
      <w:tr w14:paraId="7D244FD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3" w:type="pct"/>
            <w:tcMar>
              <w:top w:w="15" w:type="dxa"/>
              <w:left w:w="15" w:type="dxa"/>
              <w:bottom w:w="15" w:type="dxa"/>
              <w:right w:w="15" w:type="dxa"/>
            </w:tcMar>
            <w:vAlign w:val="center"/>
          </w:tcPr>
          <w:p w14:paraId="7A1EB39E">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snapToGrid w:val="0"/>
                <w:color w:val="auto"/>
                <w:sz w:val="18"/>
                <w:szCs w:val="18"/>
                <w:highlight w:val="none"/>
              </w:rPr>
              <w:t>pH</w:t>
            </w:r>
          </w:p>
        </w:tc>
        <w:tc>
          <w:tcPr>
            <w:tcW w:w="1101" w:type="pct"/>
            <w:tcMar>
              <w:top w:w="15" w:type="dxa"/>
              <w:left w:w="15" w:type="dxa"/>
              <w:bottom w:w="15" w:type="dxa"/>
              <w:right w:w="15" w:type="dxa"/>
            </w:tcMar>
            <w:vAlign w:val="center"/>
          </w:tcPr>
          <w:p w14:paraId="5C91CCE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7.35</w:t>
            </w:r>
          </w:p>
        </w:tc>
        <w:tc>
          <w:tcPr>
            <w:tcW w:w="673" w:type="pct"/>
            <w:vAlign w:val="center"/>
          </w:tcPr>
          <w:p w14:paraId="547609B7">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无量纲</w:t>
            </w:r>
          </w:p>
        </w:tc>
        <w:tc>
          <w:tcPr>
            <w:tcW w:w="1401" w:type="pct"/>
            <w:vAlign w:val="center"/>
          </w:tcPr>
          <w:p w14:paraId="1AC81FDD">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6.5~8.5</w:t>
            </w:r>
          </w:p>
        </w:tc>
        <w:tc>
          <w:tcPr>
            <w:tcW w:w="810" w:type="pct"/>
            <w:vAlign w:val="center"/>
          </w:tcPr>
          <w:p w14:paraId="21280F5D">
            <w:pPr>
              <w:kinsoku w:val="0"/>
              <w:overflowPunct w:val="0"/>
              <w:autoSpaceDE w:val="0"/>
              <w:autoSpaceDN w:val="0"/>
              <w:adjustRightInd w:val="0"/>
              <w:snapToGrid w:val="0"/>
              <w:spacing w:line="240" w:lineRule="auto"/>
              <w:ind w:firstLine="0" w:firstLineChars="0"/>
              <w:jc w:val="center"/>
              <w:textAlignment w:val="baseline"/>
              <w:outlineLvl w:val="3"/>
              <w:rPr>
                <w:rFonts w:hint="default" w:ascii="Times New Roman" w:hAnsi="Times New Roman" w:eastAsia="宋体" w:cs="Times New Roman"/>
                <w:color w:val="FF0000"/>
                <w:sz w:val="18"/>
                <w:szCs w:val="18"/>
                <w:highlight w:val="none"/>
              </w:rPr>
            </w:pPr>
            <w:r>
              <w:rPr>
                <w:rFonts w:hint="default" w:ascii="Times New Roman" w:hAnsi="Times New Roman" w:cs="Times New Roman" w:eastAsiaTheme="minorEastAsia"/>
                <w:bCs/>
                <w:color w:val="auto"/>
                <w:kern w:val="0"/>
                <w:sz w:val="18"/>
                <w:szCs w:val="18"/>
              </w:rPr>
              <w:t>/</w:t>
            </w:r>
          </w:p>
        </w:tc>
      </w:tr>
      <w:tr w14:paraId="5F2D3D2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3" w:type="pct"/>
            <w:tcMar>
              <w:top w:w="15" w:type="dxa"/>
              <w:left w:w="15" w:type="dxa"/>
              <w:bottom w:w="15" w:type="dxa"/>
              <w:right w:w="15" w:type="dxa"/>
            </w:tcMar>
            <w:vAlign w:val="center"/>
          </w:tcPr>
          <w:p w14:paraId="6CA9D7E6">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铁</w:t>
            </w:r>
          </w:p>
        </w:tc>
        <w:tc>
          <w:tcPr>
            <w:tcW w:w="1101" w:type="pct"/>
            <w:tcMar>
              <w:top w:w="15" w:type="dxa"/>
              <w:left w:w="15" w:type="dxa"/>
              <w:bottom w:w="15" w:type="dxa"/>
              <w:right w:w="15" w:type="dxa"/>
            </w:tcMar>
            <w:vAlign w:val="center"/>
          </w:tcPr>
          <w:p w14:paraId="5CD0BC7D">
            <w:pPr>
              <w:keepNext w:val="0"/>
              <w:keepLines w:val="0"/>
              <w:widowControl/>
              <w:suppressLineNumbers w:val="0"/>
              <w:jc w:val="center"/>
              <w:textAlignment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0.21</w:t>
            </w:r>
          </w:p>
        </w:tc>
        <w:tc>
          <w:tcPr>
            <w:tcW w:w="673" w:type="pct"/>
            <w:vAlign w:val="center"/>
          </w:tcPr>
          <w:p w14:paraId="5B2C927D">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mg/L</w:t>
            </w:r>
          </w:p>
        </w:tc>
        <w:tc>
          <w:tcPr>
            <w:tcW w:w="1401" w:type="pct"/>
            <w:vAlign w:val="center"/>
          </w:tcPr>
          <w:p w14:paraId="78E7CA34">
            <w:pPr>
              <w:kinsoku w:val="0"/>
              <w:overflowPunct w:val="0"/>
              <w:autoSpaceDE w:val="0"/>
              <w:autoSpaceDN w:val="0"/>
              <w:adjustRightInd w:val="0"/>
              <w:snapToGrid w:val="0"/>
              <w:spacing w:line="240" w:lineRule="auto"/>
              <w:ind w:firstLine="0" w:firstLineChars="0"/>
              <w:jc w:val="center"/>
              <w:textAlignment w:val="baseline"/>
              <w:outlineLvl w:val="3"/>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eastAsiaTheme="minorEastAsia"/>
                <w:bCs/>
                <w:color w:val="auto"/>
                <w:kern w:val="0"/>
                <w:sz w:val="18"/>
                <w:szCs w:val="18"/>
              </w:rPr>
              <w:t>0.3</w:t>
            </w:r>
          </w:p>
        </w:tc>
        <w:tc>
          <w:tcPr>
            <w:tcW w:w="810" w:type="pct"/>
            <w:vAlign w:val="center"/>
          </w:tcPr>
          <w:p w14:paraId="35CABBAD">
            <w:pPr>
              <w:kinsoku w:val="0"/>
              <w:overflowPunct w:val="0"/>
              <w:autoSpaceDE w:val="0"/>
              <w:autoSpaceDN w:val="0"/>
              <w:adjustRightInd w:val="0"/>
              <w:snapToGrid w:val="0"/>
              <w:spacing w:line="240" w:lineRule="auto"/>
              <w:ind w:firstLine="0" w:firstLineChars="0"/>
              <w:jc w:val="center"/>
              <w:textAlignment w:val="baseline"/>
              <w:outlineLvl w:val="3"/>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eastAsiaTheme="minorEastAsia"/>
                <w:bCs/>
                <w:color w:val="000000" w:themeColor="text1"/>
                <w:kern w:val="0"/>
                <w:sz w:val="18"/>
                <w:szCs w:val="18"/>
                <w:lang w:val="en-US" w:eastAsia="zh-CN"/>
                <w14:textFill>
                  <w14:solidFill>
                    <w14:schemeClr w14:val="tx1"/>
                  </w14:solidFill>
                </w14:textFill>
              </w:rPr>
              <w:t>0.7</w:t>
            </w:r>
          </w:p>
        </w:tc>
      </w:tr>
      <w:tr w14:paraId="6A32A1F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3" w:type="pct"/>
            <w:tcMar>
              <w:top w:w="15" w:type="dxa"/>
              <w:left w:w="15" w:type="dxa"/>
              <w:bottom w:w="15" w:type="dxa"/>
              <w:right w:w="15" w:type="dxa"/>
            </w:tcMar>
            <w:vAlign w:val="center"/>
          </w:tcPr>
          <w:p w14:paraId="50C7EB34">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锰</w:t>
            </w:r>
          </w:p>
        </w:tc>
        <w:tc>
          <w:tcPr>
            <w:tcW w:w="1101" w:type="pct"/>
            <w:tcMar>
              <w:top w:w="15" w:type="dxa"/>
              <w:left w:w="15" w:type="dxa"/>
              <w:bottom w:w="15" w:type="dxa"/>
              <w:right w:w="15" w:type="dxa"/>
            </w:tcMar>
            <w:vAlign w:val="center"/>
          </w:tcPr>
          <w:p w14:paraId="6242406D">
            <w:pPr>
              <w:keepNext w:val="0"/>
              <w:keepLines w:val="0"/>
              <w:widowControl/>
              <w:suppressLineNumbers w:val="0"/>
              <w:jc w:val="center"/>
              <w:textAlignment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0.02</w:t>
            </w:r>
          </w:p>
        </w:tc>
        <w:tc>
          <w:tcPr>
            <w:tcW w:w="673" w:type="pct"/>
            <w:vAlign w:val="center"/>
          </w:tcPr>
          <w:p w14:paraId="06F1552E">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mg/L</w:t>
            </w:r>
          </w:p>
        </w:tc>
        <w:tc>
          <w:tcPr>
            <w:tcW w:w="1401" w:type="pct"/>
            <w:vAlign w:val="center"/>
          </w:tcPr>
          <w:p w14:paraId="2694216B">
            <w:pPr>
              <w:kinsoku w:val="0"/>
              <w:overflowPunct w:val="0"/>
              <w:autoSpaceDE w:val="0"/>
              <w:autoSpaceDN w:val="0"/>
              <w:adjustRightInd w:val="0"/>
              <w:snapToGrid w:val="0"/>
              <w:spacing w:line="240" w:lineRule="auto"/>
              <w:ind w:firstLine="0" w:firstLineChars="0"/>
              <w:jc w:val="center"/>
              <w:textAlignment w:val="baseline"/>
              <w:outlineLvl w:val="3"/>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eastAsiaTheme="minorEastAsia"/>
                <w:bCs/>
                <w:color w:val="000000" w:themeColor="text1"/>
                <w:kern w:val="0"/>
                <w:sz w:val="18"/>
                <w:szCs w:val="18"/>
                <w14:textFill>
                  <w14:solidFill>
                    <w14:schemeClr w14:val="tx1"/>
                  </w14:solidFill>
                </w14:textFill>
              </w:rPr>
              <w:t>0.1</w:t>
            </w:r>
          </w:p>
        </w:tc>
        <w:tc>
          <w:tcPr>
            <w:tcW w:w="810" w:type="pct"/>
            <w:vAlign w:val="center"/>
          </w:tcPr>
          <w:p w14:paraId="73E9B699">
            <w:pPr>
              <w:kinsoku w:val="0"/>
              <w:overflowPunct w:val="0"/>
              <w:autoSpaceDE w:val="0"/>
              <w:autoSpaceDN w:val="0"/>
              <w:adjustRightInd w:val="0"/>
              <w:snapToGrid w:val="0"/>
              <w:spacing w:line="240" w:lineRule="auto"/>
              <w:ind w:firstLine="0" w:firstLineChars="0"/>
              <w:jc w:val="center"/>
              <w:textAlignment w:val="baseline"/>
              <w:outlineLvl w:val="3"/>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eastAsiaTheme="minorEastAsia"/>
                <w:bCs/>
                <w:color w:val="000000" w:themeColor="text1"/>
                <w:kern w:val="0"/>
                <w:sz w:val="18"/>
                <w:szCs w:val="18"/>
                <w:lang w:val="en-US" w:eastAsia="zh-CN"/>
                <w14:textFill>
                  <w14:solidFill>
                    <w14:schemeClr w14:val="tx1"/>
                  </w14:solidFill>
                </w14:textFill>
              </w:rPr>
              <w:t>0.2</w:t>
            </w:r>
          </w:p>
        </w:tc>
      </w:tr>
      <w:tr w14:paraId="01AF684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3" w:type="pct"/>
            <w:shd w:val="clear" w:color="auto" w:fill="auto"/>
            <w:tcMar>
              <w:top w:w="15" w:type="dxa"/>
              <w:left w:w="15" w:type="dxa"/>
              <w:bottom w:w="15" w:type="dxa"/>
              <w:right w:w="15" w:type="dxa"/>
            </w:tcMar>
            <w:vAlign w:val="center"/>
          </w:tcPr>
          <w:p w14:paraId="329E29CB">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铜</w:t>
            </w:r>
          </w:p>
        </w:tc>
        <w:tc>
          <w:tcPr>
            <w:tcW w:w="1101" w:type="pct"/>
            <w:shd w:val="clear" w:color="auto" w:fill="auto"/>
            <w:tcMar>
              <w:top w:w="15" w:type="dxa"/>
              <w:left w:w="15" w:type="dxa"/>
              <w:bottom w:w="15" w:type="dxa"/>
              <w:right w:w="15" w:type="dxa"/>
            </w:tcMar>
            <w:vAlign w:val="center"/>
          </w:tcPr>
          <w:p w14:paraId="198057F9">
            <w:pPr>
              <w:keepNext w:val="0"/>
              <w:keepLines w:val="0"/>
              <w:widowControl/>
              <w:suppressLineNumbers w:val="0"/>
              <w:jc w:val="center"/>
              <w:textAlignment w:val="center"/>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cs="Times New Roman"/>
                <w:color w:val="000000"/>
                <w:sz w:val="18"/>
                <w:szCs w:val="18"/>
                <w:highlight w:val="none"/>
                <w:lang w:val="en-US" w:eastAsia="zh-CN" w:bidi="ar-SA"/>
              </w:rPr>
              <w:t>0.05L</w:t>
            </w:r>
          </w:p>
        </w:tc>
        <w:tc>
          <w:tcPr>
            <w:tcW w:w="673" w:type="pct"/>
            <w:shd w:val="clear" w:color="auto" w:fill="auto"/>
            <w:vAlign w:val="center"/>
          </w:tcPr>
          <w:p w14:paraId="01C41C35">
            <w:pPr>
              <w:jc w:val="center"/>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mg/L</w:t>
            </w:r>
          </w:p>
        </w:tc>
        <w:tc>
          <w:tcPr>
            <w:tcW w:w="1401" w:type="pct"/>
            <w:shd w:val="clear" w:color="auto" w:fill="auto"/>
            <w:vAlign w:val="center"/>
          </w:tcPr>
          <w:p w14:paraId="31C66130">
            <w:pPr>
              <w:jc w:val="center"/>
              <w:rPr>
                <w:rFonts w:hint="default" w:ascii="Times New Roman" w:hAnsi="Times New Roman" w:eastAsia="宋体" w:cs="Times New Roman"/>
                <w:sz w:val="18"/>
                <w:szCs w:val="18"/>
                <w:highlight w:val="none"/>
              </w:rPr>
            </w:pPr>
            <w:r>
              <w:rPr>
                <w:rFonts w:hint="default" w:ascii="Times New Roman" w:hAnsi="Times New Roman" w:cs="Times New Roman" w:eastAsiaTheme="minorEastAsia"/>
                <w:bCs/>
                <w:color w:val="000000" w:themeColor="text1"/>
                <w:kern w:val="0"/>
                <w:sz w:val="18"/>
                <w:szCs w:val="18"/>
                <w14:textFill>
                  <w14:solidFill>
                    <w14:schemeClr w14:val="tx1"/>
                  </w14:solidFill>
                </w14:textFill>
              </w:rPr>
              <w:t>1.0</w:t>
            </w:r>
          </w:p>
        </w:tc>
        <w:tc>
          <w:tcPr>
            <w:tcW w:w="810" w:type="pct"/>
            <w:shd w:val="clear" w:color="auto" w:fill="auto"/>
            <w:vAlign w:val="center"/>
          </w:tcPr>
          <w:p w14:paraId="7FF8EA56">
            <w:pPr>
              <w:kinsoku w:val="0"/>
              <w:overflowPunct w:val="0"/>
              <w:autoSpaceDE w:val="0"/>
              <w:autoSpaceDN w:val="0"/>
              <w:adjustRightInd w:val="0"/>
              <w:snapToGrid w:val="0"/>
              <w:spacing w:line="240" w:lineRule="auto"/>
              <w:ind w:firstLine="0" w:firstLineChars="0"/>
              <w:jc w:val="center"/>
              <w:textAlignment w:val="baseline"/>
              <w:outlineLvl w:val="3"/>
              <w:rPr>
                <w:rFonts w:hint="default" w:ascii="Times New Roman" w:hAnsi="Times New Roman" w:eastAsia="宋体" w:cs="Times New Roman"/>
                <w:sz w:val="18"/>
                <w:szCs w:val="18"/>
                <w:highlight w:val="none"/>
              </w:rPr>
            </w:pPr>
            <w:r>
              <w:rPr>
                <w:rFonts w:hint="default" w:ascii="Times New Roman" w:hAnsi="Times New Roman" w:cs="Times New Roman" w:eastAsiaTheme="minorEastAsia"/>
                <w:bCs/>
                <w:color w:val="000000" w:themeColor="text1"/>
                <w:kern w:val="0"/>
                <w:sz w:val="18"/>
                <w:szCs w:val="18"/>
                <w14:textFill>
                  <w14:solidFill>
                    <w14:schemeClr w14:val="tx1"/>
                  </w14:solidFill>
                </w14:textFill>
              </w:rPr>
              <w:t>/</w:t>
            </w:r>
          </w:p>
        </w:tc>
      </w:tr>
      <w:tr w14:paraId="2D40CED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3" w:type="pct"/>
            <w:tcMar>
              <w:top w:w="15" w:type="dxa"/>
              <w:left w:w="15" w:type="dxa"/>
              <w:bottom w:w="15" w:type="dxa"/>
              <w:right w:w="15" w:type="dxa"/>
            </w:tcMar>
            <w:vAlign w:val="center"/>
          </w:tcPr>
          <w:p w14:paraId="215E8A57">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锌</w:t>
            </w:r>
          </w:p>
        </w:tc>
        <w:tc>
          <w:tcPr>
            <w:tcW w:w="1101" w:type="pct"/>
            <w:shd w:val="clear" w:color="auto" w:fill="auto"/>
            <w:tcMar>
              <w:top w:w="15" w:type="dxa"/>
              <w:left w:w="15" w:type="dxa"/>
              <w:bottom w:w="15" w:type="dxa"/>
              <w:right w:w="15" w:type="dxa"/>
            </w:tcMar>
            <w:vAlign w:val="center"/>
          </w:tcPr>
          <w:p w14:paraId="313E57EF">
            <w:pPr>
              <w:keepNext w:val="0"/>
              <w:keepLines w:val="0"/>
              <w:widowControl/>
              <w:suppressLineNumbers w:val="0"/>
              <w:jc w:val="center"/>
              <w:textAlignment w:val="center"/>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cs="Times New Roman"/>
                <w:color w:val="000000"/>
                <w:sz w:val="18"/>
                <w:szCs w:val="18"/>
                <w:highlight w:val="none"/>
                <w:lang w:val="en-US" w:eastAsia="zh-CN" w:bidi="ar-SA"/>
              </w:rPr>
              <w:t>0.05L</w:t>
            </w:r>
          </w:p>
        </w:tc>
        <w:tc>
          <w:tcPr>
            <w:tcW w:w="673" w:type="pct"/>
            <w:shd w:val="clear" w:color="auto" w:fill="auto"/>
            <w:vAlign w:val="center"/>
          </w:tcPr>
          <w:p w14:paraId="6ED61E96">
            <w:pPr>
              <w:jc w:val="center"/>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mg/L</w:t>
            </w:r>
          </w:p>
        </w:tc>
        <w:tc>
          <w:tcPr>
            <w:tcW w:w="1401" w:type="pct"/>
            <w:shd w:val="clear" w:color="auto" w:fill="auto"/>
            <w:vAlign w:val="center"/>
          </w:tcPr>
          <w:p w14:paraId="2EF76D31">
            <w:pPr>
              <w:jc w:val="center"/>
              <w:rPr>
                <w:rFonts w:hint="default" w:ascii="Times New Roman" w:hAnsi="Times New Roman" w:eastAsia="宋体" w:cs="Times New Roman"/>
                <w:sz w:val="18"/>
                <w:szCs w:val="18"/>
                <w:highlight w:val="none"/>
              </w:rPr>
            </w:pPr>
            <w:r>
              <w:rPr>
                <w:rFonts w:hint="default" w:ascii="Times New Roman" w:hAnsi="Times New Roman" w:cs="Times New Roman" w:eastAsiaTheme="minorEastAsia"/>
                <w:bCs/>
                <w:color w:val="000000" w:themeColor="text1"/>
                <w:kern w:val="0"/>
                <w:sz w:val="18"/>
                <w:szCs w:val="18"/>
                <w14:textFill>
                  <w14:solidFill>
                    <w14:schemeClr w14:val="tx1"/>
                  </w14:solidFill>
                </w14:textFill>
              </w:rPr>
              <w:t>1.0</w:t>
            </w:r>
          </w:p>
        </w:tc>
        <w:tc>
          <w:tcPr>
            <w:tcW w:w="810" w:type="pct"/>
            <w:shd w:val="clear" w:color="auto" w:fill="auto"/>
            <w:vAlign w:val="center"/>
          </w:tcPr>
          <w:p w14:paraId="49F09C0D">
            <w:pPr>
              <w:kinsoku w:val="0"/>
              <w:overflowPunct w:val="0"/>
              <w:autoSpaceDE w:val="0"/>
              <w:autoSpaceDN w:val="0"/>
              <w:adjustRightInd w:val="0"/>
              <w:snapToGrid w:val="0"/>
              <w:spacing w:line="240" w:lineRule="auto"/>
              <w:ind w:firstLine="0" w:firstLineChars="0"/>
              <w:jc w:val="center"/>
              <w:textAlignment w:val="baseline"/>
              <w:outlineLvl w:val="3"/>
              <w:rPr>
                <w:rFonts w:hint="default" w:ascii="Times New Roman" w:hAnsi="Times New Roman" w:eastAsia="宋体" w:cs="Times New Roman"/>
                <w:sz w:val="18"/>
                <w:szCs w:val="18"/>
                <w:highlight w:val="none"/>
              </w:rPr>
            </w:pPr>
            <w:r>
              <w:rPr>
                <w:rFonts w:hint="default" w:ascii="Times New Roman" w:hAnsi="Times New Roman" w:cs="Times New Roman" w:eastAsiaTheme="minorEastAsia"/>
                <w:bCs/>
                <w:color w:val="000000" w:themeColor="text1"/>
                <w:kern w:val="0"/>
                <w:sz w:val="18"/>
                <w:szCs w:val="18"/>
                <w14:textFill>
                  <w14:solidFill>
                    <w14:schemeClr w14:val="tx1"/>
                  </w14:solidFill>
                </w14:textFill>
              </w:rPr>
              <w:t>/</w:t>
            </w:r>
          </w:p>
        </w:tc>
      </w:tr>
      <w:tr w14:paraId="162A62D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3" w:type="pct"/>
            <w:tcMar>
              <w:top w:w="15" w:type="dxa"/>
              <w:left w:w="15" w:type="dxa"/>
              <w:bottom w:w="15" w:type="dxa"/>
              <w:right w:w="15" w:type="dxa"/>
            </w:tcMar>
            <w:vAlign w:val="center"/>
          </w:tcPr>
          <w:p w14:paraId="0F105519">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砷</w:t>
            </w:r>
          </w:p>
        </w:tc>
        <w:tc>
          <w:tcPr>
            <w:tcW w:w="1101" w:type="pct"/>
            <w:shd w:val="clear" w:color="auto" w:fill="auto"/>
            <w:tcMar>
              <w:top w:w="15" w:type="dxa"/>
              <w:left w:w="15" w:type="dxa"/>
              <w:bottom w:w="15" w:type="dxa"/>
              <w:right w:w="15" w:type="dxa"/>
            </w:tcMar>
            <w:vAlign w:val="center"/>
          </w:tcPr>
          <w:p w14:paraId="49B04797">
            <w:pPr>
              <w:keepNext w:val="0"/>
              <w:keepLines w:val="0"/>
              <w:widowControl/>
              <w:suppressLineNumbers w:val="0"/>
              <w:jc w:val="center"/>
              <w:textAlignment w:val="center"/>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cs="Times New Roman"/>
                <w:color w:val="000000"/>
                <w:sz w:val="18"/>
                <w:szCs w:val="18"/>
                <w:highlight w:val="none"/>
                <w:lang w:val="en-US" w:eastAsia="zh-CN" w:bidi="ar-SA"/>
              </w:rPr>
              <w:t>0.0017</w:t>
            </w:r>
          </w:p>
        </w:tc>
        <w:tc>
          <w:tcPr>
            <w:tcW w:w="673" w:type="pct"/>
            <w:shd w:val="clear" w:color="auto" w:fill="auto"/>
            <w:vAlign w:val="center"/>
          </w:tcPr>
          <w:p w14:paraId="7DCA1C77">
            <w:pPr>
              <w:jc w:val="center"/>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mg/L</w:t>
            </w:r>
          </w:p>
        </w:tc>
        <w:tc>
          <w:tcPr>
            <w:tcW w:w="1401" w:type="pct"/>
            <w:shd w:val="clear" w:color="auto" w:fill="auto"/>
            <w:vAlign w:val="center"/>
          </w:tcPr>
          <w:p w14:paraId="17283475">
            <w:pPr>
              <w:jc w:val="center"/>
              <w:rPr>
                <w:rFonts w:hint="default" w:ascii="Times New Roman" w:hAnsi="Times New Roman" w:eastAsia="宋体" w:cs="Times New Roman"/>
                <w:sz w:val="18"/>
                <w:szCs w:val="18"/>
                <w:highlight w:val="none"/>
              </w:rPr>
            </w:pPr>
            <w:r>
              <w:rPr>
                <w:rFonts w:hint="default" w:ascii="Times New Roman" w:hAnsi="Times New Roman" w:cs="Times New Roman" w:eastAsiaTheme="minorEastAsia"/>
                <w:bCs/>
                <w:color w:val="000000" w:themeColor="text1"/>
                <w:kern w:val="0"/>
                <w:sz w:val="18"/>
                <w:szCs w:val="18"/>
                <w14:textFill>
                  <w14:solidFill>
                    <w14:schemeClr w14:val="tx1"/>
                  </w14:solidFill>
                </w14:textFill>
              </w:rPr>
              <w:t>0.01</w:t>
            </w:r>
          </w:p>
        </w:tc>
        <w:tc>
          <w:tcPr>
            <w:tcW w:w="810" w:type="pct"/>
            <w:shd w:val="clear" w:color="auto" w:fill="auto"/>
            <w:vAlign w:val="center"/>
          </w:tcPr>
          <w:p w14:paraId="03846659">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0.17</w:t>
            </w:r>
          </w:p>
        </w:tc>
      </w:tr>
      <w:tr w14:paraId="19CFACC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3" w:type="pct"/>
            <w:tcMar>
              <w:top w:w="15" w:type="dxa"/>
              <w:left w:w="15" w:type="dxa"/>
              <w:bottom w:w="15" w:type="dxa"/>
              <w:right w:w="15" w:type="dxa"/>
            </w:tcMar>
            <w:vAlign w:val="center"/>
          </w:tcPr>
          <w:p w14:paraId="0630B4B5">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铅</w:t>
            </w:r>
          </w:p>
        </w:tc>
        <w:tc>
          <w:tcPr>
            <w:tcW w:w="1101" w:type="pct"/>
            <w:tcMar>
              <w:top w:w="15" w:type="dxa"/>
              <w:left w:w="15" w:type="dxa"/>
              <w:bottom w:w="15" w:type="dxa"/>
              <w:right w:w="15" w:type="dxa"/>
            </w:tcMar>
            <w:vAlign w:val="center"/>
          </w:tcPr>
          <w:p w14:paraId="651A7271">
            <w:pPr>
              <w:keepNext w:val="0"/>
              <w:keepLines w:val="0"/>
              <w:widowControl/>
              <w:suppressLineNumbers w:val="0"/>
              <w:jc w:val="center"/>
              <w:textAlignment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0.001L</w:t>
            </w:r>
          </w:p>
        </w:tc>
        <w:tc>
          <w:tcPr>
            <w:tcW w:w="673" w:type="pct"/>
            <w:vAlign w:val="center"/>
          </w:tcPr>
          <w:p w14:paraId="7FE75C41">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mg/L</w:t>
            </w:r>
          </w:p>
        </w:tc>
        <w:tc>
          <w:tcPr>
            <w:tcW w:w="1401" w:type="pct"/>
            <w:vAlign w:val="center"/>
          </w:tcPr>
          <w:p w14:paraId="04A35D13">
            <w:pPr>
              <w:jc w:val="center"/>
              <w:rPr>
                <w:rFonts w:hint="default" w:ascii="Times New Roman" w:hAnsi="Times New Roman" w:eastAsia="宋体" w:cs="Times New Roman"/>
                <w:sz w:val="18"/>
                <w:szCs w:val="18"/>
                <w:highlight w:val="none"/>
              </w:rPr>
            </w:pPr>
            <w:r>
              <w:rPr>
                <w:rFonts w:hint="default" w:ascii="Times New Roman" w:hAnsi="Times New Roman" w:cs="Times New Roman" w:eastAsiaTheme="minorEastAsia"/>
                <w:bCs/>
                <w:color w:val="000000" w:themeColor="text1"/>
                <w:kern w:val="0"/>
                <w:sz w:val="18"/>
                <w:szCs w:val="18"/>
                <w14:textFill>
                  <w14:solidFill>
                    <w14:schemeClr w14:val="tx1"/>
                  </w14:solidFill>
                </w14:textFill>
              </w:rPr>
              <w:t>0.01</w:t>
            </w:r>
          </w:p>
        </w:tc>
        <w:tc>
          <w:tcPr>
            <w:tcW w:w="810" w:type="pct"/>
            <w:vAlign w:val="center"/>
          </w:tcPr>
          <w:p w14:paraId="35C77C84">
            <w:pPr>
              <w:jc w:val="center"/>
              <w:rPr>
                <w:rFonts w:hint="default" w:ascii="Times New Roman" w:hAnsi="Times New Roman" w:eastAsia="宋体" w:cs="Times New Roman"/>
                <w:sz w:val="18"/>
                <w:szCs w:val="18"/>
                <w:highlight w:val="none"/>
              </w:rPr>
            </w:pPr>
            <w:r>
              <w:rPr>
                <w:rFonts w:hint="default" w:ascii="Times New Roman" w:hAnsi="Times New Roman" w:cs="Times New Roman" w:eastAsiaTheme="minorEastAsia"/>
                <w:bCs/>
                <w:color w:val="000000" w:themeColor="text1"/>
                <w:kern w:val="0"/>
                <w:sz w:val="18"/>
                <w:szCs w:val="18"/>
                <w14:textFill>
                  <w14:solidFill>
                    <w14:schemeClr w14:val="tx1"/>
                  </w14:solidFill>
                </w14:textFill>
              </w:rPr>
              <w:t>/</w:t>
            </w:r>
          </w:p>
        </w:tc>
      </w:tr>
      <w:tr w14:paraId="7ACB352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3" w:type="pct"/>
            <w:tcMar>
              <w:top w:w="15" w:type="dxa"/>
              <w:left w:w="15" w:type="dxa"/>
              <w:bottom w:w="15" w:type="dxa"/>
              <w:right w:w="15" w:type="dxa"/>
            </w:tcMar>
            <w:vAlign w:val="center"/>
          </w:tcPr>
          <w:p w14:paraId="64AC94D2">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镍</w:t>
            </w:r>
          </w:p>
        </w:tc>
        <w:tc>
          <w:tcPr>
            <w:tcW w:w="1101" w:type="pct"/>
            <w:tcMar>
              <w:top w:w="15" w:type="dxa"/>
              <w:left w:w="15" w:type="dxa"/>
              <w:bottom w:w="15" w:type="dxa"/>
              <w:right w:w="15" w:type="dxa"/>
            </w:tcMar>
            <w:vAlign w:val="center"/>
          </w:tcPr>
          <w:p w14:paraId="29A7D496">
            <w:pPr>
              <w:keepNext w:val="0"/>
              <w:keepLines w:val="0"/>
              <w:widowControl/>
              <w:suppressLineNumbers w:val="0"/>
              <w:jc w:val="center"/>
              <w:textAlignment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0.05L</w:t>
            </w:r>
          </w:p>
        </w:tc>
        <w:tc>
          <w:tcPr>
            <w:tcW w:w="673" w:type="pct"/>
            <w:vAlign w:val="center"/>
          </w:tcPr>
          <w:p w14:paraId="6E70372D">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mg/L</w:t>
            </w:r>
          </w:p>
        </w:tc>
        <w:tc>
          <w:tcPr>
            <w:tcW w:w="1401" w:type="pct"/>
            <w:vAlign w:val="center"/>
          </w:tcPr>
          <w:p w14:paraId="6DA44C00">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0.02</w:t>
            </w:r>
          </w:p>
        </w:tc>
        <w:tc>
          <w:tcPr>
            <w:tcW w:w="810" w:type="pct"/>
            <w:vAlign w:val="center"/>
          </w:tcPr>
          <w:p w14:paraId="5F23071E">
            <w:pPr>
              <w:jc w:val="center"/>
              <w:rPr>
                <w:rFonts w:hint="default" w:ascii="Times New Roman" w:hAnsi="Times New Roman" w:eastAsia="宋体" w:cs="Times New Roman"/>
                <w:sz w:val="18"/>
                <w:szCs w:val="18"/>
                <w:highlight w:val="none"/>
              </w:rPr>
            </w:pPr>
            <w:r>
              <w:rPr>
                <w:rFonts w:hint="default" w:ascii="Times New Roman" w:hAnsi="Times New Roman" w:cs="Times New Roman" w:eastAsiaTheme="minorEastAsia"/>
                <w:bCs/>
                <w:color w:val="000000" w:themeColor="text1"/>
                <w:kern w:val="0"/>
                <w:sz w:val="18"/>
                <w:szCs w:val="18"/>
                <w14:textFill>
                  <w14:solidFill>
                    <w14:schemeClr w14:val="tx1"/>
                  </w14:solidFill>
                </w14:textFill>
              </w:rPr>
              <w:t>/</w:t>
            </w:r>
          </w:p>
        </w:tc>
      </w:tr>
      <w:tr w14:paraId="4C62DA5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3" w:type="pct"/>
            <w:tcMar>
              <w:top w:w="15" w:type="dxa"/>
              <w:left w:w="15" w:type="dxa"/>
              <w:bottom w:w="15" w:type="dxa"/>
              <w:right w:w="15" w:type="dxa"/>
            </w:tcMar>
            <w:vAlign w:val="center"/>
          </w:tcPr>
          <w:p w14:paraId="22BE71FB">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氟化物</w:t>
            </w:r>
          </w:p>
        </w:tc>
        <w:tc>
          <w:tcPr>
            <w:tcW w:w="1101" w:type="pct"/>
            <w:tcMar>
              <w:top w:w="15" w:type="dxa"/>
              <w:left w:w="15" w:type="dxa"/>
              <w:bottom w:w="15" w:type="dxa"/>
              <w:right w:w="15" w:type="dxa"/>
            </w:tcMar>
            <w:vAlign w:val="center"/>
          </w:tcPr>
          <w:p w14:paraId="797B88F0">
            <w:pPr>
              <w:keepNext w:val="0"/>
              <w:keepLines w:val="0"/>
              <w:widowControl/>
              <w:suppressLineNumbers w:val="0"/>
              <w:jc w:val="center"/>
              <w:textAlignment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0.77</w:t>
            </w:r>
          </w:p>
        </w:tc>
        <w:tc>
          <w:tcPr>
            <w:tcW w:w="673" w:type="pct"/>
            <w:vAlign w:val="center"/>
          </w:tcPr>
          <w:p w14:paraId="6D248376">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mg/L</w:t>
            </w:r>
          </w:p>
        </w:tc>
        <w:tc>
          <w:tcPr>
            <w:tcW w:w="1401" w:type="pct"/>
            <w:vAlign w:val="center"/>
          </w:tcPr>
          <w:p w14:paraId="64C3126F">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c>
          <w:tcPr>
            <w:tcW w:w="810" w:type="pct"/>
            <w:vAlign w:val="center"/>
          </w:tcPr>
          <w:p w14:paraId="6353634F">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0.77</w:t>
            </w:r>
          </w:p>
        </w:tc>
      </w:tr>
      <w:tr w14:paraId="7A5E0DA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3" w:type="pct"/>
            <w:tcMar>
              <w:top w:w="15" w:type="dxa"/>
              <w:left w:w="15" w:type="dxa"/>
              <w:bottom w:w="15" w:type="dxa"/>
              <w:right w:w="15" w:type="dxa"/>
            </w:tcMar>
            <w:vAlign w:val="center"/>
          </w:tcPr>
          <w:p w14:paraId="00E1EF63">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化学需氧量</w:t>
            </w:r>
          </w:p>
        </w:tc>
        <w:tc>
          <w:tcPr>
            <w:tcW w:w="1101" w:type="pct"/>
            <w:tcMar>
              <w:top w:w="15" w:type="dxa"/>
              <w:left w:w="15" w:type="dxa"/>
              <w:bottom w:w="15" w:type="dxa"/>
              <w:right w:w="15" w:type="dxa"/>
            </w:tcMar>
            <w:vAlign w:val="center"/>
          </w:tcPr>
          <w:p w14:paraId="61724BE5">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673" w:type="pct"/>
            <w:vAlign w:val="center"/>
          </w:tcPr>
          <w:p w14:paraId="306B7244">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mg/L</w:t>
            </w:r>
          </w:p>
        </w:tc>
        <w:tc>
          <w:tcPr>
            <w:tcW w:w="1401" w:type="pct"/>
            <w:vAlign w:val="center"/>
          </w:tcPr>
          <w:p w14:paraId="321BEA72">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810" w:type="pct"/>
            <w:vAlign w:val="center"/>
          </w:tcPr>
          <w:p w14:paraId="24B052A3">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r>
    </w:tbl>
    <w:p w14:paraId="6F58CBF4">
      <w:pPr>
        <w:pStyle w:val="39"/>
        <w:spacing w:line="360" w:lineRule="auto"/>
        <w:ind w:firstLine="480"/>
        <w:rPr>
          <w:rFonts w:hint="default" w:ascii="Times New Roman" w:hAnsi="Times New Roman" w:cs="Times New Roman"/>
        </w:rPr>
      </w:pPr>
      <w:r>
        <w:rPr>
          <w:rFonts w:hint="default" w:ascii="Times New Roman" w:hAnsi="Times New Roman" w:cs="Times New Roman"/>
        </w:rPr>
        <w:t>6、预测模型</w:t>
      </w:r>
    </w:p>
    <w:p w14:paraId="079AD422">
      <w:pPr>
        <w:pStyle w:val="39"/>
        <w:spacing w:line="360" w:lineRule="auto"/>
        <w:ind w:firstLine="480"/>
        <w:rPr>
          <w:rFonts w:hint="default" w:ascii="Times New Roman" w:hAnsi="Times New Roman" w:cs="Times New Roman"/>
        </w:rPr>
      </w:pPr>
      <w:r>
        <w:rPr>
          <w:rFonts w:hint="default" w:ascii="Times New Roman" w:hAnsi="Times New Roman" w:cs="Times New Roman"/>
        </w:rPr>
        <w:t>按照《环境影响评价技术导则 地下水环境》（HJ610-2016）中的相关要求，本项目地下水为三级评价，采用解析法进行地下水环境影响预测。</w:t>
      </w:r>
    </w:p>
    <w:p w14:paraId="162FB26A">
      <w:pPr>
        <w:pStyle w:val="39"/>
        <w:spacing w:line="360" w:lineRule="auto"/>
        <w:ind w:firstLine="480"/>
        <w:rPr>
          <w:rFonts w:hint="default" w:ascii="Times New Roman" w:hAnsi="Times New Roman" w:cs="Times New Roman"/>
          <w:lang w:bidi="zh-CN"/>
        </w:rPr>
      </w:pPr>
      <w:r>
        <w:rPr>
          <w:rFonts w:hint="default" w:ascii="Times New Roman" w:hAnsi="Times New Roman" w:cs="Times New Roman"/>
          <w:color w:val="auto"/>
        </w:rPr>
        <w:t>本项目雨水收集池渗漏情景的排放形式概化为点源，</w:t>
      </w:r>
      <w:r>
        <w:rPr>
          <w:rFonts w:hint="default" w:ascii="Times New Roman" w:hAnsi="Times New Roman" w:cs="Times New Roman"/>
        </w:rPr>
        <w:t>排放规律简化为连续恒定排放。预测模型采用一维半无限长多孔介质柱体，一端为定浓度边界。</w:t>
      </w:r>
      <w:r>
        <w:rPr>
          <w:rFonts w:hint="default" w:ascii="Times New Roman" w:hAnsi="Times New Roman" w:cs="Times New Roman"/>
          <w:lang w:bidi="zh-CN"/>
        </w:rPr>
        <w:t>公式如下：</w:t>
      </w:r>
    </w:p>
    <w:p w14:paraId="22919407">
      <w:pPr>
        <w:ind w:firstLine="480"/>
        <w:jc w:val="center"/>
        <w:rPr>
          <w:rFonts w:hint="default" w:ascii="Times New Roman" w:hAnsi="Times New Roman" w:cs="Times New Roman"/>
          <w:lang w:bidi="zh-CN"/>
        </w:rPr>
      </w:pPr>
      <w:r>
        <w:rPr>
          <w:rFonts w:hint="default" w:ascii="Times New Roman" w:hAnsi="Times New Roman" w:cs="Times New Roman"/>
        </w:rPr>
        <w:drawing>
          <wp:inline distT="0" distB="0" distL="0" distR="0">
            <wp:extent cx="2990850" cy="5715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a:stretch>
                      <a:fillRect/>
                    </a:stretch>
                  </pic:blipFill>
                  <pic:spPr>
                    <a:xfrm>
                      <a:off x="0" y="0"/>
                      <a:ext cx="2990850" cy="571500"/>
                    </a:xfrm>
                    <a:prstGeom prst="rect">
                      <a:avLst/>
                    </a:prstGeom>
                  </pic:spPr>
                </pic:pic>
              </a:graphicData>
            </a:graphic>
          </wp:inline>
        </w:drawing>
      </w:r>
    </w:p>
    <w:p w14:paraId="770030A0">
      <w:pPr>
        <w:spacing w:line="360" w:lineRule="auto"/>
        <w:ind w:firstLine="480"/>
        <w:rPr>
          <w:rFonts w:hint="default" w:ascii="Times New Roman" w:hAnsi="Times New Roman" w:cs="Times New Roman"/>
        </w:rPr>
      </w:pPr>
      <w:r>
        <w:rPr>
          <w:rFonts w:hint="default" w:ascii="Times New Roman" w:hAnsi="Times New Roman" w:cs="Times New Roman"/>
        </w:rPr>
        <w:t xml:space="preserve">式中： </w:t>
      </w:r>
    </w:p>
    <w:p w14:paraId="3638FFE8">
      <w:pPr>
        <w:pStyle w:val="39"/>
        <w:spacing w:line="360" w:lineRule="auto"/>
        <w:ind w:firstLine="980" w:firstLineChars="400"/>
        <w:rPr>
          <w:rFonts w:hint="default" w:ascii="Times New Roman" w:hAnsi="Times New Roman" w:cs="Times New Roman"/>
        </w:rPr>
      </w:pPr>
      <w:r>
        <w:rPr>
          <w:rFonts w:hint="default" w:ascii="Times New Roman" w:hAnsi="Times New Roman" w:cs="Times New Roman"/>
        </w:rPr>
        <w:t>x —距注入点的距离；m；</w:t>
      </w:r>
    </w:p>
    <w:p w14:paraId="4E1238FF">
      <w:pPr>
        <w:pStyle w:val="39"/>
        <w:spacing w:line="360" w:lineRule="auto"/>
        <w:ind w:firstLine="980" w:firstLineChars="400"/>
        <w:rPr>
          <w:rFonts w:hint="default" w:ascii="Times New Roman" w:hAnsi="Times New Roman" w:cs="Times New Roman"/>
        </w:rPr>
      </w:pPr>
      <w:r>
        <w:rPr>
          <w:rFonts w:hint="default" w:ascii="Times New Roman" w:hAnsi="Times New Roman" w:cs="Times New Roman"/>
        </w:rPr>
        <w:t>t —时间，d；</w:t>
      </w:r>
    </w:p>
    <w:p w14:paraId="53958E28">
      <w:pPr>
        <w:pStyle w:val="39"/>
        <w:spacing w:line="360" w:lineRule="auto"/>
        <w:ind w:firstLine="980" w:firstLineChars="400"/>
        <w:rPr>
          <w:rFonts w:hint="default" w:ascii="Times New Roman" w:hAnsi="Times New Roman" w:cs="Times New Roman"/>
        </w:rPr>
      </w:pPr>
      <w:r>
        <w:rPr>
          <w:rFonts w:hint="default" w:ascii="Times New Roman" w:hAnsi="Times New Roman" w:cs="Times New Roman"/>
        </w:rPr>
        <w:t>C (x ,t )—t 时刻x 处的示踪剂浓度，g/L；</w:t>
      </w:r>
    </w:p>
    <w:p w14:paraId="7C562C70">
      <w:pPr>
        <w:pStyle w:val="39"/>
        <w:spacing w:line="360" w:lineRule="auto"/>
        <w:ind w:firstLine="980" w:firstLineChars="400"/>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vertAlign w:val="subscript"/>
        </w:rPr>
        <w:t>0</w:t>
      </w:r>
      <w:r>
        <w:rPr>
          <w:rFonts w:hint="default" w:ascii="Times New Roman" w:hAnsi="Times New Roman" w:cs="Times New Roman"/>
        </w:rPr>
        <w:t>—注入的示踪剂浓度，g/L；</w:t>
      </w:r>
    </w:p>
    <w:p w14:paraId="55CA7E7D">
      <w:pPr>
        <w:pStyle w:val="39"/>
        <w:spacing w:line="360" w:lineRule="auto"/>
        <w:ind w:firstLine="980" w:firstLineChars="400"/>
        <w:rPr>
          <w:rFonts w:hint="default" w:ascii="Times New Roman" w:hAnsi="Times New Roman" w:cs="Times New Roman"/>
        </w:rPr>
      </w:pPr>
      <w:r>
        <w:rPr>
          <w:rFonts w:hint="default" w:ascii="Times New Roman" w:hAnsi="Times New Roman" w:cs="Times New Roman"/>
        </w:rPr>
        <w:t>u —水流速度，m/d；</w:t>
      </w:r>
    </w:p>
    <w:p w14:paraId="2201574C">
      <w:pPr>
        <w:pStyle w:val="39"/>
        <w:spacing w:line="360" w:lineRule="auto"/>
        <w:ind w:firstLine="980" w:firstLineChars="400"/>
        <w:rPr>
          <w:rFonts w:hint="default" w:ascii="Times New Roman" w:hAnsi="Times New Roman" w:cs="Times New Roman"/>
        </w:rPr>
      </w:pPr>
      <w:r>
        <w:rPr>
          <w:rFonts w:hint="default" w:ascii="Times New Roman" w:hAnsi="Times New Roman" w:cs="Times New Roman"/>
        </w:rPr>
        <w:t>D</w:t>
      </w:r>
      <w:r>
        <w:rPr>
          <w:rFonts w:hint="default" w:ascii="Times New Roman" w:hAnsi="Times New Roman" w:cs="Times New Roman"/>
          <w:vertAlign w:val="subscript"/>
        </w:rPr>
        <w:t>L</w:t>
      </w:r>
      <w:r>
        <w:rPr>
          <w:rFonts w:hint="default" w:ascii="Times New Roman" w:hAnsi="Times New Roman" w:cs="Times New Roman"/>
        </w:rPr>
        <w:t>—纵向弥散系数，m</w:t>
      </w:r>
      <w:r>
        <w:rPr>
          <w:rFonts w:hint="default" w:ascii="Times New Roman" w:hAnsi="Times New Roman" w:cs="Times New Roman"/>
          <w:vertAlign w:val="superscript"/>
        </w:rPr>
        <w:t>2</w:t>
      </w:r>
      <w:r>
        <w:rPr>
          <w:rFonts w:hint="default" w:ascii="Times New Roman" w:hAnsi="Times New Roman" w:cs="Times New Roman"/>
        </w:rPr>
        <w:t>/d；</w:t>
      </w:r>
    </w:p>
    <w:p w14:paraId="45868BD1">
      <w:pPr>
        <w:pStyle w:val="39"/>
        <w:spacing w:line="360" w:lineRule="auto"/>
        <w:ind w:firstLine="980" w:firstLineChars="400"/>
        <w:rPr>
          <w:rFonts w:hint="default" w:ascii="Times New Roman" w:hAnsi="Times New Roman" w:cs="Times New Roman"/>
        </w:rPr>
      </w:pPr>
      <w:r>
        <w:rPr>
          <w:rFonts w:hint="default" w:ascii="Times New Roman" w:hAnsi="Times New Roman" w:cs="Times New Roman"/>
        </w:rPr>
        <w:t>erfc（）—余误差函数。</w:t>
      </w:r>
    </w:p>
    <w:p w14:paraId="201FD1D3">
      <w:pPr>
        <w:pStyle w:val="39"/>
        <w:spacing w:line="360" w:lineRule="auto"/>
        <w:ind w:firstLine="480"/>
        <w:rPr>
          <w:rFonts w:hint="default" w:ascii="Times New Roman" w:hAnsi="Times New Roman" w:cs="Times New Roman"/>
        </w:rPr>
      </w:pPr>
      <w:r>
        <w:rPr>
          <w:rFonts w:hint="default" w:ascii="Times New Roman" w:hAnsi="Times New Roman" w:cs="Times New Roman"/>
        </w:rPr>
        <w:t>7、预测参数</w:t>
      </w:r>
    </w:p>
    <w:p w14:paraId="173FF833">
      <w:pPr>
        <w:ind w:firstLine="480"/>
        <w:rPr>
          <w:rFonts w:hint="default" w:ascii="Times New Roman" w:hAnsi="Times New Roman" w:cs="Times New Roman"/>
          <w:lang w:bidi="zh-CN"/>
        </w:rPr>
      </w:pPr>
      <w:r>
        <w:rPr>
          <w:rFonts w:hint="default" w:ascii="Times New Roman" w:hAnsi="Times New Roman" w:cs="Times New Roman"/>
          <w:lang w:bidi="zh-CN"/>
        </w:rPr>
        <w:t>①水质参数</w:t>
      </w:r>
    </w:p>
    <w:p w14:paraId="753108C8">
      <w:pPr>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表</w:t>
      </w:r>
      <w:r>
        <w:rPr>
          <w:rFonts w:hint="default" w:ascii="Times New Roman" w:hAnsi="Times New Roman" w:eastAsia="黑体" w:cs="Times New Roman"/>
          <w:b w:val="0"/>
          <w:bCs/>
          <w:color w:val="auto"/>
          <w:sz w:val="21"/>
          <w:szCs w:val="21"/>
          <w:lang w:val="en-US" w:eastAsia="zh-CN"/>
        </w:rPr>
        <w:t>6</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3.5</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2</w:t>
      </w:r>
      <w:r>
        <w:rPr>
          <w:rFonts w:hint="default" w:ascii="Times New Roman" w:hAnsi="Times New Roman" w:eastAsia="黑体" w:cs="Times New Roman"/>
          <w:b w:val="0"/>
          <w:bCs/>
          <w:color w:val="auto"/>
          <w:sz w:val="21"/>
          <w:szCs w:val="21"/>
        </w:rPr>
        <w:t xml:space="preserve">  预测因子特征值    mg/L，pH无量纲</w:t>
      </w:r>
    </w:p>
    <w:tbl>
      <w:tblPr>
        <w:tblStyle w:val="3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35EC25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tcPr>
          <w:p w14:paraId="3A0FB3E5">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污染物</w:t>
            </w:r>
          </w:p>
        </w:tc>
        <w:tc>
          <w:tcPr>
            <w:tcW w:w="1250" w:type="pct"/>
            <w:tcBorders>
              <w:tl2br w:val="nil"/>
              <w:tr2bl w:val="nil"/>
            </w:tcBorders>
          </w:tcPr>
          <w:p w14:paraId="2FBF51C2">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COD</w:t>
            </w:r>
            <w:r>
              <w:rPr>
                <w:rFonts w:hint="default" w:ascii="Times New Roman" w:hAnsi="Times New Roman" w:cs="Times New Roman"/>
                <w:color w:val="auto"/>
                <w:sz w:val="18"/>
                <w:szCs w:val="18"/>
                <w:vertAlign w:val="subscript"/>
                <w:lang w:bidi="zh-CN"/>
              </w:rPr>
              <w:t>Mn</w:t>
            </w:r>
          </w:p>
        </w:tc>
        <w:tc>
          <w:tcPr>
            <w:tcW w:w="1250" w:type="pct"/>
            <w:tcBorders>
              <w:tl2br w:val="nil"/>
              <w:tr2bl w:val="nil"/>
            </w:tcBorders>
          </w:tcPr>
          <w:p w14:paraId="32DA8928">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Fe</w:t>
            </w:r>
          </w:p>
        </w:tc>
        <w:tc>
          <w:tcPr>
            <w:tcW w:w="1250" w:type="pct"/>
            <w:tcBorders>
              <w:tl2br w:val="nil"/>
              <w:tr2bl w:val="nil"/>
            </w:tcBorders>
          </w:tcPr>
          <w:p w14:paraId="1174AB70">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Mn</w:t>
            </w:r>
          </w:p>
        </w:tc>
      </w:tr>
      <w:tr w14:paraId="0A0379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tcPr>
          <w:p w14:paraId="2F78C3CD">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浓度</w:t>
            </w:r>
          </w:p>
        </w:tc>
        <w:tc>
          <w:tcPr>
            <w:tcW w:w="1250" w:type="pct"/>
            <w:tcBorders>
              <w:tl2br w:val="nil"/>
              <w:tr2bl w:val="nil"/>
            </w:tcBorders>
          </w:tcPr>
          <w:p w14:paraId="57FC935B">
            <w:pPr>
              <w:adjustRightInd w:val="0"/>
              <w:snapToGrid w:val="0"/>
              <w:spacing w:line="240" w:lineRule="auto"/>
              <w:jc w:val="center"/>
              <w:textAlignment w:val="center"/>
              <w:rPr>
                <w:rFonts w:hint="default" w:ascii="Times New Roman" w:hAnsi="Times New Roman" w:cs="Times New Roman"/>
                <w:color w:val="auto"/>
                <w:sz w:val="18"/>
                <w:szCs w:val="18"/>
                <w:lang w:val="en-US" w:bidi="zh-CN"/>
              </w:rPr>
            </w:pPr>
            <w:r>
              <w:rPr>
                <w:rFonts w:hint="default" w:ascii="Times New Roman" w:hAnsi="Times New Roman" w:cs="Times New Roman"/>
                <w:color w:val="auto"/>
                <w:sz w:val="18"/>
                <w:szCs w:val="18"/>
                <w:lang w:val="en-US" w:bidi="zh-CN"/>
              </w:rPr>
              <w:t>30</w:t>
            </w:r>
          </w:p>
        </w:tc>
        <w:tc>
          <w:tcPr>
            <w:tcW w:w="1250" w:type="pct"/>
            <w:tcBorders>
              <w:tl2br w:val="nil"/>
              <w:tr2bl w:val="nil"/>
            </w:tcBorders>
          </w:tcPr>
          <w:p w14:paraId="5D698E5D">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0.2</w:t>
            </w:r>
            <w:r>
              <w:rPr>
                <w:rFonts w:hint="default" w:ascii="Times New Roman" w:hAnsi="Times New Roman" w:cs="Times New Roman"/>
                <w:color w:val="auto"/>
                <w:sz w:val="18"/>
                <w:szCs w:val="18"/>
                <w:lang w:val="en-US" w:bidi="zh-CN"/>
              </w:rPr>
              <w:t>1</w:t>
            </w:r>
          </w:p>
        </w:tc>
        <w:tc>
          <w:tcPr>
            <w:tcW w:w="1250" w:type="pct"/>
            <w:tcBorders>
              <w:tl2br w:val="nil"/>
              <w:tr2bl w:val="nil"/>
            </w:tcBorders>
          </w:tcPr>
          <w:p w14:paraId="0D723C6D">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0.0</w:t>
            </w:r>
            <w:r>
              <w:rPr>
                <w:rFonts w:hint="default" w:ascii="Times New Roman" w:hAnsi="Times New Roman" w:cs="Times New Roman"/>
                <w:color w:val="auto"/>
                <w:sz w:val="18"/>
                <w:szCs w:val="18"/>
                <w:lang w:val="en-US" w:bidi="zh-CN"/>
              </w:rPr>
              <w:t>2</w:t>
            </w:r>
          </w:p>
        </w:tc>
      </w:tr>
      <w:tr w14:paraId="356DC1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tcPr>
          <w:p w14:paraId="0BA95234">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标准值</w:t>
            </w:r>
          </w:p>
        </w:tc>
        <w:tc>
          <w:tcPr>
            <w:tcW w:w="1250" w:type="pct"/>
            <w:tcBorders>
              <w:tl2br w:val="nil"/>
              <w:tr2bl w:val="nil"/>
            </w:tcBorders>
          </w:tcPr>
          <w:p w14:paraId="13D628B6">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3.0</w:t>
            </w:r>
          </w:p>
        </w:tc>
        <w:tc>
          <w:tcPr>
            <w:tcW w:w="1250" w:type="pct"/>
            <w:tcBorders>
              <w:tl2br w:val="nil"/>
              <w:tr2bl w:val="nil"/>
            </w:tcBorders>
          </w:tcPr>
          <w:p w14:paraId="49360D3D">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0.3</w:t>
            </w:r>
          </w:p>
        </w:tc>
        <w:tc>
          <w:tcPr>
            <w:tcW w:w="1250" w:type="pct"/>
            <w:tcBorders>
              <w:tl2br w:val="nil"/>
              <w:tr2bl w:val="nil"/>
            </w:tcBorders>
          </w:tcPr>
          <w:p w14:paraId="3E5050DC">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0.10</w:t>
            </w:r>
          </w:p>
        </w:tc>
      </w:tr>
    </w:tbl>
    <w:p w14:paraId="52E776A3">
      <w:pPr>
        <w:spacing w:line="360" w:lineRule="auto"/>
        <w:ind w:firstLine="480"/>
        <w:rPr>
          <w:rFonts w:hint="default" w:ascii="Times New Roman" w:hAnsi="Times New Roman" w:cs="Times New Roman"/>
          <w:lang w:bidi="zh-CN"/>
        </w:rPr>
      </w:pPr>
      <w:r>
        <w:rPr>
          <w:rFonts w:hint="default" w:ascii="Times New Roman" w:hAnsi="Times New Roman" w:cs="Times New Roman"/>
          <w:lang w:bidi="zh-CN"/>
        </w:rPr>
        <w:t>②水流速度 U</w:t>
      </w:r>
    </w:p>
    <w:p w14:paraId="0E0A0160">
      <w:pPr>
        <w:spacing w:line="360" w:lineRule="auto"/>
        <w:ind w:firstLine="480"/>
        <w:rPr>
          <w:rFonts w:hint="default" w:ascii="Times New Roman" w:hAnsi="Times New Roman" w:cs="Times New Roman"/>
          <w:lang w:bidi="zh-CN"/>
        </w:rPr>
      </w:pPr>
      <w:r>
        <w:rPr>
          <w:rFonts w:hint="default" w:ascii="Times New Roman" w:hAnsi="Times New Roman" w:cs="Times New Roman"/>
          <w:lang w:bidi="zh-CN"/>
        </w:rPr>
        <w:t>可根据下式计算求得：</w:t>
      </w:r>
    </w:p>
    <w:p w14:paraId="7149E5EE">
      <w:pPr>
        <w:spacing w:line="360" w:lineRule="auto"/>
        <w:ind w:firstLine="480"/>
        <w:jc w:val="center"/>
        <w:rPr>
          <w:rFonts w:hint="default" w:ascii="Times New Roman" w:hAnsi="Times New Roman" w:cs="Times New Roman"/>
          <w:lang w:bidi="zh-CN"/>
        </w:rPr>
      </w:pPr>
      <w:r>
        <w:rPr>
          <w:rFonts w:hint="default" w:ascii="Times New Roman" w:hAnsi="Times New Roman" w:cs="Times New Roman"/>
          <w:lang w:bidi="zh-CN"/>
        </w:rPr>
        <w:t>U=K·I/</w:t>
      </w:r>
      <w:r>
        <w:rPr>
          <w:rFonts w:hint="default" w:ascii="Times New Roman" w:hAnsi="Times New Roman" w:cs="Times New Roman"/>
          <w:sz w:val="21"/>
        </w:rPr>
        <w:t>n</w:t>
      </w:r>
      <w:r>
        <w:rPr>
          <w:rFonts w:hint="default" w:ascii="Times New Roman" w:hAnsi="Times New Roman" w:cs="Times New Roman"/>
          <w:sz w:val="21"/>
          <w:vertAlign w:val="subscript"/>
        </w:rPr>
        <w:t>e</w:t>
      </w:r>
    </w:p>
    <w:p w14:paraId="7BFA26E5">
      <w:pPr>
        <w:spacing w:line="360" w:lineRule="auto"/>
        <w:ind w:firstLine="480"/>
        <w:rPr>
          <w:rFonts w:hint="default" w:ascii="Times New Roman" w:hAnsi="Times New Roman" w:cs="Times New Roman"/>
          <w:lang w:bidi="zh-CN"/>
        </w:rPr>
      </w:pPr>
      <w:r>
        <w:rPr>
          <w:rFonts w:hint="default" w:ascii="Times New Roman" w:hAnsi="Times New Roman" w:cs="Times New Roman"/>
          <w:lang w:bidi="zh-CN"/>
        </w:rPr>
        <w:t>式中：U——地下水实际流速（m/d）；</w:t>
      </w:r>
    </w:p>
    <w:p w14:paraId="0B9DB4D3">
      <w:pPr>
        <w:spacing w:line="360" w:lineRule="auto"/>
        <w:ind w:firstLine="480"/>
        <w:rPr>
          <w:rFonts w:hint="default" w:ascii="Times New Roman" w:hAnsi="Times New Roman" w:cs="Times New Roman"/>
          <w:lang w:bidi="zh-CN"/>
        </w:rPr>
      </w:pPr>
      <w:r>
        <w:rPr>
          <w:rFonts w:hint="default" w:ascii="Times New Roman" w:hAnsi="Times New Roman" w:cs="Times New Roman"/>
          <w:lang w:bidi="zh-CN"/>
        </w:rPr>
        <w:t xml:space="preserve">     K——渗透系数（m/d）；</w:t>
      </w:r>
    </w:p>
    <w:p w14:paraId="25AA4C63">
      <w:pPr>
        <w:spacing w:line="360" w:lineRule="auto"/>
        <w:ind w:firstLine="480"/>
        <w:rPr>
          <w:rFonts w:hint="default" w:ascii="Times New Roman" w:hAnsi="Times New Roman" w:cs="Times New Roman"/>
        </w:rPr>
      </w:pPr>
      <w:r>
        <w:rPr>
          <w:rFonts w:hint="default" w:ascii="Times New Roman" w:hAnsi="Times New Roman" w:cs="Times New Roman"/>
          <w:lang w:bidi="zh-CN"/>
        </w:rPr>
        <w:t xml:space="preserve">     </w:t>
      </w:r>
      <w:r>
        <w:rPr>
          <w:rFonts w:hint="default" w:ascii="Times New Roman" w:hAnsi="Times New Roman" w:cs="Times New Roman"/>
        </w:rPr>
        <w:t>I——</w:t>
      </w:r>
      <w:r>
        <w:rPr>
          <w:rFonts w:hint="default" w:ascii="Times New Roman" w:hAnsi="Times New Roman" w:cs="Times New Roman"/>
          <w:lang w:bidi="zh-CN"/>
        </w:rPr>
        <w:t>水力坡度</w:t>
      </w:r>
      <w:r>
        <w:rPr>
          <w:rFonts w:hint="default" w:ascii="Times New Roman" w:hAnsi="Times New Roman" w:cs="Times New Roman"/>
        </w:rPr>
        <w:t>；</w:t>
      </w:r>
    </w:p>
    <w:p w14:paraId="4193A3DC">
      <w:pPr>
        <w:spacing w:line="360" w:lineRule="auto"/>
        <w:ind w:firstLine="480"/>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sz w:val="21"/>
        </w:rPr>
        <w:t>n</w:t>
      </w:r>
      <w:r>
        <w:rPr>
          <w:rFonts w:hint="default" w:ascii="Times New Roman" w:hAnsi="Times New Roman" w:cs="Times New Roman"/>
          <w:sz w:val="21"/>
          <w:vertAlign w:val="subscript"/>
        </w:rPr>
        <w:t>e</w:t>
      </w:r>
      <w:r>
        <w:rPr>
          <w:rFonts w:hint="default" w:ascii="Times New Roman" w:hAnsi="Times New Roman" w:cs="Times New Roman"/>
        </w:rPr>
        <w:t>——</w:t>
      </w:r>
      <w:r>
        <w:rPr>
          <w:rFonts w:hint="default" w:ascii="Times New Roman" w:hAnsi="Times New Roman" w:cs="Times New Roman"/>
          <w:lang w:bidi="zh-CN"/>
        </w:rPr>
        <w:t>有效孔隙度。</w:t>
      </w:r>
    </w:p>
    <w:p w14:paraId="4F8E6B14">
      <w:pPr>
        <w:spacing w:line="360" w:lineRule="auto"/>
        <w:ind w:firstLine="480"/>
        <w:rPr>
          <w:rFonts w:hint="default" w:ascii="Times New Roman" w:hAnsi="Times New Roman" w:cs="Times New Roman"/>
          <w:lang w:bidi="zh-CN"/>
        </w:rPr>
      </w:pPr>
      <w:r>
        <w:rPr>
          <w:rFonts w:hint="default" w:ascii="Times New Roman" w:hAnsi="Times New Roman" w:cs="Times New Roman"/>
          <w:szCs w:val="24"/>
        </w:rPr>
        <w:t>根据水文地质勘察资料，本项目</w:t>
      </w:r>
      <w:r>
        <w:rPr>
          <w:rFonts w:hint="default" w:ascii="Times New Roman" w:hAnsi="Times New Roman" w:cs="Times New Roman"/>
          <w:lang w:bidi="zh-CN"/>
        </w:rPr>
        <w:t>渗透系数K取值</w:t>
      </w:r>
      <w:r>
        <w:rPr>
          <w:rFonts w:hint="default" w:ascii="Times New Roman" w:hAnsi="Times New Roman" w:cs="Times New Roman"/>
        </w:rPr>
        <w:t>0.016</w:t>
      </w:r>
      <w:r>
        <w:rPr>
          <w:rFonts w:hint="default" w:ascii="Times New Roman" w:hAnsi="Times New Roman" w:cs="Times New Roman"/>
          <w:lang w:bidi="zh-CN"/>
        </w:rPr>
        <w:t>m/d，水力坡度I取值0.09。根据朱学愚、钱孝星编制的《地下水文学》给出的孔隙度经验值，本项目有效孔隙度</w:t>
      </w:r>
      <w:r>
        <w:rPr>
          <w:rFonts w:hint="default" w:ascii="Times New Roman" w:hAnsi="Times New Roman" w:cs="Times New Roman"/>
          <w:sz w:val="21"/>
        </w:rPr>
        <w:t>n</w:t>
      </w:r>
      <w:r>
        <w:rPr>
          <w:rFonts w:hint="default" w:ascii="Times New Roman" w:hAnsi="Times New Roman" w:cs="Times New Roman"/>
          <w:sz w:val="21"/>
          <w:vertAlign w:val="subscript"/>
        </w:rPr>
        <w:t>e</w:t>
      </w:r>
      <w:r>
        <w:rPr>
          <w:rFonts w:hint="default" w:ascii="Times New Roman" w:hAnsi="Times New Roman" w:cs="Times New Roman"/>
          <w:lang w:bidi="zh-CN"/>
        </w:rPr>
        <w:t>取值0.9。则计算地下水水流速度U为</w:t>
      </w:r>
      <w:r>
        <w:rPr>
          <w:rFonts w:hint="default" w:ascii="Times New Roman" w:hAnsi="Times New Roman" w:cs="Times New Roman"/>
        </w:rPr>
        <w:t>0.0016</w:t>
      </w:r>
      <w:r>
        <w:rPr>
          <w:rFonts w:hint="default" w:ascii="Times New Roman" w:hAnsi="Times New Roman" w:cs="Times New Roman"/>
          <w:lang w:bidi="zh-CN"/>
        </w:rPr>
        <w:t>m/d。</w:t>
      </w:r>
    </w:p>
    <w:p w14:paraId="54B22448">
      <w:pPr>
        <w:spacing w:line="360" w:lineRule="auto"/>
        <w:ind w:firstLine="480"/>
        <w:rPr>
          <w:rFonts w:hint="default" w:ascii="Times New Roman" w:hAnsi="Times New Roman" w:cs="Times New Roman"/>
          <w:lang w:bidi="zh-CN"/>
        </w:rPr>
      </w:pPr>
      <w:r>
        <w:rPr>
          <w:rFonts w:hint="default" w:ascii="Times New Roman" w:hAnsi="Times New Roman" w:cs="Times New Roman"/>
          <w:lang w:bidi="zh-CN"/>
        </w:rPr>
        <w:t>③纵向弥散系数D</w:t>
      </w:r>
      <w:r>
        <w:rPr>
          <w:rFonts w:hint="default" w:ascii="Times New Roman" w:hAnsi="Times New Roman" w:cs="Times New Roman"/>
          <w:vertAlign w:val="subscript"/>
          <w:lang w:bidi="zh-CN"/>
        </w:rPr>
        <w:t>L</w:t>
      </w:r>
    </w:p>
    <w:p w14:paraId="48B3CCDC">
      <w:pPr>
        <w:spacing w:line="360" w:lineRule="auto"/>
        <w:ind w:firstLine="480"/>
        <w:rPr>
          <w:rFonts w:hint="default" w:ascii="Times New Roman" w:hAnsi="Times New Roman" w:cs="Times New Roman"/>
          <w:lang w:bidi="zh-CN"/>
        </w:rPr>
      </w:pPr>
      <w:r>
        <w:rPr>
          <w:rFonts w:hint="default" w:ascii="Times New Roman" w:hAnsi="Times New Roman" w:cs="Times New Roman"/>
          <w:lang w:bidi="zh-CN"/>
        </w:rPr>
        <w:t>根据宋树林在《地下水弥散系数的测定》一文中弥散系数参考表，项目纵向弥散系数取值0.5m</w:t>
      </w:r>
      <w:r>
        <w:rPr>
          <w:rFonts w:hint="default" w:ascii="Times New Roman" w:hAnsi="Times New Roman" w:cs="Times New Roman"/>
          <w:vertAlign w:val="superscript"/>
          <w:lang w:bidi="zh-CN"/>
        </w:rPr>
        <w:t>2</w:t>
      </w:r>
      <w:r>
        <w:rPr>
          <w:rFonts w:hint="default" w:ascii="Times New Roman" w:hAnsi="Times New Roman" w:cs="Times New Roman"/>
          <w:lang w:bidi="zh-CN"/>
        </w:rPr>
        <w:t>/d。</w:t>
      </w:r>
    </w:p>
    <w:p w14:paraId="30B1755A">
      <w:pPr>
        <w:ind w:firstLine="480"/>
        <w:rPr>
          <w:rFonts w:hint="default" w:ascii="Times New Roman" w:hAnsi="Times New Roman" w:cs="Times New Roman"/>
          <w:lang w:bidi="zh-CN"/>
        </w:rPr>
      </w:pPr>
      <w:r>
        <w:rPr>
          <w:rFonts w:hint="default" w:ascii="Times New Roman" w:hAnsi="Times New Roman" w:cs="Times New Roman"/>
          <w:lang w:bidi="zh-CN"/>
        </w:rPr>
        <w:t>④小结</w:t>
      </w:r>
    </w:p>
    <w:p w14:paraId="28AF327F">
      <w:pPr>
        <w:ind w:firstLine="480"/>
        <w:rPr>
          <w:rFonts w:hint="default" w:ascii="Times New Roman" w:hAnsi="Times New Roman" w:cs="Times New Roman"/>
          <w:lang w:bidi="zh-CN"/>
        </w:rPr>
      </w:pPr>
      <w:r>
        <w:rPr>
          <w:rFonts w:hint="default" w:ascii="Times New Roman" w:hAnsi="Times New Roman" w:cs="Times New Roman"/>
          <w:lang w:bidi="zh-CN"/>
        </w:rPr>
        <w:t>根据以上分析，预测参数小结如表所示。</w:t>
      </w:r>
    </w:p>
    <w:p w14:paraId="4152C2BC">
      <w:pPr>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6</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3.5</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3</w:t>
      </w:r>
      <w:r>
        <w:rPr>
          <w:rFonts w:hint="default" w:ascii="Times New Roman" w:hAnsi="Times New Roman" w:eastAsia="黑体" w:cs="Times New Roman"/>
          <w:b w:val="0"/>
          <w:bCs/>
          <w:sz w:val="21"/>
          <w:szCs w:val="21"/>
        </w:rPr>
        <w:t xml:space="preserve">  预测参数取值汇总表</w:t>
      </w:r>
    </w:p>
    <w:tbl>
      <w:tblPr>
        <w:tblStyle w:val="29"/>
        <w:tblW w:w="4998"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56"/>
        <w:gridCol w:w="1857"/>
        <w:gridCol w:w="1857"/>
        <w:gridCol w:w="1857"/>
        <w:gridCol w:w="1857"/>
      </w:tblGrid>
      <w:tr w14:paraId="6AC470C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tcBorders>
              <w:tl2br w:val="nil"/>
              <w:tr2bl w:val="nil"/>
            </w:tcBorders>
            <w:vAlign w:val="center"/>
          </w:tcPr>
          <w:p w14:paraId="0747EF48">
            <w:pPr>
              <w:adjustRightInd w:val="0"/>
              <w:snapToGrid w:val="0"/>
              <w:spacing w:line="240" w:lineRule="auto"/>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污染物名称</w:t>
            </w:r>
          </w:p>
        </w:tc>
        <w:tc>
          <w:tcPr>
            <w:tcW w:w="1000" w:type="pct"/>
            <w:tcBorders>
              <w:tl2br w:val="nil"/>
              <w:tr2bl w:val="nil"/>
            </w:tcBorders>
            <w:vAlign w:val="center"/>
          </w:tcPr>
          <w:p w14:paraId="0D97A54E">
            <w:pPr>
              <w:adjustRightInd w:val="0"/>
              <w:snapToGrid w:val="0"/>
              <w:spacing w:line="240" w:lineRule="auto"/>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污染物浓度（mg/L）</w:t>
            </w:r>
          </w:p>
        </w:tc>
        <w:tc>
          <w:tcPr>
            <w:tcW w:w="1000" w:type="pct"/>
            <w:tcBorders>
              <w:tl2br w:val="nil"/>
              <w:tr2bl w:val="nil"/>
            </w:tcBorders>
            <w:vAlign w:val="center"/>
          </w:tcPr>
          <w:p w14:paraId="11969562">
            <w:pPr>
              <w:adjustRightInd w:val="0"/>
              <w:snapToGrid w:val="0"/>
              <w:spacing w:line="240" w:lineRule="auto"/>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水流速度u（m/d）</w:t>
            </w:r>
          </w:p>
        </w:tc>
        <w:tc>
          <w:tcPr>
            <w:tcW w:w="1000" w:type="pct"/>
            <w:tcBorders>
              <w:tl2br w:val="nil"/>
              <w:tr2bl w:val="nil"/>
            </w:tcBorders>
            <w:vAlign w:val="center"/>
          </w:tcPr>
          <w:p w14:paraId="15A7DFF8">
            <w:pPr>
              <w:adjustRightInd w:val="0"/>
              <w:snapToGrid w:val="0"/>
              <w:spacing w:line="240" w:lineRule="auto"/>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有效孔隙度n</w:t>
            </w:r>
            <w:r>
              <w:rPr>
                <w:rFonts w:hint="default" w:ascii="Times New Roman" w:hAnsi="Times New Roman" w:cs="Times New Roman"/>
                <w:color w:val="auto"/>
                <w:sz w:val="18"/>
                <w:szCs w:val="18"/>
                <w:vertAlign w:val="subscript"/>
              </w:rPr>
              <w:t>e</w:t>
            </w:r>
          </w:p>
        </w:tc>
        <w:tc>
          <w:tcPr>
            <w:tcW w:w="1000" w:type="pct"/>
            <w:tcBorders>
              <w:tl2br w:val="nil"/>
              <w:tr2bl w:val="nil"/>
            </w:tcBorders>
            <w:vAlign w:val="center"/>
          </w:tcPr>
          <w:p w14:paraId="0EAF039F">
            <w:pPr>
              <w:adjustRightInd w:val="0"/>
              <w:snapToGrid w:val="0"/>
              <w:spacing w:line="240" w:lineRule="auto"/>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纵向弥散系数D</w:t>
            </w:r>
            <w:r>
              <w:rPr>
                <w:rFonts w:hint="default" w:ascii="Times New Roman" w:hAnsi="Times New Roman" w:cs="Times New Roman"/>
                <w:color w:val="auto"/>
                <w:sz w:val="18"/>
                <w:szCs w:val="18"/>
                <w:vertAlign w:val="subscript"/>
              </w:rPr>
              <w:t>L</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/d）</w:t>
            </w:r>
          </w:p>
        </w:tc>
      </w:tr>
      <w:tr w14:paraId="1734AB3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000" w:type="pct"/>
            <w:tcBorders>
              <w:tl2br w:val="nil"/>
              <w:tr2bl w:val="nil"/>
            </w:tcBorders>
            <w:vAlign w:val="center"/>
          </w:tcPr>
          <w:p w14:paraId="017701FD">
            <w:pPr>
              <w:adjustRightInd w:val="0"/>
              <w:snapToGrid w:val="0"/>
              <w:spacing w:line="240" w:lineRule="auto"/>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zh-CN"/>
              </w:rPr>
              <w:t>COD</w:t>
            </w:r>
          </w:p>
        </w:tc>
        <w:tc>
          <w:tcPr>
            <w:tcW w:w="1000" w:type="pct"/>
            <w:tcBorders>
              <w:tl2br w:val="nil"/>
              <w:tr2bl w:val="nil"/>
            </w:tcBorders>
            <w:vAlign w:val="center"/>
          </w:tcPr>
          <w:p w14:paraId="18EF640D">
            <w:pPr>
              <w:adjustRightInd w:val="0"/>
              <w:snapToGrid w:val="0"/>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30</w:t>
            </w:r>
          </w:p>
        </w:tc>
        <w:tc>
          <w:tcPr>
            <w:tcW w:w="1000" w:type="pct"/>
            <w:vMerge w:val="restart"/>
            <w:tcBorders>
              <w:tl2br w:val="nil"/>
              <w:tr2bl w:val="nil"/>
            </w:tcBorders>
            <w:vAlign w:val="center"/>
          </w:tcPr>
          <w:p w14:paraId="3D27A638">
            <w:pPr>
              <w:adjustRightInd w:val="0"/>
              <w:snapToGrid w:val="0"/>
              <w:spacing w:line="240" w:lineRule="auto"/>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0.0016</w:t>
            </w:r>
          </w:p>
        </w:tc>
        <w:tc>
          <w:tcPr>
            <w:tcW w:w="1000" w:type="pct"/>
            <w:vMerge w:val="restart"/>
            <w:tcBorders>
              <w:tl2br w:val="nil"/>
              <w:tr2bl w:val="nil"/>
            </w:tcBorders>
            <w:vAlign w:val="center"/>
          </w:tcPr>
          <w:p w14:paraId="3EBA6D89">
            <w:pPr>
              <w:adjustRightInd w:val="0"/>
              <w:snapToGrid w:val="0"/>
              <w:spacing w:line="240" w:lineRule="auto"/>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0.9</w:t>
            </w:r>
          </w:p>
        </w:tc>
        <w:tc>
          <w:tcPr>
            <w:tcW w:w="1000" w:type="pct"/>
            <w:vMerge w:val="restart"/>
            <w:tcBorders>
              <w:tl2br w:val="nil"/>
              <w:tr2bl w:val="nil"/>
            </w:tcBorders>
            <w:vAlign w:val="center"/>
          </w:tcPr>
          <w:p w14:paraId="40BCE0AC">
            <w:pPr>
              <w:adjustRightInd w:val="0"/>
              <w:snapToGrid w:val="0"/>
              <w:spacing w:line="240" w:lineRule="auto"/>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r>
      <w:tr w14:paraId="799239B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000" w:type="pct"/>
            <w:tcBorders>
              <w:tl2br w:val="nil"/>
              <w:tr2bl w:val="nil"/>
            </w:tcBorders>
            <w:vAlign w:val="center"/>
          </w:tcPr>
          <w:p w14:paraId="11A7BC98">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Fe</w:t>
            </w:r>
          </w:p>
        </w:tc>
        <w:tc>
          <w:tcPr>
            <w:tcW w:w="1000" w:type="pct"/>
            <w:tcBorders>
              <w:tl2br w:val="nil"/>
              <w:tr2bl w:val="nil"/>
            </w:tcBorders>
            <w:vAlign w:val="center"/>
          </w:tcPr>
          <w:p w14:paraId="3B3BC348">
            <w:pPr>
              <w:adjustRightInd w:val="0"/>
              <w:snapToGrid w:val="0"/>
              <w:spacing w:line="240" w:lineRule="auto"/>
              <w:jc w:val="center"/>
              <w:textAlignment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0.2</w:t>
            </w:r>
            <w:r>
              <w:rPr>
                <w:rFonts w:hint="default" w:ascii="Times New Roman" w:hAnsi="Times New Roman" w:cs="Times New Roman"/>
                <w:color w:val="auto"/>
                <w:sz w:val="18"/>
                <w:szCs w:val="18"/>
                <w:lang w:val="en-US" w:eastAsia="zh-CN"/>
              </w:rPr>
              <w:t>1</w:t>
            </w:r>
          </w:p>
        </w:tc>
        <w:tc>
          <w:tcPr>
            <w:tcW w:w="1000" w:type="pct"/>
            <w:vMerge w:val="continue"/>
            <w:tcBorders>
              <w:tl2br w:val="nil"/>
              <w:tr2bl w:val="nil"/>
            </w:tcBorders>
            <w:vAlign w:val="center"/>
          </w:tcPr>
          <w:p w14:paraId="4351A2DA">
            <w:pPr>
              <w:adjustRightInd w:val="0"/>
              <w:snapToGrid w:val="0"/>
              <w:spacing w:line="240" w:lineRule="auto"/>
              <w:jc w:val="center"/>
              <w:textAlignment w:val="center"/>
              <w:rPr>
                <w:rFonts w:hint="default" w:ascii="Times New Roman" w:hAnsi="Times New Roman" w:cs="Times New Roman"/>
                <w:color w:val="auto"/>
                <w:sz w:val="18"/>
                <w:szCs w:val="18"/>
              </w:rPr>
            </w:pPr>
          </w:p>
        </w:tc>
        <w:tc>
          <w:tcPr>
            <w:tcW w:w="1000" w:type="pct"/>
            <w:vMerge w:val="continue"/>
            <w:tcBorders>
              <w:tl2br w:val="nil"/>
              <w:tr2bl w:val="nil"/>
            </w:tcBorders>
            <w:vAlign w:val="center"/>
          </w:tcPr>
          <w:p w14:paraId="5559132F">
            <w:pPr>
              <w:adjustRightInd w:val="0"/>
              <w:snapToGrid w:val="0"/>
              <w:spacing w:line="240" w:lineRule="auto"/>
              <w:jc w:val="center"/>
              <w:textAlignment w:val="center"/>
              <w:rPr>
                <w:rFonts w:hint="default" w:ascii="Times New Roman" w:hAnsi="Times New Roman" w:cs="Times New Roman"/>
                <w:color w:val="auto"/>
                <w:sz w:val="18"/>
                <w:szCs w:val="18"/>
              </w:rPr>
            </w:pPr>
          </w:p>
        </w:tc>
        <w:tc>
          <w:tcPr>
            <w:tcW w:w="1000" w:type="pct"/>
            <w:vMerge w:val="continue"/>
            <w:tcBorders>
              <w:tl2br w:val="nil"/>
              <w:tr2bl w:val="nil"/>
            </w:tcBorders>
            <w:vAlign w:val="center"/>
          </w:tcPr>
          <w:p w14:paraId="01530216">
            <w:pPr>
              <w:adjustRightInd w:val="0"/>
              <w:snapToGrid w:val="0"/>
              <w:spacing w:line="240" w:lineRule="auto"/>
              <w:jc w:val="center"/>
              <w:textAlignment w:val="center"/>
              <w:rPr>
                <w:rFonts w:hint="default" w:ascii="Times New Roman" w:hAnsi="Times New Roman" w:cs="Times New Roman"/>
                <w:color w:val="auto"/>
                <w:sz w:val="18"/>
                <w:szCs w:val="18"/>
              </w:rPr>
            </w:pPr>
          </w:p>
        </w:tc>
      </w:tr>
      <w:tr w14:paraId="7C12C23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000" w:type="pct"/>
            <w:tcBorders>
              <w:tl2br w:val="nil"/>
              <w:tr2bl w:val="nil"/>
            </w:tcBorders>
            <w:vAlign w:val="center"/>
          </w:tcPr>
          <w:p w14:paraId="7480B396">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Mn</w:t>
            </w:r>
          </w:p>
        </w:tc>
        <w:tc>
          <w:tcPr>
            <w:tcW w:w="1000" w:type="pct"/>
            <w:tcBorders>
              <w:tl2br w:val="nil"/>
              <w:tr2bl w:val="nil"/>
            </w:tcBorders>
            <w:vAlign w:val="center"/>
          </w:tcPr>
          <w:p w14:paraId="6174413A">
            <w:pPr>
              <w:adjustRightInd w:val="0"/>
              <w:snapToGrid w:val="0"/>
              <w:spacing w:line="240" w:lineRule="auto"/>
              <w:jc w:val="center"/>
              <w:textAlignment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0.0</w:t>
            </w:r>
            <w:r>
              <w:rPr>
                <w:rFonts w:hint="default" w:ascii="Times New Roman" w:hAnsi="Times New Roman" w:cs="Times New Roman"/>
                <w:color w:val="auto"/>
                <w:sz w:val="18"/>
                <w:szCs w:val="18"/>
                <w:lang w:val="en-US" w:eastAsia="zh-CN"/>
              </w:rPr>
              <w:t>2</w:t>
            </w:r>
          </w:p>
        </w:tc>
        <w:tc>
          <w:tcPr>
            <w:tcW w:w="1000" w:type="pct"/>
            <w:vMerge w:val="continue"/>
            <w:tcBorders>
              <w:tl2br w:val="nil"/>
              <w:tr2bl w:val="nil"/>
            </w:tcBorders>
            <w:vAlign w:val="center"/>
          </w:tcPr>
          <w:p w14:paraId="1C3E45DE">
            <w:pPr>
              <w:adjustRightInd w:val="0"/>
              <w:snapToGrid w:val="0"/>
              <w:spacing w:line="240" w:lineRule="auto"/>
              <w:jc w:val="center"/>
              <w:textAlignment w:val="center"/>
              <w:rPr>
                <w:rFonts w:hint="default" w:ascii="Times New Roman" w:hAnsi="Times New Roman" w:cs="Times New Roman"/>
                <w:color w:val="auto"/>
                <w:sz w:val="18"/>
                <w:szCs w:val="18"/>
              </w:rPr>
            </w:pPr>
          </w:p>
        </w:tc>
        <w:tc>
          <w:tcPr>
            <w:tcW w:w="1000" w:type="pct"/>
            <w:vMerge w:val="continue"/>
            <w:tcBorders>
              <w:tl2br w:val="nil"/>
              <w:tr2bl w:val="nil"/>
            </w:tcBorders>
            <w:vAlign w:val="center"/>
          </w:tcPr>
          <w:p w14:paraId="6F3B6B79">
            <w:pPr>
              <w:adjustRightInd w:val="0"/>
              <w:snapToGrid w:val="0"/>
              <w:spacing w:line="240" w:lineRule="auto"/>
              <w:jc w:val="center"/>
              <w:textAlignment w:val="center"/>
              <w:rPr>
                <w:rFonts w:hint="default" w:ascii="Times New Roman" w:hAnsi="Times New Roman" w:cs="Times New Roman"/>
                <w:color w:val="auto"/>
                <w:sz w:val="18"/>
                <w:szCs w:val="18"/>
              </w:rPr>
            </w:pPr>
          </w:p>
        </w:tc>
        <w:tc>
          <w:tcPr>
            <w:tcW w:w="1000" w:type="pct"/>
            <w:vMerge w:val="continue"/>
            <w:tcBorders>
              <w:tl2br w:val="nil"/>
              <w:tr2bl w:val="nil"/>
            </w:tcBorders>
            <w:vAlign w:val="center"/>
          </w:tcPr>
          <w:p w14:paraId="5C189A85">
            <w:pPr>
              <w:adjustRightInd w:val="0"/>
              <w:snapToGrid w:val="0"/>
              <w:spacing w:line="240" w:lineRule="auto"/>
              <w:jc w:val="center"/>
              <w:textAlignment w:val="center"/>
              <w:rPr>
                <w:rFonts w:hint="default" w:ascii="Times New Roman" w:hAnsi="Times New Roman" w:cs="Times New Roman"/>
                <w:color w:val="auto"/>
                <w:sz w:val="18"/>
                <w:szCs w:val="18"/>
              </w:rPr>
            </w:pPr>
          </w:p>
        </w:tc>
      </w:tr>
    </w:tbl>
    <w:p w14:paraId="258F435D">
      <w:pPr>
        <w:pStyle w:val="39"/>
        <w:spacing w:line="360" w:lineRule="auto"/>
        <w:ind w:firstLine="480"/>
        <w:rPr>
          <w:rFonts w:hint="default" w:ascii="Times New Roman" w:hAnsi="Times New Roman" w:cs="Times New Roman"/>
        </w:rPr>
      </w:pPr>
      <w:r>
        <w:rPr>
          <w:rFonts w:hint="default" w:ascii="Times New Roman" w:hAnsi="Times New Roman" w:cs="Times New Roman"/>
        </w:rPr>
        <w:t>8、预测结果</w:t>
      </w:r>
    </w:p>
    <w:p w14:paraId="7EC6AFB2">
      <w:pPr>
        <w:pStyle w:val="2"/>
        <w:spacing w:after="0" w:line="360" w:lineRule="auto"/>
        <w:ind w:firstLine="490" w:firstLineChars="200"/>
        <w:rPr>
          <w:rFonts w:hint="default" w:ascii="Times New Roman" w:hAnsi="Times New Roman" w:cs="Times New Roman"/>
          <w:kern w:val="0"/>
        </w:rPr>
      </w:pPr>
      <w:r>
        <w:rPr>
          <w:rFonts w:hint="default" w:ascii="Times New Roman" w:hAnsi="Times New Roman" w:cs="Times New Roman"/>
          <w:kern w:val="0"/>
        </w:rPr>
        <w:t>非正常状况下</w:t>
      </w:r>
      <w:r>
        <w:rPr>
          <w:rFonts w:hint="default" w:ascii="Times New Roman" w:hAnsi="Times New Roman" w:cs="Times New Roman" w:eastAsiaTheme="minorEastAsia"/>
        </w:rPr>
        <w:t>污染物</w:t>
      </w:r>
      <w:r>
        <w:rPr>
          <w:rFonts w:hint="default" w:ascii="Times New Roman" w:hAnsi="Times New Roman" w:cs="Times New Roman"/>
          <w:lang w:bidi="zh-CN"/>
        </w:rPr>
        <w:t>在地下水环境中的迁移扩散距离预测结果见下表。</w:t>
      </w:r>
    </w:p>
    <w:p w14:paraId="68664921">
      <w:pPr>
        <w:spacing w:line="360" w:lineRule="auto"/>
        <w:jc w:val="center"/>
        <w:rPr>
          <w:rFonts w:hint="default" w:ascii="Times New Roman" w:hAnsi="Times New Roman" w:cs="Times New Roman"/>
          <w:b/>
        </w:rPr>
      </w:pPr>
      <w:bookmarkStart w:id="482" w:name="_Toc165816783"/>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6</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3.5</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4</w:t>
      </w:r>
      <w:r>
        <w:rPr>
          <w:rFonts w:hint="default" w:ascii="Times New Roman" w:hAnsi="Times New Roman" w:eastAsia="黑体" w:cs="Times New Roman"/>
          <w:b w:val="0"/>
          <w:bCs/>
          <w:sz w:val="21"/>
          <w:szCs w:val="21"/>
        </w:rPr>
        <w:t xml:space="preserve">  地下水中 COD</w:t>
      </w:r>
      <w:r>
        <w:rPr>
          <w:rFonts w:hint="default" w:ascii="Times New Roman" w:hAnsi="Times New Roman" w:eastAsia="黑体" w:cs="Times New Roman"/>
          <w:b w:val="0"/>
          <w:bCs/>
          <w:sz w:val="21"/>
          <w:szCs w:val="21"/>
          <w:vertAlign w:val="subscript"/>
        </w:rPr>
        <w:t>Mn</w:t>
      </w:r>
      <w:r>
        <w:rPr>
          <w:rFonts w:hint="default" w:ascii="Times New Roman" w:hAnsi="Times New Roman" w:eastAsia="黑体" w:cs="Times New Roman"/>
          <w:b w:val="0"/>
          <w:bCs/>
          <w:sz w:val="21"/>
          <w:szCs w:val="21"/>
        </w:rPr>
        <w:t>污染物预测结果</w:t>
      </w:r>
    </w:p>
    <w:tbl>
      <w:tblPr>
        <w:tblStyle w:val="29"/>
        <w:tblW w:w="500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25"/>
        <w:gridCol w:w="2010"/>
        <w:gridCol w:w="2006"/>
        <w:gridCol w:w="1776"/>
        <w:gridCol w:w="1970"/>
      </w:tblGrid>
      <w:tr w14:paraId="2DF8038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vMerge w:val="restart"/>
            <w:tcBorders>
              <w:tl2br w:val="nil"/>
              <w:tr2bl w:val="nil"/>
            </w:tcBorders>
            <w:vAlign w:val="center"/>
          </w:tcPr>
          <w:p w14:paraId="4AEEB3EC">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X（m）</w:t>
            </w:r>
          </w:p>
        </w:tc>
        <w:tc>
          <w:tcPr>
            <w:tcW w:w="4270" w:type="pct"/>
            <w:gridSpan w:val="4"/>
            <w:tcBorders>
              <w:tl2br w:val="nil"/>
              <w:tr2bl w:val="nil"/>
            </w:tcBorders>
            <w:vAlign w:val="center"/>
          </w:tcPr>
          <w:p w14:paraId="1F21CFD7">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rPr>
              <w:t>不同时间</w:t>
            </w:r>
            <w:r>
              <w:rPr>
                <w:rFonts w:hint="default" w:ascii="Times New Roman" w:hAnsi="Times New Roman" w:cs="Times New Roman"/>
                <w:color w:val="auto"/>
                <w:sz w:val="18"/>
                <w:szCs w:val="18"/>
                <w:lang w:bidi="zh-CN"/>
              </w:rPr>
              <w:t>预测浓度值（mg/L）</w:t>
            </w:r>
          </w:p>
        </w:tc>
      </w:tr>
      <w:tr w14:paraId="3129D30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729" w:type="pct"/>
            <w:vMerge w:val="continue"/>
            <w:tcBorders>
              <w:tl2br w:val="nil"/>
              <w:tr2bl w:val="nil"/>
            </w:tcBorders>
            <w:vAlign w:val="center"/>
          </w:tcPr>
          <w:p w14:paraId="182C8CA4">
            <w:pPr>
              <w:adjustRightInd w:val="0"/>
              <w:snapToGrid w:val="0"/>
              <w:spacing w:line="240" w:lineRule="auto"/>
              <w:jc w:val="center"/>
              <w:textAlignment w:val="center"/>
              <w:rPr>
                <w:rFonts w:hint="default" w:ascii="Times New Roman" w:hAnsi="Times New Roman" w:cs="Times New Roman"/>
                <w:color w:val="auto"/>
                <w:sz w:val="18"/>
                <w:szCs w:val="18"/>
                <w:lang w:bidi="zh-CN"/>
              </w:rPr>
            </w:pPr>
          </w:p>
        </w:tc>
        <w:tc>
          <w:tcPr>
            <w:tcW w:w="1106" w:type="pct"/>
            <w:tcBorders>
              <w:tl2br w:val="nil"/>
              <w:tr2bl w:val="nil"/>
            </w:tcBorders>
            <w:vAlign w:val="center"/>
          </w:tcPr>
          <w:p w14:paraId="662E0660">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100d</w:t>
            </w:r>
          </w:p>
        </w:tc>
        <w:tc>
          <w:tcPr>
            <w:tcW w:w="1104" w:type="pct"/>
            <w:tcBorders>
              <w:tl2br w:val="nil"/>
              <w:tr2bl w:val="nil"/>
            </w:tcBorders>
            <w:vAlign w:val="center"/>
          </w:tcPr>
          <w:p w14:paraId="046FDA28">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rPr>
              <w:t>365</w:t>
            </w:r>
            <w:r>
              <w:rPr>
                <w:rFonts w:hint="default" w:ascii="Times New Roman" w:hAnsi="Times New Roman" w:cs="Times New Roman"/>
                <w:color w:val="auto"/>
                <w:sz w:val="18"/>
                <w:szCs w:val="18"/>
                <w:lang w:bidi="zh-CN"/>
              </w:rPr>
              <w:t>d</w:t>
            </w:r>
          </w:p>
        </w:tc>
        <w:tc>
          <w:tcPr>
            <w:tcW w:w="977" w:type="pct"/>
            <w:tcBorders>
              <w:tl2br w:val="nil"/>
              <w:tr2bl w:val="nil"/>
            </w:tcBorders>
            <w:vAlign w:val="center"/>
          </w:tcPr>
          <w:p w14:paraId="3578991F">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rPr>
              <w:t>1000</w:t>
            </w:r>
            <w:r>
              <w:rPr>
                <w:rFonts w:hint="default" w:ascii="Times New Roman" w:hAnsi="Times New Roman" w:cs="Times New Roman"/>
                <w:color w:val="auto"/>
                <w:sz w:val="18"/>
                <w:szCs w:val="18"/>
                <w:lang w:bidi="zh-CN"/>
              </w:rPr>
              <w:t>d</w:t>
            </w:r>
          </w:p>
        </w:tc>
        <w:tc>
          <w:tcPr>
            <w:tcW w:w="1082" w:type="pct"/>
            <w:tcBorders>
              <w:tl2br w:val="nil"/>
              <w:tr2bl w:val="nil"/>
            </w:tcBorders>
            <w:vAlign w:val="center"/>
          </w:tcPr>
          <w:p w14:paraId="439F0ACC">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rPr>
              <w:t>1825</w:t>
            </w:r>
            <w:r>
              <w:rPr>
                <w:rFonts w:hint="default" w:ascii="Times New Roman" w:hAnsi="Times New Roman" w:cs="Times New Roman"/>
                <w:color w:val="auto"/>
                <w:sz w:val="18"/>
                <w:szCs w:val="18"/>
                <w:lang w:bidi="zh-CN"/>
              </w:rPr>
              <w:t>d</w:t>
            </w:r>
          </w:p>
        </w:tc>
      </w:tr>
      <w:tr w14:paraId="762D242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5185F6A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6" w:type="pct"/>
            <w:tcBorders>
              <w:tl2br w:val="nil"/>
              <w:tr2bl w:val="nil"/>
            </w:tcBorders>
            <w:shd w:val="clear" w:color="auto" w:fill="auto"/>
            <w:vAlign w:val="top"/>
          </w:tcPr>
          <w:p w14:paraId="211BE2D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1104" w:type="pct"/>
            <w:tcBorders>
              <w:tl2br w:val="nil"/>
              <w:tr2bl w:val="nil"/>
            </w:tcBorders>
            <w:shd w:val="clear" w:color="auto" w:fill="auto"/>
            <w:vAlign w:val="top"/>
          </w:tcPr>
          <w:p w14:paraId="7D35DC6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77" w:type="pct"/>
            <w:tcBorders>
              <w:tl2br w:val="nil"/>
              <w:tr2bl w:val="nil"/>
            </w:tcBorders>
            <w:shd w:val="clear" w:color="auto" w:fill="auto"/>
            <w:vAlign w:val="top"/>
          </w:tcPr>
          <w:p w14:paraId="44DCEF3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1082" w:type="pct"/>
            <w:tcBorders>
              <w:tl2br w:val="nil"/>
              <w:tr2bl w:val="nil"/>
            </w:tcBorders>
            <w:shd w:val="clear" w:color="auto" w:fill="auto"/>
            <w:vAlign w:val="top"/>
          </w:tcPr>
          <w:p w14:paraId="69A0FEF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30</w:t>
            </w:r>
          </w:p>
        </w:tc>
      </w:tr>
      <w:tr w14:paraId="5BED775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7231884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106" w:type="pct"/>
            <w:tcBorders>
              <w:tl2br w:val="nil"/>
              <w:tr2bl w:val="nil"/>
            </w:tcBorders>
            <w:shd w:val="clear" w:color="auto" w:fill="auto"/>
            <w:vAlign w:val="top"/>
          </w:tcPr>
          <w:p w14:paraId="4469BBD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9.672199</w:t>
            </w:r>
          </w:p>
        </w:tc>
        <w:tc>
          <w:tcPr>
            <w:tcW w:w="1104" w:type="pct"/>
            <w:tcBorders>
              <w:tl2br w:val="nil"/>
              <w:tr2bl w:val="nil"/>
            </w:tcBorders>
            <w:shd w:val="clear" w:color="auto" w:fill="auto"/>
            <w:vAlign w:val="top"/>
          </w:tcPr>
          <w:p w14:paraId="1625ECC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18.30818</w:t>
            </w:r>
          </w:p>
        </w:tc>
        <w:tc>
          <w:tcPr>
            <w:tcW w:w="977" w:type="pct"/>
            <w:tcBorders>
              <w:tl2br w:val="nil"/>
              <w:tr2bl w:val="nil"/>
            </w:tcBorders>
            <w:shd w:val="clear" w:color="auto" w:fill="auto"/>
            <w:vAlign w:val="top"/>
          </w:tcPr>
          <w:p w14:paraId="63D600F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22.91224</w:t>
            </w:r>
          </w:p>
        </w:tc>
        <w:tc>
          <w:tcPr>
            <w:tcW w:w="1082" w:type="pct"/>
            <w:tcBorders>
              <w:tl2br w:val="nil"/>
              <w:tr2bl w:val="nil"/>
            </w:tcBorders>
            <w:shd w:val="clear" w:color="auto" w:fill="auto"/>
            <w:vAlign w:val="top"/>
          </w:tcPr>
          <w:p w14:paraId="7FAF557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24.83219</w:t>
            </w:r>
          </w:p>
        </w:tc>
      </w:tr>
      <w:tr w14:paraId="1FD85B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71C8DB3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1106" w:type="pct"/>
            <w:tcBorders>
              <w:tl2br w:val="nil"/>
              <w:tr2bl w:val="nil"/>
            </w:tcBorders>
            <w:shd w:val="clear" w:color="auto" w:fill="auto"/>
            <w:vAlign w:val="top"/>
          </w:tcPr>
          <w:p w14:paraId="5354F85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1.409256</w:t>
            </w:r>
          </w:p>
        </w:tc>
        <w:tc>
          <w:tcPr>
            <w:tcW w:w="1104" w:type="pct"/>
            <w:tcBorders>
              <w:tl2br w:val="nil"/>
              <w:tr2bl w:val="nil"/>
            </w:tcBorders>
            <w:shd w:val="clear" w:color="auto" w:fill="auto"/>
            <w:vAlign w:val="top"/>
          </w:tcPr>
          <w:p w14:paraId="0E6A075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9.140733</w:t>
            </w:r>
          </w:p>
        </w:tc>
        <w:tc>
          <w:tcPr>
            <w:tcW w:w="977" w:type="pct"/>
            <w:tcBorders>
              <w:tl2br w:val="nil"/>
              <w:tr2bl w:val="nil"/>
            </w:tcBorders>
            <w:shd w:val="clear" w:color="auto" w:fill="auto"/>
            <w:vAlign w:val="top"/>
          </w:tcPr>
          <w:p w14:paraId="3099F2A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16.31884</w:t>
            </w:r>
          </w:p>
        </w:tc>
        <w:tc>
          <w:tcPr>
            <w:tcW w:w="1082" w:type="pct"/>
            <w:tcBorders>
              <w:tl2br w:val="nil"/>
              <w:tr2bl w:val="nil"/>
            </w:tcBorders>
            <w:shd w:val="clear" w:color="auto" w:fill="auto"/>
            <w:vAlign w:val="top"/>
          </w:tcPr>
          <w:p w14:paraId="304579A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19.79995</w:t>
            </w:r>
          </w:p>
        </w:tc>
      </w:tr>
      <w:tr w14:paraId="5358F89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61008B0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1106" w:type="pct"/>
            <w:tcBorders>
              <w:tl2br w:val="nil"/>
              <w:tr2bl w:val="nil"/>
            </w:tcBorders>
            <w:shd w:val="clear" w:color="auto" w:fill="auto"/>
            <w:vAlign w:val="top"/>
          </w:tcPr>
          <w:p w14:paraId="7AE8F59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0.08497152</w:t>
            </w:r>
          </w:p>
        </w:tc>
        <w:tc>
          <w:tcPr>
            <w:tcW w:w="1104" w:type="pct"/>
            <w:tcBorders>
              <w:tl2br w:val="nil"/>
              <w:tr2bl w:val="nil"/>
            </w:tcBorders>
            <w:shd w:val="clear" w:color="auto" w:fill="auto"/>
            <w:vAlign w:val="top"/>
          </w:tcPr>
          <w:p w14:paraId="45A7591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3.66104</w:t>
            </w:r>
          </w:p>
        </w:tc>
        <w:tc>
          <w:tcPr>
            <w:tcW w:w="977" w:type="pct"/>
            <w:tcBorders>
              <w:tl2br w:val="nil"/>
              <w:tr2bl w:val="nil"/>
            </w:tcBorders>
            <w:shd w:val="clear" w:color="auto" w:fill="auto"/>
            <w:vAlign w:val="top"/>
          </w:tcPr>
          <w:p w14:paraId="5C48F45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10.78208</w:t>
            </w:r>
          </w:p>
        </w:tc>
        <w:tc>
          <w:tcPr>
            <w:tcW w:w="1082" w:type="pct"/>
            <w:tcBorders>
              <w:tl2br w:val="nil"/>
              <w:tr2bl w:val="nil"/>
            </w:tcBorders>
            <w:shd w:val="clear" w:color="auto" w:fill="auto"/>
            <w:vAlign w:val="top"/>
          </w:tcPr>
          <w:p w14:paraId="0B8AB35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15.17285</w:t>
            </w:r>
          </w:p>
        </w:tc>
      </w:tr>
      <w:tr w14:paraId="741FC2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3DD899A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1106" w:type="pct"/>
            <w:tcBorders>
              <w:tl2br w:val="nil"/>
              <w:tr2bl w:val="nil"/>
            </w:tcBorders>
            <w:shd w:val="clear" w:color="auto" w:fill="auto"/>
            <w:vAlign w:val="top"/>
          </w:tcPr>
          <w:p w14:paraId="48FB59A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0.002026581</w:t>
            </w:r>
          </w:p>
        </w:tc>
        <w:tc>
          <w:tcPr>
            <w:tcW w:w="1104" w:type="pct"/>
            <w:tcBorders>
              <w:tl2br w:val="nil"/>
              <w:tr2bl w:val="nil"/>
            </w:tcBorders>
            <w:shd w:val="clear" w:color="auto" w:fill="auto"/>
            <w:vAlign w:val="top"/>
          </w:tcPr>
          <w:p w14:paraId="4F69D05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1.160146</w:t>
            </w:r>
          </w:p>
        </w:tc>
        <w:tc>
          <w:tcPr>
            <w:tcW w:w="977" w:type="pct"/>
            <w:tcBorders>
              <w:tl2br w:val="nil"/>
              <w:tr2bl w:val="nil"/>
            </w:tcBorders>
            <w:shd w:val="clear" w:color="auto" w:fill="auto"/>
            <w:vAlign w:val="top"/>
          </w:tcPr>
          <w:p w14:paraId="759CFDA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6.580284</w:t>
            </w:r>
          </w:p>
        </w:tc>
        <w:tc>
          <w:tcPr>
            <w:tcW w:w="1082" w:type="pct"/>
            <w:tcBorders>
              <w:tl2br w:val="nil"/>
              <w:tr2bl w:val="nil"/>
            </w:tcBorders>
            <w:shd w:val="clear" w:color="auto" w:fill="auto"/>
            <w:vAlign w:val="top"/>
          </w:tcPr>
          <w:p w14:paraId="439464E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11.15217</w:t>
            </w:r>
          </w:p>
        </w:tc>
      </w:tr>
      <w:tr w14:paraId="6EF99CE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6E12B4B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1106" w:type="pct"/>
            <w:tcBorders>
              <w:tl2br w:val="nil"/>
              <w:tr2bl w:val="nil"/>
            </w:tcBorders>
            <w:shd w:val="clear" w:color="auto" w:fill="auto"/>
            <w:vAlign w:val="top"/>
          </w:tcPr>
          <w:p w14:paraId="717BB84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1.87E-05</w:t>
            </w:r>
          </w:p>
        </w:tc>
        <w:tc>
          <w:tcPr>
            <w:tcW w:w="1104" w:type="pct"/>
            <w:tcBorders>
              <w:tl2br w:val="nil"/>
              <w:tr2bl w:val="nil"/>
            </w:tcBorders>
            <w:shd w:val="clear" w:color="auto" w:fill="auto"/>
            <w:vAlign w:val="top"/>
          </w:tcPr>
          <w:p w14:paraId="25155F8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0.2880746</w:t>
            </w:r>
          </w:p>
        </w:tc>
        <w:tc>
          <w:tcPr>
            <w:tcW w:w="977" w:type="pct"/>
            <w:tcBorders>
              <w:tl2br w:val="nil"/>
              <w:tr2bl w:val="nil"/>
            </w:tcBorders>
            <w:shd w:val="clear" w:color="auto" w:fill="auto"/>
            <w:vAlign w:val="top"/>
          </w:tcPr>
          <w:p w14:paraId="1A85EE5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3.696652</w:t>
            </w:r>
          </w:p>
        </w:tc>
        <w:tc>
          <w:tcPr>
            <w:tcW w:w="1082" w:type="pct"/>
            <w:tcBorders>
              <w:tl2br w:val="nil"/>
              <w:tr2bl w:val="nil"/>
            </w:tcBorders>
            <w:shd w:val="clear" w:color="auto" w:fill="auto"/>
            <w:vAlign w:val="top"/>
          </w:tcPr>
          <w:p w14:paraId="7252FB6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7.848737</w:t>
            </w:r>
          </w:p>
        </w:tc>
      </w:tr>
      <w:tr w14:paraId="1EC62E5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6911906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1106" w:type="pct"/>
            <w:tcBorders>
              <w:tl2br w:val="nil"/>
              <w:tr2bl w:val="nil"/>
            </w:tcBorders>
            <w:shd w:val="clear" w:color="auto" w:fill="auto"/>
            <w:vAlign w:val="top"/>
          </w:tcPr>
          <w:p w14:paraId="5F62C74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6.54E-08</w:t>
            </w:r>
          </w:p>
        </w:tc>
        <w:tc>
          <w:tcPr>
            <w:tcW w:w="1104" w:type="pct"/>
            <w:tcBorders>
              <w:tl2br w:val="nil"/>
              <w:tr2bl w:val="nil"/>
            </w:tcBorders>
            <w:shd w:val="clear" w:color="auto" w:fill="auto"/>
            <w:vAlign w:val="top"/>
          </w:tcPr>
          <w:p w14:paraId="7E85732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0.05566991</w:t>
            </w:r>
          </w:p>
        </w:tc>
        <w:tc>
          <w:tcPr>
            <w:tcW w:w="977" w:type="pct"/>
            <w:tcBorders>
              <w:tl2br w:val="nil"/>
              <w:tr2bl w:val="nil"/>
            </w:tcBorders>
            <w:shd w:val="clear" w:color="auto" w:fill="auto"/>
            <w:vAlign w:val="top"/>
          </w:tcPr>
          <w:p w14:paraId="06BC30C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1.906253</w:t>
            </w:r>
          </w:p>
        </w:tc>
        <w:tc>
          <w:tcPr>
            <w:tcW w:w="1082" w:type="pct"/>
            <w:tcBorders>
              <w:tl2br w:val="nil"/>
              <w:tr2bl w:val="nil"/>
            </w:tcBorders>
            <w:shd w:val="clear" w:color="auto" w:fill="auto"/>
            <w:vAlign w:val="top"/>
          </w:tcPr>
          <w:p w14:paraId="115462B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5.281462</w:t>
            </w:r>
          </w:p>
        </w:tc>
      </w:tr>
      <w:tr w14:paraId="7F3781B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34CE746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1106" w:type="pct"/>
            <w:tcBorders>
              <w:tl2br w:val="nil"/>
              <w:tr2bl w:val="nil"/>
            </w:tcBorders>
            <w:shd w:val="clear" w:color="auto" w:fill="auto"/>
            <w:vAlign w:val="top"/>
          </w:tcPr>
          <w:p w14:paraId="55800F9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8.64E-11</w:t>
            </w:r>
          </w:p>
        </w:tc>
        <w:tc>
          <w:tcPr>
            <w:tcW w:w="1104" w:type="pct"/>
            <w:tcBorders>
              <w:tl2br w:val="nil"/>
              <w:tr2bl w:val="nil"/>
            </w:tcBorders>
            <w:shd w:val="clear" w:color="auto" w:fill="auto"/>
            <w:vAlign w:val="top"/>
          </w:tcPr>
          <w:p w14:paraId="3AA230C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0.008331832</w:t>
            </w:r>
          </w:p>
        </w:tc>
        <w:tc>
          <w:tcPr>
            <w:tcW w:w="977" w:type="pct"/>
            <w:tcBorders>
              <w:tl2br w:val="nil"/>
              <w:tr2bl w:val="nil"/>
            </w:tcBorders>
            <w:shd w:val="clear" w:color="auto" w:fill="auto"/>
            <w:vAlign w:val="top"/>
          </w:tcPr>
          <w:p w14:paraId="6F2FBA2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0.9002903</w:t>
            </w:r>
          </w:p>
        </w:tc>
        <w:tc>
          <w:tcPr>
            <w:tcW w:w="1082" w:type="pct"/>
            <w:tcBorders>
              <w:tl2br w:val="nil"/>
              <w:tr2bl w:val="nil"/>
            </w:tcBorders>
            <w:shd w:val="clear" w:color="auto" w:fill="auto"/>
            <w:vAlign w:val="top"/>
          </w:tcPr>
          <w:p w14:paraId="16E16AF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3.393769</w:t>
            </w:r>
          </w:p>
        </w:tc>
      </w:tr>
      <w:tr w14:paraId="28A6C57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791E64C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1106" w:type="pct"/>
            <w:tcBorders>
              <w:tl2br w:val="nil"/>
              <w:tr2bl w:val="nil"/>
            </w:tcBorders>
            <w:shd w:val="clear" w:color="auto" w:fill="auto"/>
            <w:vAlign w:val="top"/>
          </w:tcPr>
          <w:p w14:paraId="318A7BA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4.48E-14</w:t>
            </w:r>
          </w:p>
        </w:tc>
        <w:tc>
          <w:tcPr>
            <w:tcW w:w="1104" w:type="pct"/>
            <w:tcBorders>
              <w:tl2br w:val="nil"/>
              <w:tr2bl w:val="nil"/>
            </w:tcBorders>
            <w:shd w:val="clear" w:color="auto" w:fill="auto"/>
            <w:vAlign w:val="top"/>
          </w:tcPr>
          <w:p w14:paraId="4F723E5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0.000962317</w:t>
            </w:r>
          </w:p>
        </w:tc>
        <w:tc>
          <w:tcPr>
            <w:tcW w:w="977" w:type="pct"/>
            <w:tcBorders>
              <w:tl2br w:val="nil"/>
              <w:tr2bl w:val="nil"/>
            </w:tcBorders>
            <w:shd w:val="clear" w:color="auto" w:fill="auto"/>
            <w:vAlign w:val="top"/>
          </w:tcPr>
          <w:p w14:paraId="4A6BA46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0.3887099</w:t>
            </w:r>
          </w:p>
        </w:tc>
        <w:tc>
          <w:tcPr>
            <w:tcW w:w="1082" w:type="pct"/>
            <w:tcBorders>
              <w:tl2br w:val="nil"/>
              <w:tr2bl w:val="nil"/>
            </w:tcBorders>
            <w:shd w:val="clear" w:color="auto" w:fill="auto"/>
            <w:vAlign w:val="top"/>
          </w:tcPr>
          <w:p w14:paraId="402A6F4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2.080292</w:t>
            </w:r>
          </w:p>
        </w:tc>
      </w:tr>
      <w:tr w14:paraId="6590982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557960C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06" w:type="pct"/>
            <w:tcBorders>
              <w:tl2br w:val="nil"/>
              <w:tr2bl w:val="nil"/>
            </w:tcBorders>
            <w:shd w:val="clear" w:color="auto" w:fill="auto"/>
            <w:vAlign w:val="top"/>
          </w:tcPr>
          <w:p w14:paraId="0449B2D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713006B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8.55E-05</w:t>
            </w:r>
          </w:p>
        </w:tc>
        <w:tc>
          <w:tcPr>
            <w:tcW w:w="977" w:type="pct"/>
            <w:tcBorders>
              <w:tl2br w:val="nil"/>
              <w:tr2bl w:val="nil"/>
            </w:tcBorders>
            <w:shd w:val="clear" w:color="auto" w:fill="auto"/>
            <w:vAlign w:val="top"/>
          </w:tcPr>
          <w:p w14:paraId="586C253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0.1532038</w:t>
            </w:r>
          </w:p>
        </w:tc>
        <w:tc>
          <w:tcPr>
            <w:tcW w:w="1082" w:type="pct"/>
            <w:tcBorders>
              <w:tl2br w:val="nil"/>
              <w:tr2bl w:val="nil"/>
            </w:tcBorders>
            <w:shd w:val="clear" w:color="auto" w:fill="auto"/>
            <w:vAlign w:val="top"/>
          </w:tcPr>
          <w:p w14:paraId="6074C88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1.215314</w:t>
            </w:r>
          </w:p>
        </w:tc>
      </w:tr>
      <w:tr w14:paraId="6C5697C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0E3D371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06" w:type="pct"/>
            <w:tcBorders>
              <w:tl2br w:val="nil"/>
              <w:tr2bl w:val="nil"/>
            </w:tcBorders>
            <w:shd w:val="clear" w:color="auto" w:fill="auto"/>
            <w:vAlign w:val="top"/>
          </w:tcPr>
          <w:p w14:paraId="04621A9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576429F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5.84E-06</w:t>
            </w:r>
          </w:p>
        </w:tc>
        <w:tc>
          <w:tcPr>
            <w:tcW w:w="977" w:type="pct"/>
            <w:tcBorders>
              <w:tl2br w:val="nil"/>
              <w:tr2bl w:val="nil"/>
            </w:tcBorders>
            <w:shd w:val="clear" w:color="auto" w:fill="auto"/>
            <w:vAlign w:val="top"/>
          </w:tcPr>
          <w:p w14:paraId="08FD39A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0.0550545</w:t>
            </w:r>
          </w:p>
        </w:tc>
        <w:tc>
          <w:tcPr>
            <w:tcW w:w="1082" w:type="pct"/>
            <w:tcBorders>
              <w:tl2br w:val="nil"/>
              <w:tr2bl w:val="nil"/>
            </w:tcBorders>
            <w:shd w:val="clear" w:color="auto" w:fill="auto"/>
            <w:vAlign w:val="top"/>
          </w:tcPr>
          <w:p w14:paraId="6218C1D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0.6761458</w:t>
            </w:r>
          </w:p>
        </w:tc>
      </w:tr>
      <w:tr w14:paraId="0CAE7BB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39259FB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1106" w:type="pct"/>
            <w:tcBorders>
              <w:tl2br w:val="nil"/>
              <w:tr2bl w:val="nil"/>
            </w:tcBorders>
            <w:shd w:val="clear" w:color="auto" w:fill="auto"/>
            <w:vAlign w:val="top"/>
          </w:tcPr>
          <w:p w14:paraId="2DA653E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7E3CD8B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3.06E-07</w:t>
            </w:r>
          </w:p>
        </w:tc>
        <w:tc>
          <w:tcPr>
            <w:tcW w:w="977" w:type="pct"/>
            <w:tcBorders>
              <w:tl2br w:val="nil"/>
              <w:tr2bl w:val="nil"/>
            </w:tcBorders>
            <w:shd w:val="clear" w:color="auto" w:fill="auto"/>
            <w:vAlign w:val="top"/>
          </w:tcPr>
          <w:p w14:paraId="4C9C37D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0.01802048</w:t>
            </w:r>
          </w:p>
        </w:tc>
        <w:tc>
          <w:tcPr>
            <w:tcW w:w="1082" w:type="pct"/>
            <w:tcBorders>
              <w:tl2br w:val="nil"/>
              <w:tr2bl w:val="nil"/>
            </w:tcBorders>
            <w:shd w:val="clear" w:color="auto" w:fill="auto"/>
            <w:vAlign w:val="top"/>
          </w:tcPr>
          <w:p w14:paraId="29D9C9F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0.3580092</w:t>
            </w:r>
          </w:p>
        </w:tc>
      </w:tr>
      <w:tr w14:paraId="2D3FB2A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6449411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1106" w:type="pct"/>
            <w:tcBorders>
              <w:tl2br w:val="nil"/>
              <w:tr2bl w:val="nil"/>
            </w:tcBorders>
            <w:shd w:val="clear" w:color="auto" w:fill="auto"/>
            <w:vAlign w:val="top"/>
          </w:tcPr>
          <w:p w14:paraId="0AE7F34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77FFB2B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1.23E-08</w:t>
            </w:r>
          </w:p>
        </w:tc>
        <w:tc>
          <w:tcPr>
            <w:tcW w:w="977" w:type="pct"/>
            <w:tcBorders>
              <w:tl2br w:val="nil"/>
              <w:tr2bl w:val="nil"/>
            </w:tcBorders>
            <w:shd w:val="clear" w:color="auto" w:fill="auto"/>
            <w:vAlign w:val="top"/>
          </w:tcPr>
          <w:p w14:paraId="291CDCA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0.005368283</w:t>
            </w:r>
          </w:p>
        </w:tc>
        <w:tc>
          <w:tcPr>
            <w:tcW w:w="1082" w:type="pct"/>
            <w:tcBorders>
              <w:tl2br w:val="nil"/>
              <w:tr2bl w:val="nil"/>
            </w:tcBorders>
            <w:shd w:val="clear" w:color="auto" w:fill="auto"/>
            <w:vAlign w:val="top"/>
          </w:tcPr>
          <w:p w14:paraId="30B14D7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0.1803039</w:t>
            </w:r>
          </w:p>
        </w:tc>
      </w:tr>
      <w:tr w14:paraId="4B1EDC6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5ABA9C2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1106" w:type="pct"/>
            <w:tcBorders>
              <w:tl2br w:val="nil"/>
              <w:tr2bl w:val="nil"/>
            </w:tcBorders>
            <w:shd w:val="clear" w:color="auto" w:fill="auto"/>
            <w:vAlign w:val="top"/>
          </w:tcPr>
          <w:p w14:paraId="0201B1A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310641D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3.77E-10</w:t>
            </w:r>
          </w:p>
        </w:tc>
        <w:tc>
          <w:tcPr>
            <w:tcW w:w="977" w:type="pct"/>
            <w:tcBorders>
              <w:tl2br w:val="nil"/>
              <w:tr2bl w:val="nil"/>
            </w:tcBorders>
            <w:shd w:val="clear" w:color="auto" w:fill="auto"/>
            <w:vAlign w:val="top"/>
          </w:tcPr>
          <w:p w14:paraId="772BC2D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0.001454467</w:t>
            </w:r>
          </w:p>
        </w:tc>
        <w:tc>
          <w:tcPr>
            <w:tcW w:w="1082" w:type="pct"/>
            <w:tcBorders>
              <w:tl2br w:val="nil"/>
              <w:tr2bl w:val="nil"/>
            </w:tcBorders>
            <w:shd w:val="clear" w:color="auto" w:fill="auto"/>
            <w:vAlign w:val="top"/>
          </w:tcPr>
          <w:p w14:paraId="70C8355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0.08633001</w:t>
            </w:r>
          </w:p>
        </w:tc>
      </w:tr>
      <w:tr w14:paraId="042F12A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53C6A31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106" w:type="pct"/>
            <w:tcBorders>
              <w:tl2br w:val="nil"/>
              <w:tr2bl w:val="nil"/>
            </w:tcBorders>
            <w:shd w:val="clear" w:color="auto" w:fill="auto"/>
            <w:vAlign w:val="top"/>
          </w:tcPr>
          <w:p w14:paraId="0C17CE4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39881E5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9.48E-12</w:t>
            </w:r>
          </w:p>
        </w:tc>
        <w:tc>
          <w:tcPr>
            <w:tcW w:w="977" w:type="pct"/>
            <w:tcBorders>
              <w:tl2br w:val="nil"/>
              <w:tr2bl w:val="nil"/>
            </w:tcBorders>
            <w:shd w:val="clear" w:color="auto" w:fill="auto"/>
            <w:vAlign w:val="top"/>
          </w:tcPr>
          <w:p w14:paraId="013EC1C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0.000358198</w:t>
            </w:r>
          </w:p>
        </w:tc>
        <w:tc>
          <w:tcPr>
            <w:tcW w:w="1082" w:type="pct"/>
            <w:tcBorders>
              <w:tl2br w:val="nil"/>
              <w:tr2bl w:val="nil"/>
            </w:tcBorders>
            <w:shd w:val="clear" w:color="auto" w:fill="auto"/>
            <w:vAlign w:val="top"/>
          </w:tcPr>
          <w:p w14:paraId="10981AA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0.03928098</w:t>
            </w:r>
          </w:p>
        </w:tc>
      </w:tr>
      <w:tr w14:paraId="7469127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4B95A301">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1106" w:type="pct"/>
            <w:tcBorders>
              <w:tl2br w:val="nil"/>
              <w:tr2bl w:val="nil"/>
            </w:tcBorders>
            <w:shd w:val="clear" w:color="auto" w:fill="auto"/>
            <w:vAlign w:val="top"/>
          </w:tcPr>
          <w:p w14:paraId="34D2972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5922042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1.68E-13</w:t>
            </w:r>
          </w:p>
        </w:tc>
        <w:tc>
          <w:tcPr>
            <w:tcW w:w="977" w:type="pct"/>
            <w:tcBorders>
              <w:tl2br w:val="nil"/>
              <w:tr2bl w:val="nil"/>
            </w:tcBorders>
            <w:shd w:val="clear" w:color="auto" w:fill="auto"/>
            <w:vAlign w:val="top"/>
          </w:tcPr>
          <w:p w14:paraId="4C8C571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8.01E-05</w:t>
            </w:r>
          </w:p>
        </w:tc>
        <w:tc>
          <w:tcPr>
            <w:tcW w:w="1082" w:type="pct"/>
            <w:tcBorders>
              <w:tl2br w:val="nil"/>
              <w:tr2bl w:val="nil"/>
            </w:tcBorders>
            <w:shd w:val="clear" w:color="auto" w:fill="auto"/>
            <w:vAlign w:val="top"/>
          </w:tcPr>
          <w:p w14:paraId="232269E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0.01697887</w:t>
            </w:r>
          </w:p>
        </w:tc>
      </w:tr>
      <w:tr w14:paraId="16CF1A1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04BF2784">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1106" w:type="pct"/>
            <w:tcBorders>
              <w:tl2br w:val="nil"/>
              <w:tr2bl w:val="nil"/>
            </w:tcBorders>
            <w:shd w:val="clear" w:color="auto" w:fill="auto"/>
            <w:vAlign w:val="top"/>
          </w:tcPr>
          <w:p w14:paraId="4992817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4849EB8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1.67E-15</w:t>
            </w:r>
          </w:p>
        </w:tc>
        <w:tc>
          <w:tcPr>
            <w:tcW w:w="977" w:type="pct"/>
            <w:tcBorders>
              <w:tl2br w:val="nil"/>
              <w:tr2bl w:val="nil"/>
            </w:tcBorders>
            <w:shd w:val="clear" w:color="auto" w:fill="auto"/>
            <w:vAlign w:val="top"/>
          </w:tcPr>
          <w:p w14:paraId="02A475D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1.63E-05</w:t>
            </w:r>
          </w:p>
        </w:tc>
        <w:tc>
          <w:tcPr>
            <w:tcW w:w="1082" w:type="pct"/>
            <w:tcBorders>
              <w:tl2br w:val="nil"/>
              <w:tr2bl w:val="nil"/>
            </w:tcBorders>
            <w:shd w:val="clear" w:color="auto" w:fill="auto"/>
            <w:vAlign w:val="top"/>
          </w:tcPr>
          <w:p w14:paraId="707484B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0.006969522</w:t>
            </w:r>
          </w:p>
        </w:tc>
      </w:tr>
      <w:tr w14:paraId="20897EA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0BB0C77F">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1106" w:type="pct"/>
            <w:tcBorders>
              <w:tl2br w:val="nil"/>
              <w:tr2bl w:val="nil"/>
            </w:tcBorders>
            <w:shd w:val="clear" w:color="auto" w:fill="auto"/>
            <w:vAlign w:val="top"/>
          </w:tcPr>
          <w:p w14:paraId="4111E05E">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76686936">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622F718E">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3.00E-06</w:t>
            </w:r>
          </w:p>
        </w:tc>
        <w:tc>
          <w:tcPr>
            <w:tcW w:w="1082" w:type="pct"/>
            <w:tcBorders>
              <w:tl2br w:val="nil"/>
              <w:tr2bl w:val="nil"/>
            </w:tcBorders>
            <w:shd w:val="clear" w:color="auto" w:fill="auto"/>
            <w:vAlign w:val="top"/>
          </w:tcPr>
          <w:p w14:paraId="19A7859C">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0.002716094</w:t>
            </w:r>
          </w:p>
        </w:tc>
      </w:tr>
      <w:tr w14:paraId="5F389BE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64E98F1B">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1106" w:type="pct"/>
            <w:tcBorders>
              <w:tl2br w:val="nil"/>
              <w:tr2bl w:val="nil"/>
            </w:tcBorders>
            <w:shd w:val="clear" w:color="auto" w:fill="auto"/>
            <w:vAlign w:val="top"/>
          </w:tcPr>
          <w:p w14:paraId="258620FF">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726A838B">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0DB68AE3">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5.03E-07</w:t>
            </w:r>
          </w:p>
        </w:tc>
        <w:tc>
          <w:tcPr>
            <w:tcW w:w="1082" w:type="pct"/>
            <w:tcBorders>
              <w:tl2br w:val="nil"/>
              <w:tr2bl w:val="nil"/>
            </w:tcBorders>
            <w:shd w:val="clear" w:color="auto" w:fill="auto"/>
            <w:vAlign w:val="top"/>
          </w:tcPr>
          <w:p w14:paraId="408D5C69">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0.001004681</w:t>
            </w:r>
          </w:p>
        </w:tc>
      </w:tr>
      <w:tr w14:paraId="5D6FFDD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4D668583">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1106" w:type="pct"/>
            <w:tcBorders>
              <w:tl2br w:val="nil"/>
              <w:tr2bl w:val="nil"/>
            </w:tcBorders>
            <w:shd w:val="clear" w:color="auto" w:fill="auto"/>
            <w:vAlign w:val="top"/>
          </w:tcPr>
          <w:p w14:paraId="11779AE3">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4422E022">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35F52243">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7.64E-08</w:t>
            </w:r>
          </w:p>
        </w:tc>
        <w:tc>
          <w:tcPr>
            <w:tcW w:w="1082" w:type="pct"/>
            <w:tcBorders>
              <w:tl2br w:val="nil"/>
              <w:tr2bl w:val="nil"/>
            </w:tcBorders>
            <w:shd w:val="clear" w:color="auto" w:fill="auto"/>
            <w:vAlign w:val="top"/>
          </w:tcPr>
          <w:p w14:paraId="3DD54CC1">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0.000352663</w:t>
            </w:r>
          </w:p>
        </w:tc>
      </w:tr>
      <w:tr w14:paraId="01AFD87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168B969D">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1106" w:type="pct"/>
            <w:tcBorders>
              <w:tl2br w:val="nil"/>
              <w:tr2bl w:val="nil"/>
            </w:tcBorders>
            <w:shd w:val="clear" w:color="auto" w:fill="auto"/>
            <w:vAlign w:val="top"/>
          </w:tcPr>
          <w:p w14:paraId="7B2C0303">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3EA6DE26">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30E7B17B">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1.05E-08</w:t>
            </w:r>
          </w:p>
        </w:tc>
        <w:tc>
          <w:tcPr>
            <w:tcW w:w="1082" w:type="pct"/>
            <w:tcBorders>
              <w:tl2br w:val="nil"/>
              <w:tr2bl w:val="nil"/>
            </w:tcBorders>
            <w:shd w:val="clear" w:color="auto" w:fill="auto"/>
            <w:vAlign w:val="top"/>
          </w:tcPr>
          <w:p w14:paraId="36F129DC">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0.000117451</w:t>
            </w:r>
          </w:p>
        </w:tc>
      </w:tr>
      <w:tr w14:paraId="0B28F65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78125ACE">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210</w:t>
            </w:r>
          </w:p>
        </w:tc>
        <w:tc>
          <w:tcPr>
            <w:tcW w:w="1106" w:type="pct"/>
            <w:tcBorders>
              <w:tl2br w:val="nil"/>
              <w:tr2bl w:val="nil"/>
            </w:tcBorders>
            <w:shd w:val="clear" w:color="auto" w:fill="auto"/>
            <w:vAlign w:val="top"/>
          </w:tcPr>
          <w:p w14:paraId="3EBBA27D">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736EF13B">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74DF1F88">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1.32E-09</w:t>
            </w:r>
          </w:p>
        </w:tc>
        <w:tc>
          <w:tcPr>
            <w:tcW w:w="1082" w:type="pct"/>
            <w:tcBorders>
              <w:tl2br w:val="nil"/>
              <w:tr2bl w:val="nil"/>
            </w:tcBorders>
            <w:shd w:val="clear" w:color="auto" w:fill="auto"/>
            <w:vAlign w:val="top"/>
          </w:tcPr>
          <w:p w14:paraId="6C6DD557">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3.71E-05</w:t>
            </w:r>
          </w:p>
        </w:tc>
      </w:tr>
      <w:tr w14:paraId="1EC5ED1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4F2FF625">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1106" w:type="pct"/>
            <w:tcBorders>
              <w:tl2br w:val="nil"/>
              <w:tr2bl w:val="nil"/>
            </w:tcBorders>
            <w:shd w:val="clear" w:color="auto" w:fill="auto"/>
            <w:vAlign w:val="top"/>
          </w:tcPr>
          <w:p w14:paraId="03382DCA">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490A1E82">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5B077274">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1.49E-10</w:t>
            </w:r>
          </w:p>
        </w:tc>
        <w:tc>
          <w:tcPr>
            <w:tcW w:w="1082" w:type="pct"/>
            <w:tcBorders>
              <w:tl2br w:val="nil"/>
              <w:tr2bl w:val="nil"/>
            </w:tcBorders>
            <w:shd w:val="clear" w:color="auto" w:fill="auto"/>
            <w:vAlign w:val="top"/>
          </w:tcPr>
          <w:p w14:paraId="63DEDBB6">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1.11E-05</w:t>
            </w:r>
          </w:p>
        </w:tc>
      </w:tr>
      <w:tr w14:paraId="0FFFD4A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1D414D65">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1106" w:type="pct"/>
            <w:tcBorders>
              <w:tl2br w:val="nil"/>
              <w:tr2bl w:val="nil"/>
            </w:tcBorders>
            <w:shd w:val="clear" w:color="auto" w:fill="auto"/>
            <w:vAlign w:val="top"/>
          </w:tcPr>
          <w:p w14:paraId="3EFD3054">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167441F8">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6F639E82">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1.64E-11</w:t>
            </w:r>
          </w:p>
        </w:tc>
        <w:tc>
          <w:tcPr>
            <w:tcW w:w="1082" w:type="pct"/>
            <w:tcBorders>
              <w:tl2br w:val="nil"/>
              <w:tr2bl w:val="nil"/>
            </w:tcBorders>
            <w:shd w:val="clear" w:color="auto" w:fill="auto"/>
            <w:vAlign w:val="top"/>
          </w:tcPr>
          <w:p w14:paraId="152BE63B">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3.16E-06</w:t>
            </w:r>
          </w:p>
        </w:tc>
      </w:tr>
      <w:tr w14:paraId="633CEFA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6625548C">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240</w:t>
            </w:r>
          </w:p>
        </w:tc>
        <w:tc>
          <w:tcPr>
            <w:tcW w:w="1106" w:type="pct"/>
            <w:tcBorders>
              <w:tl2br w:val="nil"/>
              <w:tr2bl w:val="nil"/>
            </w:tcBorders>
            <w:shd w:val="clear" w:color="auto" w:fill="auto"/>
            <w:vAlign w:val="top"/>
          </w:tcPr>
          <w:p w14:paraId="65678E7C">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5F9878BF">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57900CDE">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1.52E-12</w:t>
            </w:r>
          </w:p>
        </w:tc>
        <w:tc>
          <w:tcPr>
            <w:tcW w:w="1082" w:type="pct"/>
            <w:tcBorders>
              <w:tl2br w:val="nil"/>
              <w:tr2bl w:val="nil"/>
            </w:tcBorders>
            <w:shd w:val="clear" w:color="auto" w:fill="auto"/>
            <w:vAlign w:val="top"/>
          </w:tcPr>
          <w:p w14:paraId="60279716">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8.51E-07</w:t>
            </w:r>
          </w:p>
        </w:tc>
      </w:tr>
      <w:tr w14:paraId="6660123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51519BA9">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1106" w:type="pct"/>
            <w:tcBorders>
              <w:tl2br w:val="nil"/>
              <w:tr2bl w:val="nil"/>
            </w:tcBorders>
            <w:shd w:val="clear" w:color="auto" w:fill="auto"/>
            <w:vAlign w:val="top"/>
          </w:tcPr>
          <w:p w14:paraId="4DAA8895">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6A57A7F3">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543C470E">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1.26E-13</w:t>
            </w:r>
          </w:p>
        </w:tc>
        <w:tc>
          <w:tcPr>
            <w:tcW w:w="1082" w:type="pct"/>
            <w:tcBorders>
              <w:tl2br w:val="nil"/>
              <w:tr2bl w:val="nil"/>
            </w:tcBorders>
            <w:shd w:val="clear" w:color="auto" w:fill="auto"/>
            <w:vAlign w:val="top"/>
          </w:tcPr>
          <w:p w14:paraId="66402912">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2.18E-07</w:t>
            </w:r>
          </w:p>
        </w:tc>
      </w:tr>
      <w:tr w14:paraId="60ED487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208F37B7">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260</w:t>
            </w:r>
          </w:p>
        </w:tc>
        <w:tc>
          <w:tcPr>
            <w:tcW w:w="1106" w:type="pct"/>
            <w:tcBorders>
              <w:tl2br w:val="nil"/>
              <w:tr2bl w:val="nil"/>
            </w:tcBorders>
            <w:shd w:val="clear" w:color="auto" w:fill="auto"/>
            <w:vAlign w:val="top"/>
          </w:tcPr>
          <w:p w14:paraId="387E1F6B">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000A8695">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3C3BBA81">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8.82E-15</w:t>
            </w:r>
          </w:p>
        </w:tc>
        <w:tc>
          <w:tcPr>
            <w:tcW w:w="1082" w:type="pct"/>
            <w:tcBorders>
              <w:tl2br w:val="nil"/>
              <w:tr2bl w:val="nil"/>
            </w:tcBorders>
            <w:shd w:val="clear" w:color="auto" w:fill="auto"/>
            <w:vAlign w:val="top"/>
          </w:tcPr>
          <w:p w14:paraId="1B9A28AB">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5.27E-08</w:t>
            </w:r>
          </w:p>
        </w:tc>
      </w:tr>
      <w:tr w14:paraId="1AC432E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3323737C">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1106" w:type="pct"/>
            <w:tcBorders>
              <w:tl2br w:val="nil"/>
              <w:tr2bl w:val="nil"/>
            </w:tcBorders>
            <w:shd w:val="clear" w:color="auto" w:fill="auto"/>
            <w:vAlign w:val="top"/>
          </w:tcPr>
          <w:p w14:paraId="04F21BD3">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40832A32">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226EBFCA">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2" w:type="pct"/>
            <w:tcBorders>
              <w:tl2br w:val="nil"/>
              <w:tr2bl w:val="nil"/>
            </w:tcBorders>
            <w:shd w:val="clear" w:color="auto" w:fill="auto"/>
            <w:vAlign w:val="top"/>
          </w:tcPr>
          <w:p w14:paraId="683A74F9">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1.21E-08</w:t>
            </w:r>
          </w:p>
        </w:tc>
      </w:tr>
      <w:tr w14:paraId="1FAD33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06BED788">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280</w:t>
            </w:r>
          </w:p>
        </w:tc>
        <w:tc>
          <w:tcPr>
            <w:tcW w:w="1106" w:type="pct"/>
            <w:tcBorders>
              <w:tl2br w:val="nil"/>
              <w:tr2bl w:val="nil"/>
            </w:tcBorders>
            <w:shd w:val="clear" w:color="auto" w:fill="auto"/>
            <w:vAlign w:val="top"/>
          </w:tcPr>
          <w:p w14:paraId="4436021E">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19D1A3AC">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7A85D7EC">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2" w:type="pct"/>
            <w:tcBorders>
              <w:tl2br w:val="nil"/>
              <w:tr2bl w:val="nil"/>
            </w:tcBorders>
            <w:shd w:val="clear" w:color="auto" w:fill="auto"/>
            <w:vAlign w:val="top"/>
          </w:tcPr>
          <w:p w14:paraId="2B161331">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2.63E-09</w:t>
            </w:r>
          </w:p>
        </w:tc>
      </w:tr>
      <w:tr w14:paraId="526E168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2B20D402">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290</w:t>
            </w:r>
          </w:p>
        </w:tc>
        <w:tc>
          <w:tcPr>
            <w:tcW w:w="1106" w:type="pct"/>
            <w:tcBorders>
              <w:tl2br w:val="nil"/>
              <w:tr2bl w:val="nil"/>
            </w:tcBorders>
            <w:shd w:val="clear" w:color="auto" w:fill="auto"/>
            <w:vAlign w:val="top"/>
          </w:tcPr>
          <w:p w14:paraId="6A0ED350">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0B6569BB">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3E1FBAA9">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2" w:type="pct"/>
            <w:tcBorders>
              <w:tl2br w:val="nil"/>
              <w:tr2bl w:val="nil"/>
            </w:tcBorders>
            <w:shd w:val="clear" w:color="auto" w:fill="auto"/>
            <w:vAlign w:val="top"/>
          </w:tcPr>
          <w:p w14:paraId="5B362861">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5.43E-10</w:t>
            </w:r>
          </w:p>
        </w:tc>
      </w:tr>
      <w:tr w14:paraId="7C93FB6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4CDBD56E">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1106" w:type="pct"/>
            <w:tcBorders>
              <w:tl2br w:val="nil"/>
              <w:tr2bl w:val="nil"/>
            </w:tcBorders>
            <w:shd w:val="clear" w:color="auto" w:fill="auto"/>
            <w:vAlign w:val="top"/>
          </w:tcPr>
          <w:p w14:paraId="58F5BC74">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63858A80">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7B56131A">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2" w:type="pct"/>
            <w:tcBorders>
              <w:tl2br w:val="nil"/>
              <w:tr2bl w:val="nil"/>
            </w:tcBorders>
            <w:shd w:val="clear" w:color="auto" w:fill="auto"/>
            <w:vAlign w:val="top"/>
          </w:tcPr>
          <w:p w14:paraId="4055AD42">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1.10E-10</w:t>
            </w:r>
          </w:p>
        </w:tc>
      </w:tr>
      <w:tr w14:paraId="1AC2E18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09EF9347">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1106" w:type="pct"/>
            <w:tcBorders>
              <w:tl2br w:val="nil"/>
              <w:tr2bl w:val="nil"/>
            </w:tcBorders>
            <w:shd w:val="clear" w:color="auto" w:fill="auto"/>
            <w:vAlign w:val="top"/>
          </w:tcPr>
          <w:p w14:paraId="7E25A447">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02ABD86C">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521DBAB2">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2" w:type="pct"/>
            <w:tcBorders>
              <w:tl2br w:val="nil"/>
              <w:tr2bl w:val="nil"/>
            </w:tcBorders>
            <w:shd w:val="clear" w:color="auto" w:fill="auto"/>
            <w:vAlign w:val="top"/>
          </w:tcPr>
          <w:p w14:paraId="20E35CB4">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2.11E-11</w:t>
            </w:r>
          </w:p>
        </w:tc>
      </w:tr>
      <w:tr w14:paraId="0E6E79C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1429B9E1">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1106" w:type="pct"/>
            <w:tcBorders>
              <w:tl2br w:val="nil"/>
              <w:tr2bl w:val="nil"/>
            </w:tcBorders>
            <w:shd w:val="clear" w:color="auto" w:fill="auto"/>
            <w:vAlign w:val="top"/>
          </w:tcPr>
          <w:p w14:paraId="2F47C4E0">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2F44E856">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208BA928">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2" w:type="pct"/>
            <w:tcBorders>
              <w:tl2br w:val="nil"/>
              <w:tr2bl w:val="nil"/>
            </w:tcBorders>
            <w:shd w:val="clear" w:color="auto" w:fill="auto"/>
            <w:vAlign w:val="top"/>
          </w:tcPr>
          <w:p w14:paraId="5BBBB36C">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3.69E-12</w:t>
            </w:r>
          </w:p>
        </w:tc>
      </w:tr>
      <w:tr w14:paraId="2541432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2D3E40C8">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330</w:t>
            </w:r>
          </w:p>
        </w:tc>
        <w:tc>
          <w:tcPr>
            <w:tcW w:w="1106" w:type="pct"/>
            <w:tcBorders>
              <w:tl2br w:val="nil"/>
              <w:tr2bl w:val="nil"/>
            </w:tcBorders>
            <w:shd w:val="clear" w:color="auto" w:fill="auto"/>
            <w:vAlign w:val="top"/>
          </w:tcPr>
          <w:p w14:paraId="61E063D7">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2C00CDB2">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4733DF5F">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2" w:type="pct"/>
            <w:tcBorders>
              <w:tl2br w:val="nil"/>
              <w:tr2bl w:val="nil"/>
            </w:tcBorders>
            <w:shd w:val="clear" w:color="auto" w:fill="auto"/>
            <w:vAlign w:val="top"/>
          </w:tcPr>
          <w:p w14:paraId="042D19E4">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6.10E-13</w:t>
            </w:r>
          </w:p>
        </w:tc>
      </w:tr>
      <w:tr w14:paraId="3853D2D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089B21B4">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340</w:t>
            </w:r>
          </w:p>
        </w:tc>
        <w:tc>
          <w:tcPr>
            <w:tcW w:w="1106" w:type="pct"/>
            <w:tcBorders>
              <w:tl2br w:val="nil"/>
              <w:tr2bl w:val="nil"/>
            </w:tcBorders>
            <w:shd w:val="clear" w:color="auto" w:fill="auto"/>
            <w:vAlign w:val="top"/>
          </w:tcPr>
          <w:p w14:paraId="0D09A31F">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470DEB08">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791D2E99">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2" w:type="pct"/>
            <w:tcBorders>
              <w:tl2br w:val="nil"/>
              <w:tr2bl w:val="nil"/>
            </w:tcBorders>
            <w:shd w:val="clear" w:color="auto" w:fill="auto"/>
            <w:vAlign w:val="top"/>
          </w:tcPr>
          <w:p w14:paraId="1D2E621B">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9.77E-14</w:t>
            </w:r>
          </w:p>
        </w:tc>
      </w:tr>
      <w:tr w14:paraId="40F4B2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02FA668D">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1106" w:type="pct"/>
            <w:tcBorders>
              <w:tl2br w:val="nil"/>
              <w:tr2bl w:val="nil"/>
            </w:tcBorders>
            <w:shd w:val="clear" w:color="auto" w:fill="auto"/>
            <w:vAlign w:val="top"/>
          </w:tcPr>
          <w:p w14:paraId="6C2C57C8">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4B73E1E7">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22F06CBB">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2" w:type="pct"/>
            <w:tcBorders>
              <w:tl2br w:val="nil"/>
              <w:tr2bl w:val="nil"/>
            </w:tcBorders>
            <w:shd w:val="clear" w:color="auto" w:fill="auto"/>
            <w:vAlign w:val="top"/>
          </w:tcPr>
          <w:p w14:paraId="0FDE59AB">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1.18E-14</w:t>
            </w:r>
          </w:p>
        </w:tc>
      </w:tr>
      <w:tr w14:paraId="62A019D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3DBE01B8">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1106" w:type="pct"/>
            <w:tcBorders>
              <w:tl2br w:val="nil"/>
              <w:tr2bl w:val="nil"/>
            </w:tcBorders>
            <w:shd w:val="clear" w:color="auto" w:fill="auto"/>
            <w:vAlign w:val="top"/>
          </w:tcPr>
          <w:p w14:paraId="7F760552">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23D791C8">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7737324E">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2" w:type="pct"/>
            <w:tcBorders>
              <w:tl2br w:val="nil"/>
              <w:tr2bl w:val="nil"/>
            </w:tcBorders>
            <w:shd w:val="clear" w:color="auto" w:fill="auto"/>
            <w:vAlign w:val="top"/>
          </w:tcPr>
          <w:p w14:paraId="35931D26">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1.67E-15</w:t>
            </w:r>
          </w:p>
        </w:tc>
      </w:tr>
      <w:tr w14:paraId="41068FE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1CF2E942">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370</w:t>
            </w:r>
          </w:p>
        </w:tc>
        <w:tc>
          <w:tcPr>
            <w:tcW w:w="1106" w:type="pct"/>
            <w:tcBorders>
              <w:tl2br w:val="nil"/>
              <w:tr2bl w:val="nil"/>
            </w:tcBorders>
            <w:shd w:val="clear" w:color="auto" w:fill="auto"/>
            <w:vAlign w:val="top"/>
          </w:tcPr>
          <w:p w14:paraId="32591CA3">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6FC7C95D">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4F8879BD">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2" w:type="pct"/>
            <w:tcBorders>
              <w:tl2br w:val="nil"/>
              <w:tr2bl w:val="nil"/>
            </w:tcBorders>
            <w:shd w:val="clear" w:color="auto" w:fill="auto"/>
            <w:vAlign w:val="top"/>
          </w:tcPr>
          <w:p w14:paraId="41010A1D">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2E97F8A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01809503">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1106" w:type="pct"/>
            <w:tcBorders>
              <w:tl2br w:val="nil"/>
              <w:tr2bl w:val="nil"/>
            </w:tcBorders>
            <w:shd w:val="clear" w:color="auto" w:fill="auto"/>
            <w:vAlign w:val="top"/>
          </w:tcPr>
          <w:p w14:paraId="68C1D4CE">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26746985">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6886B15E">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2" w:type="pct"/>
            <w:tcBorders>
              <w:tl2br w:val="nil"/>
              <w:tr2bl w:val="nil"/>
            </w:tcBorders>
            <w:shd w:val="clear" w:color="auto" w:fill="auto"/>
            <w:vAlign w:val="top"/>
          </w:tcPr>
          <w:p w14:paraId="1EE416F8">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4F9CE5D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4E0BBAAD">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390</w:t>
            </w:r>
          </w:p>
        </w:tc>
        <w:tc>
          <w:tcPr>
            <w:tcW w:w="1106" w:type="pct"/>
            <w:tcBorders>
              <w:tl2br w:val="nil"/>
              <w:tr2bl w:val="nil"/>
            </w:tcBorders>
            <w:shd w:val="clear" w:color="auto" w:fill="auto"/>
            <w:vAlign w:val="top"/>
          </w:tcPr>
          <w:p w14:paraId="4F5467E6">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064944BD">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37B7814A">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2" w:type="pct"/>
            <w:tcBorders>
              <w:tl2br w:val="nil"/>
              <w:tr2bl w:val="nil"/>
            </w:tcBorders>
            <w:shd w:val="clear" w:color="auto" w:fill="auto"/>
            <w:vAlign w:val="top"/>
          </w:tcPr>
          <w:p w14:paraId="283ADEA0">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1A5843B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top"/>
          </w:tcPr>
          <w:p w14:paraId="37ABD122">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1106" w:type="pct"/>
            <w:tcBorders>
              <w:tl2br w:val="nil"/>
              <w:tr2bl w:val="nil"/>
            </w:tcBorders>
            <w:shd w:val="clear" w:color="auto" w:fill="auto"/>
            <w:vAlign w:val="top"/>
          </w:tcPr>
          <w:p w14:paraId="1F96BC6D">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345AB218">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7" w:type="pct"/>
            <w:tcBorders>
              <w:tl2br w:val="nil"/>
              <w:tr2bl w:val="nil"/>
            </w:tcBorders>
            <w:shd w:val="clear" w:color="auto" w:fill="auto"/>
            <w:vAlign w:val="top"/>
          </w:tcPr>
          <w:p w14:paraId="31131FBA">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2" w:type="pct"/>
            <w:tcBorders>
              <w:tl2br w:val="nil"/>
              <w:tr2bl w:val="nil"/>
            </w:tcBorders>
            <w:shd w:val="clear" w:color="auto" w:fill="auto"/>
            <w:vAlign w:val="top"/>
          </w:tcPr>
          <w:p w14:paraId="6CB9A14E">
            <w:pPr>
              <w:keepNext w:val="0"/>
              <w:keepLines w:val="0"/>
              <w:widowControl/>
              <w:suppressLineNumbers w:val="0"/>
              <w:jc w:val="both"/>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35D1044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29" w:type="pct"/>
            <w:tcBorders>
              <w:tl2br w:val="nil"/>
              <w:tr2bl w:val="nil"/>
            </w:tcBorders>
            <w:vAlign w:val="center"/>
          </w:tcPr>
          <w:p w14:paraId="1BCC2B48">
            <w:pPr>
              <w:adjustRightInd w:val="0"/>
              <w:snapToGrid w:val="0"/>
              <w:spacing w:line="240" w:lineRule="auto"/>
              <w:jc w:val="both"/>
              <w:textAlignment w:val="center"/>
              <w:rPr>
                <w:rFonts w:hint="default" w:ascii="Times New Roman" w:hAnsi="Times New Roman" w:cs="Times New Roman"/>
                <w:color w:val="auto"/>
                <w:sz w:val="18"/>
                <w:szCs w:val="18"/>
                <w:lang w:val="en-US" w:bidi="zh-CN"/>
              </w:rPr>
            </w:pPr>
            <w:r>
              <w:rPr>
                <w:rFonts w:hint="default" w:ascii="Times New Roman" w:hAnsi="Times New Roman" w:cs="Times New Roman"/>
                <w:color w:val="auto"/>
                <w:sz w:val="18"/>
                <w:szCs w:val="18"/>
                <w:lang w:val="en-US" w:bidi="zh-CN"/>
              </w:rPr>
              <w:t>1900</w:t>
            </w:r>
          </w:p>
        </w:tc>
        <w:tc>
          <w:tcPr>
            <w:tcW w:w="2010" w:type="dxa"/>
            <w:tcBorders>
              <w:tl2br w:val="nil"/>
              <w:tr2bl w:val="nil"/>
            </w:tcBorders>
            <w:shd w:val="clear" w:color="auto" w:fill="auto"/>
            <w:vAlign w:val="top"/>
          </w:tcPr>
          <w:p w14:paraId="3825826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006" w:type="dxa"/>
            <w:tcBorders>
              <w:tl2br w:val="nil"/>
              <w:tr2bl w:val="nil"/>
            </w:tcBorders>
            <w:shd w:val="clear" w:color="auto" w:fill="auto"/>
            <w:vAlign w:val="top"/>
          </w:tcPr>
          <w:p w14:paraId="566DA26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776" w:type="dxa"/>
            <w:tcBorders>
              <w:tl2br w:val="nil"/>
              <w:tr2bl w:val="nil"/>
            </w:tcBorders>
            <w:shd w:val="clear" w:color="auto" w:fill="auto"/>
            <w:vAlign w:val="top"/>
          </w:tcPr>
          <w:p w14:paraId="0786BD5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970" w:type="dxa"/>
            <w:tcBorders>
              <w:tl2br w:val="nil"/>
              <w:tr2bl w:val="nil"/>
            </w:tcBorders>
            <w:shd w:val="clear" w:color="auto" w:fill="auto"/>
            <w:vAlign w:val="top"/>
          </w:tcPr>
          <w:p w14:paraId="1EE7D1B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681FEC1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5000" w:type="pct"/>
            <w:gridSpan w:val="5"/>
            <w:tcBorders>
              <w:tl2br w:val="nil"/>
              <w:tr2bl w:val="nil"/>
            </w:tcBorders>
            <w:vAlign w:val="center"/>
          </w:tcPr>
          <w:p w14:paraId="626FACDB">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kern w:val="0"/>
                <w:sz w:val="18"/>
                <w:szCs w:val="18"/>
              </w:rPr>
              <w:t>备注：由于</w:t>
            </w:r>
            <w:r>
              <w:rPr>
                <w:rFonts w:hint="default" w:ascii="Times New Roman" w:hAnsi="Times New Roman" w:cs="Times New Roman"/>
                <w:color w:val="auto"/>
                <w:kern w:val="0"/>
                <w:sz w:val="18"/>
                <w:szCs w:val="18"/>
                <w:lang w:val="en-US" w:eastAsia="zh-CN"/>
              </w:rPr>
              <w:t>下游菁沟位于项目</w:t>
            </w:r>
            <w:r>
              <w:rPr>
                <w:rFonts w:hint="default" w:ascii="Times New Roman" w:hAnsi="Times New Roman" w:cs="Times New Roman"/>
                <w:color w:val="auto"/>
                <w:kern w:val="0"/>
                <w:sz w:val="18"/>
                <w:szCs w:val="18"/>
              </w:rPr>
              <w:t>下游</w:t>
            </w:r>
            <w:r>
              <w:rPr>
                <w:rFonts w:hint="default" w:ascii="Times New Roman" w:hAnsi="Times New Roman" w:cs="Times New Roman"/>
                <w:color w:val="auto"/>
                <w:kern w:val="0"/>
                <w:sz w:val="18"/>
                <w:szCs w:val="18"/>
                <w:lang w:val="en-US" w:eastAsia="zh-CN"/>
              </w:rPr>
              <w:t>1900</w:t>
            </w:r>
            <w:r>
              <w:rPr>
                <w:rFonts w:hint="default" w:ascii="Times New Roman" w:hAnsi="Times New Roman" w:cs="Times New Roman"/>
                <w:color w:val="auto"/>
                <w:kern w:val="0"/>
                <w:sz w:val="18"/>
                <w:szCs w:val="18"/>
              </w:rPr>
              <w:t>m处，因此最大预测距离取</w:t>
            </w:r>
            <w:r>
              <w:rPr>
                <w:rFonts w:hint="default" w:ascii="Times New Roman" w:hAnsi="Times New Roman" w:cs="Times New Roman"/>
                <w:color w:val="auto"/>
                <w:kern w:val="0"/>
                <w:sz w:val="18"/>
                <w:szCs w:val="18"/>
                <w:lang w:val="en-US" w:eastAsia="zh-CN"/>
              </w:rPr>
              <w:t>1900</w:t>
            </w:r>
            <w:r>
              <w:rPr>
                <w:rFonts w:hint="default" w:ascii="Times New Roman" w:hAnsi="Times New Roman" w:cs="Times New Roman"/>
                <w:color w:val="auto"/>
                <w:kern w:val="0"/>
                <w:sz w:val="18"/>
                <w:szCs w:val="18"/>
              </w:rPr>
              <w:t>m。</w:t>
            </w:r>
          </w:p>
        </w:tc>
      </w:tr>
    </w:tbl>
    <w:p w14:paraId="50D1D605">
      <w:pPr>
        <w:jc w:val="center"/>
        <w:rPr>
          <w:rFonts w:hint="default" w:ascii="Times New Roman" w:hAnsi="Times New Roman" w:cs="Times New Roman"/>
          <w:b/>
        </w:rPr>
      </w:pPr>
      <w:r>
        <w:rPr>
          <w:rFonts w:hint="default" w:ascii="Times New Roman" w:hAnsi="Times New Roman" w:cs="Times New Roman"/>
        </w:rPr>
        <w:drawing>
          <wp:inline distT="0" distB="0" distL="114300" distR="114300">
            <wp:extent cx="4605655" cy="2439035"/>
            <wp:effectExtent l="6350" t="6350" r="17145" b="50165"/>
            <wp:docPr id="30" name="图表 29" descr="7b0a202020202263686172745265734964223a202232303437313431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1FC05A">
      <w:pPr>
        <w:numPr>
          <w:ilvl w:val="12"/>
          <w:numId w:val="0"/>
        </w:numPr>
        <w:adjustRightInd w:val="0"/>
        <w:snapToGrid w:val="0"/>
        <w:spacing w:line="240" w:lineRule="auto"/>
        <w:jc w:val="center"/>
        <w:textAlignment w:val="baseline"/>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图</w:t>
      </w:r>
      <w:r>
        <w:rPr>
          <w:rFonts w:hint="default" w:ascii="Times New Roman" w:hAnsi="Times New Roman" w:cs="Times New Roman"/>
          <w:b/>
          <w:bCs/>
          <w:kern w:val="0"/>
          <w:sz w:val="21"/>
          <w:szCs w:val="21"/>
          <w:lang w:val="en-US" w:eastAsia="zh-CN"/>
        </w:rPr>
        <w:t>6</w:t>
      </w:r>
      <w:r>
        <w:rPr>
          <w:rFonts w:hint="default" w:ascii="Times New Roman" w:hAnsi="Times New Roman" w:cs="Times New Roman"/>
          <w:b/>
          <w:bCs/>
          <w:kern w:val="0"/>
          <w:sz w:val="21"/>
          <w:szCs w:val="21"/>
        </w:rPr>
        <w:t>.</w:t>
      </w:r>
      <w:r>
        <w:rPr>
          <w:rFonts w:hint="default" w:ascii="Times New Roman" w:hAnsi="Times New Roman" w:cs="Times New Roman"/>
          <w:b/>
          <w:bCs/>
          <w:kern w:val="0"/>
          <w:sz w:val="21"/>
          <w:szCs w:val="21"/>
          <w:lang w:val="en-US" w:eastAsia="zh-CN"/>
        </w:rPr>
        <w:t>3</w:t>
      </w:r>
      <w:r>
        <w:rPr>
          <w:rFonts w:hint="default" w:ascii="Times New Roman" w:hAnsi="Times New Roman" w:cs="Times New Roman"/>
          <w:b/>
          <w:bCs/>
          <w:kern w:val="0"/>
          <w:sz w:val="21"/>
          <w:szCs w:val="21"/>
        </w:rPr>
        <w:t xml:space="preserve">-1  COD </w:t>
      </w:r>
      <w:r>
        <w:rPr>
          <w:rFonts w:hint="default" w:ascii="Times New Roman" w:hAnsi="Times New Roman" w:cs="Times New Roman"/>
          <w:b/>
          <w:bCs/>
          <w:kern w:val="0"/>
          <w:sz w:val="21"/>
          <w:szCs w:val="21"/>
          <w:lang w:eastAsia="zh-CN"/>
        </w:rPr>
        <w:t>泄漏</w:t>
      </w:r>
      <w:r>
        <w:rPr>
          <w:rFonts w:hint="default" w:ascii="Times New Roman" w:hAnsi="Times New Roman" w:cs="Times New Roman"/>
          <w:b/>
          <w:bCs/>
          <w:kern w:val="0"/>
          <w:sz w:val="21"/>
          <w:szCs w:val="21"/>
        </w:rPr>
        <w:t>预测图</w:t>
      </w:r>
    </w:p>
    <w:p w14:paraId="699571A6">
      <w:pPr>
        <w:jc w:val="center"/>
        <w:rPr>
          <w:rFonts w:hint="default" w:ascii="Times New Roman" w:hAnsi="Times New Roman" w:cs="Times New Roman"/>
          <w:b/>
        </w:rPr>
      </w:pPr>
    </w:p>
    <w:p w14:paraId="53EEE277">
      <w:pPr>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表</w:t>
      </w:r>
      <w:r>
        <w:rPr>
          <w:rFonts w:hint="default" w:ascii="Times New Roman" w:hAnsi="Times New Roman" w:eastAsia="黑体" w:cs="Times New Roman"/>
          <w:b w:val="0"/>
          <w:bCs/>
          <w:color w:val="auto"/>
          <w:sz w:val="21"/>
          <w:szCs w:val="21"/>
          <w:lang w:val="en-US" w:eastAsia="zh-CN"/>
        </w:rPr>
        <w:t>6</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3.5</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5</w:t>
      </w:r>
      <w:r>
        <w:rPr>
          <w:rFonts w:hint="default" w:ascii="Times New Roman" w:hAnsi="Times New Roman" w:eastAsia="黑体" w:cs="Times New Roman"/>
          <w:b w:val="0"/>
          <w:bCs/>
          <w:color w:val="auto"/>
          <w:sz w:val="21"/>
          <w:szCs w:val="21"/>
        </w:rPr>
        <w:t xml:space="preserve">  </w:t>
      </w:r>
      <w:r>
        <w:rPr>
          <w:rFonts w:hint="default" w:ascii="Times New Roman" w:hAnsi="Times New Roman" w:eastAsia="黑体" w:cs="Times New Roman"/>
          <w:b w:val="0"/>
          <w:bCs/>
          <w:color w:val="auto"/>
          <w:sz w:val="21"/>
          <w:szCs w:val="21"/>
        </w:rPr>
        <w:tab/>
      </w:r>
      <w:r>
        <w:rPr>
          <w:rFonts w:hint="default" w:ascii="Times New Roman" w:hAnsi="Times New Roman" w:eastAsia="黑体" w:cs="Times New Roman"/>
          <w:b w:val="0"/>
          <w:bCs/>
          <w:color w:val="auto"/>
          <w:sz w:val="21"/>
          <w:szCs w:val="21"/>
        </w:rPr>
        <w:t>地下水中Fe污染物预测结果</w:t>
      </w:r>
    </w:p>
    <w:tbl>
      <w:tblPr>
        <w:tblStyle w:val="29"/>
        <w:tblW w:w="5009"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26"/>
        <w:gridCol w:w="2007"/>
        <w:gridCol w:w="2005"/>
        <w:gridCol w:w="1774"/>
        <w:gridCol w:w="1976"/>
      </w:tblGrid>
      <w:tr w14:paraId="727FB12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730" w:type="pct"/>
            <w:vMerge w:val="restart"/>
            <w:tcBorders>
              <w:tl2br w:val="nil"/>
              <w:tr2bl w:val="nil"/>
            </w:tcBorders>
            <w:vAlign w:val="center"/>
          </w:tcPr>
          <w:p w14:paraId="4404D7CB">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X（m）</w:t>
            </w:r>
          </w:p>
        </w:tc>
        <w:tc>
          <w:tcPr>
            <w:tcW w:w="4269" w:type="pct"/>
            <w:gridSpan w:val="4"/>
            <w:tcBorders>
              <w:tl2br w:val="nil"/>
              <w:tr2bl w:val="nil"/>
            </w:tcBorders>
            <w:vAlign w:val="center"/>
          </w:tcPr>
          <w:p w14:paraId="16F19985">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rPr>
              <w:t xml:space="preserve"> 不同时间</w:t>
            </w:r>
            <w:r>
              <w:rPr>
                <w:rFonts w:hint="default" w:ascii="Times New Roman" w:hAnsi="Times New Roman" w:cs="Times New Roman"/>
                <w:color w:val="auto"/>
                <w:sz w:val="18"/>
                <w:szCs w:val="18"/>
                <w:lang w:bidi="zh-CN"/>
              </w:rPr>
              <w:t>预测浓度值（mg/L）</w:t>
            </w:r>
          </w:p>
        </w:tc>
      </w:tr>
      <w:tr w14:paraId="232C1EA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vMerge w:val="continue"/>
            <w:tcBorders>
              <w:tl2br w:val="nil"/>
              <w:tr2bl w:val="nil"/>
            </w:tcBorders>
            <w:vAlign w:val="center"/>
          </w:tcPr>
          <w:p w14:paraId="7F1AA8CB">
            <w:pPr>
              <w:adjustRightInd w:val="0"/>
              <w:snapToGrid w:val="0"/>
              <w:spacing w:line="240" w:lineRule="auto"/>
              <w:jc w:val="center"/>
              <w:textAlignment w:val="center"/>
              <w:rPr>
                <w:rFonts w:hint="default" w:ascii="Times New Roman" w:hAnsi="Times New Roman" w:cs="Times New Roman"/>
                <w:color w:val="auto"/>
                <w:sz w:val="18"/>
                <w:szCs w:val="18"/>
                <w:lang w:bidi="zh-CN"/>
              </w:rPr>
            </w:pPr>
          </w:p>
        </w:tc>
        <w:tc>
          <w:tcPr>
            <w:tcW w:w="1104" w:type="pct"/>
            <w:tcBorders>
              <w:tl2br w:val="nil"/>
              <w:tr2bl w:val="nil"/>
            </w:tcBorders>
            <w:vAlign w:val="center"/>
          </w:tcPr>
          <w:p w14:paraId="05E3BD45">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100d</w:t>
            </w:r>
          </w:p>
        </w:tc>
        <w:tc>
          <w:tcPr>
            <w:tcW w:w="1103" w:type="pct"/>
            <w:tcBorders>
              <w:tl2br w:val="nil"/>
              <w:tr2bl w:val="nil"/>
            </w:tcBorders>
            <w:vAlign w:val="center"/>
          </w:tcPr>
          <w:p w14:paraId="014A186A">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365d</w:t>
            </w:r>
          </w:p>
        </w:tc>
        <w:tc>
          <w:tcPr>
            <w:tcW w:w="976" w:type="pct"/>
            <w:tcBorders>
              <w:tl2br w:val="nil"/>
              <w:tr2bl w:val="nil"/>
            </w:tcBorders>
            <w:vAlign w:val="center"/>
          </w:tcPr>
          <w:p w14:paraId="3F2DDE1E">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rPr>
              <w:t>1000</w:t>
            </w:r>
            <w:r>
              <w:rPr>
                <w:rFonts w:hint="default" w:ascii="Times New Roman" w:hAnsi="Times New Roman" w:cs="Times New Roman"/>
                <w:color w:val="auto"/>
                <w:sz w:val="18"/>
                <w:szCs w:val="18"/>
                <w:lang w:bidi="zh-CN"/>
              </w:rPr>
              <w:t>d</w:t>
            </w:r>
          </w:p>
        </w:tc>
        <w:tc>
          <w:tcPr>
            <w:tcW w:w="1085" w:type="pct"/>
            <w:tcBorders>
              <w:tl2br w:val="nil"/>
              <w:tr2bl w:val="nil"/>
            </w:tcBorders>
            <w:vAlign w:val="center"/>
          </w:tcPr>
          <w:p w14:paraId="45A4ADBA">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rPr>
              <w:t>1825</w:t>
            </w:r>
            <w:r>
              <w:rPr>
                <w:rFonts w:hint="default" w:ascii="Times New Roman" w:hAnsi="Times New Roman" w:cs="Times New Roman"/>
                <w:color w:val="auto"/>
                <w:sz w:val="18"/>
                <w:szCs w:val="18"/>
                <w:lang w:bidi="zh-CN"/>
              </w:rPr>
              <w:t>d</w:t>
            </w:r>
          </w:p>
        </w:tc>
      </w:tr>
      <w:tr w14:paraId="68BA921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7511563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097A8B1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0.21</w:t>
            </w:r>
          </w:p>
        </w:tc>
        <w:tc>
          <w:tcPr>
            <w:tcW w:w="1103" w:type="pct"/>
            <w:tcBorders>
              <w:tl2br w:val="nil"/>
              <w:tr2bl w:val="nil"/>
            </w:tcBorders>
            <w:shd w:val="clear" w:color="auto" w:fill="auto"/>
            <w:vAlign w:val="top"/>
          </w:tcPr>
          <w:p w14:paraId="3129172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0.21</w:t>
            </w:r>
          </w:p>
        </w:tc>
        <w:tc>
          <w:tcPr>
            <w:tcW w:w="976" w:type="pct"/>
            <w:tcBorders>
              <w:tl2br w:val="nil"/>
              <w:tr2bl w:val="nil"/>
            </w:tcBorders>
            <w:shd w:val="clear" w:color="auto" w:fill="auto"/>
            <w:vAlign w:val="top"/>
          </w:tcPr>
          <w:p w14:paraId="5FA7525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0.21</w:t>
            </w:r>
          </w:p>
        </w:tc>
        <w:tc>
          <w:tcPr>
            <w:tcW w:w="1085" w:type="pct"/>
            <w:tcBorders>
              <w:tl2br w:val="nil"/>
              <w:tr2bl w:val="nil"/>
            </w:tcBorders>
            <w:shd w:val="clear" w:color="auto" w:fill="auto"/>
            <w:vAlign w:val="top"/>
          </w:tcPr>
          <w:p w14:paraId="69BBF93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0.21</w:t>
            </w:r>
          </w:p>
        </w:tc>
      </w:tr>
      <w:tr w14:paraId="65E5596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4EC91B8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104" w:type="pct"/>
            <w:tcBorders>
              <w:tl2br w:val="nil"/>
              <w:tr2bl w:val="nil"/>
            </w:tcBorders>
            <w:shd w:val="clear" w:color="auto" w:fill="auto"/>
            <w:vAlign w:val="top"/>
          </w:tcPr>
          <w:p w14:paraId="1110211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0.06770539</w:t>
            </w:r>
          </w:p>
        </w:tc>
        <w:tc>
          <w:tcPr>
            <w:tcW w:w="1103" w:type="pct"/>
            <w:tcBorders>
              <w:tl2br w:val="nil"/>
              <w:tr2bl w:val="nil"/>
            </w:tcBorders>
            <w:shd w:val="clear" w:color="auto" w:fill="auto"/>
            <w:vAlign w:val="top"/>
          </w:tcPr>
          <w:p w14:paraId="12A856E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0.1281573</w:t>
            </w:r>
          </w:p>
        </w:tc>
        <w:tc>
          <w:tcPr>
            <w:tcW w:w="976" w:type="pct"/>
            <w:tcBorders>
              <w:tl2br w:val="nil"/>
              <w:tr2bl w:val="nil"/>
            </w:tcBorders>
            <w:shd w:val="clear" w:color="auto" w:fill="auto"/>
            <w:vAlign w:val="top"/>
          </w:tcPr>
          <w:p w14:paraId="4EAA8DA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0.1603857</w:t>
            </w:r>
          </w:p>
        </w:tc>
        <w:tc>
          <w:tcPr>
            <w:tcW w:w="1085" w:type="pct"/>
            <w:tcBorders>
              <w:tl2br w:val="nil"/>
              <w:tr2bl w:val="nil"/>
            </w:tcBorders>
            <w:shd w:val="clear" w:color="auto" w:fill="auto"/>
            <w:vAlign w:val="top"/>
          </w:tcPr>
          <w:p w14:paraId="1AD2B38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0.1738253</w:t>
            </w:r>
          </w:p>
        </w:tc>
      </w:tr>
      <w:tr w14:paraId="1DB1930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2331A61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1104" w:type="pct"/>
            <w:tcBorders>
              <w:tl2br w:val="nil"/>
              <w:tr2bl w:val="nil"/>
            </w:tcBorders>
            <w:shd w:val="clear" w:color="auto" w:fill="auto"/>
            <w:vAlign w:val="top"/>
          </w:tcPr>
          <w:p w14:paraId="3697982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0.009864789</w:t>
            </w:r>
          </w:p>
        </w:tc>
        <w:tc>
          <w:tcPr>
            <w:tcW w:w="1103" w:type="pct"/>
            <w:tcBorders>
              <w:tl2br w:val="nil"/>
              <w:tr2bl w:val="nil"/>
            </w:tcBorders>
            <w:shd w:val="clear" w:color="auto" w:fill="auto"/>
            <w:vAlign w:val="top"/>
          </w:tcPr>
          <w:p w14:paraId="3F5BD7E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0.06398513</w:t>
            </w:r>
          </w:p>
        </w:tc>
        <w:tc>
          <w:tcPr>
            <w:tcW w:w="976" w:type="pct"/>
            <w:tcBorders>
              <w:tl2br w:val="nil"/>
              <w:tr2bl w:val="nil"/>
            </w:tcBorders>
            <w:shd w:val="clear" w:color="auto" w:fill="auto"/>
            <w:vAlign w:val="top"/>
          </w:tcPr>
          <w:p w14:paraId="0302A2E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0.1142319</w:t>
            </w:r>
          </w:p>
        </w:tc>
        <w:tc>
          <w:tcPr>
            <w:tcW w:w="1085" w:type="pct"/>
            <w:tcBorders>
              <w:tl2br w:val="nil"/>
              <w:tr2bl w:val="nil"/>
            </w:tcBorders>
            <w:shd w:val="clear" w:color="auto" w:fill="auto"/>
            <w:vAlign w:val="top"/>
          </w:tcPr>
          <w:p w14:paraId="0755F14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0.1385996</w:t>
            </w:r>
          </w:p>
        </w:tc>
      </w:tr>
      <w:tr w14:paraId="6387ECC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39BC09D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1104" w:type="pct"/>
            <w:tcBorders>
              <w:tl2br w:val="nil"/>
              <w:tr2bl w:val="nil"/>
            </w:tcBorders>
            <w:shd w:val="clear" w:color="auto" w:fill="auto"/>
            <w:vAlign w:val="top"/>
          </w:tcPr>
          <w:p w14:paraId="6763957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0.000594801</w:t>
            </w:r>
          </w:p>
        </w:tc>
        <w:tc>
          <w:tcPr>
            <w:tcW w:w="1103" w:type="pct"/>
            <w:tcBorders>
              <w:tl2br w:val="nil"/>
              <w:tr2bl w:val="nil"/>
            </w:tcBorders>
            <w:shd w:val="clear" w:color="auto" w:fill="auto"/>
            <w:vAlign w:val="top"/>
          </w:tcPr>
          <w:p w14:paraId="243E5B3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0.02562728</w:t>
            </w:r>
          </w:p>
        </w:tc>
        <w:tc>
          <w:tcPr>
            <w:tcW w:w="976" w:type="pct"/>
            <w:tcBorders>
              <w:tl2br w:val="nil"/>
              <w:tr2bl w:val="nil"/>
            </w:tcBorders>
            <w:shd w:val="clear" w:color="auto" w:fill="auto"/>
            <w:vAlign w:val="top"/>
          </w:tcPr>
          <w:p w14:paraId="743B192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0.07547457</w:t>
            </w:r>
          </w:p>
        </w:tc>
        <w:tc>
          <w:tcPr>
            <w:tcW w:w="1085" w:type="pct"/>
            <w:tcBorders>
              <w:tl2br w:val="nil"/>
              <w:tr2bl w:val="nil"/>
            </w:tcBorders>
            <w:shd w:val="clear" w:color="auto" w:fill="auto"/>
            <w:vAlign w:val="top"/>
          </w:tcPr>
          <w:p w14:paraId="353935C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0.1062099</w:t>
            </w:r>
          </w:p>
        </w:tc>
      </w:tr>
      <w:tr w14:paraId="3238BAF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5A25FC4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1104" w:type="pct"/>
            <w:tcBorders>
              <w:tl2br w:val="nil"/>
              <w:tr2bl w:val="nil"/>
            </w:tcBorders>
            <w:shd w:val="clear" w:color="auto" w:fill="auto"/>
            <w:vAlign w:val="top"/>
          </w:tcPr>
          <w:p w14:paraId="5AF687D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1.42E-05</w:t>
            </w:r>
          </w:p>
        </w:tc>
        <w:tc>
          <w:tcPr>
            <w:tcW w:w="1103" w:type="pct"/>
            <w:tcBorders>
              <w:tl2br w:val="nil"/>
              <w:tr2bl w:val="nil"/>
            </w:tcBorders>
            <w:shd w:val="clear" w:color="auto" w:fill="auto"/>
            <w:vAlign w:val="top"/>
          </w:tcPr>
          <w:p w14:paraId="4BB2DA1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0.008121023</w:t>
            </w:r>
          </w:p>
        </w:tc>
        <w:tc>
          <w:tcPr>
            <w:tcW w:w="976" w:type="pct"/>
            <w:tcBorders>
              <w:tl2br w:val="nil"/>
              <w:tr2bl w:val="nil"/>
            </w:tcBorders>
            <w:shd w:val="clear" w:color="auto" w:fill="auto"/>
            <w:vAlign w:val="top"/>
          </w:tcPr>
          <w:p w14:paraId="44C9B91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0.04606199</w:t>
            </w:r>
          </w:p>
        </w:tc>
        <w:tc>
          <w:tcPr>
            <w:tcW w:w="1085" w:type="pct"/>
            <w:tcBorders>
              <w:tl2br w:val="nil"/>
              <w:tr2bl w:val="nil"/>
            </w:tcBorders>
            <w:shd w:val="clear" w:color="auto" w:fill="auto"/>
            <w:vAlign w:val="top"/>
          </w:tcPr>
          <w:p w14:paraId="2E499B0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0.07806522</w:t>
            </w:r>
          </w:p>
        </w:tc>
      </w:tr>
      <w:tr w14:paraId="1C13342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6C76965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1104" w:type="pct"/>
            <w:tcBorders>
              <w:tl2br w:val="nil"/>
              <w:tr2bl w:val="nil"/>
            </w:tcBorders>
            <w:shd w:val="clear" w:color="auto" w:fill="auto"/>
            <w:vAlign w:val="top"/>
          </w:tcPr>
          <w:p w14:paraId="6197A19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1.31E-07</w:t>
            </w:r>
          </w:p>
        </w:tc>
        <w:tc>
          <w:tcPr>
            <w:tcW w:w="1103" w:type="pct"/>
            <w:tcBorders>
              <w:tl2br w:val="nil"/>
              <w:tr2bl w:val="nil"/>
            </w:tcBorders>
            <w:shd w:val="clear" w:color="auto" w:fill="auto"/>
            <w:vAlign w:val="top"/>
          </w:tcPr>
          <w:p w14:paraId="65444CB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0.002016522</w:t>
            </w:r>
          </w:p>
        </w:tc>
        <w:tc>
          <w:tcPr>
            <w:tcW w:w="976" w:type="pct"/>
            <w:tcBorders>
              <w:tl2br w:val="nil"/>
              <w:tr2bl w:val="nil"/>
            </w:tcBorders>
            <w:shd w:val="clear" w:color="auto" w:fill="auto"/>
            <w:vAlign w:val="top"/>
          </w:tcPr>
          <w:p w14:paraId="3A2C8AE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0.02587657</w:t>
            </w:r>
          </w:p>
        </w:tc>
        <w:tc>
          <w:tcPr>
            <w:tcW w:w="1085" w:type="pct"/>
            <w:tcBorders>
              <w:tl2br w:val="nil"/>
              <w:tr2bl w:val="nil"/>
            </w:tcBorders>
            <w:shd w:val="clear" w:color="auto" w:fill="auto"/>
            <w:vAlign w:val="top"/>
          </w:tcPr>
          <w:p w14:paraId="778B661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0.05494116</w:t>
            </w:r>
          </w:p>
        </w:tc>
      </w:tr>
      <w:tr w14:paraId="403456D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501CF72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1104" w:type="pct"/>
            <w:tcBorders>
              <w:tl2br w:val="nil"/>
              <w:tr2bl w:val="nil"/>
            </w:tcBorders>
            <w:shd w:val="clear" w:color="auto" w:fill="auto"/>
            <w:vAlign w:val="top"/>
          </w:tcPr>
          <w:p w14:paraId="29057DE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4.58E-10</w:t>
            </w:r>
          </w:p>
        </w:tc>
        <w:tc>
          <w:tcPr>
            <w:tcW w:w="1103" w:type="pct"/>
            <w:tcBorders>
              <w:tl2br w:val="nil"/>
              <w:tr2bl w:val="nil"/>
            </w:tcBorders>
            <w:shd w:val="clear" w:color="auto" w:fill="auto"/>
            <w:vAlign w:val="top"/>
          </w:tcPr>
          <w:p w14:paraId="207A6F0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0.000389689</w:t>
            </w:r>
          </w:p>
        </w:tc>
        <w:tc>
          <w:tcPr>
            <w:tcW w:w="976" w:type="pct"/>
            <w:tcBorders>
              <w:tl2br w:val="nil"/>
              <w:tr2bl w:val="nil"/>
            </w:tcBorders>
            <w:shd w:val="clear" w:color="auto" w:fill="auto"/>
            <w:vAlign w:val="top"/>
          </w:tcPr>
          <w:p w14:paraId="0BB27E1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0.01334377</w:t>
            </w:r>
          </w:p>
        </w:tc>
        <w:tc>
          <w:tcPr>
            <w:tcW w:w="1085" w:type="pct"/>
            <w:tcBorders>
              <w:tl2br w:val="nil"/>
              <w:tr2bl w:val="nil"/>
            </w:tcBorders>
            <w:shd w:val="clear" w:color="auto" w:fill="auto"/>
            <w:vAlign w:val="top"/>
          </w:tcPr>
          <w:p w14:paraId="4602B87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0.03697023</w:t>
            </w:r>
          </w:p>
        </w:tc>
      </w:tr>
      <w:tr w14:paraId="2584C73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18780D0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1104" w:type="pct"/>
            <w:tcBorders>
              <w:tl2br w:val="nil"/>
              <w:tr2bl w:val="nil"/>
            </w:tcBorders>
            <w:shd w:val="clear" w:color="auto" w:fill="auto"/>
            <w:vAlign w:val="top"/>
          </w:tcPr>
          <w:p w14:paraId="77A418D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6.05E-13</w:t>
            </w:r>
          </w:p>
        </w:tc>
        <w:tc>
          <w:tcPr>
            <w:tcW w:w="1103" w:type="pct"/>
            <w:tcBorders>
              <w:tl2br w:val="nil"/>
              <w:tr2bl w:val="nil"/>
            </w:tcBorders>
            <w:shd w:val="clear" w:color="auto" w:fill="auto"/>
            <w:vAlign w:val="top"/>
          </w:tcPr>
          <w:p w14:paraId="3D37B79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5.83E-05</w:t>
            </w:r>
          </w:p>
        </w:tc>
        <w:tc>
          <w:tcPr>
            <w:tcW w:w="976" w:type="pct"/>
            <w:tcBorders>
              <w:tl2br w:val="nil"/>
              <w:tr2bl w:val="nil"/>
            </w:tcBorders>
            <w:shd w:val="clear" w:color="auto" w:fill="auto"/>
            <w:vAlign w:val="top"/>
          </w:tcPr>
          <w:p w14:paraId="7FFE973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0.006302032</w:t>
            </w:r>
          </w:p>
        </w:tc>
        <w:tc>
          <w:tcPr>
            <w:tcW w:w="1085" w:type="pct"/>
            <w:tcBorders>
              <w:tl2br w:val="nil"/>
              <w:tr2bl w:val="nil"/>
            </w:tcBorders>
            <w:shd w:val="clear" w:color="auto" w:fill="auto"/>
            <w:vAlign w:val="top"/>
          </w:tcPr>
          <w:p w14:paraId="64996EF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0.02375638</w:t>
            </w:r>
          </w:p>
        </w:tc>
      </w:tr>
      <w:tr w14:paraId="6A8DFA3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7734BEA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1104" w:type="pct"/>
            <w:tcBorders>
              <w:tl2br w:val="nil"/>
              <w:tr2bl w:val="nil"/>
            </w:tcBorders>
            <w:shd w:val="clear" w:color="auto" w:fill="auto"/>
            <w:vAlign w:val="top"/>
          </w:tcPr>
          <w:p w14:paraId="04EE6D9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3.14E-16</w:t>
            </w:r>
          </w:p>
        </w:tc>
        <w:tc>
          <w:tcPr>
            <w:tcW w:w="1103" w:type="pct"/>
            <w:tcBorders>
              <w:tl2br w:val="nil"/>
              <w:tr2bl w:val="nil"/>
            </w:tcBorders>
            <w:shd w:val="clear" w:color="auto" w:fill="auto"/>
            <w:vAlign w:val="top"/>
          </w:tcPr>
          <w:p w14:paraId="2B97CD2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6.74E-06</w:t>
            </w:r>
          </w:p>
        </w:tc>
        <w:tc>
          <w:tcPr>
            <w:tcW w:w="976" w:type="pct"/>
            <w:tcBorders>
              <w:tl2br w:val="nil"/>
              <w:tr2bl w:val="nil"/>
            </w:tcBorders>
            <w:shd w:val="clear" w:color="auto" w:fill="auto"/>
            <w:vAlign w:val="top"/>
          </w:tcPr>
          <w:p w14:paraId="2F0F751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0.002720969</w:t>
            </w:r>
          </w:p>
        </w:tc>
        <w:tc>
          <w:tcPr>
            <w:tcW w:w="1085" w:type="pct"/>
            <w:tcBorders>
              <w:tl2br w:val="nil"/>
              <w:tr2bl w:val="nil"/>
            </w:tcBorders>
            <w:shd w:val="clear" w:color="auto" w:fill="auto"/>
            <w:vAlign w:val="top"/>
          </w:tcPr>
          <w:p w14:paraId="38D7B80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0.01456205</w:t>
            </w:r>
          </w:p>
        </w:tc>
      </w:tr>
      <w:tr w14:paraId="621D8A9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0F4121D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04" w:type="pct"/>
            <w:tcBorders>
              <w:tl2br w:val="nil"/>
              <w:tr2bl w:val="nil"/>
            </w:tcBorders>
            <w:shd w:val="clear" w:color="auto" w:fill="auto"/>
            <w:vAlign w:val="top"/>
          </w:tcPr>
          <w:p w14:paraId="55021F3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36775E4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5.99E-07</w:t>
            </w:r>
          </w:p>
        </w:tc>
        <w:tc>
          <w:tcPr>
            <w:tcW w:w="976" w:type="pct"/>
            <w:tcBorders>
              <w:tl2br w:val="nil"/>
              <w:tr2bl w:val="nil"/>
            </w:tcBorders>
            <w:shd w:val="clear" w:color="auto" w:fill="auto"/>
            <w:vAlign w:val="top"/>
          </w:tcPr>
          <w:p w14:paraId="6C0C4A2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0.001072427</w:t>
            </w:r>
          </w:p>
        </w:tc>
        <w:tc>
          <w:tcPr>
            <w:tcW w:w="1085" w:type="pct"/>
            <w:tcBorders>
              <w:tl2br w:val="nil"/>
              <w:tr2bl w:val="nil"/>
            </w:tcBorders>
            <w:shd w:val="clear" w:color="auto" w:fill="auto"/>
            <w:vAlign w:val="top"/>
          </w:tcPr>
          <w:p w14:paraId="649F7DE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0.008507198</w:t>
            </w:r>
          </w:p>
        </w:tc>
      </w:tr>
      <w:tr w14:paraId="7A11F50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0B201A1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04" w:type="pct"/>
            <w:tcBorders>
              <w:tl2br w:val="nil"/>
              <w:tr2bl w:val="nil"/>
            </w:tcBorders>
            <w:shd w:val="clear" w:color="auto" w:fill="auto"/>
            <w:vAlign w:val="top"/>
          </w:tcPr>
          <w:p w14:paraId="09F981C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502FEDA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4.09E-08</w:t>
            </w:r>
          </w:p>
        </w:tc>
        <w:tc>
          <w:tcPr>
            <w:tcW w:w="976" w:type="pct"/>
            <w:tcBorders>
              <w:tl2br w:val="nil"/>
              <w:tr2bl w:val="nil"/>
            </w:tcBorders>
            <w:shd w:val="clear" w:color="auto" w:fill="auto"/>
            <w:vAlign w:val="top"/>
          </w:tcPr>
          <w:p w14:paraId="063297B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0.000385382</w:t>
            </w:r>
          </w:p>
        </w:tc>
        <w:tc>
          <w:tcPr>
            <w:tcW w:w="1085" w:type="pct"/>
            <w:tcBorders>
              <w:tl2br w:val="nil"/>
              <w:tr2bl w:val="nil"/>
            </w:tcBorders>
            <w:shd w:val="clear" w:color="auto" w:fill="auto"/>
            <w:vAlign w:val="top"/>
          </w:tcPr>
          <w:p w14:paraId="4E9AF0C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0.00473302</w:t>
            </w:r>
          </w:p>
        </w:tc>
      </w:tr>
      <w:tr w14:paraId="51F74E1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03A8374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1104" w:type="pct"/>
            <w:tcBorders>
              <w:tl2br w:val="nil"/>
              <w:tr2bl w:val="nil"/>
            </w:tcBorders>
            <w:shd w:val="clear" w:color="auto" w:fill="auto"/>
            <w:vAlign w:val="top"/>
          </w:tcPr>
          <w:p w14:paraId="57E5F05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710CEC7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2.14E-09</w:t>
            </w:r>
          </w:p>
        </w:tc>
        <w:tc>
          <w:tcPr>
            <w:tcW w:w="976" w:type="pct"/>
            <w:tcBorders>
              <w:tl2br w:val="nil"/>
              <w:tr2bl w:val="nil"/>
            </w:tcBorders>
            <w:shd w:val="clear" w:color="auto" w:fill="auto"/>
            <w:vAlign w:val="top"/>
          </w:tcPr>
          <w:p w14:paraId="611135A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0.000126143</w:t>
            </w:r>
          </w:p>
        </w:tc>
        <w:tc>
          <w:tcPr>
            <w:tcW w:w="1085" w:type="pct"/>
            <w:tcBorders>
              <w:tl2br w:val="nil"/>
              <w:tr2bl w:val="nil"/>
            </w:tcBorders>
            <w:shd w:val="clear" w:color="auto" w:fill="auto"/>
            <w:vAlign w:val="top"/>
          </w:tcPr>
          <w:p w14:paraId="382FF65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0.002506065</w:t>
            </w:r>
          </w:p>
        </w:tc>
      </w:tr>
      <w:tr w14:paraId="6B07780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7016549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1104" w:type="pct"/>
            <w:tcBorders>
              <w:tl2br w:val="nil"/>
              <w:tr2bl w:val="nil"/>
            </w:tcBorders>
            <w:shd w:val="clear" w:color="auto" w:fill="auto"/>
            <w:vAlign w:val="top"/>
          </w:tcPr>
          <w:p w14:paraId="205F4AB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5AE058E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8.59E-11</w:t>
            </w:r>
          </w:p>
        </w:tc>
        <w:tc>
          <w:tcPr>
            <w:tcW w:w="976" w:type="pct"/>
            <w:tcBorders>
              <w:tl2br w:val="nil"/>
              <w:tr2bl w:val="nil"/>
            </w:tcBorders>
            <w:shd w:val="clear" w:color="auto" w:fill="auto"/>
            <w:vAlign w:val="top"/>
          </w:tcPr>
          <w:p w14:paraId="1C1D833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3.76E-05</w:t>
            </w:r>
          </w:p>
        </w:tc>
        <w:tc>
          <w:tcPr>
            <w:tcW w:w="1085" w:type="pct"/>
            <w:tcBorders>
              <w:tl2br w:val="nil"/>
              <w:tr2bl w:val="nil"/>
            </w:tcBorders>
            <w:shd w:val="clear" w:color="auto" w:fill="auto"/>
            <w:vAlign w:val="top"/>
          </w:tcPr>
          <w:p w14:paraId="18ED657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0.001262127</w:t>
            </w:r>
          </w:p>
        </w:tc>
      </w:tr>
      <w:tr w14:paraId="7750DE8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6F9E4B9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1104" w:type="pct"/>
            <w:tcBorders>
              <w:tl2br w:val="nil"/>
              <w:tr2bl w:val="nil"/>
            </w:tcBorders>
            <w:shd w:val="clear" w:color="auto" w:fill="auto"/>
            <w:vAlign w:val="top"/>
          </w:tcPr>
          <w:p w14:paraId="7AE7B05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7CA4683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2.64E-12</w:t>
            </w:r>
          </w:p>
        </w:tc>
        <w:tc>
          <w:tcPr>
            <w:tcW w:w="976" w:type="pct"/>
            <w:tcBorders>
              <w:tl2br w:val="nil"/>
              <w:tr2bl w:val="nil"/>
            </w:tcBorders>
            <w:shd w:val="clear" w:color="auto" w:fill="auto"/>
            <w:vAlign w:val="top"/>
          </w:tcPr>
          <w:p w14:paraId="28C5A34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1.02E-05</w:t>
            </w:r>
          </w:p>
        </w:tc>
        <w:tc>
          <w:tcPr>
            <w:tcW w:w="1085" w:type="pct"/>
            <w:tcBorders>
              <w:tl2br w:val="nil"/>
              <w:tr2bl w:val="nil"/>
            </w:tcBorders>
            <w:shd w:val="clear" w:color="auto" w:fill="auto"/>
            <w:vAlign w:val="top"/>
          </w:tcPr>
          <w:p w14:paraId="6F0E8F8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0.00060431</w:t>
            </w:r>
          </w:p>
        </w:tc>
      </w:tr>
      <w:tr w14:paraId="6D1E015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55ACE30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104" w:type="pct"/>
            <w:tcBorders>
              <w:tl2br w:val="nil"/>
              <w:tr2bl w:val="nil"/>
            </w:tcBorders>
            <w:shd w:val="clear" w:color="auto" w:fill="auto"/>
            <w:vAlign w:val="top"/>
          </w:tcPr>
          <w:p w14:paraId="6168646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2BAE645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6.64E-14</w:t>
            </w:r>
          </w:p>
        </w:tc>
        <w:tc>
          <w:tcPr>
            <w:tcW w:w="976" w:type="pct"/>
            <w:tcBorders>
              <w:tl2br w:val="nil"/>
              <w:tr2bl w:val="nil"/>
            </w:tcBorders>
            <w:shd w:val="clear" w:color="auto" w:fill="auto"/>
            <w:vAlign w:val="top"/>
          </w:tcPr>
          <w:p w14:paraId="5673EBA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2.51E-06</w:t>
            </w:r>
          </w:p>
        </w:tc>
        <w:tc>
          <w:tcPr>
            <w:tcW w:w="1085" w:type="pct"/>
            <w:tcBorders>
              <w:tl2br w:val="nil"/>
              <w:tr2bl w:val="nil"/>
            </w:tcBorders>
            <w:shd w:val="clear" w:color="auto" w:fill="auto"/>
            <w:vAlign w:val="top"/>
          </w:tcPr>
          <w:p w14:paraId="230B7EF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0.000274967</w:t>
            </w:r>
          </w:p>
        </w:tc>
      </w:tr>
      <w:tr w14:paraId="198152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6245B8B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1104" w:type="pct"/>
            <w:tcBorders>
              <w:tl2br w:val="nil"/>
              <w:tr2bl w:val="nil"/>
            </w:tcBorders>
            <w:shd w:val="clear" w:color="auto" w:fill="auto"/>
            <w:vAlign w:val="top"/>
          </w:tcPr>
          <w:p w14:paraId="1622F00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347DE3D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1.18E-15</w:t>
            </w:r>
          </w:p>
        </w:tc>
        <w:tc>
          <w:tcPr>
            <w:tcW w:w="976" w:type="pct"/>
            <w:tcBorders>
              <w:tl2br w:val="nil"/>
              <w:tr2bl w:val="nil"/>
            </w:tcBorders>
            <w:shd w:val="clear" w:color="auto" w:fill="auto"/>
            <w:vAlign w:val="top"/>
          </w:tcPr>
          <w:p w14:paraId="0CC557D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5.61E-07</w:t>
            </w:r>
          </w:p>
        </w:tc>
        <w:tc>
          <w:tcPr>
            <w:tcW w:w="1085" w:type="pct"/>
            <w:tcBorders>
              <w:tl2br w:val="nil"/>
              <w:tr2bl w:val="nil"/>
            </w:tcBorders>
            <w:shd w:val="clear" w:color="auto" w:fill="auto"/>
            <w:vAlign w:val="top"/>
          </w:tcPr>
          <w:p w14:paraId="0D41429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0.000118852</w:t>
            </w:r>
          </w:p>
        </w:tc>
      </w:tr>
      <w:tr w14:paraId="06B0F9B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1285137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1104" w:type="pct"/>
            <w:tcBorders>
              <w:tl2br w:val="nil"/>
              <w:tr2bl w:val="nil"/>
            </w:tcBorders>
            <w:shd w:val="clear" w:color="auto" w:fill="auto"/>
            <w:vAlign w:val="top"/>
          </w:tcPr>
          <w:p w14:paraId="00DA799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1A43EBB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1.17E-17</w:t>
            </w:r>
          </w:p>
        </w:tc>
        <w:tc>
          <w:tcPr>
            <w:tcW w:w="976" w:type="pct"/>
            <w:tcBorders>
              <w:tl2br w:val="nil"/>
              <w:tr2bl w:val="nil"/>
            </w:tcBorders>
            <w:shd w:val="clear" w:color="auto" w:fill="auto"/>
            <w:vAlign w:val="top"/>
          </w:tcPr>
          <w:p w14:paraId="39D9AB1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1.14E-07</w:t>
            </w:r>
          </w:p>
        </w:tc>
        <w:tc>
          <w:tcPr>
            <w:tcW w:w="1085" w:type="pct"/>
            <w:tcBorders>
              <w:tl2br w:val="nil"/>
              <w:tr2bl w:val="nil"/>
            </w:tcBorders>
            <w:shd w:val="clear" w:color="auto" w:fill="auto"/>
            <w:vAlign w:val="top"/>
          </w:tcPr>
          <w:p w14:paraId="38BC964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4.88E-05</w:t>
            </w:r>
          </w:p>
        </w:tc>
      </w:tr>
      <w:tr w14:paraId="1EC86A6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61BB04C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1104" w:type="pct"/>
            <w:tcBorders>
              <w:tl2br w:val="nil"/>
              <w:tr2bl w:val="nil"/>
            </w:tcBorders>
            <w:shd w:val="clear" w:color="auto" w:fill="auto"/>
            <w:vAlign w:val="top"/>
          </w:tcPr>
          <w:p w14:paraId="0B1420E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7A9BAE9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3EA9B81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2.10E-08</w:t>
            </w:r>
          </w:p>
        </w:tc>
        <w:tc>
          <w:tcPr>
            <w:tcW w:w="1085" w:type="pct"/>
            <w:tcBorders>
              <w:tl2br w:val="nil"/>
              <w:tr2bl w:val="nil"/>
            </w:tcBorders>
            <w:shd w:val="clear" w:color="auto" w:fill="auto"/>
            <w:vAlign w:val="top"/>
          </w:tcPr>
          <w:p w14:paraId="3592EE8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1.90E-05</w:t>
            </w:r>
          </w:p>
        </w:tc>
      </w:tr>
      <w:tr w14:paraId="74F6389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631CCE6F">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1104" w:type="pct"/>
            <w:tcBorders>
              <w:tl2br w:val="nil"/>
              <w:tr2bl w:val="nil"/>
            </w:tcBorders>
            <w:shd w:val="clear" w:color="auto" w:fill="auto"/>
            <w:vAlign w:val="top"/>
          </w:tcPr>
          <w:p w14:paraId="1BBC3CB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64DF34C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5CE4893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3.52E-09</w:t>
            </w:r>
          </w:p>
        </w:tc>
        <w:tc>
          <w:tcPr>
            <w:tcW w:w="1085" w:type="pct"/>
            <w:tcBorders>
              <w:tl2br w:val="nil"/>
              <w:tr2bl w:val="nil"/>
            </w:tcBorders>
            <w:shd w:val="clear" w:color="auto" w:fill="auto"/>
            <w:vAlign w:val="top"/>
          </w:tcPr>
          <w:p w14:paraId="40D646A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7.03E-06</w:t>
            </w:r>
          </w:p>
        </w:tc>
      </w:tr>
      <w:tr w14:paraId="677897C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6656CCAF">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1104" w:type="pct"/>
            <w:tcBorders>
              <w:tl2br w:val="nil"/>
              <w:tr2bl w:val="nil"/>
            </w:tcBorders>
            <w:shd w:val="clear" w:color="auto" w:fill="auto"/>
            <w:vAlign w:val="top"/>
          </w:tcPr>
          <w:p w14:paraId="6212983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336151F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01BC46B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5.35E-10</w:t>
            </w:r>
          </w:p>
        </w:tc>
        <w:tc>
          <w:tcPr>
            <w:tcW w:w="1085" w:type="pct"/>
            <w:tcBorders>
              <w:tl2br w:val="nil"/>
              <w:tr2bl w:val="nil"/>
            </w:tcBorders>
            <w:shd w:val="clear" w:color="auto" w:fill="auto"/>
            <w:vAlign w:val="top"/>
          </w:tcPr>
          <w:p w14:paraId="235AD9F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2.47E-06</w:t>
            </w:r>
          </w:p>
        </w:tc>
      </w:tr>
      <w:tr w14:paraId="7299630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27980E65">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1104" w:type="pct"/>
            <w:tcBorders>
              <w:tl2br w:val="nil"/>
              <w:tr2bl w:val="nil"/>
            </w:tcBorders>
            <w:shd w:val="clear" w:color="auto" w:fill="auto"/>
            <w:vAlign w:val="top"/>
          </w:tcPr>
          <w:p w14:paraId="391E6B1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0129201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41415A2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7.37E-11</w:t>
            </w:r>
          </w:p>
        </w:tc>
        <w:tc>
          <w:tcPr>
            <w:tcW w:w="1085" w:type="pct"/>
            <w:tcBorders>
              <w:tl2br w:val="nil"/>
              <w:tr2bl w:val="nil"/>
            </w:tcBorders>
            <w:shd w:val="clear" w:color="auto" w:fill="auto"/>
            <w:vAlign w:val="top"/>
          </w:tcPr>
          <w:p w14:paraId="68CE702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8.22E-07</w:t>
            </w:r>
          </w:p>
        </w:tc>
      </w:tr>
      <w:tr w14:paraId="0876BD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15C5640A">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210</w:t>
            </w:r>
          </w:p>
        </w:tc>
        <w:tc>
          <w:tcPr>
            <w:tcW w:w="1104" w:type="pct"/>
            <w:tcBorders>
              <w:tl2br w:val="nil"/>
              <w:tr2bl w:val="nil"/>
            </w:tcBorders>
            <w:shd w:val="clear" w:color="auto" w:fill="auto"/>
            <w:vAlign w:val="top"/>
          </w:tcPr>
          <w:p w14:paraId="52935A3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46E7588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4B85E67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9.21E-12</w:t>
            </w:r>
          </w:p>
        </w:tc>
        <w:tc>
          <w:tcPr>
            <w:tcW w:w="1085" w:type="pct"/>
            <w:tcBorders>
              <w:tl2br w:val="nil"/>
              <w:tr2bl w:val="nil"/>
            </w:tcBorders>
            <w:shd w:val="clear" w:color="auto" w:fill="auto"/>
            <w:vAlign w:val="top"/>
          </w:tcPr>
          <w:p w14:paraId="534E7C7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2.60E-07</w:t>
            </w:r>
          </w:p>
        </w:tc>
      </w:tr>
      <w:tr w14:paraId="339C321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4470C41F">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1104" w:type="pct"/>
            <w:tcBorders>
              <w:tl2br w:val="nil"/>
              <w:tr2bl w:val="nil"/>
            </w:tcBorders>
            <w:shd w:val="clear" w:color="auto" w:fill="auto"/>
            <w:vAlign w:val="top"/>
          </w:tcPr>
          <w:p w14:paraId="39E141B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6FABDBF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05A2332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1.04E-12</w:t>
            </w:r>
          </w:p>
        </w:tc>
        <w:tc>
          <w:tcPr>
            <w:tcW w:w="1085" w:type="pct"/>
            <w:tcBorders>
              <w:tl2br w:val="nil"/>
              <w:tr2bl w:val="nil"/>
            </w:tcBorders>
            <w:shd w:val="clear" w:color="auto" w:fill="auto"/>
            <w:vAlign w:val="top"/>
          </w:tcPr>
          <w:p w14:paraId="24F0044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7.78E-08</w:t>
            </w:r>
          </w:p>
        </w:tc>
      </w:tr>
      <w:tr w14:paraId="1B460F9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50CF72FD">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1104" w:type="pct"/>
            <w:tcBorders>
              <w:tl2br w:val="nil"/>
              <w:tr2bl w:val="nil"/>
            </w:tcBorders>
            <w:shd w:val="clear" w:color="auto" w:fill="auto"/>
            <w:vAlign w:val="top"/>
          </w:tcPr>
          <w:p w14:paraId="04C9F90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6CB439E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634D17A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1.15E-13</w:t>
            </w:r>
          </w:p>
        </w:tc>
        <w:tc>
          <w:tcPr>
            <w:tcW w:w="1085" w:type="pct"/>
            <w:tcBorders>
              <w:tl2br w:val="nil"/>
              <w:tr2bl w:val="nil"/>
            </w:tcBorders>
            <w:shd w:val="clear" w:color="auto" w:fill="auto"/>
            <w:vAlign w:val="top"/>
          </w:tcPr>
          <w:p w14:paraId="53CD228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2.21E-08</w:t>
            </w:r>
          </w:p>
        </w:tc>
      </w:tr>
      <w:tr w14:paraId="79FCACC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616E4178">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240</w:t>
            </w:r>
          </w:p>
        </w:tc>
        <w:tc>
          <w:tcPr>
            <w:tcW w:w="1104" w:type="pct"/>
            <w:tcBorders>
              <w:tl2br w:val="nil"/>
              <w:tr2bl w:val="nil"/>
            </w:tcBorders>
            <w:shd w:val="clear" w:color="auto" w:fill="auto"/>
            <w:vAlign w:val="top"/>
          </w:tcPr>
          <w:p w14:paraId="6505EC3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3322195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7C5B9B6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1.06E-14</w:t>
            </w:r>
          </w:p>
        </w:tc>
        <w:tc>
          <w:tcPr>
            <w:tcW w:w="1085" w:type="pct"/>
            <w:tcBorders>
              <w:tl2br w:val="nil"/>
              <w:tr2bl w:val="nil"/>
            </w:tcBorders>
            <w:shd w:val="clear" w:color="auto" w:fill="auto"/>
            <w:vAlign w:val="top"/>
          </w:tcPr>
          <w:p w14:paraId="2F366B6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5.96E-09</w:t>
            </w:r>
          </w:p>
        </w:tc>
      </w:tr>
      <w:tr w14:paraId="1F7613E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72E5250A">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1104" w:type="pct"/>
            <w:tcBorders>
              <w:tl2br w:val="nil"/>
              <w:tr2bl w:val="nil"/>
            </w:tcBorders>
            <w:shd w:val="clear" w:color="auto" w:fill="auto"/>
            <w:vAlign w:val="top"/>
          </w:tcPr>
          <w:p w14:paraId="56C3ADF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7B81A1B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763BE5D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8.84E-16</w:t>
            </w:r>
          </w:p>
        </w:tc>
        <w:tc>
          <w:tcPr>
            <w:tcW w:w="1085" w:type="pct"/>
            <w:tcBorders>
              <w:tl2br w:val="nil"/>
              <w:tr2bl w:val="nil"/>
            </w:tcBorders>
            <w:shd w:val="clear" w:color="auto" w:fill="auto"/>
            <w:vAlign w:val="top"/>
          </w:tcPr>
          <w:p w14:paraId="4CD8E2F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1.52E-09</w:t>
            </w:r>
          </w:p>
        </w:tc>
      </w:tr>
      <w:tr w14:paraId="15E9E51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54FEB2B8">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260</w:t>
            </w:r>
          </w:p>
        </w:tc>
        <w:tc>
          <w:tcPr>
            <w:tcW w:w="1104" w:type="pct"/>
            <w:tcBorders>
              <w:tl2br w:val="nil"/>
              <w:tr2bl w:val="nil"/>
            </w:tcBorders>
            <w:shd w:val="clear" w:color="auto" w:fill="auto"/>
            <w:vAlign w:val="top"/>
          </w:tcPr>
          <w:p w14:paraId="7892AD9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216D051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1E1B45F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6.18E-17</w:t>
            </w:r>
          </w:p>
        </w:tc>
        <w:tc>
          <w:tcPr>
            <w:tcW w:w="1085" w:type="pct"/>
            <w:tcBorders>
              <w:tl2br w:val="nil"/>
              <w:tr2bl w:val="nil"/>
            </w:tcBorders>
            <w:shd w:val="clear" w:color="auto" w:fill="auto"/>
            <w:vAlign w:val="top"/>
          </w:tcPr>
          <w:p w14:paraId="17BFA10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3.69E-10</w:t>
            </w:r>
          </w:p>
        </w:tc>
      </w:tr>
      <w:tr w14:paraId="63B6D24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343014DE">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1104" w:type="pct"/>
            <w:tcBorders>
              <w:tl2br w:val="nil"/>
              <w:tr2bl w:val="nil"/>
            </w:tcBorders>
            <w:shd w:val="clear" w:color="auto" w:fill="auto"/>
            <w:vAlign w:val="top"/>
          </w:tcPr>
          <w:p w14:paraId="3A63B0C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39235E1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64E0582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1A26C76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8.47E-11</w:t>
            </w:r>
          </w:p>
        </w:tc>
      </w:tr>
      <w:tr w14:paraId="63CC268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3390DA6C">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280</w:t>
            </w:r>
          </w:p>
        </w:tc>
        <w:tc>
          <w:tcPr>
            <w:tcW w:w="1104" w:type="pct"/>
            <w:tcBorders>
              <w:tl2br w:val="nil"/>
              <w:tr2bl w:val="nil"/>
            </w:tcBorders>
            <w:shd w:val="clear" w:color="auto" w:fill="auto"/>
            <w:vAlign w:val="top"/>
          </w:tcPr>
          <w:p w14:paraId="06533C6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195D96F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517026A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39B220F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1.84E-11</w:t>
            </w:r>
          </w:p>
        </w:tc>
      </w:tr>
      <w:tr w14:paraId="09CB521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212AEE03">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290</w:t>
            </w:r>
          </w:p>
        </w:tc>
        <w:tc>
          <w:tcPr>
            <w:tcW w:w="1104" w:type="pct"/>
            <w:tcBorders>
              <w:tl2br w:val="nil"/>
              <w:tr2bl w:val="nil"/>
            </w:tcBorders>
            <w:shd w:val="clear" w:color="auto" w:fill="auto"/>
            <w:vAlign w:val="top"/>
          </w:tcPr>
          <w:p w14:paraId="376E71E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40A1185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25B3D5F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3C87B76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3.80E-12</w:t>
            </w:r>
          </w:p>
        </w:tc>
      </w:tr>
      <w:tr w14:paraId="10AB2D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2973BEA7">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1104" w:type="pct"/>
            <w:tcBorders>
              <w:tl2br w:val="nil"/>
              <w:tr2bl w:val="nil"/>
            </w:tcBorders>
            <w:shd w:val="clear" w:color="auto" w:fill="auto"/>
            <w:vAlign w:val="top"/>
          </w:tcPr>
          <w:p w14:paraId="5B44FD2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416540C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47D7ADA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5C10E0E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7.72E-13</w:t>
            </w:r>
          </w:p>
        </w:tc>
      </w:tr>
      <w:tr w14:paraId="68F1D36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5EFEDA0A">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1104" w:type="pct"/>
            <w:tcBorders>
              <w:tl2br w:val="nil"/>
              <w:tr2bl w:val="nil"/>
            </w:tcBorders>
            <w:shd w:val="clear" w:color="auto" w:fill="auto"/>
            <w:vAlign w:val="top"/>
          </w:tcPr>
          <w:p w14:paraId="38888CB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538E1B6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2942131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31DF80B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1.48E-13</w:t>
            </w:r>
          </w:p>
        </w:tc>
      </w:tr>
      <w:tr w14:paraId="62886C8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6A6A4ECE">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1104" w:type="pct"/>
            <w:tcBorders>
              <w:tl2br w:val="nil"/>
              <w:tr2bl w:val="nil"/>
            </w:tcBorders>
            <w:shd w:val="clear" w:color="auto" w:fill="auto"/>
            <w:vAlign w:val="top"/>
          </w:tcPr>
          <w:p w14:paraId="4FDA236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09386CC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7F20E39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4F5F008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2.58E-14</w:t>
            </w:r>
          </w:p>
        </w:tc>
      </w:tr>
      <w:tr w14:paraId="4255E3F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4B060FDD">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330</w:t>
            </w:r>
          </w:p>
        </w:tc>
        <w:tc>
          <w:tcPr>
            <w:tcW w:w="1104" w:type="pct"/>
            <w:tcBorders>
              <w:tl2br w:val="nil"/>
              <w:tr2bl w:val="nil"/>
            </w:tcBorders>
            <w:shd w:val="clear" w:color="auto" w:fill="auto"/>
            <w:vAlign w:val="top"/>
          </w:tcPr>
          <w:p w14:paraId="5BE4580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0B53C6D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1EC088E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6A1825B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4.27E-15</w:t>
            </w:r>
          </w:p>
        </w:tc>
      </w:tr>
      <w:tr w14:paraId="0054DB5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0288AC4B">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340</w:t>
            </w:r>
          </w:p>
        </w:tc>
        <w:tc>
          <w:tcPr>
            <w:tcW w:w="1104" w:type="pct"/>
            <w:tcBorders>
              <w:tl2br w:val="nil"/>
              <w:tr2bl w:val="nil"/>
            </w:tcBorders>
            <w:shd w:val="clear" w:color="auto" w:fill="auto"/>
            <w:vAlign w:val="top"/>
          </w:tcPr>
          <w:p w14:paraId="0CE4D6A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2C8C012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4A8FEE7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67AE488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6.84E-16</w:t>
            </w:r>
          </w:p>
        </w:tc>
      </w:tr>
      <w:tr w14:paraId="77A7682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245367C0">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1104" w:type="pct"/>
            <w:tcBorders>
              <w:tl2br w:val="nil"/>
              <w:tr2bl w:val="nil"/>
            </w:tcBorders>
            <w:shd w:val="clear" w:color="auto" w:fill="auto"/>
            <w:vAlign w:val="top"/>
          </w:tcPr>
          <w:p w14:paraId="78F0DD2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0C784F8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6E7DD69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540D3CF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8.24E-17</w:t>
            </w:r>
          </w:p>
        </w:tc>
      </w:tr>
      <w:tr w14:paraId="40F161E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62F29B61">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1104" w:type="pct"/>
            <w:tcBorders>
              <w:tl2br w:val="nil"/>
              <w:tr2bl w:val="nil"/>
            </w:tcBorders>
            <w:shd w:val="clear" w:color="auto" w:fill="auto"/>
            <w:vAlign w:val="top"/>
          </w:tcPr>
          <w:p w14:paraId="1EC8232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1DCCBE8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40F4A6F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7D5D2C7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1.17E-17</w:t>
            </w:r>
          </w:p>
        </w:tc>
      </w:tr>
      <w:tr w14:paraId="0D3021E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52775A21">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370</w:t>
            </w:r>
          </w:p>
        </w:tc>
        <w:tc>
          <w:tcPr>
            <w:tcW w:w="1104" w:type="pct"/>
            <w:tcBorders>
              <w:tl2br w:val="nil"/>
              <w:tr2bl w:val="nil"/>
            </w:tcBorders>
            <w:shd w:val="clear" w:color="auto" w:fill="auto"/>
            <w:vAlign w:val="top"/>
          </w:tcPr>
          <w:p w14:paraId="5BEBEE7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4CF0AED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57F4636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3C48211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30C10A0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4DE2762D">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1104" w:type="pct"/>
            <w:tcBorders>
              <w:tl2br w:val="nil"/>
              <w:tr2bl w:val="nil"/>
            </w:tcBorders>
            <w:shd w:val="clear" w:color="auto" w:fill="auto"/>
            <w:vAlign w:val="top"/>
          </w:tcPr>
          <w:p w14:paraId="7268FA4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34411B5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6F89A5D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422280E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44251BD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427454C4">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390</w:t>
            </w:r>
          </w:p>
        </w:tc>
        <w:tc>
          <w:tcPr>
            <w:tcW w:w="1104" w:type="pct"/>
            <w:tcBorders>
              <w:tl2br w:val="nil"/>
              <w:tr2bl w:val="nil"/>
            </w:tcBorders>
            <w:shd w:val="clear" w:color="auto" w:fill="auto"/>
            <w:vAlign w:val="top"/>
          </w:tcPr>
          <w:p w14:paraId="072B627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3A4A6AA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16C69F3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47DC0E3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0B8939F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0B6FFFD5">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1104" w:type="pct"/>
            <w:tcBorders>
              <w:tl2br w:val="nil"/>
              <w:tr2bl w:val="nil"/>
            </w:tcBorders>
            <w:shd w:val="clear" w:color="auto" w:fill="auto"/>
            <w:vAlign w:val="top"/>
          </w:tcPr>
          <w:p w14:paraId="3CE80EF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26333AC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6CD7A3E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4F23228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661998E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1328" w:type="dxa"/>
            <w:tcBorders>
              <w:tl2br w:val="nil"/>
              <w:tr2bl w:val="nil"/>
            </w:tcBorders>
            <w:vAlign w:val="center"/>
          </w:tcPr>
          <w:p w14:paraId="1600F099">
            <w:pPr>
              <w:adjustRightInd w:val="0"/>
              <w:snapToGrid w:val="0"/>
              <w:spacing w:line="240" w:lineRule="auto"/>
              <w:jc w:val="both"/>
              <w:textAlignment w:val="center"/>
              <w:rPr>
                <w:rFonts w:hint="default" w:ascii="Times New Roman" w:hAnsi="Times New Roman" w:cs="Times New Roman"/>
                <w:color w:val="auto"/>
                <w:sz w:val="18"/>
                <w:szCs w:val="18"/>
                <w:lang w:val="en-US" w:bidi="zh-CN"/>
              </w:rPr>
            </w:pPr>
            <w:r>
              <w:rPr>
                <w:rFonts w:hint="default" w:ascii="Times New Roman" w:hAnsi="Times New Roman" w:cs="Times New Roman"/>
                <w:color w:val="auto"/>
                <w:sz w:val="18"/>
                <w:szCs w:val="18"/>
                <w:lang w:val="en-US" w:bidi="zh-CN"/>
              </w:rPr>
              <w:t>1900</w:t>
            </w:r>
          </w:p>
        </w:tc>
        <w:tc>
          <w:tcPr>
            <w:tcW w:w="2008" w:type="dxa"/>
            <w:tcBorders>
              <w:tl2br w:val="nil"/>
              <w:tr2bl w:val="nil"/>
            </w:tcBorders>
            <w:shd w:val="clear" w:color="auto" w:fill="auto"/>
            <w:vAlign w:val="top"/>
          </w:tcPr>
          <w:p w14:paraId="7FBC19E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006" w:type="dxa"/>
            <w:tcBorders>
              <w:tl2br w:val="nil"/>
              <w:tr2bl w:val="nil"/>
            </w:tcBorders>
            <w:shd w:val="clear" w:color="auto" w:fill="auto"/>
            <w:vAlign w:val="top"/>
          </w:tcPr>
          <w:p w14:paraId="174C5FB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775" w:type="dxa"/>
            <w:tcBorders>
              <w:tl2br w:val="nil"/>
              <w:tr2bl w:val="nil"/>
            </w:tcBorders>
            <w:shd w:val="clear" w:color="auto" w:fill="auto"/>
            <w:vAlign w:val="top"/>
          </w:tcPr>
          <w:p w14:paraId="62BAEFF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973" w:type="dxa"/>
            <w:tcBorders>
              <w:tl2br w:val="nil"/>
              <w:tr2bl w:val="nil"/>
            </w:tcBorders>
            <w:shd w:val="clear" w:color="auto" w:fill="auto"/>
            <w:vAlign w:val="top"/>
          </w:tcPr>
          <w:p w14:paraId="2CCD93F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0AC8186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5000" w:type="pct"/>
            <w:gridSpan w:val="5"/>
            <w:tcBorders>
              <w:tl2br w:val="nil"/>
              <w:tr2bl w:val="nil"/>
            </w:tcBorders>
            <w:vAlign w:val="center"/>
          </w:tcPr>
          <w:p w14:paraId="3FB69EB1">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kern w:val="0"/>
                <w:sz w:val="18"/>
                <w:szCs w:val="18"/>
              </w:rPr>
              <w:t>备注：由于</w:t>
            </w:r>
            <w:r>
              <w:rPr>
                <w:rFonts w:hint="default" w:ascii="Times New Roman" w:hAnsi="Times New Roman" w:cs="Times New Roman"/>
                <w:color w:val="auto"/>
                <w:kern w:val="0"/>
                <w:sz w:val="18"/>
                <w:szCs w:val="18"/>
                <w:lang w:val="en-US" w:eastAsia="zh-CN"/>
              </w:rPr>
              <w:t>下游菁沟位于项目</w:t>
            </w:r>
            <w:r>
              <w:rPr>
                <w:rFonts w:hint="default" w:ascii="Times New Roman" w:hAnsi="Times New Roman" w:cs="Times New Roman"/>
                <w:color w:val="auto"/>
                <w:kern w:val="0"/>
                <w:sz w:val="18"/>
                <w:szCs w:val="18"/>
              </w:rPr>
              <w:t>下游</w:t>
            </w:r>
            <w:r>
              <w:rPr>
                <w:rFonts w:hint="default" w:ascii="Times New Roman" w:hAnsi="Times New Roman" w:cs="Times New Roman"/>
                <w:color w:val="auto"/>
                <w:kern w:val="0"/>
                <w:sz w:val="18"/>
                <w:szCs w:val="18"/>
                <w:lang w:val="en-US" w:eastAsia="zh-CN"/>
              </w:rPr>
              <w:t>1900</w:t>
            </w:r>
            <w:r>
              <w:rPr>
                <w:rFonts w:hint="default" w:ascii="Times New Roman" w:hAnsi="Times New Roman" w:cs="Times New Roman"/>
                <w:color w:val="auto"/>
                <w:kern w:val="0"/>
                <w:sz w:val="18"/>
                <w:szCs w:val="18"/>
              </w:rPr>
              <w:t>m处，因此最大预测距离取</w:t>
            </w:r>
            <w:r>
              <w:rPr>
                <w:rFonts w:hint="default" w:ascii="Times New Roman" w:hAnsi="Times New Roman" w:cs="Times New Roman"/>
                <w:color w:val="auto"/>
                <w:kern w:val="0"/>
                <w:sz w:val="18"/>
                <w:szCs w:val="18"/>
                <w:lang w:val="en-US" w:eastAsia="zh-CN"/>
              </w:rPr>
              <w:t>1900</w:t>
            </w:r>
            <w:r>
              <w:rPr>
                <w:rFonts w:hint="default" w:ascii="Times New Roman" w:hAnsi="Times New Roman" w:cs="Times New Roman"/>
                <w:color w:val="auto"/>
                <w:kern w:val="0"/>
                <w:sz w:val="18"/>
                <w:szCs w:val="18"/>
              </w:rPr>
              <w:t>m。</w:t>
            </w:r>
          </w:p>
        </w:tc>
      </w:tr>
    </w:tbl>
    <w:p w14:paraId="628BF0CD">
      <w:pPr>
        <w:numPr>
          <w:ilvl w:val="12"/>
          <w:numId w:val="0"/>
        </w:numPr>
        <w:adjustRightInd w:val="0"/>
        <w:snapToGrid w:val="0"/>
        <w:spacing w:line="240" w:lineRule="auto"/>
        <w:jc w:val="center"/>
        <w:textAlignment w:val="baseline"/>
        <w:rPr>
          <w:rFonts w:hint="default" w:ascii="Times New Roman" w:hAnsi="Times New Roman" w:cs="Times New Roman"/>
          <w:b/>
          <w:bCs/>
          <w:kern w:val="0"/>
          <w:sz w:val="21"/>
          <w:szCs w:val="21"/>
        </w:rPr>
      </w:pPr>
      <w:r>
        <w:rPr>
          <w:rFonts w:hint="default" w:ascii="Times New Roman" w:hAnsi="Times New Roman" w:cs="Times New Roman"/>
        </w:rPr>
        <w:drawing>
          <wp:inline distT="0" distB="0" distL="114300" distR="114300">
            <wp:extent cx="4826000" cy="2743200"/>
            <wp:effectExtent l="6350" t="6350" r="6350" b="50800"/>
            <wp:docPr id="3" name="图表 29" descr="7b0a202020202263686172745265734964223a202232303437313431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7F2CC8B">
      <w:pPr>
        <w:numPr>
          <w:ilvl w:val="12"/>
          <w:numId w:val="0"/>
        </w:numPr>
        <w:adjustRightInd w:val="0"/>
        <w:snapToGrid w:val="0"/>
        <w:spacing w:line="240" w:lineRule="auto"/>
        <w:jc w:val="center"/>
        <w:textAlignment w:val="baseline"/>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图</w:t>
      </w:r>
      <w:r>
        <w:rPr>
          <w:rFonts w:hint="default" w:ascii="Times New Roman" w:hAnsi="Times New Roman" w:cs="Times New Roman"/>
          <w:b/>
          <w:bCs/>
          <w:kern w:val="0"/>
          <w:sz w:val="21"/>
          <w:szCs w:val="21"/>
          <w:lang w:val="en-US" w:eastAsia="zh-CN"/>
        </w:rPr>
        <w:t>6</w:t>
      </w:r>
      <w:r>
        <w:rPr>
          <w:rFonts w:hint="default" w:ascii="Times New Roman" w:hAnsi="Times New Roman" w:cs="Times New Roman"/>
          <w:b/>
          <w:bCs/>
          <w:kern w:val="0"/>
          <w:sz w:val="21"/>
          <w:szCs w:val="21"/>
        </w:rPr>
        <w:t>.</w:t>
      </w:r>
      <w:r>
        <w:rPr>
          <w:rFonts w:hint="default" w:ascii="Times New Roman" w:hAnsi="Times New Roman" w:cs="Times New Roman"/>
          <w:b/>
          <w:bCs/>
          <w:kern w:val="0"/>
          <w:sz w:val="21"/>
          <w:szCs w:val="21"/>
          <w:lang w:val="en-US" w:eastAsia="zh-CN"/>
        </w:rPr>
        <w:t>3</w:t>
      </w:r>
      <w:r>
        <w:rPr>
          <w:rFonts w:hint="default" w:ascii="Times New Roman" w:hAnsi="Times New Roman" w:cs="Times New Roman"/>
          <w:b/>
          <w:bCs/>
          <w:kern w:val="0"/>
          <w:sz w:val="21"/>
          <w:szCs w:val="21"/>
        </w:rPr>
        <w:t>-</w:t>
      </w:r>
      <w:r>
        <w:rPr>
          <w:rFonts w:hint="default" w:ascii="Times New Roman" w:hAnsi="Times New Roman" w:cs="Times New Roman"/>
          <w:b/>
          <w:bCs/>
          <w:kern w:val="0"/>
          <w:sz w:val="21"/>
          <w:szCs w:val="21"/>
          <w:lang w:val="en-US" w:eastAsia="zh-CN"/>
        </w:rPr>
        <w:t>2</w:t>
      </w:r>
      <w:r>
        <w:rPr>
          <w:rFonts w:hint="default" w:ascii="Times New Roman" w:hAnsi="Times New Roman" w:cs="Times New Roman"/>
          <w:b/>
          <w:bCs/>
          <w:kern w:val="0"/>
          <w:sz w:val="21"/>
          <w:szCs w:val="21"/>
        </w:rPr>
        <w:t xml:space="preserve">  Fe</w:t>
      </w:r>
      <w:r>
        <w:rPr>
          <w:rFonts w:hint="default" w:ascii="Times New Roman" w:hAnsi="Times New Roman" w:cs="Times New Roman"/>
          <w:b/>
          <w:bCs/>
          <w:kern w:val="0"/>
          <w:sz w:val="21"/>
          <w:szCs w:val="21"/>
          <w:lang w:eastAsia="zh-CN"/>
        </w:rPr>
        <w:t>泄漏</w:t>
      </w:r>
      <w:r>
        <w:rPr>
          <w:rFonts w:hint="default" w:ascii="Times New Roman" w:hAnsi="Times New Roman" w:cs="Times New Roman"/>
          <w:b/>
          <w:bCs/>
          <w:kern w:val="0"/>
          <w:sz w:val="21"/>
          <w:szCs w:val="21"/>
        </w:rPr>
        <w:t>预测图</w:t>
      </w:r>
    </w:p>
    <w:p w14:paraId="6125898D">
      <w:pPr>
        <w:pStyle w:val="2"/>
        <w:spacing w:after="0"/>
        <w:ind w:firstLine="490" w:firstLineChars="200"/>
        <w:rPr>
          <w:rFonts w:hint="default" w:ascii="Times New Roman" w:hAnsi="Times New Roman" w:cs="Times New Roman"/>
          <w:kern w:val="0"/>
        </w:rPr>
      </w:pPr>
    </w:p>
    <w:p w14:paraId="20F1F8C4">
      <w:pPr>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表</w:t>
      </w:r>
      <w:r>
        <w:rPr>
          <w:rFonts w:hint="default" w:ascii="Times New Roman" w:hAnsi="Times New Roman" w:eastAsia="黑体" w:cs="Times New Roman"/>
          <w:b w:val="0"/>
          <w:bCs/>
          <w:color w:val="auto"/>
          <w:sz w:val="21"/>
          <w:szCs w:val="21"/>
          <w:lang w:val="en-US" w:eastAsia="zh-CN"/>
        </w:rPr>
        <w:t>6</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3.5</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6</w:t>
      </w:r>
      <w:r>
        <w:rPr>
          <w:rFonts w:hint="default" w:ascii="Times New Roman" w:hAnsi="Times New Roman" w:eastAsia="黑体" w:cs="Times New Roman"/>
          <w:b w:val="0"/>
          <w:bCs/>
          <w:color w:val="auto"/>
          <w:sz w:val="21"/>
          <w:szCs w:val="21"/>
        </w:rPr>
        <w:t xml:space="preserve">  </w:t>
      </w:r>
      <w:r>
        <w:rPr>
          <w:rFonts w:hint="default" w:ascii="Times New Roman" w:hAnsi="Times New Roman" w:eastAsia="黑体" w:cs="Times New Roman"/>
          <w:b w:val="0"/>
          <w:bCs/>
          <w:color w:val="auto"/>
          <w:sz w:val="21"/>
          <w:szCs w:val="21"/>
        </w:rPr>
        <w:tab/>
      </w:r>
      <w:r>
        <w:rPr>
          <w:rFonts w:hint="default" w:ascii="Times New Roman" w:hAnsi="Times New Roman" w:eastAsia="黑体" w:cs="Times New Roman"/>
          <w:b w:val="0"/>
          <w:bCs/>
          <w:color w:val="auto"/>
          <w:sz w:val="21"/>
          <w:szCs w:val="21"/>
        </w:rPr>
        <w:t>地下水中Mn污染物预测结果</w:t>
      </w:r>
    </w:p>
    <w:tbl>
      <w:tblPr>
        <w:tblStyle w:val="29"/>
        <w:tblW w:w="5009"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26"/>
        <w:gridCol w:w="2007"/>
        <w:gridCol w:w="2005"/>
        <w:gridCol w:w="1774"/>
        <w:gridCol w:w="1976"/>
      </w:tblGrid>
      <w:tr w14:paraId="28E0528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730" w:type="pct"/>
            <w:vMerge w:val="restart"/>
            <w:tcBorders>
              <w:tl2br w:val="nil"/>
              <w:tr2bl w:val="nil"/>
            </w:tcBorders>
            <w:vAlign w:val="center"/>
          </w:tcPr>
          <w:p w14:paraId="23BC4EBB">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X（m）</w:t>
            </w:r>
          </w:p>
        </w:tc>
        <w:tc>
          <w:tcPr>
            <w:tcW w:w="4269" w:type="pct"/>
            <w:gridSpan w:val="4"/>
            <w:tcBorders>
              <w:tl2br w:val="nil"/>
              <w:tr2bl w:val="nil"/>
            </w:tcBorders>
            <w:vAlign w:val="center"/>
          </w:tcPr>
          <w:p w14:paraId="5949521D">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rPr>
              <w:t xml:space="preserve"> 不同时间</w:t>
            </w:r>
            <w:r>
              <w:rPr>
                <w:rFonts w:hint="default" w:ascii="Times New Roman" w:hAnsi="Times New Roman" w:cs="Times New Roman"/>
                <w:color w:val="auto"/>
                <w:sz w:val="18"/>
                <w:szCs w:val="18"/>
                <w:lang w:bidi="zh-CN"/>
              </w:rPr>
              <w:t>预测浓度值（mg/L）</w:t>
            </w:r>
          </w:p>
        </w:tc>
      </w:tr>
      <w:tr w14:paraId="0D15FB9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vMerge w:val="continue"/>
            <w:tcBorders>
              <w:tl2br w:val="nil"/>
              <w:tr2bl w:val="nil"/>
            </w:tcBorders>
            <w:vAlign w:val="center"/>
          </w:tcPr>
          <w:p w14:paraId="3F2AAA9A">
            <w:pPr>
              <w:adjustRightInd w:val="0"/>
              <w:snapToGrid w:val="0"/>
              <w:spacing w:line="240" w:lineRule="auto"/>
              <w:jc w:val="center"/>
              <w:textAlignment w:val="center"/>
              <w:rPr>
                <w:rFonts w:hint="default" w:ascii="Times New Roman" w:hAnsi="Times New Roman" w:cs="Times New Roman"/>
                <w:color w:val="auto"/>
                <w:sz w:val="18"/>
                <w:szCs w:val="18"/>
                <w:lang w:bidi="zh-CN"/>
              </w:rPr>
            </w:pPr>
          </w:p>
        </w:tc>
        <w:tc>
          <w:tcPr>
            <w:tcW w:w="1104" w:type="pct"/>
            <w:tcBorders>
              <w:tl2br w:val="nil"/>
              <w:tr2bl w:val="nil"/>
            </w:tcBorders>
            <w:vAlign w:val="center"/>
          </w:tcPr>
          <w:p w14:paraId="1A24D605">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100d</w:t>
            </w:r>
          </w:p>
        </w:tc>
        <w:tc>
          <w:tcPr>
            <w:tcW w:w="1103" w:type="pct"/>
            <w:tcBorders>
              <w:tl2br w:val="nil"/>
              <w:tr2bl w:val="nil"/>
            </w:tcBorders>
            <w:vAlign w:val="center"/>
          </w:tcPr>
          <w:p w14:paraId="30BB97B1">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365d</w:t>
            </w:r>
          </w:p>
        </w:tc>
        <w:tc>
          <w:tcPr>
            <w:tcW w:w="976" w:type="pct"/>
            <w:tcBorders>
              <w:tl2br w:val="nil"/>
              <w:tr2bl w:val="nil"/>
            </w:tcBorders>
            <w:vAlign w:val="center"/>
          </w:tcPr>
          <w:p w14:paraId="070E17CB">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rPr>
              <w:t>1000</w:t>
            </w:r>
            <w:r>
              <w:rPr>
                <w:rFonts w:hint="default" w:ascii="Times New Roman" w:hAnsi="Times New Roman" w:cs="Times New Roman"/>
                <w:color w:val="auto"/>
                <w:sz w:val="18"/>
                <w:szCs w:val="18"/>
                <w:lang w:bidi="zh-CN"/>
              </w:rPr>
              <w:t>d</w:t>
            </w:r>
          </w:p>
        </w:tc>
        <w:tc>
          <w:tcPr>
            <w:tcW w:w="1085" w:type="pct"/>
            <w:tcBorders>
              <w:tl2br w:val="nil"/>
              <w:tr2bl w:val="nil"/>
            </w:tcBorders>
            <w:vAlign w:val="center"/>
          </w:tcPr>
          <w:p w14:paraId="062C7C4E">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rPr>
              <w:t>1825</w:t>
            </w:r>
            <w:r>
              <w:rPr>
                <w:rFonts w:hint="default" w:ascii="Times New Roman" w:hAnsi="Times New Roman" w:cs="Times New Roman"/>
                <w:color w:val="auto"/>
                <w:sz w:val="18"/>
                <w:szCs w:val="18"/>
                <w:lang w:bidi="zh-CN"/>
              </w:rPr>
              <w:t>d</w:t>
            </w:r>
          </w:p>
        </w:tc>
      </w:tr>
      <w:tr w14:paraId="0ADEB84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475C006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4" w:type="pct"/>
            <w:tcBorders>
              <w:tl2br w:val="nil"/>
              <w:tr2bl w:val="nil"/>
            </w:tcBorders>
            <w:shd w:val="clear" w:color="auto" w:fill="auto"/>
            <w:vAlign w:val="top"/>
          </w:tcPr>
          <w:p w14:paraId="657C955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1103" w:type="pct"/>
            <w:tcBorders>
              <w:tl2br w:val="nil"/>
              <w:tr2bl w:val="nil"/>
            </w:tcBorders>
            <w:shd w:val="clear" w:color="auto" w:fill="auto"/>
            <w:vAlign w:val="top"/>
          </w:tcPr>
          <w:p w14:paraId="4E94A06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976" w:type="pct"/>
            <w:tcBorders>
              <w:tl2br w:val="nil"/>
              <w:tr2bl w:val="nil"/>
            </w:tcBorders>
            <w:shd w:val="clear" w:color="auto" w:fill="auto"/>
            <w:vAlign w:val="top"/>
          </w:tcPr>
          <w:p w14:paraId="1108E7C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1085" w:type="pct"/>
            <w:tcBorders>
              <w:tl2br w:val="nil"/>
              <w:tr2bl w:val="nil"/>
            </w:tcBorders>
            <w:shd w:val="clear" w:color="auto" w:fill="auto"/>
            <w:vAlign w:val="top"/>
          </w:tcPr>
          <w:p w14:paraId="154EC6F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0.02</w:t>
            </w:r>
          </w:p>
        </w:tc>
      </w:tr>
      <w:tr w14:paraId="6C5419F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4152D69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104" w:type="pct"/>
            <w:tcBorders>
              <w:tl2br w:val="nil"/>
              <w:tr2bl w:val="nil"/>
            </w:tcBorders>
            <w:shd w:val="clear" w:color="auto" w:fill="auto"/>
            <w:vAlign w:val="top"/>
          </w:tcPr>
          <w:p w14:paraId="12A1635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0.006448133</w:t>
            </w:r>
          </w:p>
        </w:tc>
        <w:tc>
          <w:tcPr>
            <w:tcW w:w="1103" w:type="pct"/>
            <w:tcBorders>
              <w:tl2br w:val="nil"/>
              <w:tr2bl w:val="nil"/>
            </w:tcBorders>
            <w:shd w:val="clear" w:color="auto" w:fill="auto"/>
            <w:vAlign w:val="top"/>
          </w:tcPr>
          <w:p w14:paraId="5D06AC6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0.01220545</w:t>
            </w:r>
          </w:p>
        </w:tc>
        <w:tc>
          <w:tcPr>
            <w:tcW w:w="976" w:type="pct"/>
            <w:tcBorders>
              <w:tl2br w:val="nil"/>
              <w:tr2bl w:val="nil"/>
            </w:tcBorders>
            <w:shd w:val="clear" w:color="auto" w:fill="auto"/>
            <w:vAlign w:val="top"/>
          </w:tcPr>
          <w:p w14:paraId="5B87A50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0.01527483</w:t>
            </w:r>
          </w:p>
        </w:tc>
        <w:tc>
          <w:tcPr>
            <w:tcW w:w="1085" w:type="pct"/>
            <w:tcBorders>
              <w:tl2br w:val="nil"/>
              <w:tr2bl w:val="nil"/>
            </w:tcBorders>
            <w:shd w:val="clear" w:color="auto" w:fill="auto"/>
            <w:vAlign w:val="top"/>
          </w:tcPr>
          <w:p w14:paraId="2982CFC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0.01655479</w:t>
            </w:r>
          </w:p>
        </w:tc>
      </w:tr>
      <w:tr w14:paraId="7CB8857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5F934EB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1104" w:type="pct"/>
            <w:tcBorders>
              <w:tl2br w:val="nil"/>
              <w:tr2bl w:val="nil"/>
            </w:tcBorders>
            <w:shd w:val="clear" w:color="auto" w:fill="auto"/>
            <w:vAlign w:val="top"/>
          </w:tcPr>
          <w:p w14:paraId="2D12659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0.000939504</w:t>
            </w:r>
          </w:p>
        </w:tc>
        <w:tc>
          <w:tcPr>
            <w:tcW w:w="1103" w:type="pct"/>
            <w:tcBorders>
              <w:tl2br w:val="nil"/>
              <w:tr2bl w:val="nil"/>
            </w:tcBorders>
            <w:shd w:val="clear" w:color="auto" w:fill="auto"/>
            <w:vAlign w:val="top"/>
          </w:tcPr>
          <w:p w14:paraId="6DC1329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0.006093822</w:t>
            </w:r>
          </w:p>
        </w:tc>
        <w:tc>
          <w:tcPr>
            <w:tcW w:w="976" w:type="pct"/>
            <w:tcBorders>
              <w:tl2br w:val="nil"/>
              <w:tr2bl w:val="nil"/>
            </w:tcBorders>
            <w:shd w:val="clear" w:color="auto" w:fill="auto"/>
            <w:vAlign w:val="top"/>
          </w:tcPr>
          <w:p w14:paraId="43BCDB5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0.01087923</w:t>
            </w:r>
          </w:p>
        </w:tc>
        <w:tc>
          <w:tcPr>
            <w:tcW w:w="1085" w:type="pct"/>
            <w:tcBorders>
              <w:tl2br w:val="nil"/>
              <w:tr2bl w:val="nil"/>
            </w:tcBorders>
            <w:shd w:val="clear" w:color="auto" w:fill="auto"/>
            <w:vAlign w:val="top"/>
          </w:tcPr>
          <w:p w14:paraId="34399B8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0.01319997</w:t>
            </w:r>
          </w:p>
        </w:tc>
      </w:tr>
      <w:tr w14:paraId="686FF3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14BAD4D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1104" w:type="pct"/>
            <w:tcBorders>
              <w:tl2br w:val="nil"/>
              <w:tr2bl w:val="nil"/>
            </w:tcBorders>
            <w:shd w:val="clear" w:color="auto" w:fill="auto"/>
            <w:vAlign w:val="top"/>
          </w:tcPr>
          <w:p w14:paraId="71C1175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5.66E-05</w:t>
            </w:r>
          </w:p>
        </w:tc>
        <w:tc>
          <w:tcPr>
            <w:tcW w:w="1103" w:type="pct"/>
            <w:tcBorders>
              <w:tl2br w:val="nil"/>
              <w:tr2bl w:val="nil"/>
            </w:tcBorders>
            <w:shd w:val="clear" w:color="auto" w:fill="auto"/>
            <w:vAlign w:val="top"/>
          </w:tcPr>
          <w:p w14:paraId="5E88B65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0.002440693</w:t>
            </w:r>
          </w:p>
        </w:tc>
        <w:tc>
          <w:tcPr>
            <w:tcW w:w="976" w:type="pct"/>
            <w:tcBorders>
              <w:tl2br w:val="nil"/>
              <w:tr2bl w:val="nil"/>
            </w:tcBorders>
            <w:shd w:val="clear" w:color="auto" w:fill="auto"/>
            <w:vAlign w:val="top"/>
          </w:tcPr>
          <w:p w14:paraId="6D79029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0.007188054</w:t>
            </w:r>
          </w:p>
        </w:tc>
        <w:tc>
          <w:tcPr>
            <w:tcW w:w="1085" w:type="pct"/>
            <w:tcBorders>
              <w:tl2br w:val="nil"/>
              <w:tr2bl w:val="nil"/>
            </w:tcBorders>
            <w:shd w:val="clear" w:color="auto" w:fill="auto"/>
            <w:vAlign w:val="top"/>
          </w:tcPr>
          <w:p w14:paraId="7454EC0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0.01011523</w:t>
            </w:r>
          </w:p>
        </w:tc>
      </w:tr>
      <w:tr w14:paraId="76DF831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7C55878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1104" w:type="pct"/>
            <w:tcBorders>
              <w:tl2br w:val="nil"/>
              <w:tr2bl w:val="nil"/>
            </w:tcBorders>
            <w:shd w:val="clear" w:color="auto" w:fill="auto"/>
            <w:vAlign w:val="top"/>
          </w:tcPr>
          <w:p w14:paraId="166FB12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1.35E-06</w:t>
            </w:r>
          </w:p>
        </w:tc>
        <w:tc>
          <w:tcPr>
            <w:tcW w:w="1103" w:type="pct"/>
            <w:tcBorders>
              <w:tl2br w:val="nil"/>
              <w:tr2bl w:val="nil"/>
            </w:tcBorders>
            <w:shd w:val="clear" w:color="auto" w:fill="auto"/>
            <w:vAlign w:val="top"/>
          </w:tcPr>
          <w:p w14:paraId="48DC0E2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0.000773431</w:t>
            </w:r>
          </w:p>
        </w:tc>
        <w:tc>
          <w:tcPr>
            <w:tcW w:w="976" w:type="pct"/>
            <w:tcBorders>
              <w:tl2br w:val="nil"/>
              <w:tr2bl w:val="nil"/>
            </w:tcBorders>
            <w:shd w:val="clear" w:color="auto" w:fill="auto"/>
            <w:vAlign w:val="top"/>
          </w:tcPr>
          <w:p w14:paraId="7ACDDD0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0.004386856</w:t>
            </w:r>
          </w:p>
        </w:tc>
        <w:tc>
          <w:tcPr>
            <w:tcW w:w="1085" w:type="pct"/>
            <w:tcBorders>
              <w:tl2br w:val="nil"/>
              <w:tr2bl w:val="nil"/>
            </w:tcBorders>
            <w:shd w:val="clear" w:color="auto" w:fill="auto"/>
            <w:vAlign w:val="top"/>
          </w:tcPr>
          <w:p w14:paraId="1F3DDA0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0.007434782</w:t>
            </w:r>
          </w:p>
        </w:tc>
      </w:tr>
      <w:tr w14:paraId="3F624E4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502374F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1104" w:type="pct"/>
            <w:tcBorders>
              <w:tl2br w:val="nil"/>
              <w:tr2bl w:val="nil"/>
            </w:tcBorders>
            <w:shd w:val="clear" w:color="auto" w:fill="auto"/>
            <w:vAlign w:val="top"/>
          </w:tcPr>
          <w:p w14:paraId="235F11D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1.24E-08</w:t>
            </w:r>
          </w:p>
        </w:tc>
        <w:tc>
          <w:tcPr>
            <w:tcW w:w="1103" w:type="pct"/>
            <w:tcBorders>
              <w:tl2br w:val="nil"/>
              <w:tr2bl w:val="nil"/>
            </w:tcBorders>
            <w:shd w:val="clear" w:color="auto" w:fill="auto"/>
            <w:vAlign w:val="top"/>
          </w:tcPr>
          <w:p w14:paraId="1C1962A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0.00019205</w:t>
            </w:r>
          </w:p>
        </w:tc>
        <w:tc>
          <w:tcPr>
            <w:tcW w:w="976" w:type="pct"/>
            <w:tcBorders>
              <w:tl2br w:val="nil"/>
              <w:tr2bl w:val="nil"/>
            </w:tcBorders>
            <w:shd w:val="clear" w:color="auto" w:fill="auto"/>
            <w:vAlign w:val="top"/>
          </w:tcPr>
          <w:p w14:paraId="2D925F7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0.002464435</w:t>
            </w:r>
          </w:p>
        </w:tc>
        <w:tc>
          <w:tcPr>
            <w:tcW w:w="1085" w:type="pct"/>
            <w:tcBorders>
              <w:tl2br w:val="nil"/>
              <w:tr2bl w:val="nil"/>
            </w:tcBorders>
            <w:shd w:val="clear" w:color="auto" w:fill="auto"/>
            <w:vAlign w:val="top"/>
          </w:tcPr>
          <w:p w14:paraId="4B03B9F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0.005232492</w:t>
            </w:r>
          </w:p>
        </w:tc>
      </w:tr>
      <w:tr w14:paraId="6DAB9E3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77C46BD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1104" w:type="pct"/>
            <w:tcBorders>
              <w:tl2br w:val="nil"/>
              <w:tr2bl w:val="nil"/>
            </w:tcBorders>
            <w:shd w:val="clear" w:color="auto" w:fill="auto"/>
            <w:vAlign w:val="top"/>
          </w:tcPr>
          <w:p w14:paraId="3D09F64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4.36E-11</w:t>
            </w:r>
          </w:p>
        </w:tc>
        <w:tc>
          <w:tcPr>
            <w:tcW w:w="1103" w:type="pct"/>
            <w:tcBorders>
              <w:tl2br w:val="nil"/>
              <w:tr2bl w:val="nil"/>
            </w:tcBorders>
            <w:shd w:val="clear" w:color="auto" w:fill="auto"/>
            <w:vAlign w:val="top"/>
          </w:tcPr>
          <w:p w14:paraId="52563AE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3.71E-05</w:t>
            </w:r>
          </w:p>
        </w:tc>
        <w:tc>
          <w:tcPr>
            <w:tcW w:w="976" w:type="pct"/>
            <w:tcBorders>
              <w:tl2br w:val="nil"/>
              <w:tr2bl w:val="nil"/>
            </w:tcBorders>
            <w:shd w:val="clear" w:color="auto" w:fill="auto"/>
            <w:vAlign w:val="top"/>
          </w:tcPr>
          <w:p w14:paraId="078602F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0.001270835</w:t>
            </w:r>
          </w:p>
        </w:tc>
        <w:tc>
          <w:tcPr>
            <w:tcW w:w="1085" w:type="pct"/>
            <w:tcBorders>
              <w:tl2br w:val="nil"/>
              <w:tr2bl w:val="nil"/>
            </w:tcBorders>
            <w:shd w:val="clear" w:color="auto" w:fill="auto"/>
            <w:vAlign w:val="top"/>
          </w:tcPr>
          <w:p w14:paraId="7C53431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0.003520974</w:t>
            </w:r>
          </w:p>
        </w:tc>
      </w:tr>
      <w:tr w14:paraId="657B2CE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4776485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1104" w:type="pct"/>
            <w:tcBorders>
              <w:tl2br w:val="nil"/>
              <w:tr2bl w:val="nil"/>
            </w:tcBorders>
            <w:shd w:val="clear" w:color="auto" w:fill="auto"/>
            <w:vAlign w:val="top"/>
          </w:tcPr>
          <w:p w14:paraId="16AFABE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5.76E-14</w:t>
            </w:r>
          </w:p>
        </w:tc>
        <w:tc>
          <w:tcPr>
            <w:tcW w:w="1103" w:type="pct"/>
            <w:tcBorders>
              <w:tl2br w:val="nil"/>
              <w:tr2bl w:val="nil"/>
            </w:tcBorders>
            <w:shd w:val="clear" w:color="auto" w:fill="auto"/>
            <w:vAlign w:val="top"/>
          </w:tcPr>
          <w:p w14:paraId="0A6587B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5.55E-06</w:t>
            </w:r>
          </w:p>
        </w:tc>
        <w:tc>
          <w:tcPr>
            <w:tcW w:w="976" w:type="pct"/>
            <w:tcBorders>
              <w:tl2br w:val="nil"/>
              <w:tr2bl w:val="nil"/>
            </w:tcBorders>
            <w:shd w:val="clear" w:color="auto" w:fill="auto"/>
            <w:vAlign w:val="top"/>
          </w:tcPr>
          <w:p w14:paraId="7DAE57A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0.000600194</w:t>
            </w:r>
          </w:p>
        </w:tc>
        <w:tc>
          <w:tcPr>
            <w:tcW w:w="1085" w:type="pct"/>
            <w:tcBorders>
              <w:tl2br w:val="nil"/>
              <w:tr2bl w:val="nil"/>
            </w:tcBorders>
            <w:shd w:val="clear" w:color="auto" w:fill="auto"/>
            <w:vAlign w:val="top"/>
          </w:tcPr>
          <w:p w14:paraId="45B6E85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0.002262513</w:t>
            </w:r>
          </w:p>
        </w:tc>
      </w:tr>
      <w:tr w14:paraId="4886D9F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2AE041A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1104" w:type="pct"/>
            <w:tcBorders>
              <w:tl2br w:val="nil"/>
              <w:tr2bl w:val="nil"/>
            </w:tcBorders>
            <w:shd w:val="clear" w:color="auto" w:fill="auto"/>
            <w:vAlign w:val="top"/>
          </w:tcPr>
          <w:p w14:paraId="4BE2FB7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2.99E-17</w:t>
            </w:r>
          </w:p>
        </w:tc>
        <w:tc>
          <w:tcPr>
            <w:tcW w:w="1103" w:type="pct"/>
            <w:tcBorders>
              <w:tl2br w:val="nil"/>
              <w:tr2bl w:val="nil"/>
            </w:tcBorders>
            <w:shd w:val="clear" w:color="auto" w:fill="auto"/>
            <w:vAlign w:val="top"/>
          </w:tcPr>
          <w:p w14:paraId="5E5D0EA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6.42E-07</w:t>
            </w:r>
          </w:p>
        </w:tc>
        <w:tc>
          <w:tcPr>
            <w:tcW w:w="976" w:type="pct"/>
            <w:tcBorders>
              <w:tl2br w:val="nil"/>
              <w:tr2bl w:val="nil"/>
            </w:tcBorders>
            <w:shd w:val="clear" w:color="auto" w:fill="auto"/>
            <w:vAlign w:val="top"/>
          </w:tcPr>
          <w:p w14:paraId="48F2CC0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0.00025914</w:t>
            </w:r>
          </w:p>
        </w:tc>
        <w:tc>
          <w:tcPr>
            <w:tcW w:w="1085" w:type="pct"/>
            <w:tcBorders>
              <w:tl2br w:val="nil"/>
              <w:tr2bl w:val="nil"/>
            </w:tcBorders>
            <w:shd w:val="clear" w:color="auto" w:fill="auto"/>
            <w:vAlign w:val="top"/>
          </w:tcPr>
          <w:p w14:paraId="5473D28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0.001386862</w:t>
            </w:r>
          </w:p>
        </w:tc>
      </w:tr>
      <w:tr w14:paraId="10A316C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454EAA7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1104" w:type="pct"/>
            <w:tcBorders>
              <w:tl2br w:val="nil"/>
              <w:tr2bl w:val="nil"/>
            </w:tcBorders>
            <w:shd w:val="clear" w:color="auto" w:fill="auto"/>
            <w:vAlign w:val="top"/>
          </w:tcPr>
          <w:p w14:paraId="6DAB2BF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0DD5F06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5.70E-08</w:t>
            </w:r>
          </w:p>
        </w:tc>
        <w:tc>
          <w:tcPr>
            <w:tcW w:w="976" w:type="pct"/>
            <w:tcBorders>
              <w:tl2br w:val="nil"/>
              <w:tr2bl w:val="nil"/>
            </w:tcBorders>
            <w:shd w:val="clear" w:color="auto" w:fill="auto"/>
            <w:vAlign w:val="top"/>
          </w:tcPr>
          <w:p w14:paraId="13F10CE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0.000102136</w:t>
            </w:r>
          </w:p>
        </w:tc>
        <w:tc>
          <w:tcPr>
            <w:tcW w:w="1085" w:type="pct"/>
            <w:tcBorders>
              <w:tl2br w:val="nil"/>
              <w:tr2bl w:val="nil"/>
            </w:tcBorders>
            <w:shd w:val="clear" w:color="auto" w:fill="auto"/>
            <w:vAlign w:val="top"/>
          </w:tcPr>
          <w:p w14:paraId="5C4089A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0.000810209</w:t>
            </w:r>
          </w:p>
        </w:tc>
      </w:tr>
      <w:tr w14:paraId="2F22B46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2868C03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04" w:type="pct"/>
            <w:tcBorders>
              <w:tl2br w:val="nil"/>
              <w:tr2bl w:val="nil"/>
            </w:tcBorders>
            <w:shd w:val="clear" w:color="auto" w:fill="auto"/>
            <w:vAlign w:val="top"/>
          </w:tcPr>
          <w:p w14:paraId="03C0FD9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11DDA28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3.89E-09</w:t>
            </w:r>
          </w:p>
        </w:tc>
        <w:tc>
          <w:tcPr>
            <w:tcW w:w="976" w:type="pct"/>
            <w:tcBorders>
              <w:tl2br w:val="nil"/>
              <w:tr2bl w:val="nil"/>
            </w:tcBorders>
            <w:shd w:val="clear" w:color="auto" w:fill="auto"/>
            <w:vAlign w:val="top"/>
          </w:tcPr>
          <w:p w14:paraId="71AD78E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3.67E-05</w:t>
            </w:r>
          </w:p>
        </w:tc>
        <w:tc>
          <w:tcPr>
            <w:tcW w:w="1085" w:type="pct"/>
            <w:tcBorders>
              <w:tl2br w:val="nil"/>
              <w:tr2bl w:val="nil"/>
            </w:tcBorders>
            <w:shd w:val="clear" w:color="auto" w:fill="auto"/>
            <w:vAlign w:val="top"/>
          </w:tcPr>
          <w:p w14:paraId="18D9777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0.000450764</w:t>
            </w:r>
          </w:p>
        </w:tc>
      </w:tr>
      <w:tr w14:paraId="7FE5065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1780486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1104" w:type="pct"/>
            <w:tcBorders>
              <w:tl2br w:val="nil"/>
              <w:tr2bl w:val="nil"/>
            </w:tcBorders>
            <w:shd w:val="clear" w:color="auto" w:fill="auto"/>
            <w:vAlign w:val="top"/>
          </w:tcPr>
          <w:p w14:paraId="0E1FA1A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2EA6678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2.04E-10</w:t>
            </w:r>
          </w:p>
        </w:tc>
        <w:tc>
          <w:tcPr>
            <w:tcW w:w="976" w:type="pct"/>
            <w:tcBorders>
              <w:tl2br w:val="nil"/>
              <w:tr2bl w:val="nil"/>
            </w:tcBorders>
            <w:shd w:val="clear" w:color="auto" w:fill="auto"/>
            <w:vAlign w:val="top"/>
          </w:tcPr>
          <w:p w14:paraId="49F3000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1.20E-05</w:t>
            </w:r>
          </w:p>
        </w:tc>
        <w:tc>
          <w:tcPr>
            <w:tcW w:w="1085" w:type="pct"/>
            <w:tcBorders>
              <w:tl2br w:val="nil"/>
              <w:tr2bl w:val="nil"/>
            </w:tcBorders>
            <w:shd w:val="clear" w:color="auto" w:fill="auto"/>
            <w:vAlign w:val="top"/>
          </w:tcPr>
          <w:p w14:paraId="22CAAAA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0.000238673</w:t>
            </w:r>
          </w:p>
        </w:tc>
      </w:tr>
      <w:tr w14:paraId="0148A06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7131677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1104" w:type="pct"/>
            <w:tcBorders>
              <w:tl2br w:val="nil"/>
              <w:tr2bl w:val="nil"/>
            </w:tcBorders>
            <w:shd w:val="clear" w:color="auto" w:fill="auto"/>
            <w:vAlign w:val="top"/>
          </w:tcPr>
          <w:p w14:paraId="55CE8A8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7AA9DD7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8.18E-12</w:t>
            </w:r>
          </w:p>
        </w:tc>
        <w:tc>
          <w:tcPr>
            <w:tcW w:w="976" w:type="pct"/>
            <w:tcBorders>
              <w:tl2br w:val="nil"/>
              <w:tr2bl w:val="nil"/>
            </w:tcBorders>
            <w:shd w:val="clear" w:color="auto" w:fill="auto"/>
            <w:vAlign w:val="top"/>
          </w:tcPr>
          <w:p w14:paraId="35E9F14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3.58E-06</w:t>
            </w:r>
          </w:p>
        </w:tc>
        <w:tc>
          <w:tcPr>
            <w:tcW w:w="1085" w:type="pct"/>
            <w:tcBorders>
              <w:tl2br w:val="nil"/>
              <w:tr2bl w:val="nil"/>
            </w:tcBorders>
            <w:shd w:val="clear" w:color="auto" w:fill="auto"/>
            <w:vAlign w:val="top"/>
          </w:tcPr>
          <w:p w14:paraId="21EF105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0.000120203</w:t>
            </w:r>
          </w:p>
        </w:tc>
      </w:tr>
      <w:tr w14:paraId="2319A9F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5B8BFDC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1104" w:type="pct"/>
            <w:tcBorders>
              <w:tl2br w:val="nil"/>
              <w:tr2bl w:val="nil"/>
            </w:tcBorders>
            <w:shd w:val="clear" w:color="auto" w:fill="auto"/>
            <w:vAlign w:val="top"/>
          </w:tcPr>
          <w:p w14:paraId="2D5864A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186DEEB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2.51E-13</w:t>
            </w:r>
          </w:p>
        </w:tc>
        <w:tc>
          <w:tcPr>
            <w:tcW w:w="976" w:type="pct"/>
            <w:tcBorders>
              <w:tl2br w:val="nil"/>
              <w:tr2bl w:val="nil"/>
            </w:tcBorders>
            <w:shd w:val="clear" w:color="auto" w:fill="auto"/>
            <w:vAlign w:val="top"/>
          </w:tcPr>
          <w:p w14:paraId="0F29635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9.70E-07</w:t>
            </w:r>
          </w:p>
        </w:tc>
        <w:tc>
          <w:tcPr>
            <w:tcW w:w="1085" w:type="pct"/>
            <w:tcBorders>
              <w:tl2br w:val="nil"/>
              <w:tr2bl w:val="nil"/>
            </w:tcBorders>
            <w:shd w:val="clear" w:color="auto" w:fill="auto"/>
            <w:vAlign w:val="top"/>
          </w:tcPr>
          <w:p w14:paraId="124D0B5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5.76E-05</w:t>
            </w:r>
          </w:p>
        </w:tc>
      </w:tr>
      <w:tr w14:paraId="1D30A80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3EA878D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104" w:type="pct"/>
            <w:tcBorders>
              <w:tl2br w:val="nil"/>
              <w:tr2bl w:val="nil"/>
            </w:tcBorders>
            <w:shd w:val="clear" w:color="auto" w:fill="auto"/>
            <w:vAlign w:val="top"/>
          </w:tcPr>
          <w:p w14:paraId="5332D0C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21F974D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6.32E-15</w:t>
            </w:r>
          </w:p>
        </w:tc>
        <w:tc>
          <w:tcPr>
            <w:tcW w:w="976" w:type="pct"/>
            <w:tcBorders>
              <w:tl2br w:val="nil"/>
              <w:tr2bl w:val="nil"/>
            </w:tcBorders>
            <w:shd w:val="clear" w:color="auto" w:fill="auto"/>
            <w:vAlign w:val="top"/>
          </w:tcPr>
          <w:p w14:paraId="658FDF9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2.39E-07</w:t>
            </w:r>
          </w:p>
        </w:tc>
        <w:tc>
          <w:tcPr>
            <w:tcW w:w="1085" w:type="pct"/>
            <w:tcBorders>
              <w:tl2br w:val="nil"/>
              <w:tr2bl w:val="nil"/>
            </w:tcBorders>
            <w:shd w:val="clear" w:color="auto" w:fill="auto"/>
            <w:vAlign w:val="top"/>
          </w:tcPr>
          <w:p w14:paraId="1E5A06D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2.62E-05</w:t>
            </w:r>
          </w:p>
        </w:tc>
      </w:tr>
      <w:tr w14:paraId="7447A9A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26034D6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1104" w:type="pct"/>
            <w:tcBorders>
              <w:tl2br w:val="nil"/>
              <w:tr2bl w:val="nil"/>
            </w:tcBorders>
            <w:shd w:val="clear" w:color="auto" w:fill="auto"/>
            <w:vAlign w:val="top"/>
          </w:tcPr>
          <w:p w14:paraId="0BEE0E4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66BC10E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1.12E-16</w:t>
            </w:r>
          </w:p>
        </w:tc>
        <w:tc>
          <w:tcPr>
            <w:tcW w:w="976" w:type="pct"/>
            <w:tcBorders>
              <w:tl2br w:val="nil"/>
              <w:tr2bl w:val="nil"/>
            </w:tcBorders>
            <w:shd w:val="clear" w:color="auto" w:fill="auto"/>
            <w:vAlign w:val="top"/>
          </w:tcPr>
          <w:p w14:paraId="666FCE2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5.34E-08</w:t>
            </w:r>
          </w:p>
        </w:tc>
        <w:tc>
          <w:tcPr>
            <w:tcW w:w="1085" w:type="pct"/>
            <w:tcBorders>
              <w:tl2br w:val="nil"/>
              <w:tr2bl w:val="nil"/>
            </w:tcBorders>
            <w:shd w:val="clear" w:color="auto" w:fill="auto"/>
            <w:vAlign w:val="top"/>
          </w:tcPr>
          <w:p w14:paraId="2498DF8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1.13E-05</w:t>
            </w:r>
          </w:p>
        </w:tc>
      </w:tr>
      <w:tr w14:paraId="7766F11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7C02A50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1104" w:type="pct"/>
            <w:tcBorders>
              <w:tl2br w:val="nil"/>
              <w:tr2bl w:val="nil"/>
            </w:tcBorders>
            <w:shd w:val="clear" w:color="auto" w:fill="auto"/>
            <w:vAlign w:val="top"/>
          </w:tcPr>
          <w:p w14:paraId="6A49DA0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1EEC743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1.11E-18</w:t>
            </w:r>
          </w:p>
        </w:tc>
        <w:tc>
          <w:tcPr>
            <w:tcW w:w="976" w:type="pct"/>
            <w:tcBorders>
              <w:tl2br w:val="nil"/>
              <w:tr2bl w:val="nil"/>
            </w:tcBorders>
            <w:shd w:val="clear" w:color="auto" w:fill="auto"/>
            <w:vAlign w:val="top"/>
          </w:tcPr>
          <w:p w14:paraId="39F6995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1.09E-08</w:t>
            </w:r>
          </w:p>
        </w:tc>
        <w:tc>
          <w:tcPr>
            <w:tcW w:w="1085" w:type="pct"/>
            <w:tcBorders>
              <w:tl2br w:val="nil"/>
              <w:tr2bl w:val="nil"/>
            </w:tcBorders>
            <w:shd w:val="clear" w:color="auto" w:fill="auto"/>
            <w:vAlign w:val="top"/>
          </w:tcPr>
          <w:p w14:paraId="523D83A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4.65E-06</w:t>
            </w:r>
          </w:p>
        </w:tc>
      </w:tr>
      <w:tr w14:paraId="02598C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34A0B01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1104" w:type="pct"/>
            <w:tcBorders>
              <w:tl2br w:val="nil"/>
              <w:tr2bl w:val="nil"/>
            </w:tcBorders>
            <w:shd w:val="clear" w:color="auto" w:fill="auto"/>
            <w:vAlign w:val="top"/>
          </w:tcPr>
          <w:p w14:paraId="4973936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14576E3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0579BCF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2.00E-09</w:t>
            </w:r>
          </w:p>
        </w:tc>
        <w:tc>
          <w:tcPr>
            <w:tcW w:w="1085" w:type="pct"/>
            <w:tcBorders>
              <w:tl2br w:val="nil"/>
              <w:tr2bl w:val="nil"/>
            </w:tcBorders>
            <w:shd w:val="clear" w:color="auto" w:fill="auto"/>
            <w:vAlign w:val="top"/>
          </w:tcPr>
          <w:p w14:paraId="56E7BEB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1.81E-06</w:t>
            </w:r>
          </w:p>
        </w:tc>
      </w:tr>
      <w:tr w14:paraId="4255EF7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0854F179">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1104" w:type="pct"/>
            <w:tcBorders>
              <w:tl2br w:val="nil"/>
              <w:tr2bl w:val="nil"/>
            </w:tcBorders>
            <w:shd w:val="clear" w:color="auto" w:fill="auto"/>
            <w:vAlign w:val="top"/>
          </w:tcPr>
          <w:p w14:paraId="584EA13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6323280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0380ADB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3.35E-10</w:t>
            </w:r>
          </w:p>
        </w:tc>
        <w:tc>
          <w:tcPr>
            <w:tcW w:w="1085" w:type="pct"/>
            <w:tcBorders>
              <w:tl2br w:val="nil"/>
              <w:tr2bl w:val="nil"/>
            </w:tcBorders>
            <w:shd w:val="clear" w:color="auto" w:fill="auto"/>
            <w:vAlign w:val="top"/>
          </w:tcPr>
          <w:p w14:paraId="66AED13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6.70E-07</w:t>
            </w:r>
          </w:p>
        </w:tc>
      </w:tr>
      <w:tr w14:paraId="28C2704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64CE230C">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1104" w:type="pct"/>
            <w:tcBorders>
              <w:tl2br w:val="nil"/>
              <w:tr2bl w:val="nil"/>
            </w:tcBorders>
            <w:shd w:val="clear" w:color="auto" w:fill="auto"/>
            <w:vAlign w:val="top"/>
          </w:tcPr>
          <w:p w14:paraId="283CB57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4CED421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3819E61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5.09E-11</w:t>
            </w:r>
          </w:p>
        </w:tc>
        <w:tc>
          <w:tcPr>
            <w:tcW w:w="1085" w:type="pct"/>
            <w:tcBorders>
              <w:tl2br w:val="nil"/>
              <w:tr2bl w:val="nil"/>
            </w:tcBorders>
            <w:shd w:val="clear" w:color="auto" w:fill="auto"/>
            <w:vAlign w:val="top"/>
          </w:tcPr>
          <w:p w14:paraId="1E52B47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2.35E-07</w:t>
            </w:r>
          </w:p>
        </w:tc>
      </w:tr>
      <w:tr w14:paraId="4271C83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47898FC7">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1104" w:type="pct"/>
            <w:tcBorders>
              <w:tl2br w:val="nil"/>
              <w:tr2bl w:val="nil"/>
            </w:tcBorders>
            <w:shd w:val="clear" w:color="auto" w:fill="auto"/>
            <w:vAlign w:val="top"/>
          </w:tcPr>
          <w:p w14:paraId="1D17DD4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5D53FCA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1A6FDC5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7.02E-12</w:t>
            </w:r>
          </w:p>
        </w:tc>
        <w:tc>
          <w:tcPr>
            <w:tcW w:w="1085" w:type="pct"/>
            <w:tcBorders>
              <w:tl2br w:val="nil"/>
              <w:tr2bl w:val="nil"/>
            </w:tcBorders>
            <w:shd w:val="clear" w:color="auto" w:fill="auto"/>
            <w:vAlign w:val="top"/>
          </w:tcPr>
          <w:p w14:paraId="774A1FA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7.83E-08</w:t>
            </w:r>
          </w:p>
        </w:tc>
      </w:tr>
      <w:tr w14:paraId="12DC2CB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01061DB2">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210</w:t>
            </w:r>
          </w:p>
        </w:tc>
        <w:tc>
          <w:tcPr>
            <w:tcW w:w="1104" w:type="pct"/>
            <w:tcBorders>
              <w:tl2br w:val="nil"/>
              <w:tr2bl w:val="nil"/>
            </w:tcBorders>
            <w:shd w:val="clear" w:color="auto" w:fill="auto"/>
            <w:vAlign w:val="top"/>
          </w:tcPr>
          <w:p w14:paraId="5CFF959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4C86F2F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167D31C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8.77E-13</w:t>
            </w:r>
          </w:p>
        </w:tc>
        <w:tc>
          <w:tcPr>
            <w:tcW w:w="1085" w:type="pct"/>
            <w:tcBorders>
              <w:tl2br w:val="nil"/>
              <w:tr2bl w:val="nil"/>
            </w:tcBorders>
            <w:shd w:val="clear" w:color="auto" w:fill="auto"/>
            <w:vAlign w:val="top"/>
          </w:tcPr>
          <w:p w14:paraId="72AF687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2.47E-08</w:t>
            </w:r>
          </w:p>
        </w:tc>
      </w:tr>
      <w:tr w14:paraId="1BAC0B7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47EB6526">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1104" w:type="pct"/>
            <w:tcBorders>
              <w:tl2br w:val="nil"/>
              <w:tr2bl w:val="nil"/>
            </w:tcBorders>
            <w:shd w:val="clear" w:color="auto" w:fill="auto"/>
            <w:vAlign w:val="top"/>
          </w:tcPr>
          <w:p w14:paraId="390A96F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64C9789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5453507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9.93E-14</w:t>
            </w:r>
          </w:p>
        </w:tc>
        <w:tc>
          <w:tcPr>
            <w:tcW w:w="1085" w:type="pct"/>
            <w:tcBorders>
              <w:tl2br w:val="nil"/>
              <w:tr2bl w:val="nil"/>
            </w:tcBorders>
            <w:shd w:val="clear" w:color="auto" w:fill="auto"/>
            <w:vAlign w:val="top"/>
          </w:tcPr>
          <w:p w14:paraId="6035CB0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7.41E-09</w:t>
            </w:r>
          </w:p>
        </w:tc>
      </w:tr>
      <w:tr w14:paraId="14E5703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654271F6">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1104" w:type="pct"/>
            <w:tcBorders>
              <w:tl2br w:val="nil"/>
              <w:tr2bl w:val="nil"/>
            </w:tcBorders>
            <w:shd w:val="clear" w:color="auto" w:fill="auto"/>
            <w:vAlign w:val="top"/>
          </w:tcPr>
          <w:p w14:paraId="7D2C6A7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25A06AF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3332830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1.10E-14</w:t>
            </w:r>
          </w:p>
        </w:tc>
        <w:tc>
          <w:tcPr>
            <w:tcW w:w="1085" w:type="pct"/>
            <w:tcBorders>
              <w:tl2br w:val="nil"/>
              <w:tr2bl w:val="nil"/>
            </w:tcBorders>
            <w:shd w:val="clear" w:color="auto" w:fill="auto"/>
            <w:vAlign w:val="top"/>
          </w:tcPr>
          <w:p w14:paraId="2F05E39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2.11E-09</w:t>
            </w:r>
          </w:p>
        </w:tc>
      </w:tr>
      <w:tr w14:paraId="4102A6E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1D9372AB">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240</w:t>
            </w:r>
          </w:p>
        </w:tc>
        <w:tc>
          <w:tcPr>
            <w:tcW w:w="1104" w:type="pct"/>
            <w:tcBorders>
              <w:tl2br w:val="nil"/>
              <w:tr2bl w:val="nil"/>
            </w:tcBorders>
            <w:shd w:val="clear" w:color="auto" w:fill="auto"/>
            <w:vAlign w:val="top"/>
          </w:tcPr>
          <w:p w14:paraId="4B96758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4FA7D0D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762FB6C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1.01E-15</w:t>
            </w:r>
          </w:p>
        </w:tc>
        <w:tc>
          <w:tcPr>
            <w:tcW w:w="1085" w:type="pct"/>
            <w:tcBorders>
              <w:tl2br w:val="nil"/>
              <w:tr2bl w:val="nil"/>
            </w:tcBorders>
            <w:shd w:val="clear" w:color="auto" w:fill="auto"/>
            <w:vAlign w:val="top"/>
          </w:tcPr>
          <w:p w14:paraId="1D0C5E7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5.68E-10</w:t>
            </w:r>
          </w:p>
        </w:tc>
      </w:tr>
      <w:tr w14:paraId="3C9C617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5EC0E242">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1104" w:type="pct"/>
            <w:tcBorders>
              <w:tl2br w:val="nil"/>
              <w:tr2bl w:val="nil"/>
            </w:tcBorders>
            <w:shd w:val="clear" w:color="auto" w:fill="auto"/>
            <w:vAlign w:val="top"/>
          </w:tcPr>
          <w:p w14:paraId="0D23CE5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1DCA4A8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476BA21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8.42E-17</w:t>
            </w:r>
          </w:p>
        </w:tc>
        <w:tc>
          <w:tcPr>
            <w:tcW w:w="1085" w:type="pct"/>
            <w:tcBorders>
              <w:tl2br w:val="nil"/>
              <w:tr2bl w:val="nil"/>
            </w:tcBorders>
            <w:shd w:val="clear" w:color="auto" w:fill="auto"/>
            <w:vAlign w:val="top"/>
          </w:tcPr>
          <w:p w14:paraId="314F19B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1.45E-10</w:t>
            </w:r>
          </w:p>
        </w:tc>
      </w:tr>
      <w:tr w14:paraId="286CCAE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02A417E1">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260</w:t>
            </w:r>
          </w:p>
        </w:tc>
        <w:tc>
          <w:tcPr>
            <w:tcW w:w="1104" w:type="pct"/>
            <w:tcBorders>
              <w:tl2br w:val="nil"/>
              <w:tr2bl w:val="nil"/>
            </w:tcBorders>
            <w:shd w:val="clear" w:color="auto" w:fill="auto"/>
            <w:vAlign w:val="top"/>
          </w:tcPr>
          <w:p w14:paraId="3639D82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60C88D4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443D989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5.88E-18</w:t>
            </w:r>
          </w:p>
        </w:tc>
        <w:tc>
          <w:tcPr>
            <w:tcW w:w="1085" w:type="pct"/>
            <w:tcBorders>
              <w:tl2br w:val="nil"/>
              <w:tr2bl w:val="nil"/>
            </w:tcBorders>
            <w:shd w:val="clear" w:color="auto" w:fill="auto"/>
            <w:vAlign w:val="top"/>
          </w:tcPr>
          <w:p w14:paraId="576C61F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3.51E-11</w:t>
            </w:r>
          </w:p>
        </w:tc>
      </w:tr>
      <w:tr w14:paraId="111EE39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396B641D">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1104" w:type="pct"/>
            <w:tcBorders>
              <w:tl2br w:val="nil"/>
              <w:tr2bl w:val="nil"/>
            </w:tcBorders>
            <w:shd w:val="clear" w:color="auto" w:fill="auto"/>
            <w:vAlign w:val="top"/>
          </w:tcPr>
          <w:p w14:paraId="7ED01EC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0C89B6FC">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07BC958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3C05F53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8.06E-12</w:t>
            </w:r>
          </w:p>
        </w:tc>
      </w:tr>
      <w:tr w14:paraId="2A6E8C1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38786FD4">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280</w:t>
            </w:r>
          </w:p>
        </w:tc>
        <w:tc>
          <w:tcPr>
            <w:tcW w:w="1104" w:type="pct"/>
            <w:tcBorders>
              <w:tl2br w:val="nil"/>
              <w:tr2bl w:val="nil"/>
            </w:tcBorders>
            <w:shd w:val="clear" w:color="auto" w:fill="auto"/>
            <w:vAlign w:val="top"/>
          </w:tcPr>
          <w:p w14:paraId="1EE098A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4FF731A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2BBDC1F7">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03BFCC0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1.75E-12</w:t>
            </w:r>
          </w:p>
        </w:tc>
      </w:tr>
      <w:tr w14:paraId="45F6030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26F40E0C">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290</w:t>
            </w:r>
          </w:p>
        </w:tc>
        <w:tc>
          <w:tcPr>
            <w:tcW w:w="1104" w:type="pct"/>
            <w:tcBorders>
              <w:tl2br w:val="nil"/>
              <w:tr2bl w:val="nil"/>
            </w:tcBorders>
            <w:shd w:val="clear" w:color="auto" w:fill="auto"/>
            <w:vAlign w:val="top"/>
          </w:tcPr>
          <w:p w14:paraId="17E7623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6715052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75B533C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6C002540">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3.62E-13</w:t>
            </w:r>
          </w:p>
        </w:tc>
      </w:tr>
      <w:tr w14:paraId="092C50D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27CB7678">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1104" w:type="pct"/>
            <w:tcBorders>
              <w:tl2br w:val="nil"/>
              <w:tr2bl w:val="nil"/>
            </w:tcBorders>
            <w:shd w:val="clear" w:color="auto" w:fill="auto"/>
            <w:vAlign w:val="top"/>
          </w:tcPr>
          <w:p w14:paraId="5B9B61C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61D26BC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6E5E1BF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2F8458F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7.36E-14</w:t>
            </w:r>
          </w:p>
        </w:tc>
      </w:tr>
      <w:tr w14:paraId="3DE23A6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2AEE5E0C">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1104" w:type="pct"/>
            <w:tcBorders>
              <w:tl2br w:val="nil"/>
              <w:tr2bl w:val="nil"/>
            </w:tcBorders>
            <w:shd w:val="clear" w:color="auto" w:fill="auto"/>
            <w:vAlign w:val="top"/>
          </w:tcPr>
          <w:p w14:paraId="5CE9857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25BEF06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7EB481B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6C4452F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1.41E-14</w:t>
            </w:r>
          </w:p>
        </w:tc>
      </w:tr>
      <w:tr w14:paraId="280FDA4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26341844">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1104" w:type="pct"/>
            <w:tcBorders>
              <w:tl2br w:val="nil"/>
              <w:tr2bl w:val="nil"/>
            </w:tcBorders>
            <w:shd w:val="clear" w:color="auto" w:fill="auto"/>
            <w:vAlign w:val="top"/>
          </w:tcPr>
          <w:p w14:paraId="7406DE5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783DF7B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70590C83">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084F648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2.46E-15</w:t>
            </w:r>
          </w:p>
        </w:tc>
      </w:tr>
      <w:tr w14:paraId="192AE64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4823D16D">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330</w:t>
            </w:r>
          </w:p>
        </w:tc>
        <w:tc>
          <w:tcPr>
            <w:tcW w:w="1104" w:type="pct"/>
            <w:tcBorders>
              <w:tl2br w:val="nil"/>
              <w:tr2bl w:val="nil"/>
            </w:tcBorders>
            <w:shd w:val="clear" w:color="auto" w:fill="auto"/>
            <w:vAlign w:val="top"/>
          </w:tcPr>
          <w:p w14:paraId="19FBCAC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5ADC04D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74D8A42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55A794BF">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4.06E-16</w:t>
            </w:r>
          </w:p>
        </w:tc>
      </w:tr>
      <w:tr w14:paraId="0ADDCA7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14C10EF8">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340</w:t>
            </w:r>
          </w:p>
        </w:tc>
        <w:tc>
          <w:tcPr>
            <w:tcW w:w="1104" w:type="pct"/>
            <w:tcBorders>
              <w:tl2br w:val="nil"/>
              <w:tr2bl w:val="nil"/>
            </w:tcBorders>
            <w:shd w:val="clear" w:color="auto" w:fill="auto"/>
            <w:vAlign w:val="top"/>
          </w:tcPr>
          <w:p w14:paraId="51EF682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4FB9D93B">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4D86D79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4918B51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6.52E-17</w:t>
            </w:r>
          </w:p>
        </w:tc>
      </w:tr>
      <w:tr w14:paraId="66D15FF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1CE5E4CA">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1104" w:type="pct"/>
            <w:tcBorders>
              <w:tl2br w:val="nil"/>
              <w:tr2bl w:val="nil"/>
            </w:tcBorders>
            <w:shd w:val="clear" w:color="auto" w:fill="auto"/>
            <w:vAlign w:val="top"/>
          </w:tcPr>
          <w:p w14:paraId="2E6BDFA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435CB61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3A3906C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7EE97D2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7.84E-18</w:t>
            </w:r>
          </w:p>
        </w:tc>
      </w:tr>
      <w:tr w14:paraId="46E94EF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3952384B">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1104" w:type="pct"/>
            <w:tcBorders>
              <w:tl2br w:val="nil"/>
              <w:tr2bl w:val="nil"/>
            </w:tcBorders>
            <w:shd w:val="clear" w:color="auto" w:fill="auto"/>
            <w:vAlign w:val="top"/>
          </w:tcPr>
          <w:p w14:paraId="3B1271B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3CB0FF0E">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3C99E15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74D2D30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1.11E-18</w:t>
            </w:r>
          </w:p>
        </w:tc>
      </w:tr>
      <w:tr w14:paraId="67B2560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451F9CDE">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370</w:t>
            </w:r>
          </w:p>
        </w:tc>
        <w:tc>
          <w:tcPr>
            <w:tcW w:w="1104" w:type="pct"/>
            <w:tcBorders>
              <w:tl2br w:val="nil"/>
              <w:tr2bl w:val="nil"/>
            </w:tcBorders>
            <w:shd w:val="clear" w:color="auto" w:fill="auto"/>
            <w:vAlign w:val="top"/>
          </w:tcPr>
          <w:p w14:paraId="45BC713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74F1736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768D7F7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2554F52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0C5BC00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72AED873">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1104" w:type="pct"/>
            <w:tcBorders>
              <w:tl2br w:val="nil"/>
              <w:tr2bl w:val="nil"/>
            </w:tcBorders>
            <w:shd w:val="clear" w:color="auto" w:fill="auto"/>
            <w:vAlign w:val="top"/>
          </w:tcPr>
          <w:p w14:paraId="18987CC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1EC80BF2">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7127576A">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00B90AB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0CA2B5C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09091F1C">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390</w:t>
            </w:r>
          </w:p>
        </w:tc>
        <w:tc>
          <w:tcPr>
            <w:tcW w:w="1104" w:type="pct"/>
            <w:tcBorders>
              <w:tl2br w:val="nil"/>
              <w:tr2bl w:val="nil"/>
            </w:tcBorders>
            <w:shd w:val="clear" w:color="auto" w:fill="auto"/>
            <w:vAlign w:val="top"/>
          </w:tcPr>
          <w:p w14:paraId="2C9E7034">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6DE9889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2A2CD38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2B7D7C6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3A481EA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730" w:type="pct"/>
            <w:tcBorders>
              <w:tl2br w:val="nil"/>
              <w:tr2bl w:val="nil"/>
            </w:tcBorders>
            <w:vAlign w:val="top"/>
          </w:tcPr>
          <w:p w14:paraId="491AD3CA">
            <w:pPr>
              <w:keepNext w:val="0"/>
              <w:keepLines w:val="0"/>
              <w:widowControl/>
              <w:suppressLineNumbers w:val="0"/>
              <w:jc w:val="both"/>
              <w:textAlignment w:val="top"/>
              <w:rPr>
                <w:rFonts w:hint="default" w:ascii="Times New Roman" w:hAnsi="Times New Roman" w:cs="Times New Roman"/>
                <w:color w:val="auto"/>
                <w:sz w:val="18"/>
                <w:szCs w:val="18"/>
                <w:lang w:val="en-US" w:bidi="zh-CN"/>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1104" w:type="pct"/>
            <w:tcBorders>
              <w:tl2br w:val="nil"/>
              <w:tr2bl w:val="nil"/>
            </w:tcBorders>
            <w:shd w:val="clear" w:color="auto" w:fill="auto"/>
            <w:vAlign w:val="top"/>
          </w:tcPr>
          <w:p w14:paraId="12D521E6">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03" w:type="pct"/>
            <w:tcBorders>
              <w:tl2br w:val="nil"/>
              <w:tr2bl w:val="nil"/>
            </w:tcBorders>
            <w:shd w:val="clear" w:color="auto" w:fill="auto"/>
            <w:vAlign w:val="top"/>
          </w:tcPr>
          <w:p w14:paraId="7BFF9A0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76" w:type="pct"/>
            <w:tcBorders>
              <w:tl2br w:val="nil"/>
              <w:tr2bl w:val="nil"/>
            </w:tcBorders>
            <w:shd w:val="clear" w:color="auto" w:fill="auto"/>
            <w:vAlign w:val="top"/>
          </w:tcPr>
          <w:p w14:paraId="32098931">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85" w:type="pct"/>
            <w:tcBorders>
              <w:tl2br w:val="nil"/>
              <w:tr2bl w:val="nil"/>
            </w:tcBorders>
            <w:shd w:val="clear" w:color="auto" w:fill="auto"/>
            <w:vAlign w:val="top"/>
          </w:tcPr>
          <w:p w14:paraId="062C424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3B96344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1328" w:type="dxa"/>
            <w:tcBorders>
              <w:tl2br w:val="nil"/>
              <w:tr2bl w:val="nil"/>
            </w:tcBorders>
            <w:vAlign w:val="center"/>
          </w:tcPr>
          <w:p w14:paraId="07C8100D">
            <w:pPr>
              <w:adjustRightInd w:val="0"/>
              <w:snapToGrid w:val="0"/>
              <w:spacing w:line="240" w:lineRule="auto"/>
              <w:jc w:val="both"/>
              <w:textAlignment w:val="center"/>
              <w:rPr>
                <w:rFonts w:hint="default" w:ascii="Times New Roman" w:hAnsi="Times New Roman" w:cs="Times New Roman"/>
                <w:color w:val="auto"/>
                <w:sz w:val="18"/>
                <w:szCs w:val="18"/>
                <w:lang w:val="en-US" w:bidi="zh-CN"/>
              </w:rPr>
            </w:pPr>
            <w:r>
              <w:rPr>
                <w:rFonts w:hint="default" w:ascii="Times New Roman" w:hAnsi="Times New Roman" w:cs="Times New Roman"/>
                <w:color w:val="auto"/>
                <w:sz w:val="18"/>
                <w:szCs w:val="18"/>
                <w:lang w:val="en-US" w:bidi="zh-CN"/>
              </w:rPr>
              <w:t>1900</w:t>
            </w:r>
          </w:p>
        </w:tc>
        <w:tc>
          <w:tcPr>
            <w:tcW w:w="2008" w:type="dxa"/>
            <w:tcBorders>
              <w:tl2br w:val="nil"/>
              <w:tr2bl w:val="nil"/>
            </w:tcBorders>
            <w:shd w:val="clear" w:color="auto" w:fill="auto"/>
            <w:vAlign w:val="top"/>
          </w:tcPr>
          <w:p w14:paraId="32DE7D48">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006" w:type="dxa"/>
            <w:tcBorders>
              <w:tl2br w:val="nil"/>
              <w:tr2bl w:val="nil"/>
            </w:tcBorders>
            <w:shd w:val="clear" w:color="auto" w:fill="auto"/>
            <w:vAlign w:val="top"/>
          </w:tcPr>
          <w:p w14:paraId="30619E3D">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775" w:type="dxa"/>
            <w:tcBorders>
              <w:tl2br w:val="nil"/>
              <w:tr2bl w:val="nil"/>
            </w:tcBorders>
            <w:shd w:val="clear" w:color="auto" w:fill="auto"/>
            <w:vAlign w:val="top"/>
          </w:tcPr>
          <w:p w14:paraId="339CF439">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973" w:type="dxa"/>
            <w:tcBorders>
              <w:tl2br w:val="nil"/>
              <w:tr2bl w:val="nil"/>
            </w:tcBorders>
            <w:shd w:val="clear" w:color="auto" w:fill="auto"/>
            <w:vAlign w:val="top"/>
          </w:tcPr>
          <w:p w14:paraId="3365B695">
            <w:pPr>
              <w:keepNext w:val="0"/>
              <w:keepLines w:val="0"/>
              <w:widowControl/>
              <w:suppressLineNumbers w:val="0"/>
              <w:jc w:val="both"/>
              <w:textAlignment w:val="top"/>
              <w:rPr>
                <w:rFonts w:hint="default" w:ascii="Times New Roman" w:hAnsi="Times New Roman" w:cs="Times New Roman"/>
                <w:color w:val="auto"/>
                <w:sz w:val="18"/>
                <w:szCs w:val="18"/>
                <w:lang w:bidi="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3B6D3C9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5000" w:type="pct"/>
            <w:gridSpan w:val="5"/>
            <w:tcBorders>
              <w:tl2br w:val="nil"/>
              <w:tr2bl w:val="nil"/>
            </w:tcBorders>
            <w:vAlign w:val="center"/>
          </w:tcPr>
          <w:p w14:paraId="679FC490">
            <w:pPr>
              <w:adjustRightInd w:val="0"/>
              <w:snapToGrid w:val="0"/>
              <w:spacing w:line="240" w:lineRule="auto"/>
              <w:jc w:val="center"/>
              <w:textAlignment w:val="center"/>
              <w:rPr>
                <w:rFonts w:hint="default" w:ascii="Times New Roman" w:hAnsi="Times New Roman" w:cs="Times New Roman"/>
                <w:color w:val="auto"/>
                <w:sz w:val="18"/>
                <w:szCs w:val="18"/>
                <w:lang w:bidi="zh-CN"/>
              </w:rPr>
            </w:pPr>
            <w:r>
              <w:rPr>
                <w:rFonts w:hint="default" w:ascii="Times New Roman" w:hAnsi="Times New Roman" w:cs="Times New Roman"/>
                <w:color w:val="auto"/>
                <w:kern w:val="0"/>
                <w:sz w:val="18"/>
                <w:szCs w:val="18"/>
              </w:rPr>
              <w:t>备注：由于</w:t>
            </w:r>
            <w:r>
              <w:rPr>
                <w:rFonts w:hint="default" w:ascii="Times New Roman" w:hAnsi="Times New Roman" w:cs="Times New Roman"/>
                <w:color w:val="auto"/>
                <w:kern w:val="0"/>
                <w:sz w:val="18"/>
                <w:szCs w:val="18"/>
                <w:lang w:val="en-US" w:eastAsia="zh-CN"/>
              </w:rPr>
              <w:t>下游菁沟位于项目</w:t>
            </w:r>
            <w:r>
              <w:rPr>
                <w:rFonts w:hint="default" w:ascii="Times New Roman" w:hAnsi="Times New Roman" w:cs="Times New Roman"/>
                <w:color w:val="auto"/>
                <w:kern w:val="0"/>
                <w:sz w:val="18"/>
                <w:szCs w:val="18"/>
              </w:rPr>
              <w:t>下游</w:t>
            </w:r>
            <w:r>
              <w:rPr>
                <w:rFonts w:hint="default" w:ascii="Times New Roman" w:hAnsi="Times New Roman" w:cs="Times New Roman"/>
                <w:color w:val="auto"/>
                <w:kern w:val="0"/>
                <w:sz w:val="18"/>
                <w:szCs w:val="18"/>
                <w:lang w:val="en-US" w:eastAsia="zh-CN"/>
              </w:rPr>
              <w:t>1900</w:t>
            </w:r>
            <w:r>
              <w:rPr>
                <w:rFonts w:hint="default" w:ascii="Times New Roman" w:hAnsi="Times New Roman" w:cs="Times New Roman"/>
                <w:color w:val="auto"/>
                <w:kern w:val="0"/>
                <w:sz w:val="18"/>
                <w:szCs w:val="18"/>
              </w:rPr>
              <w:t>m处，因此最大预测距离取</w:t>
            </w:r>
            <w:r>
              <w:rPr>
                <w:rFonts w:hint="default" w:ascii="Times New Roman" w:hAnsi="Times New Roman" w:cs="Times New Roman"/>
                <w:color w:val="auto"/>
                <w:kern w:val="0"/>
                <w:sz w:val="18"/>
                <w:szCs w:val="18"/>
                <w:lang w:val="en-US" w:eastAsia="zh-CN"/>
              </w:rPr>
              <w:t>1900</w:t>
            </w:r>
            <w:r>
              <w:rPr>
                <w:rFonts w:hint="default" w:ascii="Times New Roman" w:hAnsi="Times New Roman" w:cs="Times New Roman"/>
                <w:color w:val="auto"/>
                <w:kern w:val="0"/>
                <w:sz w:val="18"/>
                <w:szCs w:val="18"/>
              </w:rPr>
              <w:t>m。</w:t>
            </w:r>
          </w:p>
        </w:tc>
      </w:tr>
    </w:tbl>
    <w:p w14:paraId="4AE13E05">
      <w:pPr>
        <w:pStyle w:val="2"/>
        <w:spacing w:after="0"/>
        <w:ind w:firstLine="490" w:firstLineChars="200"/>
        <w:rPr>
          <w:rFonts w:hint="default" w:ascii="Times New Roman" w:hAnsi="Times New Roman" w:cs="Times New Roman"/>
          <w:kern w:val="0"/>
        </w:rPr>
      </w:pPr>
      <w:r>
        <w:rPr>
          <w:rFonts w:hint="default" w:ascii="Times New Roman" w:hAnsi="Times New Roman" w:cs="Times New Roman"/>
        </w:rPr>
        <w:drawing>
          <wp:inline distT="0" distB="0" distL="114300" distR="114300">
            <wp:extent cx="4826000" cy="2743200"/>
            <wp:effectExtent l="6350" t="6350" r="6350" b="50800"/>
            <wp:docPr id="9" name="图表 29" descr="7b0a202020202263686172745265734964223a202232303437313431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8096AF">
      <w:pPr>
        <w:numPr>
          <w:ilvl w:val="12"/>
          <w:numId w:val="0"/>
        </w:numPr>
        <w:adjustRightInd w:val="0"/>
        <w:snapToGrid w:val="0"/>
        <w:spacing w:line="240" w:lineRule="auto"/>
        <w:jc w:val="center"/>
        <w:textAlignment w:val="baseline"/>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图</w:t>
      </w:r>
      <w:r>
        <w:rPr>
          <w:rFonts w:hint="default" w:ascii="Times New Roman" w:hAnsi="Times New Roman" w:cs="Times New Roman"/>
          <w:b/>
          <w:bCs/>
          <w:kern w:val="0"/>
          <w:sz w:val="21"/>
          <w:szCs w:val="21"/>
          <w:lang w:val="en-US" w:eastAsia="zh-CN"/>
        </w:rPr>
        <w:t>6</w:t>
      </w:r>
      <w:r>
        <w:rPr>
          <w:rFonts w:hint="default" w:ascii="Times New Roman" w:hAnsi="Times New Roman" w:cs="Times New Roman"/>
          <w:b/>
          <w:bCs/>
          <w:kern w:val="0"/>
          <w:sz w:val="21"/>
          <w:szCs w:val="21"/>
        </w:rPr>
        <w:t>.</w:t>
      </w:r>
      <w:r>
        <w:rPr>
          <w:rFonts w:hint="default" w:ascii="Times New Roman" w:hAnsi="Times New Roman" w:cs="Times New Roman"/>
          <w:b/>
          <w:bCs/>
          <w:kern w:val="0"/>
          <w:sz w:val="21"/>
          <w:szCs w:val="21"/>
          <w:lang w:val="en-US" w:eastAsia="zh-CN"/>
        </w:rPr>
        <w:t>3</w:t>
      </w:r>
      <w:r>
        <w:rPr>
          <w:rFonts w:hint="default" w:ascii="Times New Roman" w:hAnsi="Times New Roman" w:cs="Times New Roman"/>
          <w:b/>
          <w:bCs/>
          <w:kern w:val="0"/>
          <w:sz w:val="21"/>
          <w:szCs w:val="21"/>
        </w:rPr>
        <w:t>-</w:t>
      </w:r>
      <w:r>
        <w:rPr>
          <w:rFonts w:hint="default" w:ascii="Times New Roman" w:hAnsi="Times New Roman" w:cs="Times New Roman"/>
          <w:b/>
          <w:bCs/>
          <w:kern w:val="0"/>
          <w:sz w:val="21"/>
          <w:szCs w:val="21"/>
          <w:lang w:val="en-US" w:eastAsia="zh-CN"/>
        </w:rPr>
        <w:t>3</w:t>
      </w:r>
      <w:r>
        <w:rPr>
          <w:rFonts w:hint="default" w:ascii="Times New Roman" w:hAnsi="Times New Roman" w:cs="Times New Roman"/>
          <w:b/>
          <w:bCs/>
          <w:kern w:val="0"/>
          <w:sz w:val="21"/>
          <w:szCs w:val="21"/>
        </w:rPr>
        <w:t xml:space="preserve">  Mn</w:t>
      </w:r>
      <w:r>
        <w:rPr>
          <w:rFonts w:hint="default" w:ascii="Times New Roman" w:hAnsi="Times New Roman" w:cs="Times New Roman"/>
          <w:b/>
          <w:bCs/>
          <w:kern w:val="0"/>
          <w:sz w:val="21"/>
          <w:szCs w:val="21"/>
          <w:lang w:eastAsia="zh-CN"/>
        </w:rPr>
        <w:t>泄漏</w:t>
      </w:r>
      <w:r>
        <w:rPr>
          <w:rFonts w:hint="default" w:ascii="Times New Roman" w:hAnsi="Times New Roman" w:cs="Times New Roman"/>
          <w:b/>
          <w:bCs/>
          <w:kern w:val="0"/>
          <w:sz w:val="21"/>
          <w:szCs w:val="21"/>
        </w:rPr>
        <w:t>预测图</w:t>
      </w:r>
    </w:p>
    <w:p w14:paraId="04BCD6C1">
      <w:pPr>
        <w:pStyle w:val="2"/>
        <w:spacing w:after="0"/>
        <w:ind w:firstLine="490" w:firstLineChars="200"/>
        <w:rPr>
          <w:rFonts w:hint="default" w:ascii="Times New Roman" w:hAnsi="Times New Roman" w:cs="Times New Roman"/>
          <w:kern w:val="0"/>
        </w:rPr>
      </w:pPr>
    </w:p>
    <w:p w14:paraId="00C598DB">
      <w:pPr>
        <w:pStyle w:val="2"/>
        <w:spacing w:after="0"/>
        <w:ind w:firstLine="490" w:firstLineChars="200"/>
        <w:rPr>
          <w:rFonts w:hint="default" w:ascii="Times New Roman" w:hAnsi="Times New Roman" w:cs="Times New Roman" w:eastAsiaTheme="minorEastAsia"/>
        </w:rPr>
      </w:pPr>
      <w:r>
        <w:rPr>
          <w:rFonts w:hint="default" w:ascii="Times New Roman" w:hAnsi="Times New Roman" w:cs="Times New Roman"/>
          <w:kern w:val="0"/>
        </w:rPr>
        <w:t>非正常状况下</w:t>
      </w:r>
      <w:r>
        <w:rPr>
          <w:rFonts w:hint="default" w:ascii="Times New Roman" w:hAnsi="Times New Roman" w:cs="Times New Roman" w:eastAsiaTheme="minorEastAsia"/>
        </w:rPr>
        <w:t>污染物运移距离情况见下表。</w:t>
      </w:r>
    </w:p>
    <w:p w14:paraId="00237C5F">
      <w:pPr>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6</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3.5</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7</w:t>
      </w:r>
      <w:r>
        <w:rPr>
          <w:rFonts w:hint="default" w:ascii="Times New Roman" w:hAnsi="Times New Roman" w:eastAsia="黑体" w:cs="Times New Roman"/>
          <w:b w:val="0"/>
          <w:bCs/>
          <w:sz w:val="21"/>
          <w:szCs w:val="21"/>
        </w:rPr>
        <w:t xml:space="preserve">  非正常状况污染物在地下水溶质运移距离</w:t>
      </w:r>
    </w:p>
    <w:tbl>
      <w:tblPr>
        <w:tblStyle w:val="67"/>
        <w:tblW w:w="4998" w:type="pct"/>
        <w:jc w:val="center"/>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625"/>
        <w:gridCol w:w="1255"/>
        <w:gridCol w:w="1256"/>
        <w:gridCol w:w="1256"/>
        <w:gridCol w:w="1838"/>
        <w:gridCol w:w="1838"/>
      </w:tblGrid>
      <w:tr w14:paraId="5FE4FFC4">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3" w:hRule="atLeast"/>
          <w:jc w:val="center"/>
        </w:trPr>
        <w:tc>
          <w:tcPr>
            <w:tcW w:w="896" w:type="pct"/>
            <w:tcBorders>
              <w:tl2br w:val="nil"/>
              <w:tr2bl w:val="nil"/>
            </w:tcBorders>
            <w:vAlign w:val="center"/>
          </w:tcPr>
          <w:p w14:paraId="25AD6D1E">
            <w:pPr>
              <w:pStyle w:val="53"/>
              <w:spacing w:line="240" w:lineRule="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污染物</w:t>
            </w:r>
          </w:p>
        </w:tc>
        <w:tc>
          <w:tcPr>
            <w:tcW w:w="692" w:type="pct"/>
            <w:tcBorders>
              <w:tl2br w:val="nil"/>
              <w:tr2bl w:val="nil"/>
            </w:tcBorders>
            <w:vAlign w:val="center"/>
          </w:tcPr>
          <w:p w14:paraId="1A0FC17A">
            <w:pPr>
              <w:pStyle w:val="53"/>
              <w:spacing w:line="240" w:lineRule="auto"/>
              <w:rPr>
                <w:rFonts w:hint="default" w:ascii="Times New Roman" w:hAnsi="Times New Roman" w:cs="Times New Roman"/>
                <w:color w:val="auto"/>
                <w:sz w:val="18"/>
                <w:szCs w:val="18"/>
                <w:lang w:eastAsia="en-US"/>
              </w:rPr>
            </w:pPr>
            <w:r>
              <w:rPr>
                <w:rFonts w:hint="default" w:ascii="Times New Roman" w:hAnsi="Times New Roman" w:cs="Times New Roman"/>
                <w:color w:val="auto"/>
                <w:sz w:val="18"/>
                <w:szCs w:val="18"/>
                <w:lang w:eastAsia="en-US"/>
              </w:rPr>
              <w:t>标准值</w:t>
            </w:r>
            <w:r>
              <w:rPr>
                <w:rFonts w:hint="default" w:ascii="Times New Roman" w:hAnsi="Times New Roman" w:cs="Times New Roman"/>
                <w:color w:val="auto"/>
                <w:sz w:val="18"/>
                <w:szCs w:val="18"/>
                <w:lang w:eastAsia="zh-CN"/>
              </w:rPr>
              <w:t>/mg/L</w:t>
            </w:r>
          </w:p>
        </w:tc>
        <w:tc>
          <w:tcPr>
            <w:tcW w:w="692" w:type="pct"/>
            <w:tcBorders>
              <w:tl2br w:val="nil"/>
              <w:tr2bl w:val="nil"/>
            </w:tcBorders>
            <w:vAlign w:val="center"/>
          </w:tcPr>
          <w:p w14:paraId="24241D3F">
            <w:pPr>
              <w:pStyle w:val="53"/>
              <w:spacing w:line="240" w:lineRule="auto"/>
              <w:rPr>
                <w:rFonts w:hint="default" w:ascii="Times New Roman" w:hAnsi="Times New Roman" w:cs="Times New Roman"/>
                <w:color w:val="auto"/>
                <w:sz w:val="18"/>
                <w:szCs w:val="18"/>
                <w:lang w:eastAsia="en-US"/>
              </w:rPr>
            </w:pPr>
            <w:r>
              <w:rPr>
                <w:rFonts w:hint="default" w:ascii="Times New Roman" w:hAnsi="Times New Roman" w:cs="Times New Roman"/>
                <w:color w:val="auto"/>
                <w:sz w:val="18"/>
                <w:szCs w:val="18"/>
                <w:lang w:eastAsia="en-US"/>
              </w:rPr>
              <w:t>检出限</w:t>
            </w:r>
            <w:r>
              <w:rPr>
                <w:rFonts w:hint="default" w:ascii="Times New Roman" w:hAnsi="Times New Roman" w:cs="Times New Roman"/>
                <w:color w:val="auto"/>
                <w:sz w:val="18"/>
                <w:szCs w:val="18"/>
                <w:lang w:eastAsia="zh-CN"/>
              </w:rPr>
              <w:t>/mg/L</w:t>
            </w:r>
          </w:p>
        </w:tc>
        <w:tc>
          <w:tcPr>
            <w:tcW w:w="692" w:type="pct"/>
            <w:tcBorders>
              <w:tl2br w:val="nil"/>
              <w:tr2bl w:val="nil"/>
            </w:tcBorders>
            <w:vAlign w:val="center"/>
          </w:tcPr>
          <w:p w14:paraId="5E08C586">
            <w:pPr>
              <w:pStyle w:val="53"/>
              <w:spacing w:line="240" w:lineRule="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en-US"/>
              </w:rPr>
              <w:t>预测时段</w:t>
            </w:r>
            <w:r>
              <w:rPr>
                <w:rFonts w:hint="default" w:ascii="Times New Roman" w:hAnsi="Times New Roman" w:cs="Times New Roman"/>
                <w:color w:val="auto"/>
                <w:sz w:val="18"/>
                <w:szCs w:val="18"/>
                <w:lang w:eastAsia="zh-CN"/>
              </w:rPr>
              <w:t>/d</w:t>
            </w:r>
          </w:p>
        </w:tc>
        <w:tc>
          <w:tcPr>
            <w:tcW w:w="1013" w:type="pct"/>
            <w:tcBorders>
              <w:tl2br w:val="nil"/>
              <w:tr2bl w:val="nil"/>
            </w:tcBorders>
            <w:vAlign w:val="center"/>
          </w:tcPr>
          <w:p w14:paraId="55F9828A">
            <w:pPr>
              <w:pStyle w:val="53"/>
              <w:spacing w:line="240" w:lineRule="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预测超标距离/m</w:t>
            </w:r>
          </w:p>
        </w:tc>
        <w:tc>
          <w:tcPr>
            <w:tcW w:w="1013" w:type="pct"/>
            <w:tcBorders>
              <w:tl2br w:val="nil"/>
              <w:tr2bl w:val="nil"/>
            </w:tcBorders>
            <w:vAlign w:val="center"/>
          </w:tcPr>
          <w:p w14:paraId="5070141B">
            <w:pPr>
              <w:pStyle w:val="53"/>
              <w:spacing w:line="240" w:lineRule="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预测影响距离/m</w:t>
            </w:r>
          </w:p>
        </w:tc>
      </w:tr>
      <w:tr w14:paraId="151E5493">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 w:hRule="atLeast"/>
          <w:jc w:val="center"/>
        </w:trPr>
        <w:tc>
          <w:tcPr>
            <w:tcW w:w="896" w:type="pct"/>
            <w:vMerge w:val="restart"/>
            <w:tcBorders>
              <w:tl2br w:val="nil"/>
              <w:tr2bl w:val="nil"/>
            </w:tcBorders>
            <w:vAlign w:val="center"/>
          </w:tcPr>
          <w:p w14:paraId="73F688F2">
            <w:pPr>
              <w:pStyle w:val="53"/>
              <w:spacing w:line="240" w:lineRule="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COD</w:t>
            </w:r>
          </w:p>
        </w:tc>
        <w:tc>
          <w:tcPr>
            <w:tcW w:w="692" w:type="pct"/>
            <w:vMerge w:val="restart"/>
            <w:tcBorders>
              <w:tl2br w:val="nil"/>
              <w:tr2bl w:val="nil"/>
            </w:tcBorders>
            <w:vAlign w:val="center"/>
          </w:tcPr>
          <w:p w14:paraId="488CEA22">
            <w:pPr>
              <w:pStyle w:val="53"/>
              <w:spacing w:line="240" w:lineRule="auto"/>
              <w:rPr>
                <w:rFonts w:hint="default" w:ascii="Times New Roman" w:hAnsi="Times New Roman" w:cs="Times New Roman"/>
                <w:color w:val="auto"/>
                <w:sz w:val="18"/>
                <w:szCs w:val="18"/>
                <w:lang w:eastAsia="en-US"/>
              </w:rPr>
            </w:pPr>
            <w:r>
              <w:rPr>
                <w:rFonts w:hint="default" w:ascii="Times New Roman" w:hAnsi="Times New Roman" w:cs="Times New Roman"/>
                <w:color w:val="auto"/>
                <w:sz w:val="18"/>
                <w:szCs w:val="18"/>
                <w:lang w:eastAsia="zh-CN"/>
              </w:rPr>
              <w:t>3.0</w:t>
            </w:r>
          </w:p>
        </w:tc>
        <w:tc>
          <w:tcPr>
            <w:tcW w:w="692" w:type="pct"/>
            <w:vMerge w:val="restart"/>
            <w:tcBorders>
              <w:tl2br w:val="nil"/>
              <w:tr2bl w:val="nil"/>
            </w:tcBorders>
            <w:vAlign w:val="center"/>
          </w:tcPr>
          <w:p w14:paraId="0CD09025">
            <w:pPr>
              <w:pStyle w:val="53"/>
              <w:spacing w:line="240" w:lineRule="auto"/>
              <w:rPr>
                <w:rFonts w:hint="default" w:ascii="Times New Roman" w:hAnsi="Times New Roman" w:cs="Times New Roman"/>
                <w:color w:val="auto"/>
                <w:sz w:val="18"/>
                <w:szCs w:val="18"/>
                <w:lang w:eastAsia="en-US"/>
              </w:rPr>
            </w:pPr>
            <w:r>
              <w:rPr>
                <w:rFonts w:hint="default" w:ascii="Times New Roman" w:hAnsi="Times New Roman" w:cs="Times New Roman"/>
                <w:color w:val="auto"/>
                <w:sz w:val="18"/>
                <w:szCs w:val="18"/>
                <w:lang w:eastAsia="zh-CN"/>
              </w:rPr>
              <w:t>0.05</w:t>
            </w:r>
          </w:p>
        </w:tc>
        <w:tc>
          <w:tcPr>
            <w:tcW w:w="692" w:type="pct"/>
            <w:tcBorders>
              <w:tl2br w:val="nil"/>
              <w:tr2bl w:val="nil"/>
            </w:tcBorders>
            <w:vAlign w:val="center"/>
          </w:tcPr>
          <w:p w14:paraId="3713B099">
            <w:pPr>
              <w:pStyle w:val="53"/>
              <w:spacing w:line="240" w:lineRule="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en-US"/>
              </w:rPr>
              <w:t>100</w:t>
            </w:r>
            <w:r>
              <w:rPr>
                <w:rFonts w:hint="default" w:ascii="Times New Roman" w:hAnsi="Times New Roman" w:cs="Times New Roman"/>
                <w:color w:val="auto"/>
                <w:sz w:val="18"/>
                <w:szCs w:val="18"/>
                <w:lang w:eastAsia="zh-CN"/>
              </w:rPr>
              <w:t xml:space="preserve"> d</w:t>
            </w:r>
          </w:p>
        </w:tc>
        <w:tc>
          <w:tcPr>
            <w:tcW w:w="1013" w:type="pct"/>
            <w:tcBorders>
              <w:tl2br w:val="nil"/>
              <w:tr2bl w:val="nil"/>
            </w:tcBorders>
            <w:vAlign w:val="center"/>
          </w:tcPr>
          <w:p w14:paraId="5DCA5814">
            <w:pPr>
              <w:pStyle w:val="53"/>
              <w:spacing w:line="240" w:lineRule="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18.04</w:t>
            </w:r>
          </w:p>
        </w:tc>
        <w:tc>
          <w:tcPr>
            <w:tcW w:w="1013" w:type="pct"/>
            <w:tcBorders>
              <w:tl2br w:val="nil"/>
              <w:tr2bl w:val="nil"/>
            </w:tcBorders>
            <w:vAlign w:val="center"/>
          </w:tcPr>
          <w:p w14:paraId="03C62721">
            <w:pPr>
              <w:pStyle w:val="53"/>
              <w:spacing w:line="240" w:lineRule="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w:t>
            </w:r>
          </w:p>
        </w:tc>
      </w:tr>
      <w:tr w14:paraId="41AEE9A5">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 w:hRule="atLeast"/>
          <w:jc w:val="center"/>
        </w:trPr>
        <w:tc>
          <w:tcPr>
            <w:tcW w:w="896" w:type="pct"/>
            <w:vMerge w:val="continue"/>
            <w:tcBorders>
              <w:tl2br w:val="nil"/>
              <w:tr2bl w:val="nil"/>
            </w:tcBorders>
            <w:vAlign w:val="center"/>
          </w:tcPr>
          <w:p w14:paraId="65D01AAD">
            <w:pPr>
              <w:autoSpaceDE w:val="0"/>
              <w:autoSpaceDN w:val="0"/>
              <w:spacing w:line="240" w:lineRule="auto"/>
              <w:jc w:val="center"/>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08D00F4E">
            <w:pPr>
              <w:pStyle w:val="53"/>
              <w:spacing w:line="240" w:lineRule="auto"/>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4802181B">
            <w:pPr>
              <w:pStyle w:val="53"/>
              <w:spacing w:line="240" w:lineRule="auto"/>
              <w:rPr>
                <w:rFonts w:hint="default" w:ascii="Times New Roman" w:hAnsi="Times New Roman" w:cs="Times New Roman"/>
                <w:color w:val="auto"/>
                <w:sz w:val="18"/>
                <w:szCs w:val="18"/>
                <w:lang w:eastAsia="en-US"/>
              </w:rPr>
            </w:pPr>
          </w:p>
        </w:tc>
        <w:tc>
          <w:tcPr>
            <w:tcW w:w="692" w:type="pct"/>
            <w:tcBorders>
              <w:tl2br w:val="nil"/>
              <w:tr2bl w:val="nil"/>
            </w:tcBorders>
            <w:vAlign w:val="center"/>
          </w:tcPr>
          <w:p w14:paraId="3109E1C9">
            <w:pPr>
              <w:pStyle w:val="53"/>
              <w:spacing w:line="240" w:lineRule="auto"/>
              <w:rPr>
                <w:rFonts w:hint="default" w:ascii="Times New Roman" w:hAnsi="Times New Roman" w:cs="Times New Roman"/>
                <w:color w:val="auto"/>
                <w:sz w:val="18"/>
                <w:szCs w:val="18"/>
                <w:lang w:eastAsia="en-US"/>
              </w:rPr>
            </w:pPr>
            <w:r>
              <w:rPr>
                <w:rFonts w:hint="default" w:ascii="Times New Roman" w:hAnsi="Times New Roman" w:cs="Times New Roman"/>
                <w:color w:val="auto"/>
                <w:sz w:val="18"/>
                <w:szCs w:val="18"/>
                <w:lang w:eastAsia="zh-CN"/>
              </w:rPr>
              <w:t>365 d</w:t>
            </w:r>
          </w:p>
        </w:tc>
        <w:tc>
          <w:tcPr>
            <w:tcW w:w="1013" w:type="pct"/>
            <w:tcBorders>
              <w:tl2br w:val="nil"/>
              <w:tr2bl w:val="nil"/>
            </w:tcBorders>
            <w:vAlign w:val="center"/>
          </w:tcPr>
          <w:p w14:paraId="0F56FE28">
            <w:pPr>
              <w:pStyle w:val="53"/>
              <w:spacing w:line="240" w:lineRule="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32.5</w:t>
            </w:r>
          </w:p>
        </w:tc>
        <w:tc>
          <w:tcPr>
            <w:tcW w:w="1013" w:type="pct"/>
            <w:tcBorders>
              <w:tl2br w:val="nil"/>
              <w:tr2bl w:val="nil"/>
            </w:tcBorders>
            <w:vAlign w:val="center"/>
          </w:tcPr>
          <w:p w14:paraId="14C9B812">
            <w:pPr>
              <w:pStyle w:val="53"/>
              <w:spacing w:line="240" w:lineRule="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34</w:t>
            </w:r>
          </w:p>
        </w:tc>
      </w:tr>
      <w:tr w14:paraId="5268CAD2">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896" w:type="pct"/>
            <w:vMerge w:val="continue"/>
            <w:tcBorders>
              <w:tl2br w:val="nil"/>
              <w:tr2bl w:val="nil"/>
            </w:tcBorders>
            <w:vAlign w:val="center"/>
          </w:tcPr>
          <w:p w14:paraId="44BE8C48">
            <w:pPr>
              <w:autoSpaceDE w:val="0"/>
              <w:autoSpaceDN w:val="0"/>
              <w:spacing w:line="240" w:lineRule="auto"/>
              <w:jc w:val="center"/>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78A82EC1">
            <w:pPr>
              <w:pStyle w:val="53"/>
              <w:spacing w:line="240" w:lineRule="auto"/>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37DB986C">
            <w:pPr>
              <w:pStyle w:val="53"/>
              <w:spacing w:line="240" w:lineRule="auto"/>
              <w:rPr>
                <w:rFonts w:hint="default" w:ascii="Times New Roman" w:hAnsi="Times New Roman" w:cs="Times New Roman"/>
                <w:color w:val="auto"/>
                <w:sz w:val="18"/>
                <w:szCs w:val="18"/>
                <w:lang w:eastAsia="en-US"/>
              </w:rPr>
            </w:pPr>
          </w:p>
        </w:tc>
        <w:tc>
          <w:tcPr>
            <w:tcW w:w="692" w:type="pct"/>
            <w:tcBorders>
              <w:tl2br w:val="nil"/>
              <w:tr2bl w:val="nil"/>
            </w:tcBorders>
            <w:vAlign w:val="center"/>
          </w:tcPr>
          <w:p w14:paraId="4933FE4D">
            <w:pPr>
              <w:pStyle w:val="53"/>
              <w:spacing w:line="240" w:lineRule="auto"/>
              <w:rPr>
                <w:rFonts w:hint="default" w:ascii="Times New Roman" w:hAnsi="Times New Roman" w:cs="Times New Roman"/>
                <w:color w:val="auto"/>
                <w:sz w:val="18"/>
                <w:szCs w:val="18"/>
                <w:lang w:eastAsia="en-US"/>
              </w:rPr>
            </w:pPr>
            <w:r>
              <w:rPr>
                <w:rFonts w:hint="default" w:ascii="Times New Roman" w:hAnsi="Times New Roman" w:cs="Times New Roman"/>
                <w:color w:val="auto"/>
                <w:sz w:val="18"/>
                <w:szCs w:val="18"/>
                <w:lang w:eastAsia="zh-CN"/>
              </w:rPr>
              <w:t>1000 d</w:t>
            </w:r>
          </w:p>
        </w:tc>
        <w:tc>
          <w:tcPr>
            <w:tcW w:w="1013" w:type="pct"/>
            <w:tcBorders>
              <w:tl2br w:val="nil"/>
              <w:tr2bl w:val="nil"/>
            </w:tcBorders>
            <w:vAlign w:val="center"/>
          </w:tcPr>
          <w:p w14:paraId="5DA5F8CD">
            <w:pPr>
              <w:pStyle w:val="53"/>
              <w:spacing w:line="240" w:lineRule="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53.85</w:t>
            </w:r>
          </w:p>
        </w:tc>
        <w:tc>
          <w:tcPr>
            <w:tcW w:w="1013" w:type="pct"/>
            <w:tcBorders>
              <w:tl2br w:val="nil"/>
              <w:tr2bl w:val="nil"/>
            </w:tcBorders>
            <w:vAlign w:val="center"/>
          </w:tcPr>
          <w:p w14:paraId="606528E7">
            <w:pPr>
              <w:pStyle w:val="53"/>
              <w:spacing w:line="240" w:lineRule="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56</w:t>
            </w:r>
          </w:p>
        </w:tc>
      </w:tr>
      <w:tr w14:paraId="7ECE25E1">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896" w:type="pct"/>
            <w:vMerge w:val="continue"/>
            <w:tcBorders>
              <w:tl2br w:val="nil"/>
              <w:tr2bl w:val="nil"/>
            </w:tcBorders>
            <w:vAlign w:val="center"/>
          </w:tcPr>
          <w:p w14:paraId="4E4E4BA8">
            <w:pPr>
              <w:autoSpaceDE w:val="0"/>
              <w:autoSpaceDN w:val="0"/>
              <w:spacing w:line="240" w:lineRule="auto"/>
              <w:jc w:val="center"/>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14E6B808">
            <w:pPr>
              <w:pStyle w:val="53"/>
              <w:spacing w:line="240" w:lineRule="auto"/>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023069FA">
            <w:pPr>
              <w:pStyle w:val="53"/>
              <w:spacing w:line="240" w:lineRule="auto"/>
              <w:rPr>
                <w:rFonts w:hint="default" w:ascii="Times New Roman" w:hAnsi="Times New Roman" w:cs="Times New Roman"/>
                <w:color w:val="auto"/>
                <w:sz w:val="18"/>
                <w:szCs w:val="18"/>
                <w:lang w:eastAsia="en-US"/>
              </w:rPr>
            </w:pPr>
          </w:p>
        </w:tc>
        <w:tc>
          <w:tcPr>
            <w:tcW w:w="692" w:type="pct"/>
            <w:tcBorders>
              <w:tl2br w:val="nil"/>
              <w:tr2bl w:val="nil"/>
            </w:tcBorders>
            <w:vAlign w:val="center"/>
          </w:tcPr>
          <w:p w14:paraId="7F684494">
            <w:pPr>
              <w:pStyle w:val="53"/>
              <w:spacing w:line="240" w:lineRule="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1825 d</w:t>
            </w:r>
          </w:p>
        </w:tc>
        <w:tc>
          <w:tcPr>
            <w:tcW w:w="1013" w:type="pct"/>
            <w:tcBorders>
              <w:tl2br w:val="nil"/>
              <w:tr2bl w:val="nil"/>
            </w:tcBorders>
            <w:vAlign w:val="center"/>
          </w:tcPr>
          <w:p w14:paraId="29293B46">
            <w:pPr>
              <w:pStyle w:val="53"/>
              <w:spacing w:line="240" w:lineRule="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73.0</w:t>
            </w:r>
          </w:p>
        </w:tc>
        <w:tc>
          <w:tcPr>
            <w:tcW w:w="1013" w:type="pct"/>
            <w:tcBorders>
              <w:tl2br w:val="nil"/>
              <w:tr2bl w:val="nil"/>
            </w:tcBorders>
            <w:vAlign w:val="center"/>
          </w:tcPr>
          <w:p w14:paraId="1F991E1C">
            <w:pPr>
              <w:pStyle w:val="53"/>
              <w:spacing w:line="240" w:lineRule="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76</w:t>
            </w:r>
          </w:p>
        </w:tc>
      </w:tr>
      <w:tr w14:paraId="12ED973B">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896" w:type="pct"/>
            <w:vMerge w:val="restart"/>
            <w:tcBorders>
              <w:tl2br w:val="nil"/>
              <w:tr2bl w:val="nil"/>
            </w:tcBorders>
            <w:vAlign w:val="center"/>
          </w:tcPr>
          <w:p w14:paraId="2C8E2367">
            <w:pPr>
              <w:autoSpaceDE w:val="0"/>
              <w:autoSpaceDN w:val="0"/>
              <w:spacing w:line="240" w:lineRule="auto"/>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Fe</w:t>
            </w:r>
          </w:p>
        </w:tc>
        <w:tc>
          <w:tcPr>
            <w:tcW w:w="692" w:type="pct"/>
            <w:vMerge w:val="restart"/>
            <w:tcBorders>
              <w:tl2br w:val="nil"/>
              <w:tr2bl w:val="nil"/>
            </w:tcBorders>
            <w:vAlign w:val="center"/>
          </w:tcPr>
          <w:p w14:paraId="1A8C3702">
            <w:pPr>
              <w:pStyle w:val="53"/>
              <w:spacing w:line="240" w:lineRule="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0.3</w:t>
            </w:r>
          </w:p>
        </w:tc>
        <w:tc>
          <w:tcPr>
            <w:tcW w:w="692" w:type="pct"/>
            <w:vMerge w:val="restart"/>
            <w:tcBorders>
              <w:tl2br w:val="nil"/>
              <w:tr2bl w:val="nil"/>
            </w:tcBorders>
            <w:vAlign w:val="center"/>
          </w:tcPr>
          <w:p w14:paraId="5DD4BE8A">
            <w:pPr>
              <w:pStyle w:val="53"/>
              <w:spacing w:line="240" w:lineRule="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0.03</w:t>
            </w:r>
          </w:p>
        </w:tc>
        <w:tc>
          <w:tcPr>
            <w:tcW w:w="692" w:type="pct"/>
            <w:tcBorders>
              <w:tl2br w:val="nil"/>
              <w:tr2bl w:val="nil"/>
            </w:tcBorders>
            <w:vAlign w:val="center"/>
          </w:tcPr>
          <w:p w14:paraId="70CBAE2A">
            <w:pPr>
              <w:pStyle w:val="53"/>
              <w:spacing w:line="240" w:lineRule="auto"/>
              <w:rPr>
                <w:rFonts w:hint="default" w:ascii="Times New Roman" w:hAnsi="Times New Roman" w:cs="Times New Roman"/>
                <w:color w:val="auto"/>
                <w:sz w:val="18"/>
                <w:szCs w:val="18"/>
                <w:lang w:eastAsia="en-US"/>
              </w:rPr>
            </w:pPr>
            <w:r>
              <w:rPr>
                <w:rFonts w:hint="default" w:ascii="Times New Roman" w:hAnsi="Times New Roman" w:cs="Times New Roman"/>
                <w:color w:val="auto"/>
                <w:sz w:val="18"/>
                <w:szCs w:val="18"/>
                <w:lang w:eastAsia="en-US"/>
              </w:rPr>
              <w:t>100</w:t>
            </w:r>
            <w:r>
              <w:rPr>
                <w:rFonts w:hint="default" w:ascii="Times New Roman" w:hAnsi="Times New Roman" w:cs="Times New Roman"/>
                <w:color w:val="auto"/>
                <w:sz w:val="18"/>
                <w:szCs w:val="18"/>
                <w:lang w:eastAsia="zh-CN"/>
              </w:rPr>
              <w:t xml:space="preserve"> d</w:t>
            </w:r>
          </w:p>
        </w:tc>
        <w:tc>
          <w:tcPr>
            <w:tcW w:w="1013" w:type="pct"/>
            <w:tcBorders>
              <w:tl2br w:val="nil"/>
              <w:tr2bl w:val="nil"/>
            </w:tcBorders>
            <w:vAlign w:val="center"/>
          </w:tcPr>
          <w:p w14:paraId="670BDDC7">
            <w:pPr>
              <w:pStyle w:val="53"/>
              <w:spacing w:line="240" w:lineRule="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013" w:type="pct"/>
            <w:tcBorders>
              <w:tl2br w:val="nil"/>
              <w:tr2bl w:val="nil"/>
            </w:tcBorders>
            <w:vAlign w:val="center"/>
          </w:tcPr>
          <w:p w14:paraId="1A0C67BE">
            <w:pPr>
              <w:pStyle w:val="53"/>
              <w:spacing w:line="240" w:lineRule="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r>
      <w:tr w14:paraId="6F45D7BE">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896" w:type="pct"/>
            <w:vMerge w:val="continue"/>
            <w:tcBorders>
              <w:tl2br w:val="nil"/>
              <w:tr2bl w:val="nil"/>
            </w:tcBorders>
            <w:vAlign w:val="center"/>
          </w:tcPr>
          <w:p w14:paraId="369B200C">
            <w:pPr>
              <w:autoSpaceDE w:val="0"/>
              <w:autoSpaceDN w:val="0"/>
              <w:spacing w:line="240" w:lineRule="auto"/>
              <w:jc w:val="center"/>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4F577BE2">
            <w:pPr>
              <w:pStyle w:val="53"/>
              <w:spacing w:line="240" w:lineRule="auto"/>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6EE4C0B7">
            <w:pPr>
              <w:pStyle w:val="53"/>
              <w:spacing w:line="240" w:lineRule="auto"/>
              <w:rPr>
                <w:rFonts w:hint="default" w:ascii="Times New Roman" w:hAnsi="Times New Roman" w:cs="Times New Roman"/>
                <w:color w:val="auto"/>
                <w:sz w:val="18"/>
                <w:szCs w:val="18"/>
                <w:lang w:eastAsia="en-US"/>
              </w:rPr>
            </w:pPr>
          </w:p>
        </w:tc>
        <w:tc>
          <w:tcPr>
            <w:tcW w:w="692" w:type="pct"/>
            <w:tcBorders>
              <w:tl2br w:val="nil"/>
              <w:tr2bl w:val="nil"/>
            </w:tcBorders>
            <w:vAlign w:val="center"/>
          </w:tcPr>
          <w:p w14:paraId="02367DCD">
            <w:pPr>
              <w:pStyle w:val="53"/>
              <w:spacing w:line="240" w:lineRule="auto"/>
              <w:rPr>
                <w:rFonts w:hint="default" w:ascii="Times New Roman" w:hAnsi="Times New Roman" w:cs="Times New Roman"/>
                <w:color w:val="auto"/>
                <w:sz w:val="18"/>
                <w:szCs w:val="18"/>
                <w:lang w:eastAsia="en-US"/>
              </w:rPr>
            </w:pPr>
            <w:r>
              <w:rPr>
                <w:rFonts w:hint="default" w:ascii="Times New Roman" w:hAnsi="Times New Roman" w:cs="Times New Roman"/>
                <w:color w:val="auto"/>
                <w:sz w:val="18"/>
                <w:szCs w:val="18"/>
                <w:lang w:eastAsia="zh-CN"/>
              </w:rPr>
              <w:t>365 d</w:t>
            </w:r>
          </w:p>
        </w:tc>
        <w:tc>
          <w:tcPr>
            <w:tcW w:w="1013" w:type="pct"/>
            <w:tcBorders>
              <w:tl2br w:val="nil"/>
              <w:tr2bl w:val="nil"/>
            </w:tcBorders>
            <w:vAlign w:val="center"/>
          </w:tcPr>
          <w:p w14:paraId="400811B8">
            <w:pPr>
              <w:autoSpaceDE w:val="0"/>
              <w:autoSpaceDN w:val="0"/>
              <w:spacing w:line="240" w:lineRule="auto"/>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1013" w:type="pct"/>
            <w:tcBorders>
              <w:tl2br w:val="nil"/>
              <w:tr2bl w:val="nil"/>
            </w:tcBorders>
            <w:vAlign w:val="center"/>
          </w:tcPr>
          <w:p w14:paraId="3E747977">
            <w:pPr>
              <w:autoSpaceDE w:val="0"/>
              <w:autoSpaceDN w:val="0"/>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28</w:t>
            </w:r>
          </w:p>
        </w:tc>
      </w:tr>
      <w:tr w14:paraId="3DDD772B">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896" w:type="pct"/>
            <w:vMerge w:val="continue"/>
            <w:tcBorders>
              <w:tl2br w:val="nil"/>
              <w:tr2bl w:val="nil"/>
            </w:tcBorders>
            <w:vAlign w:val="center"/>
          </w:tcPr>
          <w:p w14:paraId="7A0E07F6">
            <w:pPr>
              <w:autoSpaceDE w:val="0"/>
              <w:autoSpaceDN w:val="0"/>
              <w:spacing w:line="240" w:lineRule="auto"/>
              <w:jc w:val="center"/>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55C18F2F">
            <w:pPr>
              <w:pStyle w:val="53"/>
              <w:spacing w:line="240" w:lineRule="auto"/>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48927F78">
            <w:pPr>
              <w:pStyle w:val="53"/>
              <w:spacing w:line="240" w:lineRule="auto"/>
              <w:rPr>
                <w:rFonts w:hint="default" w:ascii="Times New Roman" w:hAnsi="Times New Roman" w:cs="Times New Roman"/>
                <w:color w:val="auto"/>
                <w:sz w:val="18"/>
                <w:szCs w:val="18"/>
                <w:lang w:eastAsia="en-US"/>
              </w:rPr>
            </w:pPr>
          </w:p>
        </w:tc>
        <w:tc>
          <w:tcPr>
            <w:tcW w:w="692" w:type="pct"/>
            <w:tcBorders>
              <w:tl2br w:val="nil"/>
              <w:tr2bl w:val="nil"/>
            </w:tcBorders>
            <w:vAlign w:val="center"/>
          </w:tcPr>
          <w:p w14:paraId="12DE4E16">
            <w:pPr>
              <w:pStyle w:val="53"/>
              <w:spacing w:line="240" w:lineRule="auto"/>
              <w:rPr>
                <w:rFonts w:hint="default" w:ascii="Times New Roman" w:hAnsi="Times New Roman" w:cs="Times New Roman"/>
                <w:color w:val="auto"/>
                <w:sz w:val="18"/>
                <w:szCs w:val="18"/>
                <w:lang w:eastAsia="en-US"/>
              </w:rPr>
            </w:pPr>
            <w:r>
              <w:rPr>
                <w:rFonts w:hint="default" w:ascii="Times New Roman" w:hAnsi="Times New Roman" w:cs="Times New Roman"/>
                <w:color w:val="auto"/>
                <w:sz w:val="18"/>
                <w:szCs w:val="18"/>
                <w:lang w:eastAsia="zh-CN"/>
              </w:rPr>
              <w:t>1000 d</w:t>
            </w:r>
          </w:p>
        </w:tc>
        <w:tc>
          <w:tcPr>
            <w:tcW w:w="1013" w:type="pct"/>
            <w:tcBorders>
              <w:tl2br w:val="nil"/>
              <w:tr2bl w:val="nil"/>
            </w:tcBorders>
            <w:vAlign w:val="center"/>
          </w:tcPr>
          <w:p w14:paraId="5CDE582A">
            <w:pPr>
              <w:autoSpaceDE w:val="0"/>
              <w:autoSpaceDN w:val="0"/>
              <w:spacing w:line="240" w:lineRule="auto"/>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1013" w:type="pct"/>
            <w:tcBorders>
              <w:tl2br w:val="nil"/>
              <w:tr2bl w:val="nil"/>
            </w:tcBorders>
            <w:vAlign w:val="center"/>
          </w:tcPr>
          <w:p w14:paraId="7D592BE4">
            <w:pPr>
              <w:autoSpaceDE w:val="0"/>
              <w:autoSpaceDN w:val="0"/>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49</w:t>
            </w:r>
          </w:p>
        </w:tc>
      </w:tr>
      <w:tr w14:paraId="71E721B9">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896" w:type="pct"/>
            <w:vMerge w:val="continue"/>
            <w:tcBorders>
              <w:tl2br w:val="nil"/>
              <w:tr2bl w:val="nil"/>
            </w:tcBorders>
            <w:vAlign w:val="center"/>
          </w:tcPr>
          <w:p w14:paraId="6C2B5A7C">
            <w:pPr>
              <w:autoSpaceDE w:val="0"/>
              <w:autoSpaceDN w:val="0"/>
              <w:spacing w:line="240" w:lineRule="auto"/>
              <w:jc w:val="center"/>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61413751">
            <w:pPr>
              <w:pStyle w:val="53"/>
              <w:spacing w:line="240" w:lineRule="auto"/>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141CBEA9">
            <w:pPr>
              <w:pStyle w:val="53"/>
              <w:spacing w:line="240" w:lineRule="auto"/>
              <w:rPr>
                <w:rFonts w:hint="default" w:ascii="Times New Roman" w:hAnsi="Times New Roman" w:cs="Times New Roman"/>
                <w:color w:val="auto"/>
                <w:sz w:val="18"/>
                <w:szCs w:val="18"/>
                <w:lang w:eastAsia="en-US"/>
              </w:rPr>
            </w:pPr>
          </w:p>
        </w:tc>
        <w:tc>
          <w:tcPr>
            <w:tcW w:w="692" w:type="pct"/>
            <w:tcBorders>
              <w:tl2br w:val="nil"/>
              <w:tr2bl w:val="nil"/>
            </w:tcBorders>
            <w:vAlign w:val="center"/>
          </w:tcPr>
          <w:p w14:paraId="685B2425">
            <w:pPr>
              <w:pStyle w:val="53"/>
              <w:spacing w:line="240" w:lineRule="auto"/>
              <w:rPr>
                <w:rFonts w:hint="default" w:ascii="Times New Roman" w:hAnsi="Times New Roman" w:cs="Times New Roman"/>
                <w:color w:val="auto"/>
                <w:sz w:val="18"/>
                <w:szCs w:val="18"/>
                <w:lang w:eastAsia="en-US"/>
              </w:rPr>
            </w:pPr>
            <w:r>
              <w:rPr>
                <w:rFonts w:hint="default" w:ascii="Times New Roman" w:hAnsi="Times New Roman" w:cs="Times New Roman"/>
                <w:color w:val="auto"/>
                <w:sz w:val="18"/>
                <w:szCs w:val="18"/>
                <w:lang w:eastAsia="zh-CN"/>
              </w:rPr>
              <w:t>1825 d</w:t>
            </w:r>
          </w:p>
        </w:tc>
        <w:tc>
          <w:tcPr>
            <w:tcW w:w="1013" w:type="pct"/>
            <w:tcBorders>
              <w:tl2br w:val="nil"/>
              <w:tr2bl w:val="nil"/>
            </w:tcBorders>
            <w:vAlign w:val="center"/>
          </w:tcPr>
          <w:p w14:paraId="55C82F17">
            <w:pPr>
              <w:autoSpaceDE w:val="0"/>
              <w:autoSpaceDN w:val="0"/>
              <w:spacing w:line="240" w:lineRule="auto"/>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1013" w:type="pct"/>
            <w:tcBorders>
              <w:tl2br w:val="nil"/>
              <w:tr2bl w:val="nil"/>
            </w:tcBorders>
            <w:vAlign w:val="center"/>
          </w:tcPr>
          <w:p w14:paraId="132F996E">
            <w:pPr>
              <w:autoSpaceDE w:val="0"/>
              <w:autoSpaceDN w:val="0"/>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64</w:t>
            </w:r>
          </w:p>
        </w:tc>
      </w:tr>
      <w:tr w14:paraId="6526C12F">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896" w:type="pct"/>
            <w:vMerge w:val="restart"/>
            <w:tcBorders>
              <w:tl2br w:val="nil"/>
              <w:tr2bl w:val="nil"/>
            </w:tcBorders>
            <w:vAlign w:val="center"/>
          </w:tcPr>
          <w:p w14:paraId="4E4512E4">
            <w:pPr>
              <w:autoSpaceDE w:val="0"/>
              <w:autoSpaceDN w:val="0"/>
              <w:spacing w:line="240" w:lineRule="auto"/>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Mn</w:t>
            </w:r>
          </w:p>
        </w:tc>
        <w:tc>
          <w:tcPr>
            <w:tcW w:w="692" w:type="pct"/>
            <w:vMerge w:val="restart"/>
            <w:tcBorders>
              <w:tl2br w:val="nil"/>
              <w:tr2bl w:val="nil"/>
            </w:tcBorders>
            <w:vAlign w:val="center"/>
          </w:tcPr>
          <w:p w14:paraId="0E0B457F">
            <w:pPr>
              <w:pStyle w:val="53"/>
              <w:spacing w:line="240" w:lineRule="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0.10</w:t>
            </w:r>
          </w:p>
        </w:tc>
        <w:tc>
          <w:tcPr>
            <w:tcW w:w="692" w:type="pct"/>
            <w:vMerge w:val="restart"/>
            <w:tcBorders>
              <w:tl2br w:val="nil"/>
              <w:tr2bl w:val="nil"/>
            </w:tcBorders>
            <w:vAlign w:val="center"/>
          </w:tcPr>
          <w:p w14:paraId="438A7AB3">
            <w:pPr>
              <w:pStyle w:val="53"/>
              <w:spacing w:line="240" w:lineRule="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0.01</w:t>
            </w:r>
          </w:p>
        </w:tc>
        <w:tc>
          <w:tcPr>
            <w:tcW w:w="692" w:type="pct"/>
            <w:tcBorders>
              <w:tl2br w:val="nil"/>
              <w:tr2bl w:val="nil"/>
            </w:tcBorders>
            <w:vAlign w:val="center"/>
          </w:tcPr>
          <w:p w14:paraId="5AF8C68F">
            <w:pPr>
              <w:pStyle w:val="53"/>
              <w:spacing w:line="240" w:lineRule="auto"/>
              <w:rPr>
                <w:rFonts w:hint="default" w:ascii="Times New Roman" w:hAnsi="Times New Roman" w:cs="Times New Roman"/>
                <w:color w:val="auto"/>
                <w:sz w:val="18"/>
                <w:szCs w:val="18"/>
                <w:lang w:eastAsia="en-US"/>
              </w:rPr>
            </w:pPr>
            <w:r>
              <w:rPr>
                <w:rFonts w:hint="default" w:ascii="Times New Roman" w:hAnsi="Times New Roman" w:cs="Times New Roman"/>
                <w:color w:val="auto"/>
                <w:sz w:val="18"/>
                <w:szCs w:val="18"/>
                <w:lang w:eastAsia="en-US"/>
              </w:rPr>
              <w:t>100</w:t>
            </w:r>
            <w:r>
              <w:rPr>
                <w:rFonts w:hint="default" w:ascii="Times New Roman" w:hAnsi="Times New Roman" w:cs="Times New Roman"/>
                <w:color w:val="auto"/>
                <w:sz w:val="18"/>
                <w:szCs w:val="18"/>
                <w:lang w:eastAsia="zh-CN"/>
              </w:rPr>
              <w:t xml:space="preserve"> d</w:t>
            </w:r>
          </w:p>
        </w:tc>
        <w:tc>
          <w:tcPr>
            <w:tcW w:w="1013" w:type="pct"/>
            <w:tcBorders>
              <w:tl2br w:val="nil"/>
              <w:tr2bl w:val="nil"/>
            </w:tcBorders>
            <w:vAlign w:val="center"/>
          </w:tcPr>
          <w:p w14:paraId="149B3D08">
            <w:pPr>
              <w:autoSpaceDE w:val="0"/>
              <w:autoSpaceDN w:val="0"/>
              <w:spacing w:line="240" w:lineRule="auto"/>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1013" w:type="pct"/>
            <w:tcBorders>
              <w:tl2br w:val="nil"/>
              <w:tr2bl w:val="nil"/>
            </w:tcBorders>
            <w:vAlign w:val="center"/>
          </w:tcPr>
          <w:p w14:paraId="1C0C1859">
            <w:pPr>
              <w:autoSpaceDE w:val="0"/>
              <w:autoSpaceDN w:val="0"/>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r>
      <w:tr w14:paraId="00B714E6">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896" w:type="pct"/>
            <w:vMerge w:val="continue"/>
            <w:tcBorders>
              <w:tl2br w:val="nil"/>
              <w:tr2bl w:val="nil"/>
            </w:tcBorders>
            <w:vAlign w:val="center"/>
          </w:tcPr>
          <w:p w14:paraId="70652ADC">
            <w:pPr>
              <w:autoSpaceDE w:val="0"/>
              <w:autoSpaceDN w:val="0"/>
              <w:spacing w:line="240" w:lineRule="auto"/>
              <w:jc w:val="center"/>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5DA14D12">
            <w:pPr>
              <w:pStyle w:val="53"/>
              <w:spacing w:line="240" w:lineRule="auto"/>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7DC4F618">
            <w:pPr>
              <w:pStyle w:val="53"/>
              <w:spacing w:line="240" w:lineRule="auto"/>
              <w:rPr>
                <w:rFonts w:hint="default" w:ascii="Times New Roman" w:hAnsi="Times New Roman" w:cs="Times New Roman"/>
                <w:color w:val="auto"/>
                <w:sz w:val="18"/>
                <w:szCs w:val="18"/>
                <w:lang w:eastAsia="en-US"/>
              </w:rPr>
            </w:pPr>
          </w:p>
        </w:tc>
        <w:tc>
          <w:tcPr>
            <w:tcW w:w="692" w:type="pct"/>
            <w:tcBorders>
              <w:tl2br w:val="nil"/>
              <w:tr2bl w:val="nil"/>
            </w:tcBorders>
            <w:vAlign w:val="center"/>
          </w:tcPr>
          <w:p w14:paraId="72FC73F8">
            <w:pPr>
              <w:pStyle w:val="53"/>
              <w:spacing w:line="240" w:lineRule="auto"/>
              <w:rPr>
                <w:rFonts w:hint="default" w:ascii="Times New Roman" w:hAnsi="Times New Roman" w:cs="Times New Roman"/>
                <w:color w:val="auto"/>
                <w:sz w:val="18"/>
                <w:szCs w:val="18"/>
                <w:lang w:eastAsia="en-US"/>
              </w:rPr>
            </w:pPr>
            <w:r>
              <w:rPr>
                <w:rFonts w:hint="default" w:ascii="Times New Roman" w:hAnsi="Times New Roman" w:cs="Times New Roman"/>
                <w:color w:val="auto"/>
                <w:sz w:val="18"/>
                <w:szCs w:val="18"/>
                <w:lang w:eastAsia="zh-CN"/>
              </w:rPr>
              <w:t>365 d</w:t>
            </w:r>
          </w:p>
        </w:tc>
        <w:tc>
          <w:tcPr>
            <w:tcW w:w="1013" w:type="pct"/>
            <w:tcBorders>
              <w:tl2br w:val="nil"/>
              <w:tr2bl w:val="nil"/>
            </w:tcBorders>
            <w:vAlign w:val="center"/>
          </w:tcPr>
          <w:p w14:paraId="21149417">
            <w:pPr>
              <w:autoSpaceDE w:val="0"/>
              <w:autoSpaceDN w:val="0"/>
              <w:spacing w:line="240" w:lineRule="auto"/>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1013" w:type="pct"/>
            <w:tcBorders>
              <w:tl2br w:val="nil"/>
              <w:tr2bl w:val="nil"/>
            </w:tcBorders>
            <w:vAlign w:val="center"/>
          </w:tcPr>
          <w:p w14:paraId="7FB7011F">
            <w:pPr>
              <w:autoSpaceDE w:val="0"/>
              <w:autoSpaceDN w:val="0"/>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r>
      <w:tr w14:paraId="06A4B9B6">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896" w:type="pct"/>
            <w:vMerge w:val="continue"/>
            <w:tcBorders>
              <w:tl2br w:val="nil"/>
              <w:tr2bl w:val="nil"/>
            </w:tcBorders>
            <w:vAlign w:val="center"/>
          </w:tcPr>
          <w:p w14:paraId="39E2F57D">
            <w:pPr>
              <w:autoSpaceDE w:val="0"/>
              <w:autoSpaceDN w:val="0"/>
              <w:spacing w:line="240" w:lineRule="auto"/>
              <w:jc w:val="center"/>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01C39A5F">
            <w:pPr>
              <w:pStyle w:val="53"/>
              <w:spacing w:line="240" w:lineRule="auto"/>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2CEA8893">
            <w:pPr>
              <w:pStyle w:val="53"/>
              <w:spacing w:line="240" w:lineRule="auto"/>
              <w:rPr>
                <w:rFonts w:hint="default" w:ascii="Times New Roman" w:hAnsi="Times New Roman" w:cs="Times New Roman"/>
                <w:color w:val="auto"/>
                <w:sz w:val="18"/>
                <w:szCs w:val="18"/>
                <w:lang w:eastAsia="en-US"/>
              </w:rPr>
            </w:pPr>
          </w:p>
        </w:tc>
        <w:tc>
          <w:tcPr>
            <w:tcW w:w="692" w:type="pct"/>
            <w:tcBorders>
              <w:tl2br w:val="nil"/>
              <w:tr2bl w:val="nil"/>
            </w:tcBorders>
            <w:vAlign w:val="center"/>
          </w:tcPr>
          <w:p w14:paraId="3580A24E">
            <w:pPr>
              <w:pStyle w:val="53"/>
              <w:spacing w:line="240" w:lineRule="auto"/>
              <w:rPr>
                <w:rFonts w:hint="default" w:ascii="Times New Roman" w:hAnsi="Times New Roman" w:cs="Times New Roman"/>
                <w:color w:val="auto"/>
                <w:sz w:val="18"/>
                <w:szCs w:val="18"/>
                <w:lang w:eastAsia="en-US"/>
              </w:rPr>
            </w:pPr>
            <w:r>
              <w:rPr>
                <w:rFonts w:hint="default" w:ascii="Times New Roman" w:hAnsi="Times New Roman" w:cs="Times New Roman"/>
                <w:color w:val="auto"/>
                <w:sz w:val="18"/>
                <w:szCs w:val="18"/>
                <w:lang w:eastAsia="zh-CN"/>
              </w:rPr>
              <w:t>1000 d</w:t>
            </w:r>
          </w:p>
        </w:tc>
        <w:tc>
          <w:tcPr>
            <w:tcW w:w="1013" w:type="pct"/>
            <w:tcBorders>
              <w:tl2br w:val="nil"/>
              <w:tr2bl w:val="nil"/>
            </w:tcBorders>
            <w:vAlign w:val="center"/>
          </w:tcPr>
          <w:p w14:paraId="5BA8FCD3">
            <w:pPr>
              <w:autoSpaceDE w:val="0"/>
              <w:autoSpaceDN w:val="0"/>
              <w:spacing w:line="240" w:lineRule="auto"/>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1013" w:type="pct"/>
            <w:tcBorders>
              <w:tl2br w:val="nil"/>
              <w:tr2bl w:val="nil"/>
            </w:tcBorders>
            <w:vAlign w:val="center"/>
          </w:tcPr>
          <w:p w14:paraId="25DDA6AE">
            <w:pPr>
              <w:autoSpaceDE w:val="0"/>
              <w:autoSpaceDN w:val="0"/>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w:t>
            </w:r>
          </w:p>
        </w:tc>
      </w:tr>
      <w:tr w14:paraId="205A1770">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896" w:type="pct"/>
            <w:vMerge w:val="continue"/>
            <w:tcBorders>
              <w:tl2br w:val="nil"/>
              <w:tr2bl w:val="nil"/>
            </w:tcBorders>
            <w:vAlign w:val="center"/>
          </w:tcPr>
          <w:p w14:paraId="200DB9A2">
            <w:pPr>
              <w:autoSpaceDE w:val="0"/>
              <w:autoSpaceDN w:val="0"/>
              <w:spacing w:line="240" w:lineRule="auto"/>
              <w:jc w:val="center"/>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4C40E913">
            <w:pPr>
              <w:pStyle w:val="53"/>
              <w:spacing w:line="240" w:lineRule="auto"/>
              <w:rPr>
                <w:rFonts w:hint="default" w:ascii="Times New Roman" w:hAnsi="Times New Roman" w:cs="Times New Roman"/>
                <w:color w:val="auto"/>
                <w:sz w:val="18"/>
                <w:szCs w:val="18"/>
                <w:lang w:eastAsia="en-US"/>
              </w:rPr>
            </w:pPr>
          </w:p>
        </w:tc>
        <w:tc>
          <w:tcPr>
            <w:tcW w:w="692" w:type="pct"/>
            <w:vMerge w:val="continue"/>
            <w:tcBorders>
              <w:tl2br w:val="nil"/>
              <w:tr2bl w:val="nil"/>
            </w:tcBorders>
            <w:vAlign w:val="center"/>
          </w:tcPr>
          <w:p w14:paraId="2CA4418E">
            <w:pPr>
              <w:pStyle w:val="53"/>
              <w:spacing w:line="240" w:lineRule="auto"/>
              <w:rPr>
                <w:rFonts w:hint="default" w:ascii="Times New Roman" w:hAnsi="Times New Roman" w:cs="Times New Roman"/>
                <w:color w:val="auto"/>
                <w:sz w:val="18"/>
                <w:szCs w:val="18"/>
                <w:lang w:eastAsia="en-US"/>
              </w:rPr>
            </w:pPr>
          </w:p>
        </w:tc>
        <w:tc>
          <w:tcPr>
            <w:tcW w:w="692" w:type="pct"/>
            <w:tcBorders>
              <w:tl2br w:val="nil"/>
              <w:tr2bl w:val="nil"/>
            </w:tcBorders>
            <w:vAlign w:val="center"/>
          </w:tcPr>
          <w:p w14:paraId="56B04580">
            <w:pPr>
              <w:pStyle w:val="53"/>
              <w:spacing w:line="240" w:lineRule="auto"/>
              <w:rPr>
                <w:rFonts w:hint="default" w:ascii="Times New Roman" w:hAnsi="Times New Roman" w:cs="Times New Roman"/>
                <w:color w:val="auto"/>
                <w:sz w:val="18"/>
                <w:szCs w:val="18"/>
                <w:lang w:eastAsia="en-US"/>
              </w:rPr>
            </w:pPr>
            <w:r>
              <w:rPr>
                <w:rFonts w:hint="default" w:ascii="Times New Roman" w:hAnsi="Times New Roman" w:cs="Times New Roman"/>
                <w:color w:val="auto"/>
                <w:sz w:val="18"/>
                <w:szCs w:val="18"/>
                <w:lang w:eastAsia="zh-CN"/>
              </w:rPr>
              <w:t>1825 d</w:t>
            </w:r>
          </w:p>
        </w:tc>
        <w:tc>
          <w:tcPr>
            <w:tcW w:w="1013" w:type="pct"/>
            <w:tcBorders>
              <w:tl2br w:val="nil"/>
              <w:tr2bl w:val="nil"/>
            </w:tcBorders>
            <w:vAlign w:val="center"/>
          </w:tcPr>
          <w:p w14:paraId="1AF7E723">
            <w:pPr>
              <w:autoSpaceDE w:val="0"/>
              <w:autoSpaceDN w:val="0"/>
              <w:spacing w:line="240" w:lineRule="auto"/>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1013" w:type="pct"/>
            <w:tcBorders>
              <w:tl2br w:val="nil"/>
              <w:tr2bl w:val="nil"/>
            </w:tcBorders>
            <w:vAlign w:val="center"/>
          </w:tcPr>
          <w:p w14:paraId="784049AF">
            <w:pPr>
              <w:autoSpaceDE w:val="0"/>
              <w:autoSpaceDN w:val="0"/>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30</w:t>
            </w:r>
          </w:p>
        </w:tc>
      </w:tr>
    </w:tbl>
    <w:p w14:paraId="659BDCDB">
      <w:pPr>
        <w:pStyle w:val="39"/>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9、预测结论</w:t>
      </w:r>
    </w:p>
    <w:p w14:paraId="6B84AE37">
      <w:pPr>
        <w:pStyle w:val="39"/>
        <w:spacing w:line="360" w:lineRule="auto"/>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（1）污染物随时间变化规律分析</w:t>
      </w:r>
    </w:p>
    <w:p w14:paraId="75538974">
      <w:pPr>
        <w:spacing w:line="360" w:lineRule="auto"/>
        <w:ind w:firstLine="480"/>
        <w:rPr>
          <w:rFonts w:hint="default" w:ascii="Times New Roman" w:hAnsi="Times New Roman" w:cs="Times New Roman"/>
          <w:color w:val="auto"/>
          <w:kern w:val="0"/>
        </w:rPr>
      </w:pPr>
      <w:r>
        <w:rPr>
          <w:rFonts w:hint="default" w:ascii="Times New Roman" w:hAnsi="Times New Roman" w:cs="Times New Roman"/>
          <w:color w:val="auto"/>
          <w:lang w:bidi="zh-CN"/>
        </w:rPr>
        <w:t>在</w:t>
      </w:r>
      <w:r>
        <w:rPr>
          <w:rFonts w:hint="default" w:ascii="Times New Roman" w:hAnsi="Times New Roman" w:cs="Times New Roman"/>
          <w:color w:val="auto"/>
          <w:kern w:val="0"/>
        </w:rPr>
        <w:t>非正常状况下</w:t>
      </w:r>
      <w:r>
        <w:rPr>
          <w:rFonts w:hint="default" w:ascii="Times New Roman" w:hAnsi="Times New Roman" w:cs="Times New Roman"/>
          <w:color w:val="auto"/>
          <w:lang w:bidi="zh-CN"/>
        </w:rPr>
        <w:t>，若初期雨水收集池防渗层</w:t>
      </w:r>
      <w:r>
        <w:rPr>
          <w:rFonts w:hint="default" w:ascii="Times New Roman" w:hAnsi="Times New Roman" w:cs="Times New Roman"/>
          <w:color w:val="auto"/>
          <w:kern w:val="0"/>
        </w:rPr>
        <w:t>出现裂缝破损，导致初期雨水、物料淋溶水等不断持续渗透。</w:t>
      </w:r>
    </w:p>
    <w:p w14:paraId="2C272021">
      <w:pPr>
        <w:spacing w:line="360" w:lineRule="auto"/>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COD泄漏100d时，预测超标距离为</w:t>
      </w:r>
      <w:r>
        <w:rPr>
          <w:rFonts w:hint="default" w:ascii="Times New Roman" w:hAnsi="Times New Roman" w:cs="Times New Roman"/>
          <w:color w:val="auto"/>
          <w:lang w:val="en-US" w:eastAsia="zh-CN" w:bidi="zh-CN"/>
        </w:rPr>
        <w:t>18.04</w:t>
      </w:r>
      <w:r>
        <w:rPr>
          <w:rFonts w:hint="default" w:ascii="Times New Roman" w:hAnsi="Times New Roman" w:cs="Times New Roman"/>
          <w:color w:val="auto"/>
          <w:lang w:bidi="zh-CN"/>
        </w:rPr>
        <w:t>m，影响距离为</w:t>
      </w:r>
      <w:r>
        <w:rPr>
          <w:rFonts w:hint="default" w:ascii="Times New Roman" w:hAnsi="Times New Roman" w:cs="Times New Roman"/>
          <w:color w:val="auto"/>
          <w:lang w:val="en-US" w:bidi="zh-CN"/>
        </w:rPr>
        <w:t>17</w:t>
      </w:r>
      <w:r>
        <w:rPr>
          <w:rFonts w:hint="default" w:ascii="Times New Roman" w:hAnsi="Times New Roman" w:cs="Times New Roman"/>
          <w:color w:val="auto"/>
          <w:lang w:bidi="zh-CN"/>
        </w:rPr>
        <w:t>m；泄漏365d时，预测超标距离为</w:t>
      </w:r>
      <w:r>
        <w:rPr>
          <w:rFonts w:hint="default" w:ascii="Times New Roman" w:hAnsi="Times New Roman" w:cs="Times New Roman"/>
          <w:color w:val="auto"/>
          <w:lang w:val="en-US" w:bidi="zh-CN"/>
        </w:rPr>
        <w:t>32.5</w:t>
      </w:r>
      <w:r>
        <w:rPr>
          <w:rFonts w:hint="default" w:ascii="Times New Roman" w:hAnsi="Times New Roman" w:cs="Times New Roman"/>
          <w:color w:val="auto"/>
          <w:lang w:bidi="zh-CN"/>
        </w:rPr>
        <w:t>m，影响距离为</w:t>
      </w:r>
      <w:r>
        <w:rPr>
          <w:rFonts w:hint="default" w:ascii="Times New Roman" w:hAnsi="Times New Roman" w:cs="Times New Roman"/>
          <w:color w:val="auto"/>
          <w:lang w:val="en-US" w:bidi="zh-CN"/>
        </w:rPr>
        <w:t>34</w:t>
      </w:r>
      <w:r>
        <w:rPr>
          <w:rFonts w:hint="default" w:ascii="Times New Roman" w:hAnsi="Times New Roman" w:cs="Times New Roman"/>
          <w:color w:val="auto"/>
          <w:lang w:bidi="zh-CN"/>
        </w:rPr>
        <w:t>m；泄漏1000d时，预测超标距离为</w:t>
      </w:r>
      <w:r>
        <w:rPr>
          <w:rFonts w:hint="default" w:ascii="Times New Roman" w:hAnsi="Times New Roman" w:cs="Times New Roman"/>
          <w:color w:val="auto"/>
          <w:lang w:val="en-US" w:bidi="zh-CN"/>
        </w:rPr>
        <w:t>53.85</w:t>
      </w:r>
      <w:r>
        <w:rPr>
          <w:rFonts w:hint="default" w:ascii="Times New Roman" w:hAnsi="Times New Roman" w:cs="Times New Roman"/>
          <w:color w:val="auto"/>
          <w:lang w:bidi="zh-CN"/>
        </w:rPr>
        <w:t>m，影响距离为</w:t>
      </w:r>
      <w:r>
        <w:rPr>
          <w:rFonts w:hint="default" w:ascii="Times New Roman" w:hAnsi="Times New Roman" w:cs="Times New Roman"/>
          <w:color w:val="auto"/>
          <w:lang w:val="en-US" w:bidi="zh-CN"/>
        </w:rPr>
        <w:t>56</w:t>
      </w:r>
      <w:r>
        <w:rPr>
          <w:rFonts w:hint="default" w:ascii="Times New Roman" w:hAnsi="Times New Roman" w:cs="Times New Roman"/>
          <w:color w:val="auto"/>
          <w:lang w:bidi="zh-CN"/>
        </w:rPr>
        <w:t>m；泄漏1825d时，预测超标距离为</w:t>
      </w:r>
      <w:r>
        <w:rPr>
          <w:rFonts w:hint="default" w:ascii="Times New Roman" w:hAnsi="Times New Roman" w:cs="Times New Roman"/>
          <w:color w:val="auto"/>
          <w:lang w:val="en-US" w:bidi="zh-CN"/>
        </w:rPr>
        <w:t>73</w:t>
      </w:r>
      <w:r>
        <w:rPr>
          <w:rFonts w:hint="default" w:ascii="Times New Roman" w:hAnsi="Times New Roman" w:cs="Times New Roman"/>
          <w:color w:val="auto"/>
          <w:lang w:bidi="zh-CN"/>
        </w:rPr>
        <w:t>m，影响距离为</w:t>
      </w:r>
      <w:r>
        <w:rPr>
          <w:rFonts w:hint="default" w:ascii="Times New Roman" w:hAnsi="Times New Roman" w:cs="Times New Roman"/>
          <w:color w:val="auto"/>
          <w:lang w:val="en-US" w:bidi="zh-CN"/>
        </w:rPr>
        <w:t>76</w:t>
      </w:r>
      <w:r>
        <w:rPr>
          <w:rFonts w:hint="default" w:ascii="Times New Roman" w:hAnsi="Times New Roman" w:cs="Times New Roman"/>
          <w:color w:val="auto"/>
          <w:lang w:bidi="zh-CN"/>
        </w:rPr>
        <w:t>m。</w:t>
      </w:r>
    </w:p>
    <w:p w14:paraId="5307D35D">
      <w:pPr>
        <w:spacing w:line="360" w:lineRule="auto"/>
        <w:ind w:firstLine="480"/>
        <w:rPr>
          <w:rFonts w:hint="default" w:ascii="Times New Roman" w:hAnsi="Times New Roman" w:cs="Times New Roman"/>
          <w:color w:val="auto"/>
          <w:lang w:bidi="zh-CN"/>
        </w:rPr>
      </w:pPr>
      <w:bookmarkStart w:id="483" w:name="_Hlk162510681"/>
      <w:r>
        <w:rPr>
          <w:rFonts w:hint="default" w:ascii="Times New Roman" w:hAnsi="Times New Roman" w:cs="Times New Roman"/>
          <w:color w:val="auto"/>
          <w:lang w:bidi="zh-CN"/>
        </w:rPr>
        <w:t>Fe泄漏100d时，无超标</w:t>
      </w:r>
      <w:r>
        <w:rPr>
          <w:rFonts w:hint="default" w:ascii="Times New Roman" w:hAnsi="Times New Roman" w:cs="Times New Roman"/>
          <w:color w:val="auto"/>
        </w:rPr>
        <w:t>，</w:t>
      </w:r>
      <w:r>
        <w:rPr>
          <w:rFonts w:hint="default" w:ascii="Times New Roman" w:hAnsi="Times New Roman" w:cs="Times New Roman"/>
          <w:color w:val="auto"/>
          <w:lang w:bidi="zh-CN"/>
        </w:rPr>
        <w:t>影响距离为1</w:t>
      </w:r>
      <w:r>
        <w:rPr>
          <w:rFonts w:hint="default" w:ascii="Times New Roman" w:hAnsi="Times New Roman" w:cs="Times New Roman"/>
          <w:color w:val="auto"/>
          <w:lang w:val="en-US" w:bidi="zh-CN"/>
        </w:rPr>
        <w:t>1</w:t>
      </w:r>
      <w:r>
        <w:rPr>
          <w:rFonts w:hint="default" w:ascii="Times New Roman" w:hAnsi="Times New Roman" w:cs="Times New Roman"/>
          <w:color w:val="auto"/>
          <w:lang w:bidi="zh-CN"/>
        </w:rPr>
        <w:t>m；泄漏365d时，无超标，影响距离为</w:t>
      </w:r>
      <w:r>
        <w:rPr>
          <w:rFonts w:hint="default" w:ascii="Times New Roman" w:hAnsi="Times New Roman" w:cs="Times New Roman"/>
          <w:color w:val="auto"/>
          <w:lang w:val="en-US" w:bidi="zh-CN"/>
        </w:rPr>
        <w:t>28</w:t>
      </w:r>
      <w:r>
        <w:rPr>
          <w:rFonts w:hint="default" w:ascii="Times New Roman" w:hAnsi="Times New Roman" w:cs="Times New Roman"/>
          <w:color w:val="auto"/>
          <w:lang w:bidi="zh-CN"/>
        </w:rPr>
        <w:t>m；泄漏1000d时，无超标，影响距离为</w:t>
      </w:r>
      <w:r>
        <w:rPr>
          <w:rFonts w:hint="default" w:ascii="Times New Roman" w:hAnsi="Times New Roman" w:cs="Times New Roman"/>
          <w:color w:val="auto"/>
          <w:lang w:val="en-US" w:bidi="zh-CN"/>
        </w:rPr>
        <w:t>49</w:t>
      </w:r>
      <w:r>
        <w:rPr>
          <w:rFonts w:hint="default" w:ascii="Times New Roman" w:hAnsi="Times New Roman" w:cs="Times New Roman"/>
          <w:color w:val="auto"/>
          <w:lang w:bidi="zh-CN"/>
        </w:rPr>
        <w:t>m；泄漏1825d时，无超标；影响距离为</w:t>
      </w:r>
      <w:r>
        <w:rPr>
          <w:rFonts w:hint="default" w:ascii="Times New Roman" w:hAnsi="Times New Roman" w:cs="Times New Roman"/>
          <w:color w:val="auto"/>
          <w:lang w:val="en-US" w:bidi="zh-CN"/>
        </w:rPr>
        <w:t>64</w:t>
      </w:r>
      <w:r>
        <w:rPr>
          <w:rFonts w:hint="default" w:ascii="Times New Roman" w:hAnsi="Times New Roman" w:cs="Times New Roman"/>
          <w:color w:val="auto"/>
          <w:lang w:bidi="zh-CN"/>
        </w:rPr>
        <w:t>m。</w:t>
      </w:r>
    </w:p>
    <w:p w14:paraId="5FFFB25E">
      <w:pPr>
        <w:spacing w:line="360" w:lineRule="auto"/>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Mn泄漏100d时，无超标</w:t>
      </w:r>
      <w:r>
        <w:rPr>
          <w:rFonts w:hint="default" w:ascii="Times New Roman" w:hAnsi="Times New Roman" w:cs="Times New Roman"/>
          <w:color w:val="auto"/>
        </w:rPr>
        <w:t>，</w:t>
      </w:r>
      <w:r>
        <w:rPr>
          <w:rFonts w:hint="default" w:ascii="Times New Roman" w:hAnsi="Times New Roman" w:cs="Times New Roman"/>
          <w:color w:val="auto"/>
          <w:lang w:bidi="zh-CN"/>
        </w:rPr>
        <w:t>影响距离为</w:t>
      </w:r>
      <w:r>
        <w:rPr>
          <w:rFonts w:hint="default" w:ascii="Times New Roman" w:hAnsi="Times New Roman" w:cs="Times New Roman"/>
          <w:color w:val="auto"/>
          <w:lang w:val="en-US" w:bidi="zh-CN"/>
        </w:rPr>
        <w:t>5</w:t>
      </w:r>
      <w:r>
        <w:rPr>
          <w:rFonts w:hint="default" w:ascii="Times New Roman" w:hAnsi="Times New Roman" w:cs="Times New Roman"/>
          <w:color w:val="auto"/>
          <w:lang w:bidi="zh-CN"/>
        </w:rPr>
        <w:t>m；泄漏365d时，无超标，影响距离为1</w:t>
      </w:r>
      <w:r>
        <w:rPr>
          <w:rFonts w:hint="default" w:ascii="Times New Roman" w:hAnsi="Times New Roman" w:cs="Times New Roman"/>
          <w:color w:val="auto"/>
          <w:lang w:val="en-US" w:bidi="zh-CN"/>
        </w:rPr>
        <w:t>2</w:t>
      </w:r>
      <w:r>
        <w:rPr>
          <w:rFonts w:hint="default" w:ascii="Times New Roman" w:hAnsi="Times New Roman" w:cs="Times New Roman"/>
          <w:color w:val="auto"/>
          <w:lang w:bidi="zh-CN"/>
        </w:rPr>
        <w:t>m；泄漏1000d时，无超标，影响距离为</w:t>
      </w:r>
      <w:r>
        <w:rPr>
          <w:rFonts w:hint="default" w:ascii="Times New Roman" w:hAnsi="Times New Roman" w:cs="Times New Roman"/>
          <w:color w:val="auto"/>
          <w:lang w:val="en-US" w:bidi="zh-CN"/>
        </w:rPr>
        <w:t>20</w:t>
      </w:r>
      <w:r>
        <w:rPr>
          <w:rFonts w:hint="default" w:ascii="Times New Roman" w:hAnsi="Times New Roman" w:cs="Times New Roman"/>
          <w:color w:val="auto"/>
          <w:lang w:bidi="zh-CN"/>
        </w:rPr>
        <w:t>m；泄漏1825d时，无超标；影响距离为</w:t>
      </w:r>
      <w:r>
        <w:rPr>
          <w:rFonts w:hint="default" w:ascii="Times New Roman" w:hAnsi="Times New Roman" w:cs="Times New Roman"/>
          <w:color w:val="auto"/>
          <w:lang w:val="en-US" w:bidi="zh-CN"/>
        </w:rPr>
        <w:t>30</w:t>
      </w:r>
      <w:r>
        <w:rPr>
          <w:rFonts w:hint="default" w:ascii="Times New Roman" w:hAnsi="Times New Roman" w:cs="Times New Roman"/>
          <w:color w:val="auto"/>
          <w:lang w:bidi="zh-CN"/>
        </w:rPr>
        <w:t>m。</w:t>
      </w:r>
    </w:p>
    <w:p w14:paraId="38ED0A73">
      <w:pPr>
        <w:pStyle w:val="39"/>
        <w:spacing w:line="360" w:lineRule="auto"/>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根据预测结果分析，泄漏后特征因子随着泄漏时间的增加，COD预测超标距离和影响距离均增加；Fe、Mn无超标，但泄漏后对地下水的影响程度和影响范围增加。</w:t>
      </w:r>
    </w:p>
    <w:bookmarkEnd w:id="483"/>
    <w:p w14:paraId="4A3F4D19">
      <w:pPr>
        <w:pStyle w:val="17"/>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lang w:bidi="zh-CN"/>
        </w:rPr>
        <w:t>因此，初期雨水收集池的泄漏</w:t>
      </w:r>
      <w:r>
        <w:rPr>
          <w:rFonts w:hint="default" w:ascii="Times New Roman" w:hAnsi="Times New Roman" w:cs="Times New Roman"/>
          <w:color w:val="auto"/>
        </w:rPr>
        <w:t>会对厂区附近地下水环境造成一定影响</w:t>
      </w:r>
      <w:r>
        <w:rPr>
          <w:rFonts w:hint="default" w:ascii="Times New Roman" w:hAnsi="Times New Roman" w:cs="Times New Roman"/>
          <w:color w:val="auto"/>
          <w:lang w:bidi="zh-CN"/>
        </w:rPr>
        <w:t>。</w:t>
      </w:r>
      <w:bookmarkStart w:id="484" w:name="_Hlk162510750"/>
      <w:r>
        <w:rPr>
          <w:rFonts w:hint="default" w:ascii="Times New Roman" w:hAnsi="Times New Roman" w:cs="Times New Roman"/>
          <w:color w:val="auto"/>
          <w:lang w:bidi="zh-CN"/>
        </w:rPr>
        <w:t>根据调查，最大影响范围内无地下水环境保护目标，</w:t>
      </w:r>
      <w:r>
        <w:rPr>
          <w:rFonts w:hint="default" w:ascii="Times New Roman" w:hAnsi="Times New Roman" w:eastAsia="宋体" w:cs="Times New Roman"/>
          <w:color w:val="auto"/>
          <w:sz w:val="24"/>
          <w:lang w:val="en-US" w:eastAsia="zh-CN"/>
        </w:rPr>
        <w:t>项目周边无村庄，因此，项目对周边村庄饮用水源的安全影响较小。</w:t>
      </w:r>
    </w:p>
    <w:p w14:paraId="0D250E6B">
      <w:pPr>
        <w:numPr>
          <w:ilvl w:val="0"/>
          <w:numId w:val="3"/>
        </w:numPr>
        <w:spacing w:line="360" w:lineRule="auto"/>
        <w:ind w:firstLine="490" w:firstLineChars="200"/>
        <w:jc w:val="left"/>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监测井水质污染物浓度扩散预测结果分析</w:t>
      </w:r>
    </w:p>
    <w:p w14:paraId="319FE63B">
      <w:pPr>
        <w:numPr>
          <w:ilvl w:val="0"/>
          <w:numId w:val="0"/>
        </w:numPr>
        <w:spacing w:line="360" w:lineRule="auto"/>
        <w:ind w:firstLine="49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rPr>
        <w:t>本次为防止</w:t>
      </w:r>
      <w:r>
        <w:rPr>
          <w:rFonts w:hint="default" w:ascii="Times New Roman" w:hAnsi="Times New Roman" w:eastAsia="宋体" w:cs="Times New Roman"/>
          <w:color w:val="auto"/>
          <w:sz w:val="24"/>
          <w:szCs w:val="24"/>
          <w:lang w:val="en-US" w:eastAsia="zh-CN"/>
        </w:rPr>
        <w:t>废水</w:t>
      </w:r>
      <w:r>
        <w:rPr>
          <w:rFonts w:hint="default" w:ascii="Times New Roman" w:hAnsi="Times New Roman" w:eastAsia="宋体" w:cs="Times New Roman"/>
          <w:color w:val="auto"/>
          <w:sz w:val="24"/>
          <w:szCs w:val="24"/>
        </w:rPr>
        <w:t>渗漏对地下水产生影响，</w:t>
      </w:r>
      <w:r>
        <w:rPr>
          <w:rFonts w:hint="default" w:ascii="Times New Roman" w:hAnsi="Times New Roman" w:eastAsia="宋体" w:cs="Times New Roman"/>
          <w:b w:val="0"/>
          <w:bCs w:val="0"/>
          <w:color w:val="auto"/>
          <w:sz w:val="24"/>
          <w:szCs w:val="24"/>
          <w:lang w:val="en-US" w:eastAsia="zh-CN"/>
        </w:rPr>
        <w:t>在项目区</w:t>
      </w:r>
      <w:r>
        <w:rPr>
          <w:rFonts w:hint="default" w:ascii="Times New Roman" w:hAnsi="Times New Roman" w:cs="Times New Roman"/>
          <w:b w:val="0"/>
          <w:bCs w:val="0"/>
          <w:color w:val="auto"/>
          <w:sz w:val="24"/>
          <w:szCs w:val="24"/>
          <w:lang w:val="en-US" w:eastAsia="zh-CN"/>
        </w:rPr>
        <w:t>初期雨水收集池</w:t>
      </w:r>
      <w:r>
        <w:rPr>
          <w:rFonts w:hint="default" w:ascii="Times New Roman" w:hAnsi="Times New Roman" w:eastAsia="宋体" w:cs="Times New Roman"/>
          <w:b w:val="0"/>
          <w:bCs w:val="0"/>
          <w:color w:val="auto"/>
          <w:sz w:val="24"/>
          <w:szCs w:val="24"/>
          <w:lang w:val="en-US" w:eastAsia="zh-CN"/>
        </w:rPr>
        <w:t>下游</w:t>
      </w:r>
      <w:r>
        <w:rPr>
          <w:rFonts w:hint="default" w:ascii="Times New Roman" w:hAnsi="Times New Roman"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0m处设置一个地下水监测井</w:t>
      </w:r>
      <w:r>
        <w:rPr>
          <w:rFonts w:hint="default" w:ascii="Times New Roman" w:hAnsi="Times New Roman" w:eastAsia="宋体" w:cs="Times New Roman"/>
          <w:color w:val="auto"/>
          <w:sz w:val="24"/>
          <w:szCs w:val="24"/>
          <w:highlight w:val="none"/>
        </w:rPr>
        <w:t>。定期对其水质进行监测</w:t>
      </w:r>
      <w:r>
        <w:rPr>
          <w:rFonts w:hint="default" w:ascii="Times New Roman" w:hAnsi="Times New Roman" w:eastAsia="宋体" w:cs="Times New Roman"/>
          <w:color w:val="auto"/>
          <w:sz w:val="24"/>
          <w:szCs w:val="24"/>
          <w:highlight w:val="none"/>
          <w:lang w:eastAsia="zh-CN"/>
        </w:rPr>
        <w:t>。</w:t>
      </w:r>
    </w:p>
    <w:p w14:paraId="5A6AB4F0">
      <w:pPr>
        <w:spacing w:line="360" w:lineRule="auto"/>
        <w:ind w:firstLine="49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考虑废水泄漏下渗进入地下水中，将各项</w:t>
      </w:r>
      <w:r>
        <w:rPr>
          <w:rFonts w:hint="default" w:ascii="Times New Roman" w:hAnsi="Times New Roman" w:eastAsia="宋体" w:cs="Times New Roman"/>
          <w:color w:val="auto"/>
          <w:sz w:val="24"/>
          <w:szCs w:val="24"/>
          <w:highlight w:val="none"/>
          <w:lang w:eastAsia="zh-CN"/>
        </w:rPr>
        <w:t>参数代入</w:t>
      </w:r>
      <w:r>
        <w:rPr>
          <w:rFonts w:hint="default" w:ascii="Times New Roman" w:hAnsi="Times New Roman" w:eastAsia="宋体" w:cs="Times New Roman"/>
          <w:color w:val="auto"/>
          <w:sz w:val="24"/>
          <w:szCs w:val="24"/>
          <w:highlight w:val="none"/>
        </w:rPr>
        <w:t>所建立的解析解，计算</w:t>
      </w:r>
      <w:r>
        <w:rPr>
          <w:rFonts w:hint="default" w:ascii="Times New Roman" w:hAnsi="Times New Roman" w:cs="Times New Roman"/>
          <w:color w:val="auto"/>
          <w:sz w:val="24"/>
          <w:szCs w:val="24"/>
          <w:highlight w:val="none"/>
          <w:lang w:val="en-US" w:eastAsia="zh-CN"/>
        </w:rPr>
        <w:t>各污染物</w:t>
      </w:r>
      <w:r>
        <w:rPr>
          <w:rFonts w:hint="default" w:ascii="Times New Roman" w:hAnsi="Times New Roman" w:eastAsia="宋体" w:cs="Times New Roman"/>
          <w:color w:val="auto"/>
          <w:sz w:val="24"/>
          <w:szCs w:val="24"/>
          <w:highlight w:val="none"/>
        </w:rPr>
        <w:t>到达</w:t>
      </w:r>
      <w:r>
        <w:rPr>
          <w:rFonts w:hint="default" w:ascii="Times New Roman" w:hAnsi="Times New Roman" w:cs="Times New Roman"/>
          <w:color w:val="auto"/>
          <w:sz w:val="24"/>
          <w:szCs w:val="24"/>
          <w:highlight w:val="none"/>
          <w:lang w:val="en-US" w:eastAsia="zh-CN"/>
        </w:rPr>
        <w:t>监测井</w:t>
      </w:r>
      <w:r>
        <w:rPr>
          <w:rFonts w:hint="default" w:ascii="Times New Roman" w:hAnsi="Times New Roman" w:eastAsia="宋体" w:cs="Times New Roman"/>
          <w:b w:val="0"/>
          <w:bCs w:val="0"/>
          <w:color w:val="auto"/>
          <w:sz w:val="24"/>
          <w:szCs w:val="24"/>
          <w:lang w:val="en-US" w:eastAsia="zh-CN"/>
        </w:rPr>
        <w:t>处</w:t>
      </w:r>
      <w:r>
        <w:rPr>
          <w:rFonts w:hint="default" w:ascii="Times New Roman" w:hAnsi="Times New Roman" w:eastAsia="宋体" w:cs="Times New Roman"/>
          <w:color w:val="auto"/>
          <w:sz w:val="24"/>
          <w:szCs w:val="24"/>
          <w:highlight w:val="none"/>
        </w:rPr>
        <w:t>的时间变化情况</w:t>
      </w:r>
      <w:r>
        <w:rPr>
          <w:rFonts w:hint="default" w:ascii="Times New Roman" w:hAnsi="Times New Roman" w:eastAsia="宋体" w:cs="Times New Roman"/>
          <w:color w:val="auto"/>
          <w:sz w:val="24"/>
          <w:szCs w:val="24"/>
          <w:highlight w:val="none"/>
          <w:lang w:val="en-US" w:eastAsia="zh-CN"/>
        </w:rPr>
        <w:t>详见</w:t>
      </w:r>
      <w:r>
        <w:rPr>
          <w:rFonts w:hint="default" w:ascii="Times New Roman" w:hAnsi="Times New Roman" w:eastAsia="宋体" w:cs="Times New Roman"/>
          <w:color w:val="auto"/>
          <w:sz w:val="24"/>
          <w:szCs w:val="24"/>
          <w:highlight w:val="none"/>
        </w:rPr>
        <w:t>下图。</w:t>
      </w:r>
    </w:p>
    <w:bookmarkEnd w:id="484"/>
    <w:p w14:paraId="4618DD26">
      <w:pPr>
        <w:jc w:val="center"/>
        <w:rPr>
          <w:rFonts w:hint="default" w:ascii="Times New Roman" w:hAnsi="Times New Roman" w:cs="Times New Roman"/>
        </w:rPr>
      </w:pPr>
      <w:bookmarkStart w:id="485" w:name="_Toc26672"/>
      <w:r>
        <w:rPr>
          <w:rFonts w:hint="default" w:ascii="Times New Roman" w:hAnsi="Times New Roman" w:cs="Times New Roman"/>
        </w:rPr>
        <w:drawing>
          <wp:inline distT="0" distB="0" distL="114300" distR="114300">
            <wp:extent cx="3489960" cy="2157730"/>
            <wp:effectExtent l="0" t="0" r="15240" b="1397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6"/>
                    <a:stretch>
                      <a:fillRect/>
                    </a:stretch>
                  </pic:blipFill>
                  <pic:spPr>
                    <a:xfrm>
                      <a:off x="0" y="0"/>
                      <a:ext cx="3489960" cy="2157730"/>
                    </a:xfrm>
                    <a:prstGeom prst="rect">
                      <a:avLst/>
                    </a:prstGeom>
                    <a:noFill/>
                    <a:ln>
                      <a:noFill/>
                    </a:ln>
                  </pic:spPr>
                </pic:pic>
              </a:graphicData>
            </a:graphic>
          </wp:inline>
        </w:drawing>
      </w:r>
    </w:p>
    <w:p w14:paraId="76A68CE9">
      <w:pPr>
        <w:jc w:val="center"/>
        <w:rPr>
          <w:rFonts w:hint="default" w:ascii="Times New Roman" w:hAnsi="Times New Roman" w:cs="Times New Roman"/>
        </w:rPr>
      </w:pPr>
      <w:r>
        <w:rPr>
          <w:rFonts w:hint="default" w:ascii="Times New Roman" w:hAnsi="Times New Roman" w:eastAsia="黑体" w:cs="Times New Roman"/>
          <w:b w:val="0"/>
          <w:bCs/>
          <w:color w:val="auto"/>
          <w:sz w:val="21"/>
          <w:szCs w:val="21"/>
          <w:highlight w:val="none"/>
          <w:lang w:val="en-US" w:eastAsia="zh-CN"/>
        </w:rPr>
        <w:t>图6.3-4  项目区下游地下水监测井中</w:t>
      </w:r>
      <w:r>
        <w:rPr>
          <w:rFonts w:hint="default" w:ascii="Times New Roman" w:hAnsi="Times New Roman" w:cs="Times New Roman"/>
          <w:b w:val="0"/>
          <w:bCs/>
          <w:color w:val="auto"/>
          <w:sz w:val="21"/>
          <w:szCs w:val="21"/>
          <w:highlight w:val="none"/>
          <w:lang w:val="en-US" w:eastAsia="zh-CN"/>
        </w:rPr>
        <w:t>COD</w:t>
      </w:r>
      <w:r>
        <w:rPr>
          <w:rFonts w:hint="default" w:ascii="Times New Roman" w:hAnsi="Times New Roman" w:eastAsia="黑体" w:cs="Times New Roman"/>
          <w:b w:val="0"/>
          <w:bCs/>
          <w:color w:val="auto"/>
          <w:sz w:val="21"/>
          <w:szCs w:val="21"/>
          <w:highlight w:val="none"/>
          <w:lang w:val="en-US" w:eastAsia="zh-CN"/>
        </w:rPr>
        <w:t>浓度变化曲线图</w:t>
      </w:r>
      <w:r>
        <w:rPr>
          <w:rFonts w:hint="default" w:ascii="Times New Roman" w:hAnsi="Times New Roman" w:cs="Times New Roman"/>
        </w:rPr>
        <w:drawing>
          <wp:inline distT="0" distB="0" distL="114300" distR="114300">
            <wp:extent cx="3573780" cy="2209165"/>
            <wp:effectExtent l="0" t="0" r="7620" b="63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7"/>
                    <a:stretch>
                      <a:fillRect/>
                    </a:stretch>
                  </pic:blipFill>
                  <pic:spPr>
                    <a:xfrm>
                      <a:off x="0" y="0"/>
                      <a:ext cx="3573780" cy="2209165"/>
                    </a:xfrm>
                    <a:prstGeom prst="rect">
                      <a:avLst/>
                    </a:prstGeom>
                    <a:noFill/>
                    <a:ln>
                      <a:noFill/>
                    </a:ln>
                  </pic:spPr>
                </pic:pic>
              </a:graphicData>
            </a:graphic>
          </wp:inline>
        </w:drawing>
      </w:r>
    </w:p>
    <w:p w14:paraId="0C9678D7">
      <w:pPr>
        <w:jc w:val="center"/>
        <w:rPr>
          <w:rFonts w:hint="default" w:ascii="Times New Roman" w:hAnsi="Times New Roman" w:cs="Times New Roman"/>
        </w:rPr>
      </w:pPr>
      <w:r>
        <w:rPr>
          <w:rFonts w:hint="default" w:ascii="Times New Roman" w:hAnsi="Times New Roman" w:eastAsia="黑体" w:cs="Times New Roman"/>
          <w:b w:val="0"/>
          <w:bCs/>
          <w:color w:val="auto"/>
          <w:sz w:val="21"/>
          <w:szCs w:val="21"/>
          <w:highlight w:val="none"/>
          <w:lang w:val="en-US" w:eastAsia="zh-CN"/>
        </w:rPr>
        <w:t>图6.3-5  项目区下游地下水监测井中</w:t>
      </w:r>
      <w:r>
        <w:rPr>
          <w:rFonts w:hint="default" w:ascii="Times New Roman" w:hAnsi="Times New Roman" w:cs="Times New Roman"/>
          <w:b w:val="0"/>
          <w:bCs/>
          <w:color w:val="auto"/>
          <w:sz w:val="21"/>
          <w:szCs w:val="21"/>
          <w:highlight w:val="none"/>
          <w:lang w:val="en-US" w:eastAsia="zh-CN"/>
        </w:rPr>
        <w:t>Fe</w:t>
      </w:r>
      <w:r>
        <w:rPr>
          <w:rFonts w:hint="default" w:ascii="Times New Roman" w:hAnsi="Times New Roman" w:eastAsia="黑体" w:cs="Times New Roman"/>
          <w:b w:val="0"/>
          <w:bCs/>
          <w:color w:val="auto"/>
          <w:sz w:val="21"/>
          <w:szCs w:val="21"/>
          <w:highlight w:val="none"/>
          <w:lang w:val="en-US" w:eastAsia="zh-CN"/>
        </w:rPr>
        <w:t>浓度变化曲线图</w:t>
      </w:r>
      <w:r>
        <w:rPr>
          <w:rFonts w:hint="default" w:ascii="Times New Roman" w:hAnsi="Times New Roman" w:cs="Times New Roman"/>
        </w:rPr>
        <w:drawing>
          <wp:inline distT="0" distB="0" distL="114300" distR="114300">
            <wp:extent cx="3608705" cy="2230755"/>
            <wp:effectExtent l="0" t="0" r="10795" b="17145"/>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8"/>
                    <a:stretch>
                      <a:fillRect/>
                    </a:stretch>
                  </pic:blipFill>
                  <pic:spPr>
                    <a:xfrm>
                      <a:off x="0" y="0"/>
                      <a:ext cx="3608705" cy="2230755"/>
                    </a:xfrm>
                    <a:prstGeom prst="rect">
                      <a:avLst/>
                    </a:prstGeom>
                    <a:noFill/>
                    <a:ln>
                      <a:noFill/>
                    </a:ln>
                  </pic:spPr>
                </pic:pic>
              </a:graphicData>
            </a:graphic>
          </wp:inline>
        </w:drawing>
      </w:r>
    </w:p>
    <w:p w14:paraId="503A4036">
      <w:pPr>
        <w:jc w:val="center"/>
        <w:rPr>
          <w:rFonts w:hint="default" w:ascii="Times New Roman" w:hAnsi="Times New Roman" w:cs="Times New Roman"/>
          <w:lang w:val="en-US" w:eastAsia="zh-CN"/>
        </w:rPr>
      </w:pPr>
      <w:r>
        <w:rPr>
          <w:rFonts w:hint="default" w:ascii="Times New Roman" w:hAnsi="Times New Roman" w:eastAsia="黑体" w:cs="Times New Roman"/>
          <w:b w:val="0"/>
          <w:bCs/>
          <w:color w:val="auto"/>
          <w:sz w:val="21"/>
          <w:szCs w:val="21"/>
          <w:highlight w:val="none"/>
          <w:lang w:val="en-US" w:eastAsia="zh-CN"/>
        </w:rPr>
        <w:t>图6.3-6  项目区下游地下水监测井中</w:t>
      </w:r>
      <w:r>
        <w:rPr>
          <w:rFonts w:hint="default" w:ascii="Times New Roman" w:hAnsi="Times New Roman" w:cs="Times New Roman"/>
          <w:b w:val="0"/>
          <w:bCs/>
          <w:color w:val="auto"/>
          <w:sz w:val="21"/>
          <w:szCs w:val="21"/>
          <w:highlight w:val="none"/>
          <w:lang w:val="en-US" w:eastAsia="zh-CN"/>
        </w:rPr>
        <w:t>Mn</w:t>
      </w:r>
      <w:r>
        <w:rPr>
          <w:rFonts w:hint="default" w:ascii="Times New Roman" w:hAnsi="Times New Roman" w:eastAsia="黑体" w:cs="Times New Roman"/>
          <w:b w:val="0"/>
          <w:bCs/>
          <w:color w:val="auto"/>
          <w:sz w:val="21"/>
          <w:szCs w:val="21"/>
          <w:highlight w:val="none"/>
          <w:lang w:val="en-US" w:eastAsia="zh-CN"/>
        </w:rPr>
        <w:t>浓度变化曲线图</w:t>
      </w:r>
    </w:p>
    <w:p w14:paraId="62E2297C">
      <w:pPr>
        <w:rPr>
          <w:rFonts w:hint="default" w:ascii="Times New Roman" w:hAnsi="Times New Roman" w:cs="Times New Roman"/>
          <w:lang w:val="en-US" w:eastAsia="zh-CN"/>
        </w:rPr>
      </w:pPr>
    </w:p>
    <w:p w14:paraId="5E28B93F">
      <w:pPr>
        <w:bidi w:val="0"/>
        <w:spacing w:line="360" w:lineRule="auto"/>
        <w:ind w:firstLine="490" w:firstLineChars="200"/>
        <w:rPr>
          <w:rFonts w:hint="default" w:ascii="Times New Roman" w:hAnsi="Times New Roman" w:cs="Times New Roman"/>
          <w:lang w:val="en-US" w:eastAsia="zh-CN"/>
        </w:rPr>
      </w:pPr>
      <w:r>
        <w:rPr>
          <w:rFonts w:hint="default" w:ascii="Times New Roman" w:hAnsi="Times New Roman" w:eastAsia="宋体" w:cs="Times New Roman"/>
          <w:color w:val="auto"/>
          <w:sz w:val="24"/>
          <w:szCs w:val="24"/>
          <w:highlight w:val="none"/>
        </w:rPr>
        <w:t>从上图可看出，在</w:t>
      </w:r>
      <w:r>
        <w:rPr>
          <w:rFonts w:hint="default" w:ascii="Times New Roman" w:hAnsi="Times New Roman" w:cs="Times New Roman"/>
          <w:color w:val="auto"/>
          <w:sz w:val="24"/>
          <w:szCs w:val="24"/>
          <w:highlight w:val="none"/>
          <w:lang w:val="en-US" w:eastAsia="zh-CN"/>
        </w:rPr>
        <w:t>初期雨水收集池</w:t>
      </w:r>
      <w:r>
        <w:rPr>
          <w:rFonts w:hint="default" w:ascii="Times New Roman" w:hAnsi="Times New Roman" w:eastAsia="宋体" w:cs="Times New Roman"/>
          <w:color w:val="auto"/>
          <w:sz w:val="24"/>
          <w:szCs w:val="24"/>
          <w:highlight w:val="none"/>
        </w:rPr>
        <w:t>防渗层出现破损或破裂，</w:t>
      </w:r>
      <w:r>
        <w:rPr>
          <w:rFonts w:hint="default"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发生渗漏的非正常状况下，</w:t>
      </w:r>
      <w:r>
        <w:rPr>
          <w:rFonts w:hint="default" w:ascii="Times New Roman" w:hAnsi="Times New Roman" w:eastAsia="宋体" w:cs="Times New Roman"/>
          <w:color w:val="auto"/>
          <w:sz w:val="24"/>
          <w:szCs w:val="24"/>
          <w:highlight w:val="none"/>
          <w:lang w:val="en-US" w:eastAsia="zh-CN"/>
        </w:rPr>
        <w:t>COD</w:t>
      </w:r>
      <w:r>
        <w:rPr>
          <w:rFonts w:hint="default" w:ascii="Times New Roman" w:hAnsi="Times New Roman" w:eastAsia="宋体" w:cs="Times New Roman"/>
          <w:color w:val="auto"/>
          <w:sz w:val="24"/>
          <w:szCs w:val="24"/>
          <w:highlight w:val="none"/>
        </w:rPr>
        <w:t>运移至监测井并导致其水质出现超标的时间约为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d；为防止</w:t>
      </w:r>
      <w:r>
        <w:rPr>
          <w:rFonts w:hint="default"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渗漏</w:t>
      </w:r>
      <w:r>
        <w:rPr>
          <w:rFonts w:hint="default" w:ascii="Times New Roman" w:hAnsi="Times New Roman" w:eastAsia="宋体" w:cs="Times New Roman"/>
          <w:color w:val="auto"/>
          <w:sz w:val="24"/>
          <w:szCs w:val="24"/>
        </w:rPr>
        <w:t>对地下水产生影响，在项目运行期对地下水进行监控过程中，若厂区内</w:t>
      </w:r>
      <w:r>
        <w:rPr>
          <w:rFonts w:hint="default" w:ascii="Times New Roman" w:hAnsi="Times New Roman" w:eastAsia="宋体" w:cs="Times New Roman"/>
          <w:color w:val="auto"/>
          <w:spacing w:val="4"/>
          <w:sz w:val="24"/>
          <w:szCs w:val="24"/>
        </w:rPr>
        <w:t>监测井</w:t>
      </w:r>
      <w:r>
        <w:rPr>
          <w:rFonts w:hint="default" w:ascii="Times New Roman" w:hAnsi="Times New Roman" w:eastAsia="宋体" w:cs="Times New Roman"/>
          <w:color w:val="auto"/>
          <w:sz w:val="24"/>
          <w:szCs w:val="24"/>
        </w:rPr>
        <w:t>的污染物出现较大变化时，</w:t>
      </w:r>
      <w:r>
        <w:rPr>
          <w:rFonts w:hint="default" w:ascii="Times New Roman" w:hAnsi="Times New Roman" w:eastAsia="宋体" w:cs="Times New Roman"/>
          <w:color w:val="auto"/>
          <w:sz w:val="24"/>
          <w:szCs w:val="24"/>
          <w:lang w:val="en-US" w:eastAsia="zh-CN"/>
        </w:rPr>
        <w:t>及时</w:t>
      </w:r>
      <w:r>
        <w:rPr>
          <w:rFonts w:hint="default" w:ascii="Times New Roman" w:hAnsi="Times New Roman" w:eastAsia="宋体" w:cs="Times New Roman"/>
          <w:color w:val="auto"/>
          <w:sz w:val="24"/>
          <w:szCs w:val="24"/>
        </w:rPr>
        <w:t>查找渗漏点进行检修补漏，减少持续影响。</w:t>
      </w:r>
    </w:p>
    <w:p w14:paraId="48BE0605">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6.3.6地下水污染防治措施</w:t>
      </w:r>
    </w:p>
    <w:p w14:paraId="7B9253E6">
      <w:pPr>
        <w:pStyle w:val="17"/>
        <w:spacing w:line="360" w:lineRule="auto"/>
        <w:ind w:firstLine="480"/>
        <w:rPr>
          <w:rFonts w:hint="default" w:ascii="Times New Roman" w:hAnsi="Times New Roman" w:cs="Times New Roman"/>
          <w:color w:val="0000FF"/>
          <w:szCs w:val="24"/>
          <w:lang w:eastAsia="zh-CN"/>
        </w:rPr>
      </w:pPr>
      <w:r>
        <w:rPr>
          <w:rFonts w:hint="default" w:ascii="Times New Roman" w:hAnsi="Times New Roman" w:cs="Times New Roman"/>
        </w:rPr>
        <w:t>本项目地下</w:t>
      </w:r>
      <w:r>
        <w:rPr>
          <w:rFonts w:hint="default" w:ascii="Times New Roman" w:hAnsi="Times New Roman" w:cs="Times New Roman"/>
          <w:lang w:eastAsia="zh-CN"/>
        </w:rPr>
        <w:t>水污</w:t>
      </w:r>
      <w:r>
        <w:rPr>
          <w:rFonts w:hint="default" w:ascii="Times New Roman" w:hAnsi="Times New Roman" w:cs="Times New Roman"/>
        </w:rPr>
        <w:t>染防治措施按照“源头控制、分区防治、应急响应”相结合的原则，从污染物的产生、入渗、扩散、应急响应进行控制</w:t>
      </w:r>
      <w:r>
        <w:rPr>
          <w:rFonts w:hint="default" w:ascii="Times New Roman" w:hAnsi="Times New Roman" w:cs="Times New Roman"/>
          <w:lang w:val="en-US" w:eastAsia="zh-CN"/>
        </w:rPr>
        <w:t>以及</w:t>
      </w:r>
      <w:r>
        <w:rPr>
          <w:rFonts w:hint="default" w:ascii="Times New Roman" w:hAnsi="Times New Roman" w:cs="Times New Roman"/>
          <w:szCs w:val="24"/>
        </w:rPr>
        <w:t>地下水污染监控措施</w:t>
      </w:r>
      <w:r>
        <w:rPr>
          <w:rFonts w:hint="default" w:ascii="Times New Roman" w:hAnsi="Times New Roman" w:cs="Times New Roman"/>
          <w:szCs w:val="24"/>
          <w:lang w:eastAsia="zh-CN"/>
        </w:rPr>
        <w:t>。</w:t>
      </w:r>
    </w:p>
    <w:p w14:paraId="7FED859B">
      <w:pPr>
        <w:pStyle w:val="17"/>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highlight w:val="none"/>
        </w:rPr>
        <w:t>为监控地下水环境受污染情况，环评参照</w:t>
      </w:r>
      <w:bookmarkStart w:id="486" w:name="OLE_LINK754"/>
      <w:r>
        <w:rPr>
          <w:rFonts w:hint="default" w:ascii="Times New Roman" w:hAnsi="Times New Roman" w:cs="Times New Roman"/>
          <w:color w:val="auto"/>
          <w:sz w:val="24"/>
          <w:highlight w:val="none"/>
          <w:lang w:val="zh-CN"/>
        </w:rPr>
        <w:t>《环境影响评价技术导则</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cs="Times New Roman"/>
          <w:color w:val="auto"/>
          <w:sz w:val="24"/>
          <w:highlight w:val="none"/>
          <w:lang w:val="zh-CN"/>
        </w:rPr>
        <w:t>地下水环境》（HJ610-2016）</w:t>
      </w:r>
      <w:bookmarkEnd w:id="486"/>
      <w:r>
        <w:rPr>
          <w:rFonts w:hint="default" w:ascii="Times New Roman" w:hAnsi="Times New Roman" w:eastAsia="宋体" w:cs="Times New Roman"/>
          <w:color w:val="auto"/>
          <w:sz w:val="24"/>
          <w:highlight w:val="none"/>
          <w:lang w:val="en-US" w:eastAsia="zh-CN"/>
        </w:rPr>
        <w:t>、《地下水环境监测技术规范》（HJ164-2020）</w:t>
      </w:r>
      <w:bookmarkStart w:id="487" w:name="OLE_LINK229"/>
      <w:r>
        <w:rPr>
          <w:rFonts w:hint="default" w:ascii="Times New Roman" w:hAnsi="Times New Roman" w:eastAsia="宋体" w:cs="Times New Roman"/>
          <w:color w:val="auto"/>
          <w:sz w:val="24"/>
          <w:highlight w:val="none"/>
          <w:lang w:val="en-US" w:eastAsia="zh-CN"/>
        </w:rPr>
        <w:t>的要求，</w:t>
      </w:r>
      <w:bookmarkEnd w:id="487"/>
      <w:r>
        <w:rPr>
          <w:rFonts w:hint="default" w:ascii="Times New Roman" w:hAnsi="Times New Roman" w:eastAsia="宋体" w:cs="Times New Roman"/>
          <w:color w:val="auto"/>
          <w:sz w:val="24"/>
          <w:highlight w:val="none"/>
          <w:lang w:val="en-US" w:eastAsia="zh-CN"/>
        </w:rPr>
        <w:t>结合本项目实际情况，</w:t>
      </w:r>
      <w:r>
        <w:rPr>
          <w:rFonts w:hint="default" w:ascii="Times New Roman" w:hAnsi="Times New Roman" w:cs="Times New Roman"/>
          <w:color w:val="auto"/>
          <w:sz w:val="24"/>
          <w:highlight w:val="none"/>
        </w:rPr>
        <w:t>提出</w:t>
      </w:r>
      <w:r>
        <w:rPr>
          <w:rFonts w:hint="default" w:ascii="Times New Roman" w:hAnsi="Times New Roman" w:cs="Times New Roman"/>
          <w:color w:val="auto"/>
          <w:sz w:val="24"/>
          <w:highlight w:val="none"/>
          <w:lang w:val="en-US" w:eastAsia="zh-CN"/>
        </w:rPr>
        <w:t>采用</w:t>
      </w:r>
      <w:r>
        <w:rPr>
          <w:rFonts w:hint="default" w:ascii="Times New Roman" w:hAnsi="Times New Roman" w:cs="Times New Roman"/>
          <w:color w:val="auto"/>
          <w:szCs w:val="24"/>
          <w:lang w:val="en-US" w:eastAsia="zh-CN"/>
        </w:rPr>
        <w:t>项目北侧600m泉水点设置为对照点，初期雨水收集池下游约10m设置为跟踪监测点，</w:t>
      </w:r>
      <w:r>
        <w:rPr>
          <w:rFonts w:hint="default" w:ascii="Times New Roman" w:hAnsi="Times New Roman" w:cs="Times New Roman"/>
          <w:color w:val="auto"/>
          <w:sz w:val="24"/>
          <w:highlight w:val="none"/>
        </w:rPr>
        <w:t>鲁奎山铁矿1580m中段坑道地下水出水点</w:t>
      </w:r>
      <w:r>
        <w:rPr>
          <w:rFonts w:hint="default" w:ascii="Times New Roman" w:hAnsi="Times New Roman" w:cs="Times New Roman"/>
          <w:color w:val="auto"/>
          <w:sz w:val="24"/>
          <w:highlight w:val="none"/>
          <w:lang w:val="en-US" w:eastAsia="zh-CN"/>
        </w:rPr>
        <w:t>作为项目的污染扩散监测点，</w:t>
      </w:r>
      <w:r>
        <w:rPr>
          <w:rFonts w:hint="default" w:ascii="Times New Roman" w:hAnsi="Times New Roman" w:eastAsia="宋体" w:cs="Times New Roman"/>
          <w:color w:val="auto"/>
          <w:sz w:val="24"/>
          <w:highlight w:val="none"/>
          <w:lang w:val="en-US" w:eastAsia="zh-CN"/>
        </w:rPr>
        <w:t>合计3个地下水监测点</w:t>
      </w:r>
      <w:r>
        <w:rPr>
          <w:rFonts w:hint="default" w:ascii="Times New Roman" w:hAnsi="Times New Roman" w:cs="Times New Roman"/>
          <w:color w:val="auto"/>
          <w:sz w:val="24"/>
        </w:rPr>
        <w:t>。</w:t>
      </w:r>
      <w:r>
        <w:rPr>
          <w:rFonts w:hint="default" w:ascii="Times New Roman" w:hAnsi="Times New Roman" w:cs="Times New Roman"/>
          <w:color w:val="auto"/>
          <w:szCs w:val="24"/>
        </w:rPr>
        <w:t>每年监测一次</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监测因子Fe、Mn、Pb、Zn、Cu、As、耗氧量</w:t>
      </w:r>
      <w:r>
        <w:rPr>
          <w:rFonts w:hint="default" w:ascii="Times New Roman" w:hAnsi="Times New Roman" w:cs="Times New Roman"/>
          <w:color w:val="auto"/>
          <w:szCs w:val="24"/>
          <w:lang w:eastAsia="zh-CN"/>
        </w:rPr>
        <w:t>。</w:t>
      </w:r>
    </w:p>
    <w:p w14:paraId="4B7A7B94">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6.3.7</w:t>
      </w:r>
      <w:r>
        <w:rPr>
          <w:rFonts w:hint="default" w:ascii="Times New Roman" w:hAnsi="Times New Roman" w:cs="Times New Roman"/>
          <w:color w:val="auto"/>
        </w:rPr>
        <w:t>地下水环境影响评价结论</w:t>
      </w:r>
      <w:bookmarkEnd w:id="485"/>
    </w:p>
    <w:p w14:paraId="5C3AEA66">
      <w:pPr>
        <w:pStyle w:val="39"/>
        <w:spacing w:line="360" w:lineRule="auto"/>
        <w:ind w:firstLine="480"/>
        <w:rPr>
          <w:rFonts w:hint="default" w:ascii="Times New Roman" w:hAnsi="Times New Roman" w:cs="Times New Roman"/>
          <w:color w:val="auto"/>
          <w:lang w:bidi="zh-CN"/>
        </w:rPr>
      </w:pPr>
      <w:r>
        <w:rPr>
          <w:rFonts w:hint="default" w:ascii="Times New Roman" w:hAnsi="Times New Roman" w:cs="Times New Roman"/>
          <w:color w:val="auto"/>
        </w:rPr>
        <w:t>本项目采取分区防渗措施，正常情况下不会有污水泄漏而发生渗漏至地下水的情景发生。</w:t>
      </w:r>
      <w:r>
        <w:rPr>
          <w:rFonts w:hint="default" w:ascii="Times New Roman" w:hAnsi="Times New Roman" w:cs="Times New Roman"/>
          <w:color w:val="auto"/>
          <w:lang w:bidi="zh-CN"/>
        </w:rPr>
        <w:t>在</w:t>
      </w:r>
      <w:r>
        <w:rPr>
          <w:rFonts w:hint="default" w:ascii="Times New Roman" w:hAnsi="Times New Roman" w:cs="Times New Roman"/>
          <w:color w:val="auto"/>
        </w:rPr>
        <w:t>非正常状况下</w:t>
      </w:r>
      <w:r>
        <w:rPr>
          <w:rFonts w:hint="default" w:ascii="Times New Roman" w:hAnsi="Times New Roman" w:cs="Times New Roman"/>
          <w:color w:val="auto"/>
          <w:lang w:bidi="zh-CN"/>
        </w:rPr>
        <w:t>，根据</w:t>
      </w:r>
      <w:r>
        <w:rPr>
          <w:rFonts w:hint="default" w:ascii="Times New Roman" w:hAnsi="Times New Roman" w:cs="Times New Roman"/>
          <w:color w:val="auto"/>
        </w:rPr>
        <w:t>预测结果表明，在</w:t>
      </w:r>
      <w:r>
        <w:rPr>
          <w:rFonts w:hint="default" w:ascii="Times New Roman" w:hAnsi="Times New Roman" w:cs="Times New Roman"/>
          <w:color w:val="auto"/>
          <w:lang w:bidi="zh-CN"/>
        </w:rPr>
        <w:t>初期雨水收集池防渗层</w:t>
      </w:r>
      <w:r>
        <w:rPr>
          <w:rFonts w:hint="default" w:ascii="Times New Roman" w:hAnsi="Times New Roman" w:cs="Times New Roman"/>
          <w:color w:val="auto"/>
          <w:kern w:val="0"/>
          <w:szCs w:val="22"/>
        </w:rPr>
        <w:t>出现裂缝破损</w:t>
      </w:r>
      <w:r>
        <w:rPr>
          <w:rFonts w:hint="default" w:ascii="Times New Roman" w:hAnsi="Times New Roman" w:cs="Times New Roman"/>
          <w:color w:val="auto"/>
        </w:rPr>
        <w:t>持续渗漏且未发现情况下，</w:t>
      </w:r>
      <w:r>
        <w:rPr>
          <w:rFonts w:hint="default" w:ascii="Times New Roman" w:hAnsi="Times New Roman" w:cs="Times New Roman"/>
          <w:color w:val="auto"/>
          <w:lang w:val="en-US" w:eastAsia="zh-CN"/>
        </w:rPr>
        <w:t>COD会出现超标，Fe、Mn有一定影响，但不会导致超标</w:t>
      </w:r>
      <w:r>
        <w:rPr>
          <w:rFonts w:hint="default" w:ascii="Times New Roman" w:hAnsi="Times New Roman" w:cs="Times New Roman"/>
          <w:color w:val="auto"/>
          <w:lang w:bidi="zh-CN"/>
        </w:rPr>
        <w:t>。</w:t>
      </w:r>
    </w:p>
    <w:p w14:paraId="1450F0DE">
      <w:pPr>
        <w:pStyle w:val="39"/>
        <w:spacing w:line="360" w:lineRule="auto"/>
        <w:ind w:firstLine="480"/>
        <w:rPr>
          <w:rFonts w:hint="default" w:ascii="Times New Roman" w:hAnsi="Times New Roman" w:cs="Times New Roman"/>
          <w:color w:val="auto"/>
          <w:lang w:bidi="en-US"/>
        </w:rPr>
      </w:pPr>
      <w:r>
        <w:rPr>
          <w:rFonts w:hint="default" w:ascii="Times New Roman" w:hAnsi="Times New Roman" w:cs="Times New Roman"/>
          <w:color w:val="auto"/>
        </w:rPr>
        <w:t>因此，建设单位应严格</w:t>
      </w:r>
      <w:bookmarkStart w:id="488" w:name="_Hlk162510447"/>
      <w:r>
        <w:rPr>
          <w:rFonts w:hint="default" w:ascii="Times New Roman" w:hAnsi="Times New Roman" w:cs="Times New Roman"/>
          <w:color w:val="auto"/>
        </w:rPr>
        <w:t>采取源头控制和</w:t>
      </w:r>
      <w:bookmarkEnd w:id="488"/>
      <w:r>
        <w:rPr>
          <w:rFonts w:hint="default" w:ascii="Times New Roman" w:hAnsi="Times New Roman" w:cs="Times New Roman"/>
          <w:color w:val="auto"/>
        </w:rPr>
        <w:t>分区防渗等措施，</w:t>
      </w:r>
      <w:bookmarkStart w:id="489" w:name="_Hlk162510463"/>
      <w:r>
        <w:rPr>
          <w:rFonts w:hint="default" w:ascii="Times New Roman" w:hAnsi="Times New Roman" w:cs="Times New Roman"/>
          <w:color w:val="auto"/>
          <w:lang w:bidi="en-US"/>
        </w:rPr>
        <w:t>在运营期间应加强雨污分流及初期雨水收集系统，尽量减少物料随雨水迁移出厂区外；对初期雨水收集池、管道管理进行维护，避免出现裂缝、破损等造成渗漏，对可能发生污水渗漏的池体定期检查，避免非正常状况下地下水渗漏情况发生，当发现渗漏现象时应及时修复泄漏点。</w:t>
      </w:r>
    </w:p>
    <w:bookmarkEnd w:id="489"/>
    <w:p w14:paraId="1707E1D0">
      <w:pPr>
        <w:pStyle w:val="17"/>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根据调查，目前项目地下水评价范围内无村庄分布，亦无村庄饮用水源点分布，因此，项目对周边村庄饮用水源的影响较小。</w:t>
      </w:r>
    </w:p>
    <w:p w14:paraId="3C6012E7">
      <w:pPr>
        <w:bidi w:val="0"/>
        <w:ind w:firstLine="490" w:firstLineChars="200"/>
        <w:rPr>
          <w:rFonts w:hint="default" w:ascii="Times New Roman" w:hAnsi="Times New Roman" w:cs="Times New Roman"/>
          <w:lang w:val="en-US" w:eastAsia="zh-CN"/>
        </w:rPr>
      </w:pPr>
      <w:r>
        <w:rPr>
          <w:rFonts w:hint="default" w:ascii="Times New Roman" w:hAnsi="Times New Roman" w:cs="Times New Roman"/>
        </w:rPr>
        <w:t>本项目在采取源头控制和分区防渗等措施后，对地下水环境影响可接受。</w:t>
      </w:r>
    </w:p>
    <w:p w14:paraId="337497E3">
      <w:pPr>
        <w:pStyle w:val="5"/>
        <w:bidi w:val="0"/>
        <w:rPr>
          <w:rFonts w:hint="default" w:ascii="Times New Roman" w:hAnsi="Times New Roman" w:cs="Times New Roman"/>
        </w:rPr>
      </w:pPr>
      <w:bookmarkStart w:id="490" w:name="_Toc32667"/>
      <w:bookmarkStart w:id="491" w:name="_Toc13410"/>
      <w:bookmarkStart w:id="492" w:name="_Toc9814"/>
      <w:bookmarkStart w:id="493" w:name="_Toc31412"/>
      <w:bookmarkStart w:id="494" w:name="_Toc3801"/>
      <w:r>
        <w:rPr>
          <w:rFonts w:hint="default" w:ascii="Times New Roman" w:hAnsi="Times New Roman" w:cs="Times New Roman"/>
          <w:lang w:val="en-US" w:eastAsia="zh-CN"/>
        </w:rPr>
        <w:t>6</w:t>
      </w:r>
      <w:r>
        <w:rPr>
          <w:rFonts w:hint="default" w:ascii="Times New Roman" w:hAnsi="Times New Roman" w:cs="Times New Roman"/>
        </w:rPr>
        <w:t>.4土壤环境影响预测与评价</w:t>
      </w:r>
      <w:bookmarkEnd w:id="482"/>
      <w:bookmarkEnd w:id="490"/>
      <w:bookmarkEnd w:id="491"/>
      <w:bookmarkEnd w:id="492"/>
      <w:bookmarkEnd w:id="493"/>
      <w:bookmarkEnd w:id="494"/>
    </w:p>
    <w:p w14:paraId="591B6B65">
      <w:pPr>
        <w:pStyle w:val="6"/>
        <w:bidi w:val="0"/>
        <w:rPr>
          <w:rFonts w:hint="default" w:ascii="Times New Roman" w:hAnsi="Times New Roman" w:cs="Times New Roman"/>
        </w:rPr>
      </w:pPr>
      <w:bookmarkStart w:id="495" w:name="_Toc1381"/>
      <w:r>
        <w:rPr>
          <w:rFonts w:hint="default" w:ascii="Times New Roman" w:hAnsi="Times New Roman" w:cs="Times New Roman"/>
          <w:lang w:val="en-US" w:eastAsia="zh-CN"/>
        </w:rPr>
        <w:t>6</w:t>
      </w:r>
      <w:r>
        <w:rPr>
          <w:rFonts w:hint="default" w:ascii="Times New Roman" w:hAnsi="Times New Roman" w:cs="Times New Roman"/>
        </w:rPr>
        <w:t>.4.1评价等级确定</w:t>
      </w:r>
      <w:bookmarkEnd w:id="495"/>
    </w:p>
    <w:p w14:paraId="46A73C14">
      <w:pPr>
        <w:snapToGrid w:val="0"/>
        <w:spacing w:line="360" w:lineRule="auto"/>
        <w:ind w:firstLine="490" w:firstLineChars="200"/>
        <w:jc w:val="left"/>
        <w:rPr>
          <w:rFonts w:hint="default" w:ascii="Times New Roman" w:hAnsi="Times New Roman" w:cs="Times New Roman"/>
          <w:bCs/>
          <w:color w:val="auto"/>
        </w:rPr>
      </w:pPr>
      <w:r>
        <w:rPr>
          <w:rFonts w:hint="default" w:ascii="Times New Roman" w:hAnsi="Times New Roman" w:cs="Times New Roman"/>
          <w:bCs/>
          <w:color w:val="auto"/>
        </w:rPr>
        <w:t>按照《环境影响评价技术导则  土壤环境（试行）》</w:t>
      </w:r>
      <w:r>
        <w:rPr>
          <w:rFonts w:hint="default" w:ascii="Times New Roman" w:hAnsi="Times New Roman" w:cs="Times New Roman"/>
          <w:bCs/>
          <w:color w:val="auto"/>
          <w:lang w:eastAsia="zh-CN"/>
        </w:rPr>
        <w:t>（</w:t>
      </w:r>
      <w:r>
        <w:rPr>
          <w:rFonts w:hint="default" w:ascii="Times New Roman" w:hAnsi="Times New Roman" w:cs="Times New Roman"/>
          <w:bCs/>
          <w:color w:val="auto"/>
        </w:rPr>
        <w:t>HJ964-2018</w:t>
      </w:r>
      <w:r>
        <w:rPr>
          <w:rFonts w:hint="default" w:ascii="Times New Roman" w:hAnsi="Times New Roman" w:cs="Times New Roman"/>
          <w:bCs/>
          <w:color w:val="auto"/>
          <w:lang w:eastAsia="zh-CN"/>
        </w:rPr>
        <w:t>）</w:t>
      </w:r>
      <w:r>
        <w:rPr>
          <w:rFonts w:hint="default" w:ascii="Times New Roman" w:hAnsi="Times New Roman" w:cs="Times New Roman"/>
          <w:bCs/>
          <w:color w:val="auto"/>
        </w:rPr>
        <w:t>中土壤环境影响评价工作等级划分原则，</w:t>
      </w:r>
      <w:r>
        <w:rPr>
          <w:rFonts w:hint="default" w:ascii="Times New Roman" w:hAnsi="Times New Roman" w:cs="Times New Roman"/>
          <w:color w:val="auto"/>
        </w:rPr>
        <w:t>本项目属于污染影响型，</w:t>
      </w:r>
      <w:r>
        <w:rPr>
          <w:rFonts w:hint="default" w:ascii="Times New Roman" w:hAnsi="Times New Roman" w:cs="Times New Roman"/>
          <w:bCs/>
          <w:color w:val="auto"/>
        </w:rPr>
        <w:t>土壤环境影响评价工作等级为</w:t>
      </w:r>
      <w:r>
        <w:rPr>
          <w:rFonts w:hint="default" w:ascii="Times New Roman" w:hAnsi="Times New Roman" w:cs="Times New Roman"/>
          <w:bCs/>
          <w:color w:val="auto"/>
          <w:lang w:val="en-US" w:eastAsia="zh-CN"/>
        </w:rPr>
        <w:t>一</w:t>
      </w:r>
      <w:r>
        <w:rPr>
          <w:rFonts w:hint="default" w:ascii="Times New Roman" w:hAnsi="Times New Roman" w:cs="Times New Roman"/>
          <w:bCs/>
          <w:color w:val="auto"/>
        </w:rPr>
        <w:t>级。预测方法参见《环境影响评价技术导则 土壤环境》（HJ964-2018）附录E。</w:t>
      </w:r>
    </w:p>
    <w:p w14:paraId="2A119DC0">
      <w:pPr>
        <w:pStyle w:val="6"/>
        <w:bidi w:val="0"/>
        <w:spacing w:line="360" w:lineRule="auto"/>
        <w:rPr>
          <w:rFonts w:hint="default" w:ascii="Times New Roman" w:hAnsi="Times New Roman" w:cs="Times New Roman"/>
        </w:rPr>
      </w:pPr>
      <w:bookmarkStart w:id="496" w:name="_Toc12867"/>
      <w:r>
        <w:rPr>
          <w:rFonts w:hint="default" w:ascii="Times New Roman" w:hAnsi="Times New Roman" w:cs="Times New Roman"/>
          <w:color w:val="auto"/>
          <w:lang w:val="en-US" w:eastAsia="zh-CN"/>
        </w:rPr>
        <w:t>6</w:t>
      </w:r>
      <w:r>
        <w:rPr>
          <w:rFonts w:hint="default" w:ascii="Times New Roman" w:hAnsi="Times New Roman" w:cs="Times New Roman"/>
          <w:color w:val="auto"/>
        </w:rPr>
        <w:t>.4.2土壤</w:t>
      </w:r>
      <w:r>
        <w:rPr>
          <w:rFonts w:hint="default" w:ascii="Times New Roman" w:hAnsi="Times New Roman" w:cs="Times New Roman"/>
        </w:rPr>
        <w:t>环境影响识别</w:t>
      </w:r>
      <w:bookmarkEnd w:id="496"/>
    </w:p>
    <w:p w14:paraId="43904D30">
      <w:pPr>
        <w:pStyle w:val="17"/>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本项目主要在运营期可能对土壤环境产生影响，产生影响的主要是粉尘沉降影响，</w:t>
      </w:r>
      <w:r>
        <w:rPr>
          <w:rFonts w:hint="default" w:ascii="Times New Roman" w:hAnsi="Times New Roman" w:cs="Times New Roman"/>
          <w:color w:val="auto"/>
          <w:sz w:val="24"/>
          <w:szCs w:val="24"/>
          <w:highlight w:val="none"/>
          <w:lang w:val="en-US" w:eastAsia="zh-CN"/>
        </w:rPr>
        <w:t>初期雨水收集池</w:t>
      </w:r>
      <w:r>
        <w:rPr>
          <w:rFonts w:hint="default" w:ascii="Times New Roman" w:hAnsi="Times New Roman" w:cs="Times New Roman"/>
          <w:color w:val="auto"/>
          <w:sz w:val="24"/>
          <w:szCs w:val="24"/>
          <w:highlight w:val="none"/>
        </w:rPr>
        <w:t>防渗层破损形成地表漫流造成污染物垂直入渗对土壤造成影响，雨水漫流对区域土壤造成污染。</w:t>
      </w:r>
    </w:p>
    <w:p w14:paraId="5CBDEAFD">
      <w:pPr>
        <w:spacing w:line="360" w:lineRule="auto"/>
        <w:jc w:val="center"/>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表6.4.2-1  建设项目土壤环境影响类型与影响途径表</w:t>
      </w:r>
    </w:p>
    <w:tbl>
      <w:tblPr>
        <w:tblStyle w:val="29"/>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57"/>
        <w:gridCol w:w="1855"/>
        <w:gridCol w:w="1855"/>
        <w:gridCol w:w="1857"/>
        <w:gridCol w:w="1862"/>
      </w:tblGrid>
      <w:tr w14:paraId="4FE48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00" w:type="pct"/>
            <w:vMerge w:val="restart"/>
            <w:tcBorders>
              <w:top w:val="single" w:color="auto" w:sz="2" w:space="0"/>
              <w:left w:val="nil"/>
              <w:bottom w:val="single" w:color="auto" w:sz="4" w:space="0"/>
              <w:right w:val="single" w:color="auto" w:sz="4" w:space="0"/>
            </w:tcBorders>
            <w:noWrap w:val="0"/>
            <w:vAlign w:val="center"/>
          </w:tcPr>
          <w:p w14:paraId="2BE25269">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不同时段</w:t>
            </w:r>
          </w:p>
        </w:tc>
        <w:tc>
          <w:tcPr>
            <w:tcW w:w="3999" w:type="pct"/>
            <w:gridSpan w:val="4"/>
            <w:tcBorders>
              <w:top w:val="single" w:color="auto" w:sz="2" w:space="0"/>
              <w:left w:val="single" w:color="auto" w:sz="4" w:space="0"/>
              <w:bottom w:val="single" w:color="auto" w:sz="4" w:space="0"/>
              <w:right w:val="nil"/>
            </w:tcBorders>
            <w:noWrap w:val="0"/>
            <w:vAlign w:val="center"/>
          </w:tcPr>
          <w:p w14:paraId="17417139">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污染影响型</w:t>
            </w:r>
          </w:p>
        </w:tc>
      </w:tr>
      <w:tr w14:paraId="2F3C3A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00" w:type="pct"/>
            <w:vMerge w:val="continue"/>
            <w:tcBorders>
              <w:top w:val="single" w:color="auto" w:sz="4" w:space="0"/>
              <w:left w:val="nil"/>
              <w:bottom w:val="single" w:color="auto" w:sz="4" w:space="0"/>
              <w:right w:val="single" w:color="auto" w:sz="4" w:space="0"/>
            </w:tcBorders>
            <w:noWrap w:val="0"/>
            <w:vAlign w:val="center"/>
          </w:tcPr>
          <w:p w14:paraId="000AD025">
            <w:pPr>
              <w:widowControl/>
              <w:jc w:val="left"/>
              <w:rPr>
                <w:rFonts w:hint="default" w:ascii="Times New Roman" w:hAnsi="Times New Roman" w:cs="Times New Roman"/>
                <w:color w:val="auto"/>
                <w:kern w:val="0"/>
                <w:sz w:val="18"/>
                <w:szCs w:val="18"/>
                <w:highlight w:val="none"/>
              </w:rPr>
            </w:pPr>
          </w:p>
        </w:tc>
        <w:tc>
          <w:tcPr>
            <w:tcW w:w="999" w:type="pct"/>
            <w:tcBorders>
              <w:top w:val="single" w:color="auto" w:sz="4" w:space="0"/>
              <w:left w:val="single" w:color="auto" w:sz="4" w:space="0"/>
              <w:bottom w:val="single" w:color="auto" w:sz="4" w:space="0"/>
              <w:right w:val="single" w:color="auto" w:sz="4" w:space="0"/>
            </w:tcBorders>
            <w:noWrap w:val="0"/>
            <w:vAlign w:val="center"/>
          </w:tcPr>
          <w:p w14:paraId="14AFD469">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大气沉降</w:t>
            </w:r>
          </w:p>
        </w:tc>
        <w:tc>
          <w:tcPr>
            <w:tcW w:w="999" w:type="pct"/>
            <w:tcBorders>
              <w:top w:val="single" w:color="auto" w:sz="4" w:space="0"/>
              <w:left w:val="single" w:color="auto" w:sz="4" w:space="0"/>
              <w:bottom w:val="single" w:color="auto" w:sz="4" w:space="0"/>
              <w:right w:val="single" w:color="auto" w:sz="4" w:space="0"/>
            </w:tcBorders>
            <w:noWrap w:val="0"/>
            <w:vAlign w:val="center"/>
          </w:tcPr>
          <w:p w14:paraId="2838C3EE">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地面漫流</w:t>
            </w:r>
          </w:p>
        </w:tc>
        <w:tc>
          <w:tcPr>
            <w:tcW w:w="1000" w:type="pct"/>
            <w:tcBorders>
              <w:top w:val="single" w:color="auto" w:sz="4" w:space="0"/>
              <w:left w:val="single" w:color="auto" w:sz="4" w:space="0"/>
              <w:bottom w:val="single" w:color="auto" w:sz="4" w:space="0"/>
              <w:right w:val="single" w:color="auto" w:sz="4" w:space="0"/>
            </w:tcBorders>
            <w:noWrap w:val="0"/>
            <w:vAlign w:val="center"/>
          </w:tcPr>
          <w:p w14:paraId="380D1ACD">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垂直入渗</w:t>
            </w:r>
          </w:p>
        </w:tc>
        <w:tc>
          <w:tcPr>
            <w:tcW w:w="999" w:type="pct"/>
            <w:tcBorders>
              <w:top w:val="single" w:color="auto" w:sz="4" w:space="0"/>
              <w:left w:val="single" w:color="auto" w:sz="4" w:space="0"/>
              <w:bottom w:val="single" w:color="auto" w:sz="4" w:space="0"/>
              <w:right w:val="nil"/>
            </w:tcBorders>
            <w:noWrap w:val="0"/>
            <w:vAlign w:val="center"/>
          </w:tcPr>
          <w:p w14:paraId="243456C2">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其他</w:t>
            </w:r>
          </w:p>
        </w:tc>
      </w:tr>
      <w:tr w14:paraId="33973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00" w:type="pct"/>
            <w:tcBorders>
              <w:top w:val="single" w:color="auto" w:sz="4" w:space="0"/>
              <w:left w:val="nil"/>
              <w:bottom w:val="single" w:color="auto" w:sz="4" w:space="0"/>
              <w:right w:val="single" w:color="auto" w:sz="4" w:space="0"/>
            </w:tcBorders>
            <w:noWrap w:val="0"/>
            <w:vAlign w:val="center"/>
          </w:tcPr>
          <w:p w14:paraId="1C26FF25">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建设期</w:t>
            </w:r>
          </w:p>
        </w:tc>
        <w:tc>
          <w:tcPr>
            <w:tcW w:w="999" w:type="pct"/>
            <w:tcBorders>
              <w:top w:val="single" w:color="auto" w:sz="4" w:space="0"/>
              <w:left w:val="single" w:color="auto" w:sz="4" w:space="0"/>
              <w:bottom w:val="single" w:color="auto" w:sz="4" w:space="0"/>
              <w:right w:val="single" w:color="auto" w:sz="4" w:space="0"/>
            </w:tcBorders>
            <w:noWrap w:val="0"/>
            <w:vAlign w:val="center"/>
          </w:tcPr>
          <w:p w14:paraId="3D3014C4">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999" w:type="pct"/>
            <w:tcBorders>
              <w:top w:val="single" w:color="auto" w:sz="4" w:space="0"/>
              <w:left w:val="single" w:color="auto" w:sz="4" w:space="0"/>
              <w:bottom w:val="single" w:color="auto" w:sz="4" w:space="0"/>
              <w:right w:val="single" w:color="auto" w:sz="4" w:space="0"/>
            </w:tcBorders>
            <w:noWrap w:val="0"/>
            <w:vAlign w:val="center"/>
          </w:tcPr>
          <w:p w14:paraId="531B7754">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000" w:type="pct"/>
            <w:tcBorders>
              <w:top w:val="single" w:color="auto" w:sz="4" w:space="0"/>
              <w:left w:val="single" w:color="auto" w:sz="4" w:space="0"/>
              <w:bottom w:val="single" w:color="auto" w:sz="4" w:space="0"/>
              <w:right w:val="single" w:color="auto" w:sz="4" w:space="0"/>
            </w:tcBorders>
            <w:noWrap w:val="0"/>
            <w:vAlign w:val="center"/>
          </w:tcPr>
          <w:p w14:paraId="49FFDED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999" w:type="pct"/>
            <w:tcBorders>
              <w:top w:val="single" w:color="auto" w:sz="4" w:space="0"/>
              <w:left w:val="single" w:color="auto" w:sz="4" w:space="0"/>
              <w:bottom w:val="single" w:color="auto" w:sz="4" w:space="0"/>
              <w:right w:val="nil"/>
            </w:tcBorders>
            <w:noWrap w:val="0"/>
            <w:vAlign w:val="center"/>
          </w:tcPr>
          <w:p w14:paraId="101EEE39">
            <w:pPr>
              <w:jc w:val="center"/>
              <w:rPr>
                <w:rFonts w:hint="default" w:ascii="Times New Roman" w:hAnsi="Times New Roman" w:cs="Times New Roman"/>
                <w:color w:val="auto"/>
                <w:sz w:val="18"/>
                <w:szCs w:val="18"/>
                <w:highlight w:val="none"/>
              </w:rPr>
            </w:pPr>
          </w:p>
        </w:tc>
      </w:tr>
      <w:tr w14:paraId="73C26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00" w:type="pct"/>
            <w:tcBorders>
              <w:top w:val="single" w:color="auto" w:sz="4" w:space="0"/>
              <w:left w:val="nil"/>
              <w:bottom w:val="single" w:color="auto" w:sz="4" w:space="0"/>
              <w:right w:val="single" w:color="auto" w:sz="4" w:space="0"/>
            </w:tcBorders>
            <w:noWrap w:val="0"/>
            <w:vAlign w:val="center"/>
          </w:tcPr>
          <w:p w14:paraId="3922F85C">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运营期</w:t>
            </w:r>
          </w:p>
        </w:tc>
        <w:tc>
          <w:tcPr>
            <w:tcW w:w="999" w:type="pct"/>
            <w:tcBorders>
              <w:top w:val="single" w:color="auto" w:sz="4" w:space="0"/>
              <w:left w:val="single" w:color="auto" w:sz="4" w:space="0"/>
              <w:bottom w:val="single" w:color="auto" w:sz="4" w:space="0"/>
              <w:right w:val="single" w:color="auto" w:sz="4" w:space="0"/>
            </w:tcBorders>
            <w:noWrap w:val="0"/>
            <w:vAlign w:val="center"/>
          </w:tcPr>
          <w:p w14:paraId="3AF9A1BE">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999" w:type="pct"/>
            <w:tcBorders>
              <w:top w:val="single" w:color="auto" w:sz="4" w:space="0"/>
              <w:left w:val="single" w:color="auto" w:sz="4" w:space="0"/>
              <w:bottom w:val="single" w:color="auto" w:sz="4" w:space="0"/>
              <w:right w:val="single" w:color="auto" w:sz="4" w:space="0"/>
            </w:tcBorders>
            <w:noWrap w:val="0"/>
            <w:vAlign w:val="center"/>
          </w:tcPr>
          <w:p w14:paraId="3C8B2374">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000" w:type="pct"/>
            <w:tcBorders>
              <w:top w:val="single" w:color="auto" w:sz="4" w:space="0"/>
              <w:left w:val="single" w:color="auto" w:sz="4" w:space="0"/>
              <w:bottom w:val="single" w:color="auto" w:sz="4" w:space="0"/>
              <w:right w:val="single" w:color="auto" w:sz="4" w:space="0"/>
            </w:tcBorders>
            <w:noWrap w:val="0"/>
            <w:vAlign w:val="center"/>
          </w:tcPr>
          <w:p w14:paraId="373FF30A">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999" w:type="pct"/>
            <w:tcBorders>
              <w:top w:val="single" w:color="auto" w:sz="4" w:space="0"/>
              <w:left w:val="single" w:color="auto" w:sz="4" w:space="0"/>
              <w:bottom w:val="single" w:color="auto" w:sz="4" w:space="0"/>
              <w:right w:val="nil"/>
            </w:tcBorders>
            <w:noWrap w:val="0"/>
            <w:vAlign w:val="center"/>
          </w:tcPr>
          <w:p w14:paraId="151DE9CB">
            <w:pPr>
              <w:jc w:val="center"/>
              <w:rPr>
                <w:rFonts w:hint="default" w:ascii="Times New Roman" w:hAnsi="Times New Roman" w:cs="Times New Roman"/>
                <w:color w:val="auto"/>
                <w:sz w:val="18"/>
                <w:szCs w:val="18"/>
                <w:highlight w:val="none"/>
              </w:rPr>
            </w:pPr>
          </w:p>
        </w:tc>
      </w:tr>
      <w:tr w14:paraId="28F99C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00" w:type="pct"/>
            <w:tcBorders>
              <w:top w:val="single" w:color="auto" w:sz="4" w:space="0"/>
              <w:left w:val="nil"/>
              <w:bottom w:val="single" w:color="auto" w:sz="4" w:space="0"/>
              <w:right w:val="single" w:color="auto" w:sz="4" w:space="0"/>
            </w:tcBorders>
            <w:noWrap w:val="0"/>
            <w:vAlign w:val="center"/>
          </w:tcPr>
          <w:p w14:paraId="17A82F84">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服务期满后</w:t>
            </w:r>
          </w:p>
        </w:tc>
        <w:tc>
          <w:tcPr>
            <w:tcW w:w="999" w:type="pct"/>
            <w:tcBorders>
              <w:top w:val="single" w:color="auto" w:sz="4" w:space="0"/>
              <w:left w:val="single" w:color="auto" w:sz="4" w:space="0"/>
              <w:bottom w:val="single" w:color="auto" w:sz="4" w:space="0"/>
              <w:right w:val="single" w:color="auto" w:sz="4" w:space="0"/>
            </w:tcBorders>
            <w:noWrap w:val="0"/>
            <w:vAlign w:val="center"/>
          </w:tcPr>
          <w:p w14:paraId="3756B9D4">
            <w:pPr>
              <w:jc w:val="center"/>
              <w:rPr>
                <w:rFonts w:hint="default" w:ascii="Times New Roman" w:hAnsi="Times New Roman" w:cs="Times New Roman"/>
                <w:color w:val="auto"/>
                <w:sz w:val="18"/>
                <w:szCs w:val="18"/>
                <w:highlight w:val="none"/>
              </w:rPr>
            </w:pPr>
          </w:p>
        </w:tc>
        <w:tc>
          <w:tcPr>
            <w:tcW w:w="999" w:type="pct"/>
            <w:tcBorders>
              <w:top w:val="single" w:color="auto" w:sz="4" w:space="0"/>
              <w:left w:val="single" w:color="auto" w:sz="4" w:space="0"/>
              <w:bottom w:val="single" w:color="auto" w:sz="4" w:space="0"/>
              <w:right w:val="single" w:color="auto" w:sz="4" w:space="0"/>
            </w:tcBorders>
            <w:noWrap w:val="0"/>
            <w:vAlign w:val="center"/>
          </w:tcPr>
          <w:p w14:paraId="1E9DD2E5">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000" w:type="pct"/>
            <w:tcBorders>
              <w:top w:val="single" w:color="auto" w:sz="4" w:space="0"/>
              <w:left w:val="single" w:color="auto" w:sz="4" w:space="0"/>
              <w:bottom w:val="single" w:color="auto" w:sz="4" w:space="0"/>
              <w:right w:val="single" w:color="auto" w:sz="4" w:space="0"/>
            </w:tcBorders>
            <w:noWrap w:val="0"/>
            <w:vAlign w:val="center"/>
          </w:tcPr>
          <w:p w14:paraId="5355AC53">
            <w:pPr>
              <w:jc w:val="center"/>
              <w:rPr>
                <w:rFonts w:hint="default" w:ascii="Times New Roman" w:hAnsi="Times New Roman" w:cs="Times New Roman"/>
                <w:color w:val="auto"/>
                <w:sz w:val="18"/>
                <w:szCs w:val="18"/>
                <w:highlight w:val="none"/>
              </w:rPr>
            </w:pPr>
          </w:p>
        </w:tc>
        <w:tc>
          <w:tcPr>
            <w:tcW w:w="999" w:type="pct"/>
            <w:tcBorders>
              <w:top w:val="single" w:color="auto" w:sz="4" w:space="0"/>
              <w:left w:val="single" w:color="auto" w:sz="4" w:space="0"/>
              <w:bottom w:val="single" w:color="auto" w:sz="4" w:space="0"/>
              <w:right w:val="nil"/>
            </w:tcBorders>
            <w:noWrap w:val="0"/>
            <w:vAlign w:val="center"/>
          </w:tcPr>
          <w:p w14:paraId="2BD8453E">
            <w:pPr>
              <w:jc w:val="center"/>
              <w:rPr>
                <w:rFonts w:hint="default" w:ascii="Times New Roman" w:hAnsi="Times New Roman" w:cs="Times New Roman"/>
                <w:color w:val="auto"/>
                <w:sz w:val="18"/>
                <w:szCs w:val="18"/>
                <w:highlight w:val="none"/>
              </w:rPr>
            </w:pPr>
          </w:p>
        </w:tc>
      </w:tr>
      <w:tr w14:paraId="3ADC88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5000" w:type="pct"/>
            <w:gridSpan w:val="5"/>
            <w:tcBorders>
              <w:top w:val="single" w:color="auto" w:sz="4" w:space="0"/>
              <w:left w:val="nil"/>
              <w:bottom w:val="single" w:color="auto" w:sz="2" w:space="0"/>
              <w:right w:val="nil"/>
            </w:tcBorders>
            <w:noWrap w:val="0"/>
            <w:vAlign w:val="center"/>
          </w:tcPr>
          <w:p w14:paraId="7CE3168B">
            <w:pP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注：在可能产生的土壤环境影响类型处打“√”，列表未涵盖的可自行设计。</w:t>
            </w:r>
          </w:p>
        </w:tc>
      </w:tr>
    </w:tbl>
    <w:p w14:paraId="2C2DEF8F">
      <w:pPr>
        <w:pStyle w:val="17"/>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本项目对土壤的影响主要是废气中排放的污染物沉降对土壤环境的影响，具体的影响因子详见下表：</w:t>
      </w:r>
    </w:p>
    <w:p w14:paraId="790D0A2F">
      <w:pPr>
        <w:spacing w:line="360" w:lineRule="auto"/>
        <w:jc w:val="center"/>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表6.4.2-2  污染影响型建设项目土壤环境影响源及影响因子识别表</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6"/>
        <w:gridCol w:w="2036"/>
        <w:gridCol w:w="2034"/>
        <w:gridCol w:w="1523"/>
        <w:gridCol w:w="1534"/>
        <w:gridCol w:w="1285"/>
      </w:tblGrid>
      <w:tr w14:paraId="45462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72" w:type="pct"/>
            <w:tcBorders>
              <w:top w:val="single" w:color="auto" w:sz="2" w:space="0"/>
              <w:left w:val="nil"/>
              <w:bottom w:val="single" w:color="auto" w:sz="4" w:space="0"/>
              <w:right w:val="single" w:color="auto" w:sz="4" w:space="0"/>
            </w:tcBorders>
            <w:noWrap w:val="0"/>
            <w:vAlign w:val="center"/>
          </w:tcPr>
          <w:p w14:paraId="25D420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污染源</w:t>
            </w:r>
          </w:p>
        </w:tc>
        <w:tc>
          <w:tcPr>
            <w:tcW w:w="1095" w:type="pct"/>
            <w:tcBorders>
              <w:top w:val="single" w:color="auto" w:sz="2" w:space="0"/>
              <w:left w:val="single" w:color="auto" w:sz="4" w:space="0"/>
              <w:bottom w:val="single" w:color="auto" w:sz="4" w:space="0"/>
              <w:right w:val="single" w:color="auto" w:sz="4" w:space="0"/>
            </w:tcBorders>
            <w:noWrap w:val="0"/>
            <w:vAlign w:val="center"/>
          </w:tcPr>
          <w:p w14:paraId="0BAC00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工艺流程/节点</w:t>
            </w:r>
          </w:p>
        </w:tc>
        <w:tc>
          <w:tcPr>
            <w:tcW w:w="1094" w:type="pct"/>
            <w:tcBorders>
              <w:top w:val="single" w:color="auto" w:sz="2" w:space="0"/>
              <w:left w:val="single" w:color="auto" w:sz="4" w:space="0"/>
              <w:bottom w:val="single" w:color="auto" w:sz="4" w:space="0"/>
              <w:right w:val="single" w:color="auto" w:sz="4" w:space="0"/>
            </w:tcBorders>
            <w:noWrap w:val="0"/>
            <w:vAlign w:val="center"/>
          </w:tcPr>
          <w:p w14:paraId="20DC2A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污染途径</w:t>
            </w:r>
          </w:p>
        </w:tc>
        <w:tc>
          <w:tcPr>
            <w:tcW w:w="819" w:type="pct"/>
            <w:tcBorders>
              <w:top w:val="single" w:color="auto" w:sz="2" w:space="0"/>
              <w:left w:val="single" w:color="auto" w:sz="4" w:space="0"/>
              <w:bottom w:val="single" w:color="auto" w:sz="4" w:space="0"/>
              <w:right w:val="single" w:color="auto" w:sz="4" w:space="0"/>
            </w:tcBorders>
            <w:noWrap w:val="0"/>
            <w:vAlign w:val="center"/>
          </w:tcPr>
          <w:p w14:paraId="4D1DCC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全部污染物指标</w:t>
            </w:r>
          </w:p>
        </w:tc>
        <w:tc>
          <w:tcPr>
            <w:tcW w:w="825" w:type="pct"/>
            <w:tcBorders>
              <w:top w:val="single" w:color="auto" w:sz="2" w:space="0"/>
              <w:left w:val="single" w:color="auto" w:sz="4" w:space="0"/>
              <w:bottom w:val="single" w:color="auto" w:sz="4" w:space="0"/>
              <w:right w:val="single" w:color="auto" w:sz="4" w:space="0"/>
            </w:tcBorders>
            <w:noWrap w:val="0"/>
            <w:vAlign w:val="center"/>
          </w:tcPr>
          <w:p w14:paraId="027BFD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特征因子</w:t>
            </w:r>
          </w:p>
        </w:tc>
        <w:tc>
          <w:tcPr>
            <w:tcW w:w="691" w:type="pct"/>
            <w:tcBorders>
              <w:top w:val="single" w:color="auto" w:sz="2" w:space="0"/>
              <w:left w:val="single" w:color="auto" w:sz="4" w:space="0"/>
              <w:bottom w:val="single" w:color="auto" w:sz="4" w:space="0"/>
              <w:right w:val="nil"/>
            </w:tcBorders>
            <w:noWrap w:val="0"/>
            <w:vAlign w:val="center"/>
          </w:tcPr>
          <w:p w14:paraId="367EBE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备注</w:t>
            </w:r>
          </w:p>
        </w:tc>
      </w:tr>
      <w:tr w14:paraId="6B324B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72" w:type="pct"/>
            <w:tcBorders>
              <w:top w:val="single" w:color="auto" w:sz="4" w:space="0"/>
              <w:left w:val="nil"/>
              <w:bottom w:val="single" w:color="auto" w:sz="4" w:space="0"/>
              <w:right w:val="single" w:color="auto" w:sz="4" w:space="0"/>
            </w:tcBorders>
            <w:noWrap w:val="0"/>
            <w:vAlign w:val="center"/>
          </w:tcPr>
          <w:p w14:paraId="215BE8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w:t>
            </w:r>
          </w:p>
        </w:tc>
        <w:tc>
          <w:tcPr>
            <w:tcW w:w="1095" w:type="pct"/>
            <w:tcBorders>
              <w:top w:val="single" w:color="auto" w:sz="4" w:space="0"/>
              <w:left w:val="single" w:color="auto" w:sz="4" w:space="0"/>
              <w:bottom w:val="single" w:color="auto" w:sz="4" w:space="0"/>
              <w:right w:val="single" w:color="auto" w:sz="4" w:space="0"/>
            </w:tcBorders>
            <w:noWrap w:val="0"/>
            <w:vAlign w:val="center"/>
          </w:tcPr>
          <w:p w14:paraId="70EF98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物料</w:t>
            </w:r>
            <w:r>
              <w:rPr>
                <w:rFonts w:hint="default" w:ascii="Times New Roman" w:hAnsi="Times New Roman" w:cs="Times New Roman"/>
                <w:color w:val="auto"/>
                <w:sz w:val="18"/>
                <w:szCs w:val="18"/>
                <w:highlight w:val="none"/>
              </w:rPr>
              <w:t>装、卸、储</w:t>
            </w:r>
            <w:r>
              <w:rPr>
                <w:rFonts w:hint="default" w:ascii="Times New Roman" w:hAnsi="Times New Roman" w:cs="Times New Roman"/>
                <w:color w:val="auto"/>
                <w:sz w:val="18"/>
                <w:szCs w:val="18"/>
                <w:highlight w:val="none"/>
                <w:lang w:val="en-US" w:eastAsia="zh-CN"/>
              </w:rPr>
              <w:t>及破碎、筛分、磁选粉尘</w:t>
            </w:r>
          </w:p>
        </w:tc>
        <w:tc>
          <w:tcPr>
            <w:tcW w:w="1094" w:type="pct"/>
            <w:tcBorders>
              <w:top w:val="single" w:color="auto" w:sz="4" w:space="0"/>
              <w:left w:val="single" w:color="auto" w:sz="4" w:space="0"/>
              <w:bottom w:val="single" w:color="auto" w:sz="4" w:space="0"/>
              <w:right w:val="single" w:color="auto" w:sz="4" w:space="0"/>
            </w:tcBorders>
            <w:noWrap w:val="0"/>
            <w:vAlign w:val="center"/>
          </w:tcPr>
          <w:p w14:paraId="566FF3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大气沉降</w:t>
            </w:r>
          </w:p>
        </w:tc>
        <w:tc>
          <w:tcPr>
            <w:tcW w:w="819" w:type="pct"/>
            <w:tcBorders>
              <w:top w:val="single" w:color="auto" w:sz="4" w:space="0"/>
              <w:left w:val="single" w:color="auto" w:sz="4" w:space="0"/>
              <w:bottom w:val="single" w:color="auto" w:sz="4" w:space="0"/>
              <w:right w:val="single" w:color="auto" w:sz="4" w:space="0"/>
            </w:tcBorders>
            <w:noWrap w:val="0"/>
            <w:vAlign w:val="center"/>
          </w:tcPr>
          <w:p w14:paraId="745792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粉尘</w:t>
            </w:r>
          </w:p>
        </w:tc>
        <w:tc>
          <w:tcPr>
            <w:tcW w:w="825" w:type="pct"/>
            <w:tcBorders>
              <w:top w:val="single" w:color="auto" w:sz="4" w:space="0"/>
              <w:left w:val="single" w:color="auto" w:sz="4" w:space="0"/>
              <w:bottom w:val="single" w:color="auto" w:sz="4" w:space="0"/>
              <w:right w:val="single" w:color="auto" w:sz="4" w:space="0"/>
            </w:tcBorders>
            <w:noWrap w:val="0"/>
            <w:vAlign w:val="center"/>
          </w:tcPr>
          <w:p w14:paraId="14F37E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lang w:val="en-US" w:eastAsia="zh-CN"/>
              </w:rPr>
              <w:t>Fe、Mn、As、Pb、Zn、Cu等</w:t>
            </w:r>
          </w:p>
        </w:tc>
        <w:tc>
          <w:tcPr>
            <w:tcW w:w="691" w:type="pct"/>
            <w:tcBorders>
              <w:top w:val="single" w:color="auto" w:sz="4" w:space="0"/>
              <w:left w:val="single" w:color="auto" w:sz="4" w:space="0"/>
              <w:bottom w:val="single" w:color="auto" w:sz="4" w:space="0"/>
              <w:right w:val="nil"/>
            </w:tcBorders>
            <w:noWrap w:val="0"/>
            <w:vAlign w:val="center"/>
          </w:tcPr>
          <w:p w14:paraId="3E6901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连续</w:t>
            </w:r>
          </w:p>
        </w:tc>
      </w:tr>
      <w:tr w14:paraId="641E6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72" w:type="pct"/>
            <w:tcBorders>
              <w:top w:val="single" w:color="auto" w:sz="4" w:space="0"/>
              <w:left w:val="nil"/>
              <w:bottom w:val="single" w:color="auto" w:sz="4" w:space="0"/>
              <w:right w:val="single" w:color="auto" w:sz="4" w:space="0"/>
            </w:tcBorders>
            <w:noWrap w:val="0"/>
            <w:vAlign w:val="center"/>
          </w:tcPr>
          <w:p w14:paraId="20E43D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废水</w:t>
            </w:r>
          </w:p>
        </w:tc>
        <w:tc>
          <w:tcPr>
            <w:tcW w:w="1095" w:type="pct"/>
            <w:tcBorders>
              <w:top w:val="single" w:color="auto" w:sz="4" w:space="0"/>
              <w:left w:val="single" w:color="auto" w:sz="4" w:space="0"/>
              <w:bottom w:val="single" w:color="auto" w:sz="4" w:space="0"/>
              <w:right w:val="single" w:color="auto" w:sz="4" w:space="0"/>
            </w:tcBorders>
            <w:noWrap w:val="0"/>
            <w:vAlign w:val="center"/>
          </w:tcPr>
          <w:p w14:paraId="03BA31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初期雨水</w:t>
            </w:r>
          </w:p>
        </w:tc>
        <w:tc>
          <w:tcPr>
            <w:tcW w:w="1094" w:type="pct"/>
            <w:tcBorders>
              <w:top w:val="single" w:color="auto" w:sz="4" w:space="0"/>
              <w:left w:val="single" w:color="auto" w:sz="4" w:space="0"/>
              <w:bottom w:val="single" w:color="auto" w:sz="4" w:space="0"/>
              <w:right w:val="single" w:color="auto" w:sz="4" w:space="0"/>
            </w:tcBorders>
            <w:noWrap w:val="0"/>
            <w:vAlign w:val="center"/>
          </w:tcPr>
          <w:p w14:paraId="6A1E8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地面漫流、垂直入渗</w:t>
            </w:r>
          </w:p>
        </w:tc>
        <w:tc>
          <w:tcPr>
            <w:tcW w:w="819" w:type="pct"/>
            <w:tcBorders>
              <w:top w:val="single" w:color="auto" w:sz="4" w:space="0"/>
              <w:left w:val="single" w:color="auto" w:sz="4" w:space="0"/>
              <w:bottom w:val="single" w:color="auto" w:sz="4" w:space="0"/>
              <w:right w:val="single" w:color="auto" w:sz="4" w:space="0"/>
            </w:tcBorders>
            <w:noWrap w:val="0"/>
            <w:vAlign w:val="center"/>
          </w:tcPr>
          <w:p w14:paraId="269CF4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SS、</w:t>
            </w:r>
            <w:r>
              <w:rPr>
                <w:rFonts w:hint="default" w:ascii="Times New Roman" w:hAnsi="Times New Roman" w:cs="Times New Roman"/>
                <w:color w:val="auto"/>
                <w:sz w:val="18"/>
                <w:szCs w:val="18"/>
                <w:lang w:val="en-US" w:eastAsia="zh-CN"/>
              </w:rPr>
              <w:t>Fe、Mn、As、氟化物</w:t>
            </w:r>
            <w:r>
              <w:rPr>
                <w:rFonts w:hint="default" w:ascii="Times New Roman" w:hAnsi="Times New Roman" w:cs="Times New Roman"/>
                <w:color w:val="auto"/>
                <w:sz w:val="18"/>
                <w:szCs w:val="18"/>
                <w:highlight w:val="none"/>
                <w:lang w:val="en-US" w:eastAsia="zh-CN"/>
              </w:rPr>
              <w:t>等</w:t>
            </w:r>
          </w:p>
        </w:tc>
        <w:tc>
          <w:tcPr>
            <w:tcW w:w="825" w:type="pct"/>
            <w:tcBorders>
              <w:top w:val="single" w:color="auto" w:sz="4" w:space="0"/>
              <w:left w:val="single" w:color="auto" w:sz="4" w:space="0"/>
              <w:bottom w:val="single" w:color="auto" w:sz="4" w:space="0"/>
              <w:right w:val="single" w:color="auto" w:sz="4" w:space="0"/>
            </w:tcBorders>
            <w:noWrap w:val="0"/>
            <w:vAlign w:val="center"/>
          </w:tcPr>
          <w:p w14:paraId="1D916F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Fe、Mn、As、氟化物等</w:t>
            </w:r>
          </w:p>
        </w:tc>
        <w:tc>
          <w:tcPr>
            <w:tcW w:w="691" w:type="pct"/>
            <w:tcBorders>
              <w:top w:val="single" w:color="auto" w:sz="4" w:space="0"/>
              <w:left w:val="single" w:color="auto" w:sz="4" w:space="0"/>
              <w:bottom w:val="single" w:color="auto" w:sz="4" w:space="0"/>
              <w:right w:val="nil"/>
            </w:tcBorders>
            <w:noWrap w:val="0"/>
            <w:vAlign w:val="center"/>
          </w:tcPr>
          <w:p w14:paraId="6F26E2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事故</w:t>
            </w:r>
          </w:p>
        </w:tc>
      </w:tr>
    </w:tbl>
    <w:p w14:paraId="2951698B">
      <w:pPr>
        <w:pStyle w:val="6"/>
        <w:bidi w:val="0"/>
        <w:rPr>
          <w:rFonts w:hint="default" w:ascii="Times New Roman" w:hAnsi="Times New Roman" w:cs="Times New Roman"/>
        </w:rPr>
      </w:pPr>
      <w:bookmarkStart w:id="497" w:name="_Toc18917"/>
      <w:r>
        <w:rPr>
          <w:rFonts w:hint="default" w:ascii="Times New Roman" w:hAnsi="Times New Roman" w:cs="Times New Roman"/>
          <w:lang w:val="en-US" w:eastAsia="zh-CN"/>
        </w:rPr>
        <w:t>6</w:t>
      </w:r>
      <w:r>
        <w:rPr>
          <w:rFonts w:hint="default" w:ascii="Times New Roman" w:hAnsi="Times New Roman" w:cs="Times New Roman"/>
        </w:rPr>
        <w:t>.4.3建设项目区土壤理化性质调查</w:t>
      </w:r>
      <w:bookmarkEnd w:id="497"/>
    </w:p>
    <w:p w14:paraId="0F9AF713">
      <w:pPr>
        <w:spacing w:line="360" w:lineRule="auto"/>
        <w:ind w:firstLine="490" w:firstLineChars="200"/>
        <w:rPr>
          <w:rFonts w:hint="default" w:ascii="Times New Roman" w:hAnsi="Times New Roman" w:cs="Times New Roman"/>
          <w:color w:val="auto"/>
          <w:szCs w:val="24"/>
        </w:rPr>
      </w:pPr>
      <w:r>
        <w:rPr>
          <w:rFonts w:hint="default" w:ascii="Times New Roman" w:hAnsi="Times New Roman" w:cs="Times New Roman"/>
          <w:bCs/>
          <w:color w:val="auto"/>
          <w:szCs w:val="24"/>
        </w:rPr>
        <w:t>项目区及周边土壤理化</w:t>
      </w:r>
      <w:r>
        <w:rPr>
          <w:rFonts w:hint="default" w:ascii="Times New Roman" w:hAnsi="Times New Roman" w:cs="Times New Roman"/>
          <w:bCs/>
          <w:color w:val="auto"/>
          <w:szCs w:val="24"/>
          <w:lang w:val="en-US" w:eastAsia="zh-CN"/>
        </w:rPr>
        <w:t>性质</w:t>
      </w:r>
      <w:r>
        <w:rPr>
          <w:rFonts w:hint="default" w:ascii="Times New Roman" w:hAnsi="Times New Roman" w:cs="Times New Roman"/>
          <w:bCs/>
          <w:color w:val="auto"/>
          <w:szCs w:val="24"/>
        </w:rPr>
        <w:t>见</w:t>
      </w:r>
      <w:r>
        <w:rPr>
          <w:rFonts w:hint="default" w:ascii="Times New Roman" w:hAnsi="Times New Roman" w:cs="Times New Roman"/>
          <w:bCs/>
          <w:color w:val="auto"/>
          <w:szCs w:val="24"/>
          <w:lang w:val="en-US" w:eastAsia="zh-CN"/>
        </w:rPr>
        <w:t>表4.2.5-1</w:t>
      </w:r>
      <w:r>
        <w:rPr>
          <w:rFonts w:hint="default" w:ascii="Times New Roman" w:hAnsi="Times New Roman" w:cs="Times New Roman"/>
          <w:bCs/>
          <w:color w:val="auto"/>
          <w:szCs w:val="24"/>
        </w:rPr>
        <w:t>。</w:t>
      </w:r>
      <w:r>
        <w:rPr>
          <w:rFonts w:hint="default" w:ascii="Times New Roman" w:hAnsi="Times New Roman" w:cs="Times New Roman"/>
          <w:color w:val="auto"/>
          <w:szCs w:val="24"/>
        </w:rPr>
        <w:t>根据国家土壤信息服务平台（http://www.soilinfo.cn/map/）提供的全国土壤系统发生分类查询结果，项目所在地评价范围内土壤类型主要为红壤。项目区土壤类型分布情况见下图。</w:t>
      </w:r>
    </w:p>
    <w:p w14:paraId="0870FAF6">
      <w:pPr>
        <w:bidi w:val="0"/>
        <w:rPr>
          <w:rFonts w:hint="default" w:ascii="Times New Roman" w:hAnsi="Times New Roman" w:cs="Times New Roman"/>
          <w:lang w:val="en-US" w:eastAsia="zh-CN"/>
        </w:rPr>
      </w:pPr>
      <w:bookmarkStart w:id="498" w:name="_Toc40561550"/>
      <w:bookmarkStart w:id="499" w:name="_Toc26331"/>
      <w:bookmarkStart w:id="500" w:name="_Toc7696"/>
      <w:bookmarkStart w:id="501" w:name="_Toc28284"/>
      <w:r>
        <w:rPr>
          <w:rFonts w:hint="default" w:ascii="Times New Roman" w:hAnsi="Times New Roman" w:cs="Times New Roman"/>
          <w:lang w:val="en-US" w:eastAsia="zh-CN"/>
        </w:rPr>
        <w:drawing>
          <wp:inline distT="0" distB="0" distL="114300" distR="114300">
            <wp:extent cx="5753735" cy="3208655"/>
            <wp:effectExtent l="0" t="0" r="18415" b="10795"/>
            <wp:docPr id="16" name="图片 16" descr="172222867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22228670315"/>
                    <pic:cNvPicPr>
                      <a:picLocks noChangeAspect="1"/>
                    </pic:cNvPicPr>
                  </pic:nvPicPr>
                  <pic:blipFill>
                    <a:blip r:embed="rId39"/>
                    <a:stretch>
                      <a:fillRect/>
                    </a:stretch>
                  </pic:blipFill>
                  <pic:spPr>
                    <a:xfrm>
                      <a:off x="0" y="0"/>
                      <a:ext cx="5753735" cy="3208655"/>
                    </a:xfrm>
                    <a:prstGeom prst="rect">
                      <a:avLst/>
                    </a:prstGeom>
                  </pic:spPr>
                </pic:pic>
              </a:graphicData>
            </a:graphic>
          </wp:inline>
        </w:drawing>
      </w:r>
    </w:p>
    <w:p w14:paraId="1063A8C7">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图6.4-1项目区土壤类型图</w:t>
      </w:r>
    </w:p>
    <w:p w14:paraId="5195A476">
      <w:pPr>
        <w:pStyle w:val="6"/>
        <w:bidi w:val="0"/>
        <w:rPr>
          <w:rFonts w:hint="default" w:ascii="Times New Roman" w:hAnsi="Times New Roman" w:cs="Times New Roman"/>
          <w:color w:val="auto"/>
          <w:lang w:val="en-US" w:eastAsia="zh-CN"/>
        </w:rPr>
      </w:pPr>
      <w:r>
        <w:rPr>
          <w:rFonts w:hint="default" w:ascii="Times New Roman" w:hAnsi="Times New Roman" w:cs="Times New Roman"/>
          <w:lang w:val="en-US" w:eastAsia="zh-CN"/>
        </w:rPr>
        <w:t>6.</w:t>
      </w:r>
      <w:r>
        <w:rPr>
          <w:rFonts w:hint="default" w:ascii="Times New Roman" w:hAnsi="Times New Roman" w:cs="Times New Roman"/>
          <w:color w:val="auto"/>
          <w:lang w:val="en-US" w:eastAsia="zh-CN"/>
        </w:rPr>
        <w:t>4.4</w:t>
      </w:r>
      <w:bookmarkEnd w:id="498"/>
      <w:bookmarkEnd w:id="499"/>
      <w:bookmarkEnd w:id="500"/>
      <w:r>
        <w:rPr>
          <w:rFonts w:hint="default" w:ascii="Times New Roman" w:hAnsi="Times New Roman" w:cs="Times New Roman"/>
          <w:color w:val="auto"/>
          <w:lang w:val="en-US" w:eastAsia="zh-CN"/>
        </w:rPr>
        <w:t>土壤环境影响分析</w:t>
      </w:r>
      <w:bookmarkEnd w:id="501"/>
    </w:p>
    <w:p w14:paraId="0B77912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90" w:firstLineChars="200"/>
        <w:jc w:val="left"/>
        <w:textAlignment w:val="auto"/>
        <w:rPr>
          <w:rFonts w:hint="default" w:ascii="Times New Roman" w:hAnsi="Times New Roman" w:eastAsia="宋体" w:cs="Times New Roman"/>
          <w:color w:val="auto"/>
          <w:sz w:val="24"/>
          <w:szCs w:val="24"/>
        </w:rPr>
      </w:pPr>
      <w:bookmarkStart w:id="502" w:name="_Toc36123080"/>
      <w:r>
        <w:rPr>
          <w:rFonts w:hint="default" w:ascii="Times New Roman" w:hAnsi="Times New Roman" w:eastAsia="宋体" w:cs="Times New Roman"/>
          <w:color w:val="auto"/>
          <w:kern w:val="0"/>
          <w:sz w:val="24"/>
          <w:szCs w:val="24"/>
          <w:lang w:val="en-US" w:eastAsia="zh-CN" w:bidi="ar"/>
        </w:rPr>
        <w:t>本次评价对项目初期雨水收集池、成品堆场、原料堆场、危废暂存间等提出了相应的防渗措施，正常情况下，项目垂直入渗和地面漫流不会对土壤产生明显影响，本次评价主要对项目大气沉降对土壤的环境影响进行预测分析。</w:t>
      </w:r>
    </w:p>
    <w:p w14:paraId="5CC10203">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firstLine="0" w:firstLineChars="0"/>
        <w:jc w:val="both"/>
        <w:textAlignment w:val="auto"/>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lang w:val="en-US" w:eastAsia="zh-CN"/>
        </w:rPr>
        <w:t>1</w:t>
      </w:r>
      <w:r>
        <w:rPr>
          <w:rFonts w:hint="default" w:ascii="Times New Roman" w:hAnsi="Times New Roman" w:cs="Times New Roman"/>
          <w:b/>
          <w:bCs w:val="0"/>
          <w:color w:val="auto"/>
          <w:sz w:val="24"/>
          <w:szCs w:val="24"/>
          <w:highlight w:val="none"/>
        </w:rPr>
        <w:t>大气沉降影响</w:t>
      </w:r>
      <w:bookmarkEnd w:id="502"/>
    </w:p>
    <w:p w14:paraId="4CF356D7">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aps/>
          <w:color w:val="auto"/>
          <w:sz w:val="24"/>
          <w:szCs w:val="24"/>
          <w:highlight w:val="none"/>
          <w:lang w:eastAsia="zh-CN"/>
        </w:rPr>
      </w:pPr>
      <w:r>
        <w:rPr>
          <w:rFonts w:hint="default" w:ascii="Times New Roman" w:hAnsi="Times New Roman" w:cs="Times New Roman"/>
          <w:color w:val="auto"/>
          <w:sz w:val="24"/>
          <w:szCs w:val="24"/>
        </w:rPr>
        <w:t>大气沉降主要指由于生产活动产生气体排放间接造成土壤环境污染的影响途径</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根据项目工程分析，</w:t>
      </w:r>
      <w:r>
        <w:rPr>
          <w:rFonts w:hint="default" w:ascii="Times New Roman" w:hAnsi="Times New Roman" w:cs="Times New Roman"/>
          <w:color w:val="auto"/>
          <w:sz w:val="24"/>
          <w:szCs w:val="24"/>
          <w:lang w:val="en-US" w:eastAsia="zh-CN"/>
        </w:rPr>
        <w:t>本项目大气污染物主要为排放的有组织、无组织颗粒物，颗粒物的主要成分为原矿粉尘，根据表3.2.6-2原矿主要成分一览表，项目排放的颗粒物中含有少量的As、Pb、Zn、Cu、Fe、Mn等重金属元素，含重金属粉尘的</w:t>
      </w:r>
      <w:r>
        <w:rPr>
          <w:rFonts w:hint="default" w:ascii="Times New Roman" w:hAnsi="Times New Roman" w:cs="Times New Roman"/>
          <w:snapToGrid w:val="0"/>
          <w:color w:val="auto"/>
          <w:sz w:val="24"/>
          <w:szCs w:val="24"/>
          <w:highlight w:val="none"/>
        </w:rPr>
        <w:t>排放</w:t>
      </w:r>
      <w:r>
        <w:rPr>
          <w:rFonts w:hint="default" w:ascii="Times New Roman" w:hAnsi="Times New Roman" w:cs="Times New Roman"/>
          <w:snapToGrid w:val="0"/>
          <w:color w:val="auto"/>
          <w:sz w:val="24"/>
          <w:szCs w:val="24"/>
          <w:highlight w:val="none"/>
          <w:lang w:val="en-US" w:eastAsia="zh-CN"/>
        </w:rPr>
        <w:t>会沉降</w:t>
      </w:r>
      <w:r>
        <w:rPr>
          <w:rFonts w:hint="default" w:ascii="Times New Roman" w:hAnsi="Times New Roman" w:cs="Times New Roman"/>
          <w:snapToGrid w:val="0"/>
          <w:color w:val="auto"/>
          <w:sz w:val="24"/>
          <w:szCs w:val="24"/>
          <w:highlight w:val="none"/>
        </w:rPr>
        <w:t>到地表，进入食物链，最后进入人体内；</w:t>
      </w:r>
      <w:r>
        <w:rPr>
          <w:rFonts w:hint="default" w:ascii="Times New Roman" w:hAnsi="Times New Roman" w:cs="Times New Roman"/>
          <w:snapToGrid w:val="0"/>
          <w:color w:val="auto"/>
          <w:sz w:val="24"/>
          <w:szCs w:val="24"/>
          <w:highlight w:val="none"/>
          <w:lang w:val="en-US" w:eastAsia="zh-CN"/>
        </w:rPr>
        <w:t>因此，</w:t>
      </w:r>
      <w:r>
        <w:rPr>
          <w:rFonts w:hint="default" w:ascii="Times New Roman" w:hAnsi="Times New Roman" w:cs="Times New Roman"/>
          <w:caps/>
          <w:color w:val="auto"/>
          <w:sz w:val="24"/>
          <w:szCs w:val="24"/>
          <w:highlight w:val="none"/>
        </w:rPr>
        <w:t>本次预测与评价主要考虑项目废气</w:t>
      </w:r>
      <w:r>
        <w:rPr>
          <w:rFonts w:hint="default" w:ascii="Times New Roman" w:hAnsi="Times New Roman" w:cs="Times New Roman"/>
          <w:caps/>
          <w:color w:val="auto"/>
          <w:sz w:val="24"/>
          <w:szCs w:val="24"/>
          <w:highlight w:val="none"/>
          <w:lang w:val="en-US" w:eastAsia="zh-CN"/>
        </w:rPr>
        <w:t>排放的</w:t>
      </w:r>
      <w:r>
        <w:rPr>
          <w:rFonts w:hint="default" w:ascii="Times New Roman" w:hAnsi="Times New Roman" w:cs="Times New Roman"/>
          <w:color w:val="auto"/>
          <w:sz w:val="24"/>
          <w:szCs w:val="24"/>
          <w:lang w:val="en-US" w:eastAsia="zh-CN"/>
        </w:rPr>
        <w:t>粉尘中As、Pb、Zn、Cu、Fe、Mn</w:t>
      </w:r>
      <w:r>
        <w:rPr>
          <w:rFonts w:hint="default" w:ascii="Times New Roman" w:hAnsi="Times New Roman" w:cs="Times New Roman"/>
          <w:color w:val="auto"/>
          <w:sz w:val="24"/>
          <w:szCs w:val="24"/>
          <w:highlight w:val="none"/>
          <w:lang w:val="en-US" w:eastAsia="zh-CN"/>
        </w:rPr>
        <w:t>以</w:t>
      </w:r>
      <w:r>
        <w:rPr>
          <w:rFonts w:hint="default" w:ascii="Times New Roman" w:hAnsi="Times New Roman" w:cs="Times New Roman"/>
          <w:caps/>
          <w:color w:val="auto"/>
          <w:sz w:val="24"/>
          <w:szCs w:val="24"/>
          <w:highlight w:val="none"/>
        </w:rPr>
        <w:t>大气沉降的方式进入土壤进入环境</w:t>
      </w:r>
      <w:r>
        <w:rPr>
          <w:rFonts w:hint="default" w:ascii="Times New Roman" w:hAnsi="Times New Roman" w:cs="Times New Roman"/>
          <w:caps/>
          <w:color w:val="auto"/>
          <w:sz w:val="24"/>
          <w:szCs w:val="24"/>
          <w:highlight w:val="none"/>
          <w:lang w:eastAsia="zh-CN"/>
        </w:rPr>
        <w:t>。</w:t>
      </w:r>
    </w:p>
    <w:p w14:paraId="09447632">
      <w:pPr>
        <w:spacing w:line="360" w:lineRule="auto"/>
        <w:ind w:firstLine="465"/>
        <w:jc w:val="both"/>
        <w:rPr>
          <w:rFonts w:hint="default" w:ascii="Times New Roman" w:hAnsi="Times New Roman" w:cs="Times New Roman"/>
          <w:bCs/>
          <w:caps/>
          <w:color w:val="auto"/>
          <w:sz w:val="24"/>
          <w:szCs w:val="24"/>
          <w:highlight w:val="none"/>
        </w:rPr>
      </w:pPr>
      <w:r>
        <w:rPr>
          <w:rFonts w:hint="default" w:ascii="Times New Roman" w:hAnsi="Times New Roman" w:cs="Times New Roman"/>
          <w:bCs/>
          <w:caps/>
          <w:color w:val="auto"/>
          <w:sz w:val="24"/>
          <w:szCs w:val="24"/>
          <w:highlight w:val="none"/>
        </w:rPr>
        <w:t>（1）预测方法</w:t>
      </w:r>
    </w:p>
    <w:p w14:paraId="44082981">
      <w:pPr>
        <w:spacing w:line="360" w:lineRule="auto"/>
        <w:ind w:firstLine="465"/>
        <w:jc w:val="both"/>
        <w:rPr>
          <w:rFonts w:hint="default" w:ascii="Times New Roman" w:hAnsi="Times New Roman" w:cs="Times New Roman"/>
          <w:bCs/>
          <w:caps/>
          <w:color w:val="auto"/>
          <w:sz w:val="24"/>
          <w:szCs w:val="24"/>
          <w:highlight w:val="none"/>
        </w:rPr>
      </w:pPr>
      <w:r>
        <w:rPr>
          <w:rFonts w:hint="default" w:ascii="Times New Roman" w:hAnsi="Times New Roman" w:cs="Times New Roman"/>
          <w:bCs/>
          <w:caps/>
          <w:color w:val="auto"/>
          <w:sz w:val="24"/>
          <w:szCs w:val="24"/>
          <w:highlight w:val="none"/>
        </w:rPr>
        <w:t>本项目的土壤预测方法采用导则推介的计算公式，如下：</w:t>
      </w:r>
    </w:p>
    <w:p w14:paraId="0389E1E2">
      <w:pPr>
        <w:spacing w:line="360" w:lineRule="auto"/>
        <w:ind w:firstLine="784" w:firstLineChars="320"/>
        <w:rPr>
          <w:rFonts w:hint="default" w:ascii="Times New Roman" w:hAnsi="Times New Roman" w:cs="Times New Roman"/>
          <w:bCs/>
          <w:caps/>
          <w:color w:val="auto"/>
          <w:sz w:val="24"/>
          <w:szCs w:val="24"/>
          <w:highlight w:val="none"/>
        </w:rPr>
      </w:pPr>
      <w:r>
        <w:rPr>
          <w:rFonts w:hint="default" w:ascii="Times New Roman" w:hAnsi="Times New Roman" w:cs="Times New Roman"/>
          <w:color w:val="auto"/>
          <w:sz w:val="24"/>
          <w:szCs w:val="24"/>
          <w:highlight w:val="none"/>
        </w:rPr>
        <w:drawing>
          <wp:inline distT="0" distB="0" distL="114300" distR="114300">
            <wp:extent cx="2734945" cy="266065"/>
            <wp:effectExtent l="0" t="0" r="8255" b="6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0"/>
                    <a:stretch>
                      <a:fillRect/>
                    </a:stretch>
                  </pic:blipFill>
                  <pic:spPr>
                    <a:xfrm>
                      <a:off x="0" y="0"/>
                      <a:ext cx="2734945" cy="266065"/>
                    </a:xfrm>
                    <a:prstGeom prst="rect">
                      <a:avLst/>
                    </a:prstGeom>
                    <a:noFill/>
                    <a:ln>
                      <a:noFill/>
                    </a:ln>
                  </pic:spPr>
                </pic:pic>
              </a:graphicData>
            </a:graphic>
          </wp:inline>
        </w:drawing>
      </w:r>
    </w:p>
    <w:p w14:paraId="5451776F">
      <w:pPr>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式中：△S—单位质量表层土壤中某种物质的增量，（g/kg）；</w:t>
      </w:r>
    </w:p>
    <w:p w14:paraId="3DD1AD6B">
      <w:pPr>
        <w:spacing w:line="360" w:lineRule="auto"/>
        <w:ind w:left="558" w:leftChars="228" w:firstLine="245" w:firstLineChars="100"/>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I</w:t>
      </w:r>
      <w:r>
        <w:rPr>
          <w:rFonts w:hint="default" w:ascii="Times New Roman" w:hAnsi="Times New Roman" w:cs="Times New Roman"/>
          <w:i/>
          <w:color w:val="auto"/>
          <w:sz w:val="24"/>
          <w:szCs w:val="24"/>
          <w:highlight w:val="none"/>
          <w:vertAlign w:val="subscript"/>
        </w:rPr>
        <w:t>s</w:t>
      </w:r>
      <w:r>
        <w:rPr>
          <w:rFonts w:hint="default" w:ascii="Times New Roman" w:hAnsi="Times New Roman" w:cs="Times New Roman"/>
          <w:color w:val="auto"/>
          <w:sz w:val="24"/>
          <w:szCs w:val="24"/>
          <w:highlight w:val="none"/>
        </w:rPr>
        <w:t>—预测评价范围内单位年份表层土壤中某种物质的输入量</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w:t>
      </w:r>
    </w:p>
    <w:p w14:paraId="1F9E90FB">
      <w:pPr>
        <w:spacing w:line="360" w:lineRule="auto"/>
        <w:ind w:firstLine="735" w:firstLineChars="300"/>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L</w:t>
      </w:r>
      <w:r>
        <w:rPr>
          <w:rFonts w:hint="default" w:ascii="Times New Roman" w:hAnsi="Times New Roman" w:cs="Times New Roman"/>
          <w:i/>
          <w:color w:val="auto"/>
          <w:sz w:val="24"/>
          <w:szCs w:val="24"/>
          <w:highlight w:val="none"/>
          <w:vertAlign w:val="subscript"/>
        </w:rPr>
        <w:t>s</w:t>
      </w:r>
      <w:r>
        <w:rPr>
          <w:rFonts w:hint="default" w:ascii="Times New Roman" w:hAnsi="Times New Roman" w:cs="Times New Roman"/>
          <w:color w:val="auto"/>
          <w:sz w:val="24"/>
          <w:szCs w:val="24"/>
          <w:highlight w:val="none"/>
        </w:rPr>
        <w:t>—预测评价范围内单位年份表层土壤中某种物质经淋溶排除的量，g；</w:t>
      </w:r>
    </w:p>
    <w:p w14:paraId="6197822B">
      <w:pPr>
        <w:spacing w:line="360" w:lineRule="auto"/>
        <w:ind w:left="837" w:leftChars="342"/>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R</w:t>
      </w:r>
      <w:r>
        <w:rPr>
          <w:rFonts w:hint="default" w:ascii="Times New Roman" w:hAnsi="Times New Roman" w:cs="Times New Roman"/>
          <w:i/>
          <w:color w:val="auto"/>
          <w:sz w:val="24"/>
          <w:szCs w:val="24"/>
          <w:highlight w:val="none"/>
          <w:vertAlign w:val="subscript"/>
        </w:rPr>
        <w:t>s</w:t>
      </w:r>
      <w:r>
        <w:rPr>
          <w:rFonts w:hint="default" w:ascii="Times New Roman" w:hAnsi="Times New Roman" w:cs="Times New Roman"/>
          <w:color w:val="auto"/>
          <w:sz w:val="24"/>
          <w:szCs w:val="24"/>
          <w:highlight w:val="none"/>
        </w:rPr>
        <w:t>—预测评价范围内单位年份表层土壤中某种物质经径流排除的量，g；</w:t>
      </w:r>
      <w:r>
        <w:rPr>
          <w:rFonts w:hint="default" w:ascii="Times New Roman" w:hAnsi="Times New Roman" w:cs="Times New Roman"/>
          <w:i/>
          <w:color w:val="auto"/>
          <w:sz w:val="24"/>
          <w:szCs w:val="24"/>
          <w:highlight w:val="none"/>
        </w:rPr>
        <w:t xml:space="preserve"> P</w:t>
      </w:r>
      <w:r>
        <w:rPr>
          <w:rFonts w:hint="default" w:ascii="Times New Roman" w:hAnsi="Times New Roman" w:cs="Times New Roman"/>
          <w:i/>
          <w:color w:val="auto"/>
          <w:sz w:val="24"/>
          <w:szCs w:val="24"/>
          <w:highlight w:val="none"/>
          <w:vertAlign w:val="subscript"/>
        </w:rPr>
        <w:t>b</w:t>
      </w:r>
      <w:r>
        <w:rPr>
          <w:rFonts w:hint="default" w:ascii="Times New Roman" w:hAnsi="Times New Roman" w:cs="Times New Roman"/>
          <w:color w:val="auto"/>
          <w:sz w:val="24"/>
          <w:szCs w:val="24"/>
          <w:highlight w:val="none"/>
        </w:rPr>
        <w:t>—表层土壤容重，kg/m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14:paraId="23D02B02">
      <w:pPr>
        <w:spacing w:line="360" w:lineRule="auto"/>
        <w:ind w:firstLine="735" w:firstLineChars="300"/>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A</w:t>
      </w:r>
      <w:r>
        <w:rPr>
          <w:rFonts w:hint="default" w:ascii="Times New Roman" w:hAnsi="Times New Roman" w:cs="Times New Roman"/>
          <w:color w:val="auto"/>
          <w:sz w:val="24"/>
          <w:szCs w:val="24"/>
          <w:highlight w:val="none"/>
        </w:rPr>
        <w:t>—预测评价范围，m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14:paraId="1D40F0B5">
      <w:pPr>
        <w:spacing w:line="360" w:lineRule="auto"/>
        <w:ind w:firstLine="735" w:firstLineChars="300"/>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D—</w:t>
      </w:r>
      <w:r>
        <w:rPr>
          <w:rFonts w:hint="default" w:ascii="Times New Roman" w:hAnsi="Times New Roman" w:cs="Times New Roman"/>
          <w:color w:val="auto"/>
          <w:sz w:val="24"/>
          <w:szCs w:val="24"/>
          <w:highlight w:val="none"/>
        </w:rPr>
        <w:t>表层土壤深度，一般取0.2m。</w:t>
      </w:r>
    </w:p>
    <w:p w14:paraId="3807907D">
      <w:pPr>
        <w:spacing w:line="360" w:lineRule="auto"/>
        <w:ind w:firstLine="735" w:firstLineChars="300"/>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n—</w:t>
      </w:r>
      <w:r>
        <w:rPr>
          <w:rFonts w:hint="default" w:ascii="Times New Roman" w:hAnsi="Times New Roman" w:cs="Times New Roman"/>
          <w:color w:val="auto"/>
          <w:sz w:val="24"/>
          <w:szCs w:val="24"/>
          <w:highlight w:val="none"/>
        </w:rPr>
        <w:t>持续年份，a。</w:t>
      </w:r>
    </w:p>
    <w:p w14:paraId="59FB10C9">
      <w:pPr>
        <w:spacing w:line="360" w:lineRule="auto"/>
        <w:ind w:firstLine="490" w:firstLineChars="200"/>
        <w:rPr>
          <w:rFonts w:hint="default" w:ascii="Times New Roman" w:hAnsi="Times New Roman" w:cs="Times New Roman"/>
          <w:bCs/>
          <w:caps/>
          <w:color w:val="auto"/>
          <w:sz w:val="24"/>
          <w:szCs w:val="24"/>
          <w:highlight w:val="none"/>
        </w:rPr>
      </w:pPr>
      <w:r>
        <w:rPr>
          <w:rFonts w:hint="default" w:ascii="Times New Roman" w:hAnsi="Times New Roman" w:cs="Times New Roman"/>
          <w:bCs/>
          <w:caps/>
          <w:color w:val="auto"/>
          <w:sz w:val="24"/>
          <w:szCs w:val="24"/>
          <w:highlight w:val="none"/>
        </w:rPr>
        <w:t>单位质量土壤中某种物质的预测值可根据其增量叠加现状值进行计算。</w:t>
      </w:r>
    </w:p>
    <w:p w14:paraId="07D40161">
      <w:pPr>
        <w:spacing w:line="360" w:lineRule="auto"/>
        <w:ind w:firstLine="1102" w:firstLineChars="450"/>
        <w:rPr>
          <w:rFonts w:hint="default" w:ascii="Times New Roman" w:hAnsi="Times New Roman" w:cs="Times New Roman"/>
          <w:bCs/>
          <w:caps/>
          <w:color w:val="auto"/>
          <w:sz w:val="24"/>
          <w:szCs w:val="24"/>
          <w:highlight w:val="none"/>
        </w:rPr>
      </w:pPr>
      <w:r>
        <w:rPr>
          <w:rFonts w:hint="default" w:ascii="Times New Roman" w:hAnsi="Times New Roman" w:cs="Times New Roman"/>
          <w:bCs/>
          <w:caps/>
          <w:color w:val="auto"/>
          <w:sz w:val="24"/>
          <w:szCs w:val="24"/>
          <w:highlight w:val="none"/>
        </w:rPr>
        <w:t>S=S</w:t>
      </w:r>
      <w:r>
        <w:rPr>
          <w:rFonts w:hint="default" w:ascii="Times New Roman" w:hAnsi="Times New Roman" w:cs="Times New Roman"/>
          <w:bCs/>
          <w:color w:val="auto"/>
          <w:sz w:val="24"/>
          <w:szCs w:val="24"/>
          <w:highlight w:val="none"/>
          <w:vertAlign w:val="subscript"/>
        </w:rPr>
        <w:t>b</w:t>
      </w:r>
      <w:r>
        <w:rPr>
          <w:rFonts w:hint="default" w:ascii="Times New Roman" w:hAnsi="Times New Roman" w:cs="Times New Roman"/>
          <w:bCs/>
          <w:caps/>
          <w:color w:val="auto"/>
          <w:sz w:val="24"/>
          <w:szCs w:val="24"/>
          <w:highlight w:val="none"/>
        </w:rPr>
        <w:t>+ΔS</w:t>
      </w:r>
    </w:p>
    <w:p w14:paraId="64CFD18B">
      <w:pPr>
        <w:spacing w:line="360" w:lineRule="auto"/>
        <w:ind w:firstLine="490" w:firstLineChars="200"/>
        <w:rPr>
          <w:rFonts w:hint="default" w:ascii="Times New Roman" w:hAnsi="Times New Roman" w:eastAsia="宋体" w:cs="Times New Roman"/>
          <w:bCs/>
          <w:caps/>
          <w:color w:val="auto"/>
          <w:sz w:val="24"/>
          <w:szCs w:val="24"/>
          <w:highlight w:val="none"/>
          <w:lang w:val="en-US" w:eastAsia="zh-CN"/>
        </w:rPr>
      </w:pPr>
      <w:r>
        <w:rPr>
          <w:rFonts w:hint="default" w:ascii="Times New Roman" w:hAnsi="Times New Roman" w:cs="Times New Roman"/>
          <w:bCs/>
          <w:caps/>
          <w:color w:val="auto"/>
          <w:sz w:val="24"/>
          <w:szCs w:val="24"/>
          <w:highlight w:val="none"/>
        </w:rPr>
        <w:t>式中：S</w:t>
      </w:r>
      <w:r>
        <w:rPr>
          <w:rFonts w:hint="default" w:ascii="Times New Roman" w:hAnsi="Times New Roman" w:cs="Times New Roman"/>
          <w:bCs/>
          <w:color w:val="auto"/>
          <w:sz w:val="24"/>
          <w:szCs w:val="24"/>
          <w:highlight w:val="none"/>
          <w:vertAlign w:val="subscript"/>
        </w:rPr>
        <w:t>b</w:t>
      </w:r>
      <w:r>
        <w:rPr>
          <w:rFonts w:hint="default" w:ascii="Times New Roman" w:hAnsi="Times New Roman" w:cs="Times New Roman"/>
          <w:bCs/>
          <w:caps/>
          <w:color w:val="auto"/>
          <w:sz w:val="24"/>
          <w:szCs w:val="24"/>
          <w:highlight w:val="none"/>
        </w:rPr>
        <w:t>—单位质量土壤中某种物质的现状值，</w:t>
      </w:r>
      <w:r>
        <w:rPr>
          <w:rFonts w:hint="default" w:ascii="Times New Roman" w:hAnsi="Times New Roman" w:cs="Times New Roman"/>
          <w:color w:val="auto"/>
          <w:sz w:val="24"/>
          <w:szCs w:val="24"/>
          <w:highlight w:val="none"/>
        </w:rPr>
        <w:t>mg/kg</w:t>
      </w:r>
      <w:r>
        <w:rPr>
          <w:rFonts w:hint="default" w:ascii="Times New Roman" w:hAnsi="Times New Roman" w:cs="Times New Roman"/>
          <w:bCs/>
          <w:caps/>
          <w:color w:val="auto"/>
          <w:sz w:val="24"/>
          <w:szCs w:val="24"/>
          <w:highlight w:val="none"/>
        </w:rPr>
        <w:t>；</w:t>
      </w:r>
      <w:r>
        <w:rPr>
          <w:rFonts w:hint="default" w:ascii="Times New Roman" w:hAnsi="Times New Roman" w:cs="Times New Roman"/>
          <w:bCs/>
          <w:caps/>
          <w:color w:val="auto"/>
          <w:sz w:val="24"/>
          <w:szCs w:val="24"/>
          <w:highlight w:val="none"/>
          <w:lang w:val="en-US" w:eastAsia="zh-CN"/>
        </w:rPr>
        <w:t>本次环评取农用地现状监测的最大值。</w:t>
      </w:r>
    </w:p>
    <w:p w14:paraId="40D85C65">
      <w:pPr>
        <w:spacing w:line="360" w:lineRule="auto"/>
        <w:ind w:firstLine="1225" w:firstLineChars="500"/>
        <w:rPr>
          <w:rFonts w:hint="default" w:ascii="Times New Roman" w:hAnsi="Times New Roman" w:cs="Times New Roman"/>
          <w:bCs/>
          <w:caps/>
          <w:color w:val="auto"/>
          <w:sz w:val="24"/>
          <w:szCs w:val="24"/>
          <w:highlight w:val="none"/>
        </w:rPr>
      </w:pPr>
      <w:r>
        <w:rPr>
          <w:rFonts w:hint="default" w:ascii="Times New Roman" w:hAnsi="Times New Roman" w:cs="Times New Roman"/>
          <w:bCs/>
          <w:caps/>
          <w:color w:val="auto"/>
          <w:sz w:val="24"/>
          <w:szCs w:val="24"/>
          <w:highlight w:val="none"/>
        </w:rPr>
        <w:t>S—单位质量土壤中某种物质的预测值，</w:t>
      </w:r>
      <w:r>
        <w:rPr>
          <w:rFonts w:hint="default" w:ascii="Times New Roman" w:hAnsi="Times New Roman" w:cs="Times New Roman"/>
          <w:color w:val="auto"/>
          <w:sz w:val="24"/>
          <w:szCs w:val="24"/>
          <w:highlight w:val="none"/>
        </w:rPr>
        <w:t>mg/kg</w:t>
      </w:r>
      <w:r>
        <w:rPr>
          <w:rFonts w:hint="default" w:ascii="Times New Roman" w:hAnsi="Times New Roman" w:cs="Times New Roman"/>
          <w:bCs/>
          <w:color w:val="auto"/>
          <w:sz w:val="24"/>
          <w:szCs w:val="24"/>
          <w:highlight w:val="none"/>
        </w:rPr>
        <w:t>。</w:t>
      </w:r>
    </w:p>
    <w:p w14:paraId="422F8611">
      <w:pPr>
        <w:spacing w:line="360" w:lineRule="auto"/>
        <w:ind w:firstLine="490" w:firstLineChars="200"/>
        <w:rPr>
          <w:rFonts w:hint="default" w:ascii="Times New Roman" w:hAnsi="Times New Roman" w:cs="Times New Roman"/>
          <w:bCs/>
          <w:caps/>
          <w:color w:val="auto"/>
          <w:sz w:val="24"/>
          <w:szCs w:val="24"/>
          <w:highlight w:val="none"/>
        </w:rPr>
      </w:pPr>
      <w:r>
        <w:rPr>
          <w:rFonts w:hint="default" w:ascii="Times New Roman" w:hAnsi="Times New Roman" w:cs="Times New Roman"/>
          <w:bCs/>
          <w:caps/>
          <w:color w:val="auto"/>
          <w:sz w:val="24"/>
          <w:szCs w:val="24"/>
          <w:highlight w:val="none"/>
        </w:rPr>
        <w:t>（2）预测参数</w:t>
      </w:r>
    </w:p>
    <w:p w14:paraId="161BE986">
      <w:pPr>
        <w:spacing w:line="360" w:lineRule="auto"/>
        <w:ind w:firstLine="49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本项目排放的颗粒物主要为原矿石粉尘，颗粒物中的重金属根据</w:t>
      </w:r>
      <w:r>
        <w:rPr>
          <w:rFonts w:hint="default" w:ascii="Times New Roman" w:hAnsi="Times New Roman" w:cs="Times New Roman"/>
          <w:color w:val="auto"/>
          <w:sz w:val="24"/>
          <w:szCs w:val="24"/>
          <w:lang w:val="en-US" w:eastAsia="zh-CN"/>
        </w:rPr>
        <w:t>表3.2.6-2原矿主要成分</w:t>
      </w:r>
      <w:r>
        <w:rPr>
          <w:rFonts w:hint="default" w:ascii="Times New Roman" w:hAnsi="Times New Roman" w:cs="Times New Roman"/>
          <w:color w:val="auto"/>
          <w:sz w:val="24"/>
          <w:szCs w:val="24"/>
          <w:highlight w:val="none"/>
          <w:lang w:val="en-US" w:eastAsia="zh-CN"/>
        </w:rPr>
        <w:t>进行计算，计算结果如下表：</w:t>
      </w:r>
    </w:p>
    <w:p w14:paraId="4A743CE0">
      <w:pPr>
        <w:spacing w:line="360" w:lineRule="auto"/>
        <w:jc w:val="center"/>
        <w:rPr>
          <w:rFonts w:hint="default" w:ascii="Times New Roman" w:hAnsi="Times New Roman" w:eastAsia="黑体" w:cs="Times New Roman"/>
          <w:bCs/>
          <w:color w:val="auto"/>
          <w:kern w:val="2"/>
          <w:sz w:val="21"/>
          <w:szCs w:val="21"/>
          <w:highlight w:val="none"/>
          <w:lang w:val="en-US" w:eastAsia="zh-CN" w:bidi="ar-SA"/>
        </w:rPr>
      </w:pPr>
      <w:r>
        <w:rPr>
          <w:rFonts w:hint="default" w:ascii="Times New Roman" w:hAnsi="Times New Roman" w:eastAsia="黑体" w:cs="Times New Roman"/>
          <w:bCs/>
          <w:color w:val="auto"/>
          <w:kern w:val="2"/>
          <w:sz w:val="21"/>
          <w:szCs w:val="21"/>
          <w:highlight w:val="none"/>
          <w:lang w:val="en-US" w:eastAsia="zh-CN" w:bidi="ar-SA"/>
        </w:rPr>
        <w:t>表6.4.4-1  颗粒物中重金属元素的含量</w:t>
      </w:r>
    </w:p>
    <w:tbl>
      <w:tblPr>
        <w:tblStyle w:val="30"/>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2319"/>
        <w:gridCol w:w="2321"/>
        <w:gridCol w:w="2323"/>
      </w:tblGrid>
      <w:tr w14:paraId="31CE74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tcBorders>
              <w:tl2br w:val="nil"/>
              <w:tr2bl w:val="nil"/>
            </w:tcBorders>
            <w:vAlign w:val="center"/>
          </w:tcPr>
          <w:p w14:paraId="10E4C9A9">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颗粒物排放量（t/a）</w:t>
            </w:r>
          </w:p>
        </w:tc>
        <w:tc>
          <w:tcPr>
            <w:tcW w:w="1249" w:type="pct"/>
            <w:tcBorders>
              <w:tl2br w:val="nil"/>
              <w:tr2bl w:val="nil"/>
            </w:tcBorders>
            <w:vAlign w:val="center"/>
          </w:tcPr>
          <w:p w14:paraId="14635950">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重金属种类</w:t>
            </w:r>
          </w:p>
        </w:tc>
        <w:tc>
          <w:tcPr>
            <w:tcW w:w="1250" w:type="pct"/>
            <w:tcBorders>
              <w:tl2br w:val="nil"/>
              <w:tr2bl w:val="nil"/>
            </w:tcBorders>
            <w:vAlign w:val="center"/>
          </w:tcPr>
          <w:p w14:paraId="36C38493">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含量%</w:t>
            </w:r>
          </w:p>
        </w:tc>
        <w:tc>
          <w:tcPr>
            <w:tcW w:w="1251" w:type="pct"/>
            <w:tcBorders>
              <w:tl2br w:val="nil"/>
              <w:tr2bl w:val="nil"/>
            </w:tcBorders>
            <w:vAlign w:val="center"/>
          </w:tcPr>
          <w:p w14:paraId="7DD6BCAA">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重金属量（kg/a）</w:t>
            </w:r>
          </w:p>
        </w:tc>
      </w:tr>
      <w:tr w14:paraId="4FE4C5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vMerge w:val="restart"/>
            <w:tcBorders>
              <w:tl2br w:val="nil"/>
              <w:tr2bl w:val="nil"/>
            </w:tcBorders>
            <w:vAlign w:val="center"/>
          </w:tcPr>
          <w:p w14:paraId="6D02EB74">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1.548</w:t>
            </w:r>
            <w:r>
              <w:rPr>
                <w:rFonts w:hint="default" w:ascii="Times New Roman" w:hAnsi="Times New Roman" w:eastAsia="宋体" w:cs="Times New Roman"/>
                <w:color w:val="auto"/>
                <w:sz w:val="18"/>
                <w:szCs w:val="18"/>
                <w:highlight w:val="none"/>
                <w:vertAlign w:val="baseline"/>
                <w:lang w:val="en-US" w:eastAsia="zh-CN"/>
              </w:rPr>
              <w:t>（含有组织和无组织）</w:t>
            </w:r>
          </w:p>
        </w:tc>
        <w:tc>
          <w:tcPr>
            <w:tcW w:w="1249" w:type="pct"/>
            <w:tcBorders>
              <w:tl2br w:val="nil"/>
              <w:tr2bl w:val="nil"/>
            </w:tcBorders>
            <w:vAlign w:val="center"/>
          </w:tcPr>
          <w:p w14:paraId="11ECE2F9">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As</w:t>
            </w:r>
          </w:p>
        </w:tc>
        <w:tc>
          <w:tcPr>
            <w:tcW w:w="1250" w:type="pct"/>
            <w:tcBorders>
              <w:tl2br w:val="nil"/>
              <w:tr2bl w:val="nil"/>
            </w:tcBorders>
            <w:vAlign w:val="center"/>
          </w:tcPr>
          <w:p w14:paraId="2F7B2DFA">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0.002</w:t>
            </w:r>
          </w:p>
        </w:tc>
        <w:tc>
          <w:tcPr>
            <w:tcW w:w="1251" w:type="pct"/>
            <w:tcBorders>
              <w:tl2br w:val="nil"/>
              <w:tr2bl w:val="nil"/>
            </w:tcBorders>
            <w:vAlign w:val="center"/>
          </w:tcPr>
          <w:p w14:paraId="6C2D38F5">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w:t>
            </w:r>
            <w:r>
              <w:rPr>
                <w:rFonts w:hint="default" w:ascii="Times New Roman" w:hAnsi="Times New Roman" w:cs="Times New Roman"/>
                <w:i w:val="0"/>
                <w:iCs w:val="0"/>
                <w:color w:val="auto"/>
                <w:kern w:val="0"/>
                <w:sz w:val="18"/>
                <w:szCs w:val="18"/>
                <w:u w:val="none"/>
                <w:lang w:val="en-US" w:eastAsia="zh-CN" w:bidi="ar"/>
              </w:rPr>
              <w:t>31</w:t>
            </w:r>
          </w:p>
        </w:tc>
      </w:tr>
      <w:tr w14:paraId="5C79EC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vMerge w:val="continue"/>
            <w:tcBorders>
              <w:tl2br w:val="nil"/>
              <w:tr2bl w:val="nil"/>
            </w:tcBorders>
            <w:vAlign w:val="center"/>
          </w:tcPr>
          <w:p w14:paraId="652FB353">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p>
        </w:tc>
        <w:tc>
          <w:tcPr>
            <w:tcW w:w="1249" w:type="pct"/>
            <w:tcBorders>
              <w:tl2br w:val="nil"/>
              <w:tr2bl w:val="nil"/>
            </w:tcBorders>
            <w:vAlign w:val="center"/>
          </w:tcPr>
          <w:p w14:paraId="48B12331">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Pb</w:t>
            </w:r>
          </w:p>
        </w:tc>
        <w:tc>
          <w:tcPr>
            <w:tcW w:w="1250" w:type="pct"/>
            <w:tcBorders>
              <w:tl2br w:val="nil"/>
              <w:tr2bl w:val="nil"/>
            </w:tcBorders>
            <w:vAlign w:val="center"/>
          </w:tcPr>
          <w:p w14:paraId="13E1A0DC">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0.004</w:t>
            </w:r>
          </w:p>
        </w:tc>
        <w:tc>
          <w:tcPr>
            <w:tcW w:w="1251" w:type="pct"/>
            <w:tcBorders>
              <w:tl2br w:val="nil"/>
              <w:tr2bl w:val="nil"/>
            </w:tcBorders>
            <w:vAlign w:val="center"/>
          </w:tcPr>
          <w:p w14:paraId="64F4A0B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w:t>
            </w:r>
            <w:r>
              <w:rPr>
                <w:rFonts w:hint="default" w:ascii="Times New Roman" w:hAnsi="Times New Roman" w:cs="Times New Roman"/>
                <w:i w:val="0"/>
                <w:iCs w:val="0"/>
                <w:color w:val="auto"/>
                <w:kern w:val="0"/>
                <w:sz w:val="18"/>
                <w:szCs w:val="18"/>
                <w:u w:val="none"/>
                <w:lang w:val="en-US" w:eastAsia="zh-CN" w:bidi="ar"/>
              </w:rPr>
              <w:t>62</w:t>
            </w:r>
          </w:p>
        </w:tc>
      </w:tr>
      <w:tr w14:paraId="426782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vMerge w:val="continue"/>
            <w:tcBorders>
              <w:tl2br w:val="nil"/>
              <w:tr2bl w:val="nil"/>
            </w:tcBorders>
            <w:vAlign w:val="center"/>
          </w:tcPr>
          <w:p w14:paraId="51211738">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p>
        </w:tc>
        <w:tc>
          <w:tcPr>
            <w:tcW w:w="1249" w:type="pct"/>
            <w:tcBorders>
              <w:tl2br w:val="nil"/>
              <w:tr2bl w:val="nil"/>
            </w:tcBorders>
            <w:vAlign w:val="center"/>
          </w:tcPr>
          <w:p w14:paraId="59DCEFA8">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Zn</w:t>
            </w:r>
          </w:p>
        </w:tc>
        <w:tc>
          <w:tcPr>
            <w:tcW w:w="1250" w:type="pct"/>
            <w:tcBorders>
              <w:tl2br w:val="nil"/>
              <w:tr2bl w:val="nil"/>
            </w:tcBorders>
            <w:vAlign w:val="center"/>
          </w:tcPr>
          <w:p w14:paraId="15F00191">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0.001</w:t>
            </w:r>
          </w:p>
        </w:tc>
        <w:tc>
          <w:tcPr>
            <w:tcW w:w="1251" w:type="pct"/>
            <w:tcBorders>
              <w:tl2br w:val="nil"/>
              <w:tr2bl w:val="nil"/>
            </w:tcBorders>
            <w:vAlign w:val="center"/>
          </w:tcPr>
          <w:p w14:paraId="6615BA6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0.01</w:t>
            </w:r>
            <w:r>
              <w:rPr>
                <w:rFonts w:hint="default" w:ascii="Times New Roman" w:hAnsi="Times New Roman" w:cs="Times New Roman"/>
                <w:i w:val="0"/>
                <w:iCs w:val="0"/>
                <w:color w:val="auto"/>
                <w:kern w:val="0"/>
                <w:sz w:val="18"/>
                <w:szCs w:val="18"/>
                <w:u w:val="none"/>
                <w:lang w:val="en-US" w:eastAsia="zh-CN" w:bidi="ar"/>
              </w:rPr>
              <w:t>5</w:t>
            </w:r>
          </w:p>
        </w:tc>
      </w:tr>
      <w:tr w14:paraId="747EAE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vMerge w:val="continue"/>
            <w:tcBorders>
              <w:tl2br w:val="nil"/>
              <w:tr2bl w:val="nil"/>
            </w:tcBorders>
            <w:vAlign w:val="center"/>
          </w:tcPr>
          <w:p w14:paraId="025FB23D">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p>
        </w:tc>
        <w:tc>
          <w:tcPr>
            <w:tcW w:w="1249" w:type="pct"/>
            <w:tcBorders>
              <w:tl2br w:val="nil"/>
              <w:tr2bl w:val="nil"/>
            </w:tcBorders>
            <w:vAlign w:val="center"/>
          </w:tcPr>
          <w:p w14:paraId="0DCB151E">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Cu</w:t>
            </w:r>
          </w:p>
        </w:tc>
        <w:tc>
          <w:tcPr>
            <w:tcW w:w="1250" w:type="pct"/>
            <w:tcBorders>
              <w:tl2br w:val="nil"/>
              <w:tr2bl w:val="nil"/>
            </w:tcBorders>
            <w:vAlign w:val="center"/>
          </w:tcPr>
          <w:p w14:paraId="6B9F5086">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0.004</w:t>
            </w:r>
          </w:p>
        </w:tc>
        <w:tc>
          <w:tcPr>
            <w:tcW w:w="1251" w:type="pct"/>
            <w:tcBorders>
              <w:tl2br w:val="nil"/>
              <w:tr2bl w:val="nil"/>
            </w:tcBorders>
            <w:vAlign w:val="center"/>
          </w:tcPr>
          <w:p w14:paraId="0208D202">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w:t>
            </w:r>
            <w:r>
              <w:rPr>
                <w:rFonts w:hint="default" w:ascii="Times New Roman" w:hAnsi="Times New Roman" w:cs="Times New Roman"/>
                <w:i w:val="0"/>
                <w:iCs w:val="0"/>
                <w:color w:val="auto"/>
                <w:kern w:val="0"/>
                <w:sz w:val="18"/>
                <w:szCs w:val="18"/>
                <w:u w:val="none"/>
                <w:lang w:val="en-US" w:eastAsia="zh-CN" w:bidi="ar"/>
              </w:rPr>
              <w:t>62</w:t>
            </w:r>
          </w:p>
        </w:tc>
      </w:tr>
      <w:tr w14:paraId="5F3FB0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vMerge w:val="continue"/>
            <w:tcBorders>
              <w:tl2br w:val="nil"/>
              <w:tr2bl w:val="nil"/>
            </w:tcBorders>
            <w:vAlign w:val="center"/>
          </w:tcPr>
          <w:p w14:paraId="2201378C">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p>
        </w:tc>
        <w:tc>
          <w:tcPr>
            <w:tcW w:w="1249" w:type="pct"/>
            <w:tcBorders>
              <w:tl2br w:val="nil"/>
              <w:tr2bl w:val="nil"/>
            </w:tcBorders>
            <w:vAlign w:val="center"/>
          </w:tcPr>
          <w:p w14:paraId="47B91D12">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Fe</w:t>
            </w:r>
          </w:p>
        </w:tc>
        <w:tc>
          <w:tcPr>
            <w:tcW w:w="1250" w:type="pct"/>
            <w:tcBorders>
              <w:tl2br w:val="nil"/>
              <w:tr2bl w:val="nil"/>
            </w:tcBorders>
            <w:vAlign w:val="center"/>
          </w:tcPr>
          <w:p w14:paraId="591F711D">
            <w:pPr>
              <w:spacing w:line="240" w:lineRule="auto"/>
              <w:jc w:val="center"/>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14.36</w:t>
            </w:r>
          </w:p>
        </w:tc>
        <w:tc>
          <w:tcPr>
            <w:tcW w:w="1251" w:type="pct"/>
            <w:tcBorders>
              <w:tl2br w:val="nil"/>
              <w:tr2bl w:val="nil"/>
            </w:tcBorders>
            <w:vAlign w:val="center"/>
          </w:tcPr>
          <w:p w14:paraId="7354574A">
            <w:pPr>
              <w:keepNext w:val="0"/>
              <w:keepLines w:val="0"/>
              <w:widowControl/>
              <w:suppressLineNumbers w:val="0"/>
              <w:jc w:val="center"/>
              <w:textAlignment w:val="center"/>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i w:val="0"/>
                <w:iCs w:val="0"/>
                <w:color w:val="auto"/>
                <w:kern w:val="0"/>
                <w:sz w:val="18"/>
                <w:szCs w:val="18"/>
                <w:u w:val="none"/>
                <w:lang w:val="en-US" w:eastAsia="zh-CN" w:bidi="ar"/>
              </w:rPr>
              <w:t>222.29</w:t>
            </w:r>
          </w:p>
        </w:tc>
      </w:tr>
      <w:tr w14:paraId="2B8C04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vMerge w:val="continue"/>
            <w:tcBorders>
              <w:tl2br w:val="nil"/>
              <w:tr2bl w:val="nil"/>
            </w:tcBorders>
            <w:vAlign w:val="center"/>
          </w:tcPr>
          <w:p w14:paraId="379A469D">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p>
        </w:tc>
        <w:tc>
          <w:tcPr>
            <w:tcW w:w="1249" w:type="pct"/>
            <w:tcBorders>
              <w:tl2br w:val="nil"/>
              <w:tr2bl w:val="nil"/>
            </w:tcBorders>
            <w:vAlign w:val="center"/>
          </w:tcPr>
          <w:p w14:paraId="30C4190B">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Mn</w:t>
            </w:r>
          </w:p>
        </w:tc>
        <w:tc>
          <w:tcPr>
            <w:tcW w:w="1250" w:type="pct"/>
            <w:tcBorders>
              <w:tl2br w:val="nil"/>
              <w:tr2bl w:val="nil"/>
            </w:tcBorders>
            <w:vAlign w:val="center"/>
          </w:tcPr>
          <w:p w14:paraId="3FE94919">
            <w:pPr>
              <w:spacing w:line="240" w:lineRule="auto"/>
              <w:jc w:val="center"/>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1.04</w:t>
            </w:r>
          </w:p>
        </w:tc>
        <w:tc>
          <w:tcPr>
            <w:tcW w:w="1251" w:type="pct"/>
            <w:tcBorders>
              <w:tl2br w:val="nil"/>
              <w:tr2bl w:val="nil"/>
            </w:tcBorders>
            <w:vAlign w:val="center"/>
          </w:tcPr>
          <w:p w14:paraId="510530D5">
            <w:pPr>
              <w:keepNext w:val="0"/>
              <w:keepLines w:val="0"/>
              <w:widowControl/>
              <w:suppressLineNumbers w:val="0"/>
              <w:jc w:val="center"/>
              <w:textAlignment w:val="center"/>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i w:val="0"/>
                <w:iCs w:val="0"/>
                <w:color w:val="auto"/>
                <w:kern w:val="0"/>
                <w:sz w:val="18"/>
                <w:szCs w:val="18"/>
                <w:u w:val="none"/>
                <w:lang w:val="en-US" w:eastAsia="zh-CN" w:bidi="ar"/>
              </w:rPr>
              <w:t>16.10</w:t>
            </w:r>
          </w:p>
        </w:tc>
      </w:tr>
    </w:tbl>
    <w:p w14:paraId="040EA151">
      <w:pPr>
        <w:spacing w:line="360" w:lineRule="auto"/>
        <w:ind w:firstLine="49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根据项目工程分析及项目实际情况，本次预测参数详见下表。</w:t>
      </w:r>
    </w:p>
    <w:p w14:paraId="2026CB48">
      <w:pPr>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br w:type="page"/>
      </w:r>
    </w:p>
    <w:p w14:paraId="3CACCD33">
      <w:pPr>
        <w:spacing w:line="360" w:lineRule="auto"/>
        <w:ind w:firstLine="430" w:firstLineChars="200"/>
        <w:jc w:val="center"/>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w:t>
      </w:r>
      <w:r>
        <w:rPr>
          <w:rFonts w:hint="default" w:ascii="Times New Roman" w:hAnsi="Times New Roman" w:eastAsia="黑体" w:cs="Times New Roman"/>
          <w:b w:val="0"/>
          <w:bCs/>
          <w:color w:val="auto"/>
          <w:kern w:val="2"/>
          <w:sz w:val="21"/>
          <w:szCs w:val="21"/>
          <w:highlight w:val="none"/>
          <w:lang w:val="en-US" w:eastAsia="zh-CN" w:bidi="ar-SA"/>
        </w:rPr>
        <w:t>6.4.4-2</w:t>
      </w:r>
      <w:r>
        <w:rPr>
          <w:rFonts w:hint="default" w:ascii="Times New Roman" w:hAnsi="Times New Roman" w:eastAsia="黑体" w:cs="Times New Roman"/>
          <w:b w:val="0"/>
          <w:bCs/>
          <w:color w:val="auto"/>
          <w:sz w:val="21"/>
          <w:szCs w:val="21"/>
          <w:highlight w:val="none"/>
        </w:rPr>
        <w:t xml:space="preserve">  本项目土壤环境预测参数一览表</w:t>
      </w:r>
    </w:p>
    <w:tbl>
      <w:tblPr>
        <w:tblStyle w:val="29"/>
        <w:tblW w:w="5000"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35"/>
        <w:gridCol w:w="3677"/>
        <w:gridCol w:w="4576"/>
      </w:tblGrid>
      <w:tr w14:paraId="3ACE0CA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83" w:hRule="atLeast"/>
        </w:trPr>
        <w:tc>
          <w:tcPr>
            <w:tcW w:w="557" w:type="pct"/>
            <w:tcBorders>
              <w:tl2br w:val="nil"/>
              <w:tr2bl w:val="nil"/>
            </w:tcBorders>
            <w:noWrap/>
            <w:vAlign w:val="center"/>
          </w:tcPr>
          <w:p w14:paraId="0086070E">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参数名称</w:t>
            </w:r>
          </w:p>
        </w:tc>
        <w:tc>
          <w:tcPr>
            <w:tcW w:w="1978" w:type="pct"/>
            <w:tcBorders>
              <w:tl2br w:val="nil"/>
              <w:tr2bl w:val="nil"/>
            </w:tcBorders>
            <w:noWrap/>
            <w:vAlign w:val="center"/>
          </w:tcPr>
          <w:p w14:paraId="7DB34C41">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取值</w:t>
            </w:r>
          </w:p>
        </w:tc>
        <w:tc>
          <w:tcPr>
            <w:tcW w:w="2463" w:type="pct"/>
            <w:tcBorders>
              <w:tl2br w:val="nil"/>
              <w:tr2bl w:val="nil"/>
            </w:tcBorders>
            <w:noWrap/>
            <w:vAlign w:val="center"/>
          </w:tcPr>
          <w:p w14:paraId="7E65C323">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备注</w:t>
            </w:r>
          </w:p>
        </w:tc>
      </w:tr>
      <w:tr w14:paraId="79D5E59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83" w:hRule="atLeast"/>
        </w:trPr>
        <w:tc>
          <w:tcPr>
            <w:tcW w:w="557" w:type="pct"/>
            <w:tcBorders>
              <w:tl2br w:val="nil"/>
              <w:tr2bl w:val="nil"/>
            </w:tcBorders>
            <w:noWrap/>
            <w:vAlign w:val="center"/>
          </w:tcPr>
          <w:p w14:paraId="0DDCF71A">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Is</w:t>
            </w:r>
          </w:p>
        </w:tc>
        <w:tc>
          <w:tcPr>
            <w:tcW w:w="1978" w:type="pct"/>
            <w:tcBorders>
              <w:tl2br w:val="nil"/>
              <w:tr2bl w:val="nil"/>
            </w:tcBorders>
            <w:noWrap/>
            <w:vAlign w:val="center"/>
          </w:tcPr>
          <w:p w14:paraId="3170A28F">
            <w:pPr>
              <w:jc w:val="center"/>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Pb</w:t>
            </w:r>
            <w:r>
              <w:rPr>
                <w:rFonts w:hint="default" w:ascii="Times New Roman" w:hAnsi="Times New Roman" w:eastAsia="宋体" w:cs="Times New Roman"/>
                <w:color w:val="auto"/>
                <w:sz w:val="18"/>
                <w:szCs w:val="18"/>
                <w:highlight w:val="none"/>
              </w:rPr>
              <w:t>的排放量</w:t>
            </w:r>
            <w:r>
              <w:rPr>
                <w:rFonts w:hint="default" w:ascii="Times New Roman" w:hAnsi="Times New Roman" w:eastAsia="宋体" w:cs="Times New Roman"/>
                <w:i w:val="0"/>
                <w:iCs w:val="0"/>
                <w:color w:val="auto"/>
                <w:kern w:val="0"/>
                <w:sz w:val="18"/>
                <w:szCs w:val="18"/>
                <w:u w:val="none"/>
                <w:lang w:val="en-US" w:eastAsia="zh-CN" w:bidi="ar"/>
              </w:rPr>
              <w:t>0.0</w:t>
            </w:r>
            <w:r>
              <w:rPr>
                <w:rFonts w:hint="default" w:ascii="Times New Roman" w:hAnsi="Times New Roman" w:cs="Times New Roman"/>
                <w:i w:val="0"/>
                <w:iCs w:val="0"/>
                <w:color w:val="auto"/>
                <w:kern w:val="0"/>
                <w:sz w:val="18"/>
                <w:szCs w:val="18"/>
                <w:u w:val="none"/>
                <w:lang w:val="en-US" w:eastAsia="zh-CN" w:bidi="ar"/>
              </w:rPr>
              <w:t>62</w:t>
            </w:r>
            <w:r>
              <w:rPr>
                <w:rFonts w:hint="default" w:ascii="Times New Roman" w:hAnsi="Times New Roman" w:eastAsia="宋体" w:cs="Times New Roman"/>
                <w:color w:val="auto"/>
                <w:sz w:val="18"/>
                <w:szCs w:val="18"/>
                <w:highlight w:val="none"/>
                <w:lang w:val="en-US" w:eastAsia="zh-CN"/>
              </w:rPr>
              <w:t>kg/a</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val="en-US" w:eastAsia="zh-CN"/>
              </w:rPr>
              <w:t>As</w:t>
            </w:r>
            <w:r>
              <w:rPr>
                <w:rFonts w:hint="default" w:ascii="Times New Roman" w:hAnsi="Times New Roman" w:eastAsia="宋体" w:cs="Times New Roman"/>
                <w:color w:val="auto"/>
                <w:sz w:val="18"/>
                <w:szCs w:val="18"/>
                <w:highlight w:val="none"/>
              </w:rPr>
              <w:t>的排放量</w:t>
            </w:r>
            <w:r>
              <w:rPr>
                <w:rFonts w:hint="default" w:ascii="Times New Roman" w:hAnsi="Times New Roman" w:eastAsia="宋体" w:cs="Times New Roman"/>
                <w:i w:val="0"/>
                <w:iCs w:val="0"/>
                <w:color w:val="auto"/>
                <w:kern w:val="0"/>
                <w:sz w:val="18"/>
                <w:szCs w:val="18"/>
                <w:u w:val="none"/>
                <w:lang w:val="en-US" w:eastAsia="zh-CN" w:bidi="ar"/>
              </w:rPr>
              <w:t>0.0</w:t>
            </w:r>
            <w:r>
              <w:rPr>
                <w:rFonts w:hint="default" w:ascii="Times New Roman" w:hAnsi="Times New Roman" w:cs="Times New Roman"/>
                <w:i w:val="0"/>
                <w:iCs w:val="0"/>
                <w:color w:val="auto"/>
                <w:kern w:val="0"/>
                <w:sz w:val="18"/>
                <w:szCs w:val="18"/>
                <w:u w:val="none"/>
                <w:lang w:val="en-US" w:eastAsia="zh-CN" w:bidi="ar"/>
              </w:rPr>
              <w:t>31</w:t>
            </w:r>
            <w:r>
              <w:rPr>
                <w:rFonts w:hint="default" w:ascii="Times New Roman" w:hAnsi="Times New Roman" w:eastAsia="宋体" w:cs="Times New Roman"/>
                <w:color w:val="auto"/>
                <w:sz w:val="18"/>
                <w:szCs w:val="18"/>
                <w:highlight w:val="none"/>
                <w:lang w:val="en-US" w:eastAsia="zh-CN"/>
              </w:rPr>
              <w:t>kg/a</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val="en-US" w:eastAsia="zh-CN"/>
              </w:rPr>
              <w:t>Zn</w:t>
            </w:r>
            <w:r>
              <w:rPr>
                <w:rFonts w:hint="default" w:ascii="Times New Roman" w:hAnsi="Times New Roman" w:eastAsia="宋体" w:cs="Times New Roman"/>
                <w:color w:val="auto"/>
                <w:sz w:val="18"/>
                <w:szCs w:val="18"/>
                <w:highlight w:val="none"/>
              </w:rPr>
              <w:t>的排放量</w:t>
            </w:r>
            <w:r>
              <w:rPr>
                <w:rFonts w:hint="default" w:ascii="Times New Roman" w:hAnsi="Times New Roman" w:eastAsia="宋体" w:cs="Times New Roman"/>
                <w:i w:val="0"/>
                <w:iCs w:val="0"/>
                <w:color w:val="auto"/>
                <w:kern w:val="0"/>
                <w:sz w:val="18"/>
                <w:szCs w:val="18"/>
                <w:u w:val="none"/>
                <w:lang w:val="en-US" w:eastAsia="zh-CN" w:bidi="ar"/>
              </w:rPr>
              <w:t>0.01</w:t>
            </w:r>
            <w:r>
              <w:rPr>
                <w:rFonts w:hint="default" w:ascii="Times New Roman" w:hAnsi="Times New Roman" w:cs="Times New Roman"/>
                <w:i w:val="0"/>
                <w:iCs w:val="0"/>
                <w:color w:val="auto"/>
                <w:kern w:val="0"/>
                <w:sz w:val="18"/>
                <w:szCs w:val="18"/>
                <w:u w:val="none"/>
                <w:lang w:val="en-US" w:eastAsia="zh-CN" w:bidi="ar"/>
              </w:rPr>
              <w:t>5</w:t>
            </w:r>
            <w:r>
              <w:rPr>
                <w:rFonts w:hint="default" w:ascii="Times New Roman" w:hAnsi="Times New Roman" w:eastAsia="宋体" w:cs="Times New Roman"/>
                <w:color w:val="auto"/>
                <w:sz w:val="18"/>
                <w:szCs w:val="18"/>
                <w:highlight w:val="none"/>
                <w:lang w:val="en-US" w:eastAsia="zh-CN"/>
              </w:rPr>
              <w:t>kg/a</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铜</w:t>
            </w:r>
            <w:r>
              <w:rPr>
                <w:rFonts w:hint="default" w:ascii="Times New Roman" w:hAnsi="Times New Roman" w:eastAsia="宋体" w:cs="Times New Roman"/>
                <w:color w:val="auto"/>
                <w:sz w:val="18"/>
                <w:szCs w:val="18"/>
                <w:highlight w:val="none"/>
              </w:rPr>
              <w:t>的排放量</w:t>
            </w:r>
            <w:r>
              <w:rPr>
                <w:rFonts w:hint="default" w:ascii="Times New Roman" w:hAnsi="Times New Roman" w:eastAsia="宋体" w:cs="Times New Roman"/>
                <w:i w:val="0"/>
                <w:iCs w:val="0"/>
                <w:color w:val="auto"/>
                <w:kern w:val="0"/>
                <w:sz w:val="18"/>
                <w:szCs w:val="18"/>
                <w:u w:val="none"/>
                <w:lang w:val="en-US" w:eastAsia="zh-CN" w:bidi="ar"/>
              </w:rPr>
              <w:t>0.0</w:t>
            </w:r>
            <w:r>
              <w:rPr>
                <w:rFonts w:hint="default" w:ascii="Times New Roman" w:hAnsi="Times New Roman" w:cs="Times New Roman"/>
                <w:i w:val="0"/>
                <w:iCs w:val="0"/>
                <w:color w:val="auto"/>
                <w:kern w:val="0"/>
                <w:sz w:val="18"/>
                <w:szCs w:val="18"/>
                <w:u w:val="none"/>
                <w:lang w:val="en-US" w:eastAsia="zh-CN" w:bidi="ar"/>
              </w:rPr>
              <w:t>62</w:t>
            </w:r>
            <w:r>
              <w:rPr>
                <w:rFonts w:hint="default" w:ascii="Times New Roman" w:hAnsi="Times New Roman" w:eastAsia="宋体" w:cs="Times New Roman"/>
                <w:color w:val="auto"/>
                <w:sz w:val="18"/>
                <w:szCs w:val="18"/>
                <w:highlight w:val="none"/>
                <w:lang w:val="en-US" w:eastAsia="zh-CN"/>
              </w:rPr>
              <w:t>kg/a</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vertAlign w:val="baseline"/>
                <w:lang w:val="en-US" w:eastAsia="zh-CN"/>
              </w:rPr>
              <w:t>Fe</w:t>
            </w:r>
            <w:r>
              <w:rPr>
                <w:rFonts w:hint="default" w:ascii="Times New Roman" w:hAnsi="Times New Roman" w:eastAsia="宋体" w:cs="Times New Roman"/>
                <w:color w:val="auto"/>
                <w:sz w:val="18"/>
                <w:szCs w:val="18"/>
                <w:highlight w:val="none"/>
              </w:rPr>
              <w:t>的排放量</w:t>
            </w:r>
            <w:r>
              <w:rPr>
                <w:rFonts w:hint="default" w:ascii="Times New Roman" w:hAnsi="Times New Roman" w:cs="Times New Roman"/>
                <w:i w:val="0"/>
                <w:iCs w:val="0"/>
                <w:color w:val="auto"/>
                <w:kern w:val="0"/>
                <w:sz w:val="18"/>
                <w:szCs w:val="18"/>
                <w:u w:val="none"/>
                <w:lang w:val="en-US" w:eastAsia="zh-CN" w:bidi="ar"/>
              </w:rPr>
              <w:t>222.29</w:t>
            </w:r>
            <w:r>
              <w:rPr>
                <w:rFonts w:hint="default" w:ascii="Times New Roman" w:hAnsi="Times New Roman" w:eastAsia="宋体" w:cs="Times New Roman"/>
                <w:color w:val="auto"/>
                <w:sz w:val="18"/>
                <w:szCs w:val="18"/>
                <w:highlight w:val="none"/>
                <w:lang w:val="en-US" w:eastAsia="zh-CN"/>
              </w:rPr>
              <w:t>kg/a;</w:t>
            </w:r>
            <w:r>
              <w:rPr>
                <w:rFonts w:hint="default" w:ascii="Times New Roman" w:hAnsi="Times New Roman" w:cs="Times New Roman"/>
                <w:color w:val="auto"/>
                <w:sz w:val="18"/>
                <w:szCs w:val="18"/>
                <w:highlight w:val="none"/>
                <w:vertAlign w:val="baseline"/>
                <w:lang w:val="en-US" w:eastAsia="zh-CN"/>
              </w:rPr>
              <w:t>Mn</w:t>
            </w:r>
            <w:r>
              <w:rPr>
                <w:rFonts w:hint="default" w:ascii="Times New Roman" w:hAnsi="Times New Roman" w:eastAsia="宋体" w:cs="Times New Roman"/>
                <w:color w:val="auto"/>
                <w:sz w:val="18"/>
                <w:szCs w:val="18"/>
                <w:highlight w:val="none"/>
              </w:rPr>
              <w:t>的排放量</w:t>
            </w:r>
            <w:r>
              <w:rPr>
                <w:rFonts w:hint="default" w:ascii="Times New Roman" w:hAnsi="Times New Roman" w:cs="Times New Roman"/>
                <w:i w:val="0"/>
                <w:iCs w:val="0"/>
                <w:color w:val="auto"/>
                <w:kern w:val="0"/>
                <w:sz w:val="18"/>
                <w:szCs w:val="18"/>
                <w:u w:val="none"/>
                <w:lang w:val="en-US" w:eastAsia="zh-CN" w:bidi="ar"/>
              </w:rPr>
              <w:t>16.10</w:t>
            </w:r>
            <w:r>
              <w:rPr>
                <w:rFonts w:hint="default" w:ascii="Times New Roman" w:hAnsi="Times New Roman" w:eastAsia="宋体" w:cs="Times New Roman"/>
                <w:color w:val="auto"/>
                <w:sz w:val="18"/>
                <w:szCs w:val="18"/>
                <w:highlight w:val="none"/>
                <w:lang w:val="en-US" w:eastAsia="zh-CN"/>
              </w:rPr>
              <w:t>kg/a。</w:t>
            </w:r>
          </w:p>
        </w:tc>
        <w:tc>
          <w:tcPr>
            <w:tcW w:w="2463" w:type="pct"/>
            <w:tcBorders>
              <w:tl2br w:val="nil"/>
              <w:tr2bl w:val="nil"/>
            </w:tcBorders>
            <w:noWrap/>
            <w:vAlign w:val="center"/>
          </w:tcPr>
          <w:p w14:paraId="6DF73891">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假设项目每年排放的</w:t>
            </w:r>
            <w:r>
              <w:rPr>
                <w:rFonts w:hint="default" w:ascii="Times New Roman" w:hAnsi="Times New Roman" w:cs="Times New Roman"/>
                <w:color w:val="auto"/>
                <w:sz w:val="18"/>
                <w:szCs w:val="18"/>
                <w:highlight w:val="none"/>
                <w:vertAlign w:val="baseline"/>
                <w:lang w:val="en-US" w:eastAsia="zh-CN"/>
              </w:rPr>
              <w:t>Fe、Mn、</w:t>
            </w:r>
            <w:r>
              <w:rPr>
                <w:rFonts w:hint="default" w:ascii="Times New Roman" w:hAnsi="Times New Roman" w:cs="Times New Roman"/>
                <w:color w:val="auto"/>
                <w:sz w:val="18"/>
                <w:szCs w:val="18"/>
                <w:lang w:val="en-US" w:eastAsia="zh-CN"/>
              </w:rPr>
              <w:t>As、Pb、Zn、Cu</w:t>
            </w:r>
            <w:r>
              <w:rPr>
                <w:rFonts w:hint="default" w:ascii="Times New Roman" w:hAnsi="Times New Roman" w:eastAsia="宋体" w:cs="Times New Roman"/>
                <w:color w:val="auto"/>
                <w:sz w:val="18"/>
                <w:szCs w:val="18"/>
                <w:highlight w:val="none"/>
              </w:rPr>
              <w:t>全部沉降至土壤中</w:t>
            </w:r>
          </w:p>
        </w:tc>
      </w:tr>
      <w:tr w14:paraId="48742E2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83" w:hRule="atLeast"/>
        </w:trPr>
        <w:tc>
          <w:tcPr>
            <w:tcW w:w="557" w:type="pct"/>
            <w:tcBorders>
              <w:tl2br w:val="nil"/>
              <w:tr2bl w:val="nil"/>
            </w:tcBorders>
            <w:noWrap/>
            <w:vAlign w:val="center"/>
          </w:tcPr>
          <w:p w14:paraId="4DF6F1DB">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Ls</w:t>
            </w:r>
          </w:p>
        </w:tc>
        <w:tc>
          <w:tcPr>
            <w:tcW w:w="1978" w:type="pct"/>
            <w:tcBorders>
              <w:tl2br w:val="nil"/>
              <w:tr2bl w:val="nil"/>
            </w:tcBorders>
            <w:noWrap/>
            <w:vAlign w:val="center"/>
          </w:tcPr>
          <w:p w14:paraId="4B3AA6E2">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 g</w:t>
            </w:r>
          </w:p>
        </w:tc>
        <w:tc>
          <w:tcPr>
            <w:tcW w:w="2463" w:type="pct"/>
            <w:tcBorders>
              <w:tl2br w:val="nil"/>
              <w:tr2bl w:val="nil"/>
            </w:tcBorders>
            <w:noWrap/>
            <w:vAlign w:val="center"/>
          </w:tcPr>
          <w:p w14:paraId="3BA47DAB">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根据导则，涉及大气沉降影响的，可不考虑输出</w:t>
            </w:r>
          </w:p>
        </w:tc>
      </w:tr>
      <w:tr w14:paraId="044B24C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83" w:hRule="atLeast"/>
        </w:trPr>
        <w:tc>
          <w:tcPr>
            <w:tcW w:w="557" w:type="pct"/>
            <w:tcBorders>
              <w:tl2br w:val="nil"/>
              <w:tr2bl w:val="nil"/>
            </w:tcBorders>
            <w:noWrap/>
            <w:vAlign w:val="center"/>
          </w:tcPr>
          <w:p w14:paraId="636AB55D">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Rs</w:t>
            </w:r>
          </w:p>
        </w:tc>
        <w:tc>
          <w:tcPr>
            <w:tcW w:w="1978" w:type="pct"/>
            <w:tcBorders>
              <w:tl2br w:val="nil"/>
              <w:tr2bl w:val="nil"/>
            </w:tcBorders>
            <w:noWrap/>
            <w:vAlign w:val="center"/>
          </w:tcPr>
          <w:p w14:paraId="5BD3ED3E">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 g</w:t>
            </w:r>
          </w:p>
        </w:tc>
        <w:tc>
          <w:tcPr>
            <w:tcW w:w="2463" w:type="pct"/>
            <w:tcBorders>
              <w:tl2br w:val="nil"/>
              <w:tr2bl w:val="nil"/>
            </w:tcBorders>
            <w:noWrap/>
            <w:vAlign w:val="center"/>
          </w:tcPr>
          <w:p w14:paraId="354E8380">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根据导则，涉及大气沉降影响的，可不考虑输出</w:t>
            </w:r>
          </w:p>
        </w:tc>
      </w:tr>
      <w:tr w14:paraId="478F41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89" w:hRule="atLeast"/>
        </w:trPr>
        <w:tc>
          <w:tcPr>
            <w:tcW w:w="557" w:type="pct"/>
            <w:tcBorders>
              <w:tl2br w:val="nil"/>
              <w:tr2bl w:val="nil"/>
            </w:tcBorders>
            <w:noWrap/>
            <w:vAlign w:val="center"/>
          </w:tcPr>
          <w:p w14:paraId="487CA224">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Pb</w:t>
            </w:r>
          </w:p>
        </w:tc>
        <w:tc>
          <w:tcPr>
            <w:tcW w:w="1978" w:type="pct"/>
            <w:tcBorders>
              <w:tl2br w:val="nil"/>
              <w:tr2bl w:val="nil"/>
            </w:tcBorders>
            <w:noWrap/>
            <w:vAlign w:val="center"/>
          </w:tcPr>
          <w:p w14:paraId="5BA89F34">
            <w:pPr>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1120</w:t>
            </w:r>
            <w:r>
              <w:rPr>
                <w:rFonts w:hint="default" w:ascii="Times New Roman" w:hAnsi="Times New Roman" w:eastAsia="宋体" w:cs="Times New Roman"/>
                <w:color w:val="auto"/>
                <w:sz w:val="18"/>
                <w:szCs w:val="18"/>
                <w:highlight w:val="none"/>
              </w:rPr>
              <w:t>kg/m</w:t>
            </w:r>
            <w:r>
              <w:rPr>
                <w:rFonts w:hint="default" w:ascii="Times New Roman" w:hAnsi="Times New Roman" w:eastAsia="宋体" w:cs="Times New Roman"/>
                <w:color w:val="auto"/>
                <w:sz w:val="18"/>
                <w:szCs w:val="18"/>
                <w:highlight w:val="none"/>
                <w:vertAlign w:val="superscript"/>
              </w:rPr>
              <w:t>3</w:t>
            </w:r>
          </w:p>
        </w:tc>
        <w:tc>
          <w:tcPr>
            <w:tcW w:w="2463" w:type="pct"/>
            <w:tcBorders>
              <w:tl2br w:val="nil"/>
              <w:tr2bl w:val="nil"/>
            </w:tcBorders>
            <w:noWrap/>
            <w:vAlign w:val="center"/>
          </w:tcPr>
          <w:p w14:paraId="206275E8">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r>
      <w:tr w14:paraId="150D9CF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83" w:hRule="atLeast"/>
        </w:trPr>
        <w:tc>
          <w:tcPr>
            <w:tcW w:w="557" w:type="pct"/>
            <w:tcBorders>
              <w:tl2br w:val="nil"/>
              <w:tr2bl w:val="nil"/>
            </w:tcBorders>
            <w:noWrap/>
            <w:vAlign w:val="center"/>
          </w:tcPr>
          <w:p w14:paraId="34E3E156">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A</w:t>
            </w:r>
          </w:p>
        </w:tc>
        <w:tc>
          <w:tcPr>
            <w:tcW w:w="1978" w:type="pct"/>
            <w:tcBorders>
              <w:tl2br w:val="nil"/>
              <w:tr2bl w:val="nil"/>
            </w:tcBorders>
            <w:noWrap/>
            <w:vAlign w:val="center"/>
          </w:tcPr>
          <w:p w14:paraId="37AB7E39">
            <w:pPr>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4392960</w:t>
            </w: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2</w:t>
            </w:r>
          </w:p>
        </w:tc>
        <w:tc>
          <w:tcPr>
            <w:tcW w:w="2463" w:type="pct"/>
            <w:tcBorders>
              <w:tl2br w:val="nil"/>
              <w:tr2bl w:val="nil"/>
            </w:tcBorders>
            <w:noWrap/>
            <w:vAlign w:val="center"/>
          </w:tcPr>
          <w:p w14:paraId="10B2E318">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项目占地及</w:t>
            </w:r>
            <w:r>
              <w:rPr>
                <w:rFonts w:hint="default" w:ascii="Times New Roman" w:hAnsi="Times New Roman" w:cs="Times New Roman"/>
                <w:color w:val="auto"/>
                <w:sz w:val="18"/>
                <w:szCs w:val="18"/>
                <w:highlight w:val="none"/>
                <w:lang w:val="en-US" w:eastAsia="zh-CN"/>
              </w:rPr>
              <w:t>外延1000m范围</w:t>
            </w:r>
          </w:p>
        </w:tc>
      </w:tr>
      <w:tr w14:paraId="24B06C7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83" w:hRule="atLeast"/>
        </w:trPr>
        <w:tc>
          <w:tcPr>
            <w:tcW w:w="557" w:type="pct"/>
            <w:tcBorders>
              <w:tl2br w:val="nil"/>
              <w:tr2bl w:val="nil"/>
            </w:tcBorders>
            <w:noWrap/>
            <w:vAlign w:val="center"/>
          </w:tcPr>
          <w:p w14:paraId="7D77477B">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D</w:t>
            </w:r>
          </w:p>
        </w:tc>
        <w:tc>
          <w:tcPr>
            <w:tcW w:w="1978" w:type="pct"/>
            <w:tcBorders>
              <w:tl2br w:val="nil"/>
              <w:tr2bl w:val="nil"/>
            </w:tcBorders>
            <w:noWrap/>
            <w:vAlign w:val="center"/>
          </w:tcPr>
          <w:p w14:paraId="7AF85321">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0.2m</w:t>
            </w:r>
          </w:p>
        </w:tc>
        <w:tc>
          <w:tcPr>
            <w:tcW w:w="2463" w:type="pct"/>
            <w:tcBorders>
              <w:tl2br w:val="nil"/>
              <w:tr2bl w:val="nil"/>
            </w:tcBorders>
            <w:noWrap/>
            <w:vAlign w:val="center"/>
          </w:tcPr>
          <w:p w14:paraId="4901D3F7">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耕作层土壤深度</w:t>
            </w:r>
          </w:p>
        </w:tc>
      </w:tr>
      <w:tr w14:paraId="75A10D1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83" w:hRule="atLeast"/>
        </w:trPr>
        <w:tc>
          <w:tcPr>
            <w:tcW w:w="557" w:type="pct"/>
            <w:tcBorders>
              <w:tl2br w:val="nil"/>
              <w:tr2bl w:val="nil"/>
            </w:tcBorders>
            <w:noWrap/>
            <w:vAlign w:val="center"/>
          </w:tcPr>
          <w:p w14:paraId="71936FB1">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1978" w:type="pct"/>
            <w:tcBorders>
              <w:tl2br w:val="nil"/>
              <w:tr2bl w:val="nil"/>
            </w:tcBorders>
            <w:noWrap/>
            <w:vAlign w:val="center"/>
          </w:tcPr>
          <w:p w14:paraId="49AE3B38">
            <w:pPr>
              <w:jc w:val="center"/>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rPr>
              <w:t>1a、5a、10a、</w:t>
            </w:r>
            <w:r>
              <w:rPr>
                <w:rFonts w:hint="default" w:ascii="Times New Roman" w:hAnsi="Times New Roman" w:eastAsia="宋体" w:cs="Times New Roman"/>
                <w:color w:val="auto"/>
                <w:sz w:val="18"/>
                <w:szCs w:val="18"/>
                <w:highlight w:val="none"/>
                <w:lang w:val="en-US" w:eastAsia="zh-CN"/>
              </w:rPr>
              <w:t>15a</w:t>
            </w:r>
          </w:p>
        </w:tc>
        <w:tc>
          <w:tcPr>
            <w:tcW w:w="2463" w:type="pct"/>
            <w:tcBorders>
              <w:tl2br w:val="nil"/>
              <w:tr2bl w:val="nil"/>
            </w:tcBorders>
            <w:noWrap/>
            <w:vAlign w:val="center"/>
          </w:tcPr>
          <w:p w14:paraId="0B968078">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项目服务年限</w:t>
            </w:r>
            <w:r>
              <w:rPr>
                <w:rFonts w:hint="default" w:ascii="Times New Roman" w:hAnsi="Times New Roman" w:eastAsia="宋体" w:cs="Times New Roman"/>
                <w:color w:val="auto"/>
                <w:sz w:val="18"/>
                <w:szCs w:val="18"/>
                <w:highlight w:val="none"/>
                <w:lang w:val="en-US" w:eastAsia="zh-CN"/>
              </w:rPr>
              <w:t>15</w:t>
            </w:r>
            <w:r>
              <w:rPr>
                <w:rFonts w:hint="default" w:ascii="Times New Roman" w:hAnsi="Times New Roman" w:eastAsia="宋体" w:cs="Times New Roman"/>
                <w:color w:val="auto"/>
                <w:sz w:val="18"/>
                <w:szCs w:val="18"/>
                <w:highlight w:val="none"/>
              </w:rPr>
              <w:t>a</w:t>
            </w:r>
          </w:p>
        </w:tc>
      </w:tr>
    </w:tbl>
    <w:p w14:paraId="508B7D5B">
      <w:pPr>
        <w:spacing w:line="360" w:lineRule="auto"/>
        <w:ind w:firstLine="465"/>
        <w:rPr>
          <w:rFonts w:hint="default" w:ascii="Times New Roman" w:hAnsi="Times New Roman" w:cs="Times New Roman"/>
          <w:bCs/>
          <w:caps/>
          <w:color w:val="auto"/>
          <w:sz w:val="24"/>
          <w:szCs w:val="24"/>
          <w:highlight w:val="none"/>
        </w:rPr>
      </w:pPr>
      <w:r>
        <w:rPr>
          <w:rFonts w:hint="default" w:ascii="Times New Roman" w:hAnsi="Times New Roman" w:cs="Times New Roman"/>
          <w:bCs/>
          <w:caps/>
          <w:color w:val="auto"/>
          <w:sz w:val="24"/>
          <w:szCs w:val="24"/>
          <w:highlight w:val="none"/>
        </w:rPr>
        <w:t>（3）预测结果</w:t>
      </w:r>
    </w:p>
    <w:p w14:paraId="44C617FE">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①砷的预测结果</w:t>
      </w:r>
    </w:p>
    <w:p w14:paraId="6252B6F5">
      <w:pPr>
        <w:spacing w:line="360" w:lineRule="auto"/>
        <w:ind w:firstLine="49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根据以上预测公式及参数，项目排放的特征污染物砷对土壤的预测结果如下：</w:t>
      </w:r>
    </w:p>
    <w:p w14:paraId="7A0C90B7">
      <w:pPr>
        <w:spacing w:line="360" w:lineRule="auto"/>
        <w:ind w:firstLine="430" w:firstLineChars="200"/>
        <w:jc w:val="center"/>
        <w:rPr>
          <w:rFonts w:hint="default" w:ascii="Times New Roman" w:hAnsi="Times New Roman" w:eastAsia="黑体" w:cs="Times New Roman"/>
          <w:bCs/>
          <w:color w:val="auto"/>
          <w:sz w:val="21"/>
          <w:szCs w:val="21"/>
          <w:highlight w:val="none"/>
        </w:rPr>
      </w:pPr>
      <w:r>
        <w:rPr>
          <w:rFonts w:hint="default" w:ascii="Times New Roman" w:hAnsi="Times New Roman" w:eastAsia="黑体" w:cs="Times New Roman"/>
          <w:bCs/>
          <w:color w:val="auto"/>
          <w:sz w:val="21"/>
          <w:szCs w:val="21"/>
          <w:highlight w:val="none"/>
        </w:rPr>
        <w:t>表</w:t>
      </w:r>
      <w:r>
        <w:rPr>
          <w:rFonts w:hint="default" w:ascii="Times New Roman" w:hAnsi="Times New Roman" w:eastAsia="黑体" w:cs="Times New Roman"/>
          <w:bCs/>
          <w:color w:val="auto"/>
          <w:kern w:val="2"/>
          <w:sz w:val="21"/>
          <w:szCs w:val="21"/>
          <w:highlight w:val="none"/>
          <w:lang w:val="en-US" w:eastAsia="zh-CN" w:bidi="ar-SA"/>
        </w:rPr>
        <w:t>6.4.4-3</w:t>
      </w:r>
      <w:r>
        <w:rPr>
          <w:rFonts w:hint="default" w:ascii="Times New Roman" w:hAnsi="Times New Roman" w:eastAsia="黑体" w:cs="Times New Roman"/>
          <w:bCs/>
          <w:color w:val="auto"/>
          <w:sz w:val="21"/>
          <w:szCs w:val="21"/>
          <w:highlight w:val="none"/>
        </w:rPr>
        <w:t xml:space="preserve">  项目砷预测对土壤的影响结果一览表  单位</w:t>
      </w:r>
      <w:r>
        <w:rPr>
          <w:rFonts w:hint="default" w:ascii="Times New Roman" w:hAnsi="Times New Roman" w:eastAsia="黑体" w:cs="Times New Roman"/>
          <w:bCs/>
          <w:color w:val="auto"/>
          <w:sz w:val="21"/>
          <w:szCs w:val="21"/>
          <w:highlight w:val="none"/>
          <w:lang w:eastAsia="zh-CN"/>
        </w:rPr>
        <w:t>：</w:t>
      </w:r>
      <w:r>
        <w:rPr>
          <w:rFonts w:hint="default" w:ascii="Times New Roman" w:hAnsi="Times New Roman" w:eastAsia="黑体" w:cs="Times New Roman"/>
          <w:bCs/>
          <w:color w:val="auto"/>
          <w:sz w:val="21"/>
          <w:szCs w:val="21"/>
          <w:highlight w:val="none"/>
          <w:lang w:val="en-US" w:eastAsia="zh-CN"/>
        </w:rPr>
        <w:t>m</w:t>
      </w:r>
      <w:r>
        <w:rPr>
          <w:rFonts w:hint="default" w:ascii="Times New Roman" w:hAnsi="Times New Roman" w:eastAsia="黑体" w:cs="Times New Roman"/>
          <w:bCs/>
          <w:color w:val="auto"/>
          <w:sz w:val="21"/>
          <w:szCs w:val="21"/>
          <w:highlight w:val="none"/>
        </w:rPr>
        <w:t>g/kg</w:t>
      </w:r>
    </w:p>
    <w:tbl>
      <w:tblPr>
        <w:tblStyle w:val="29"/>
        <w:tblW w:w="5001" w:type="pct"/>
        <w:tblInd w:w="91"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287"/>
        <w:gridCol w:w="2198"/>
        <w:gridCol w:w="2269"/>
        <w:gridCol w:w="2350"/>
      </w:tblGrid>
      <w:tr w14:paraId="363B6D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6" w:type="pct"/>
            <w:vMerge w:val="restart"/>
            <w:tcBorders>
              <w:tl2br w:val="nil"/>
              <w:tr2bl w:val="nil"/>
            </w:tcBorders>
            <w:noWrap/>
            <w:tcMar>
              <w:top w:w="15" w:type="dxa"/>
              <w:left w:w="15" w:type="dxa"/>
              <w:bottom w:w="0" w:type="dxa"/>
              <w:right w:w="15" w:type="dxa"/>
            </w:tcMar>
            <w:vAlign w:val="center"/>
          </w:tcPr>
          <w:p w14:paraId="195EDA8B">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w:t>
            </w:r>
          </w:p>
          <w:p w14:paraId="2B94FC61">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年限</w:t>
            </w:r>
          </w:p>
        </w:tc>
        <w:tc>
          <w:tcPr>
            <w:tcW w:w="3743" w:type="pct"/>
            <w:gridSpan w:val="3"/>
            <w:tcBorders>
              <w:tl2br w:val="nil"/>
              <w:tr2bl w:val="nil"/>
            </w:tcBorders>
            <w:noWrap/>
            <w:tcMar>
              <w:top w:w="15" w:type="dxa"/>
              <w:left w:w="15" w:type="dxa"/>
              <w:bottom w:w="0" w:type="dxa"/>
              <w:right w:w="15" w:type="dxa"/>
            </w:tcMar>
            <w:vAlign w:val="center"/>
          </w:tcPr>
          <w:p w14:paraId="21324D19">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砷</w:t>
            </w:r>
          </w:p>
        </w:tc>
      </w:tr>
      <w:tr w14:paraId="402BBE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6" w:type="pct"/>
            <w:vMerge w:val="continue"/>
            <w:tcBorders>
              <w:tl2br w:val="nil"/>
              <w:tr2bl w:val="nil"/>
            </w:tcBorders>
            <w:noWrap/>
            <w:tcMar>
              <w:top w:w="15" w:type="dxa"/>
              <w:left w:w="15" w:type="dxa"/>
              <w:bottom w:w="0" w:type="dxa"/>
              <w:right w:w="15" w:type="dxa"/>
            </w:tcMar>
            <w:vAlign w:val="center"/>
          </w:tcPr>
          <w:p w14:paraId="7E4B1A7A">
            <w:pPr>
              <w:jc w:val="center"/>
              <w:rPr>
                <w:rFonts w:hint="default" w:ascii="Times New Roman" w:hAnsi="Times New Roman" w:eastAsia="宋体" w:cs="Times New Roman"/>
                <w:color w:val="auto"/>
                <w:sz w:val="18"/>
                <w:szCs w:val="18"/>
                <w:highlight w:val="none"/>
              </w:rPr>
            </w:pPr>
          </w:p>
        </w:tc>
        <w:tc>
          <w:tcPr>
            <w:tcW w:w="1207" w:type="pct"/>
            <w:tcBorders>
              <w:tl2br w:val="nil"/>
              <w:tr2bl w:val="nil"/>
            </w:tcBorders>
            <w:noWrap/>
            <w:tcMar>
              <w:top w:w="15" w:type="dxa"/>
              <w:left w:w="15" w:type="dxa"/>
              <w:bottom w:w="0" w:type="dxa"/>
              <w:right w:w="15" w:type="dxa"/>
            </w:tcMar>
            <w:vAlign w:val="center"/>
          </w:tcPr>
          <w:p w14:paraId="47DC1ABD">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Sb（预测值）</w:t>
            </w:r>
          </w:p>
        </w:tc>
        <w:tc>
          <w:tcPr>
            <w:tcW w:w="1246" w:type="pct"/>
            <w:tcBorders>
              <w:tl2br w:val="nil"/>
              <w:tr2bl w:val="nil"/>
            </w:tcBorders>
            <w:noWrap w:val="0"/>
            <w:vAlign w:val="center"/>
          </w:tcPr>
          <w:p w14:paraId="11708DA4">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S（现状值）</w:t>
            </w:r>
          </w:p>
        </w:tc>
        <w:tc>
          <w:tcPr>
            <w:tcW w:w="1290" w:type="pct"/>
            <w:tcBorders>
              <w:tl2br w:val="nil"/>
              <w:tr2bl w:val="nil"/>
            </w:tcBorders>
            <w:noWrap w:val="0"/>
            <w:vAlign w:val="center"/>
          </w:tcPr>
          <w:p w14:paraId="6E7E61A5">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ΔS（叠加值）</w:t>
            </w:r>
          </w:p>
        </w:tc>
      </w:tr>
      <w:tr w14:paraId="6352BF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6" w:type="pct"/>
            <w:tcBorders>
              <w:tl2br w:val="nil"/>
              <w:tr2bl w:val="nil"/>
            </w:tcBorders>
            <w:noWrap/>
            <w:tcMar>
              <w:top w:w="15" w:type="dxa"/>
              <w:left w:w="15" w:type="dxa"/>
              <w:bottom w:w="0" w:type="dxa"/>
              <w:right w:w="15" w:type="dxa"/>
            </w:tcMar>
            <w:vAlign w:val="center"/>
          </w:tcPr>
          <w:p w14:paraId="15447710">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1207" w:type="pct"/>
            <w:tcBorders>
              <w:tl2br w:val="nil"/>
              <w:tr2bl w:val="nil"/>
            </w:tcBorders>
            <w:noWrap/>
            <w:tcMar>
              <w:top w:w="15" w:type="dxa"/>
              <w:left w:w="15" w:type="dxa"/>
              <w:bottom w:w="0" w:type="dxa"/>
              <w:right w:w="15" w:type="dxa"/>
            </w:tcMar>
            <w:vAlign w:val="center"/>
          </w:tcPr>
          <w:p w14:paraId="62CB9D6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cs="Times New Roman"/>
                <w:i w:val="0"/>
                <w:iCs w:val="0"/>
                <w:color w:val="auto"/>
                <w:kern w:val="0"/>
                <w:sz w:val="18"/>
                <w:szCs w:val="18"/>
                <w:u w:val="none"/>
                <w:lang w:val="en-US" w:eastAsia="zh-CN" w:bidi="ar"/>
              </w:rPr>
              <w:t>3.15</w:t>
            </w:r>
            <w:r>
              <w:rPr>
                <w:rFonts w:hint="default" w:ascii="Times New Roman" w:hAnsi="Times New Roman" w:eastAsia="宋体" w:cs="Times New Roman"/>
                <w:i w:val="0"/>
                <w:iCs w:val="0"/>
                <w:color w:val="auto"/>
                <w:kern w:val="0"/>
                <w:sz w:val="18"/>
                <w:szCs w:val="18"/>
                <w:u w:val="none"/>
                <w:lang w:val="en-US" w:eastAsia="zh-CN" w:bidi="ar"/>
              </w:rPr>
              <w:t>E-05</w:t>
            </w:r>
          </w:p>
        </w:tc>
        <w:tc>
          <w:tcPr>
            <w:tcW w:w="1246" w:type="pct"/>
            <w:vMerge w:val="restart"/>
            <w:tcBorders>
              <w:tl2br w:val="nil"/>
              <w:tr2bl w:val="nil"/>
            </w:tcBorders>
            <w:noWrap w:val="0"/>
            <w:vAlign w:val="center"/>
          </w:tcPr>
          <w:p w14:paraId="47FD5438">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12.1</w:t>
            </w:r>
            <w:r>
              <w:rPr>
                <w:rFonts w:hint="default" w:ascii="Times New Roman" w:hAnsi="Times New Roman" w:eastAsia="宋体" w:cs="Times New Roman"/>
                <w:bCs/>
                <w:color w:val="auto"/>
                <w:sz w:val="18"/>
                <w:szCs w:val="18"/>
                <w:highlight w:val="none"/>
                <w:lang w:val="en-US" w:eastAsia="zh-CN"/>
              </w:rPr>
              <w:t>（现状值采用厂界外农作地监测的最大值）</w:t>
            </w:r>
          </w:p>
        </w:tc>
        <w:tc>
          <w:tcPr>
            <w:tcW w:w="1290" w:type="pct"/>
            <w:tcBorders>
              <w:tl2br w:val="nil"/>
              <w:tr2bl w:val="nil"/>
            </w:tcBorders>
            <w:noWrap w:val="0"/>
            <w:vAlign w:val="center"/>
          </w:tcPr>
          <w:p w14:paraId="5A5729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12.1000315</w:t>
            </w:r>
          </w:p>
        </w:tc>
      </w:tr>
      <w:tr w14:paraId="1874C3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6" w:type="pct"/>
            <w:tcBorders>
              <w:tl2br w:val="nil"/>
              <w:tr2bl w:val="nil"/>
            </w:tcBorders>
            <w:noWrap/>
            <w:tcMar>
              <w:top w:w="15" w:type="dxa"/>
              <w:left w:w="15" w:type="dxa"/>
              <w:bottom w:w="0" w:type="dxa"/>
              <w:right w:w="15" w:type="dxa"/>
            </w:tcMar>
            <w:vAlign w:val="center"/>
          </w:tcPr>
          <w:p w14:paraId="28AE15DA">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w:t>
            </w:r>
          </w:p>
        </w:tc>
        <w:tc>
          <w:tcPr>
            <w:tcW w:w="1207" w:type="pct"/>
            <w:tcBorders>
              <w:tl2br w:val="nil"/>
              <w:tr2bl w:val="nil"/>
            </w:tcBorders>
            <w:noWrap/>
            <w:tcMar>
              <w:top w:w="15" w:type="dxa"/>
              <w:left w:w="15" w:type="dxa"/>
              <w:bottom w:w="0" w:type="dxa"/>
              <w:right w:w="15" w:type="dxa"/>
            </w:tcMar>
            <w:vAlign w:val="center"/>
          </w:tcPr>
          <w:p w14:paraId="541AB13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r>
              <w:rPr>
                <w:rFonts w:hint="default" w:ascii="Times New Roman" w:hAnsi="Times New Roman" w:cs="Times New Roman"/>
                <w:i w:val="0"/>
                <w:iCs w:val="0"/>
                <w:color w:val="auto"/>
                <w:kern w:val="0"/>
                <w:sz w:val="18"/>
                <w:szCs w:val="18"/>
                <w:u w:val="none"/>
                <w:lang w:val="en-US" w:eastAsia="zh-CN" w:bidi="ar"/>
              </w:rPr>
              <w:t>58</w:t>
            </w:r>
            <w:r>
              <w:rPr>
                <w:rFonts w:hint="default" w:ascii="Times New Roman" w:hAnsi="Times New Roman" w:eastAsia="宋体" w:cs="Times New Roman"/>
                <w:i w:val="0"/>
                <w:iCs w:val="0"/>
                <w:color w:val="auto"/>
                <w:kern w:val="0"/>
                <w:sz w:val="18"/>
                <w:szCs w:val="18"/>
                <w:u w:val="none"/>
                <w:lang w:val="en-US" w:eastAsia="zh-CN" w:bidi="ar"/>
              </w:rPr>
              <w:t>E-04</w:t>
            </w:r>
          </w:p>
        </w:tc>
        <w:tc>
          <w:tcPr>
            <w:tcW w:w="1246" w:type="pct"/>
            <w:vMerge w:val="continue"/>
            <w:tcBorders>
              <w:tl2br w:val="nil"/>
              <w:tr2bl w:val="nil"/>
            </w:tcBorders>
            <w:noWrap w:val="0"/>
            <w:vAlign w:val="center"/>
          </w:tcPr>
          <w:p w14:paraId="1F78E79C">
            <w:pPr>
              <w:jc w:val="center"/>
              <w:rPr>
                <w:rFonts w:hint="default" w:ascii="Times New Roman" w:hAnsi="Times New Roman" w:eastAsia="宋体" w:cs="Times New Roman"/>
                <w:color w:val="auto"/>
                <w:sz w:val="18"/>
                <w:szCs w:val="18"/>
                <w:highlight w:val="none"/>
              </w:rPr>
            </w:pPr>
          </w:p>
        </w:tc>
        <w:tc>
          <w:tcPr>
            <w:tcW w:w="1290" w:type="pct"/>
            <w:tcBorders>
              <w:tl2br w:val="nil"/>
              <w:tr2bl w:val="nil"/>
            </w:tcBorders>
            <w:noWrap w:val="0"/>
            <w:vAlign w:val="center"/>
          </w:tcPr>
          <w:p w14:paraId="7E18D5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12.100158</w:t>
            </w:r>
          </w:p>
        </w:tc>
      </w:tr>
      <w:tr w14:paraId="0C7442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6" w:type="pct"/>
            <w:tcBorders>
              <w:tl2br w:val="nil"/>
              <w:tr2bl w:val="nil"/>
            </w:tcBorders>
            <w:noWrap/>
            <w:tcMar>
              <w:top w:w="15" w:type="dxa"/>
              <w:left w:w="15" w:type="dxa"/>
              <w:bottom w:w="0" w:type="dxa"/>
              <w:right w:w="15" w:type="dxa"/>
            </w:tcMar>
            <w:vAlign w:val="center"/>
          </w:tcPr>
          <w:p w14:paraId="47FA0C8D">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w:t>
            </w:r>
          </w:p>
        </w:tc>
        <w:tc>
          <w:tcPr>
            <w:tcW w:w="1207" w:type="pct"/>
            <w:tcBorders>
              <w:tl2br w:val="nil"/>
              <w:tr2bl w:val="nil"/>
            </w:tcBorders>
            <w:noWrap/>
            <w:tcMar>
              <w:top w:w="15" w:type="dxa"/>
              <w:left w:w="15" w:type="dxa"/>
              <w:bottom w:w="0" w:type="dxa"/>
              <w:right w:w="15" w:type="dxa"/>
            </w:tcMar>
            <w:vAlign w:val="center"/>
          </w:tcPr>
          <w:p w14:paraId="3F6805A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cs="Times New Roman"/>
                <w:i w:val="0"/>
                <w:iCs w:val="0"/>
                <w:color w:val="auto"/>
                <w:kern w:val="0"/>
                <w:sz w:val="18"/>
                <w:szCs w:val="18"/>
                <w:u w:val="none"/>
                <w:lang w:val="en-US" w:eastAsia="zh-CN" w:bidi="ar"/>
              </w:rPr>
              <w:t>3.15</w:t>
            </w:r>
            <w:r>
              <w:rPr>
                <w:rFonts w:hint="default" w:ascii="Times New Roman" w:hAnsi="Times New Roman" w:eastAsia="宋体" w:cs="Times New Roman"/>
                <w:i w:val="0"/>
                <w:iCs w:val="0"/>
                <w:color w:val="auto"/>
                <w:kern w:val="0"/>
                <w:sz w:val="18"/>
                <w:szCs w:val="18"/>
                <w:u w:val="none"/>
                <w:lang w:val="en-US" w:eastAsia="zh-CN" w:bidi="ar"/>
              </w:rPr>
              <w:t>E-04</w:t>
            </w:r>
          </w:p>
        </w:tc>
        <w:tc>
          <w:tcPr>
            <w:tcW w:w="1246" w:type="pct"/>
            <w:vMerge w:val="continue"/>
            <w:tcBorders>
              <w:tl2br w:val="nil"/>
              <w:tr2bl w:val="nil"/>
            </w:tcBorders>
            <w:noWrap w:val="0"/>
            <w:vAlign w:val="center"/>
          </w:tcPr>
          <w:p w14:paraId="1C126820">
            <w:pPr>
              <w:jc w:val="center"/>
              <w:rPr>
                <w:rFonts w:hint="default" w:ascii="Times New Roman" w:hAnsi="Times New Roman" w:eastAsia="宋体" w:cs="Times New Roman"/>
                <w:color w:val="auto"/>
                <w:sz w:val="18"/>
                <w:szCs w:val="18"/>
                <w:highlight w:val="none"/>
              </w:rPr>
            </w:pPr>
          </w:p>
        </w:tc>
        <w:tc>
          <w:tcPr>
            <w:tcW w:w="1290" w:type="pct"/>
            <w:tcBorders>
              <w:tl2br w:val="nil"/>
              <w:tr2bl w:val="nil"/>
            </w:tcBorders>
            <w:noWrap w:val="0"/>
            <w:vAlign w:val="center"/>
          </w:tcPr>
          <w:p w14:paraId="1D378C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12.100315</w:t>
            </w:r>
          </w:p>
        </w:tc>
      </w:tr>
      <w:tr w14:paraId="014E05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6" w:type="pct"/>
            <w:tcBorders>
              <w:tl2br w:val="nil"/>
              <w:tr2bl w:val="nil"/>
            </w:tcBorders>
            <w:noWrap/>
            <w:tcMar>
              <w:top w:w="15" w:type="dxa"/>
              <w:left w:w="15" w:type="dxa"/>
              <w:bottom w:w="0" w:type="dxa"/>
              <w:right w:w="15" w:type="dxa"/>
            </w:tcMar>
            <w:vAlign w:val="center"/>
          </w:tcPr>
          <w:p w14:paraId="4A7329E5">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1207" w:type="pct"/>
            <w:tcBorders>
              <w:tl2br w:val="nil"/>
              <w:tr2bl w:val="nil"/>
            </w:tcBorders>
            <w:noWrap/>
            <w:tcMar>
              <w:top w:w="15" w:type="dxa"/>
              <w:left w:w="15" w:type="dxa"/>
              <w:bottom w:w="0" w:type="dxa"/>
              <w:right w:w="15" w:type="dxa"/>
            </w:tcMar>
            <w:vAlign w:val="center"/>
          </w:tcPr>
          <w:p w14:paraId="060333C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cs="Times New Roman"/>
                <w:i w:val="0"/>
                <w:iCs w:val="0"/>
                <w:color w:val="auto"/>
                <w:kern w:val="0"/>
                <w:sz w:val="18"/>
                <w:szCs w:val="18"/>
                <w:u w:val="none"/>
                <w:lang w:val="en-US" w:eastAsia="zh-CN" w:bidi="ar"/>
              </w:rPr>
              <w:t>4.73</w:t>
            </w:r>
            <w:r>
              <w:rPr>
                <w:rFonts w:hint="default" w:ascii="Times New Roman" w:hAnsi="Times New Roman" w:eastAsia="宋体" w:cs="Times New Roman"/>
                <w:i w:val="0"/>
                <w:iCs w:val="0"/>
                <w:color w:val="auto"/>
                <w:kern w:val="0"/>
                <w:sz w:val="18"/>
                <w:szCs w:val="18"/>
                <w:u w:val="none"/>
                <w:lang w:val="en-US" w:eastAsia="zh-CN" w:bidi="ar"/>
              </w:rPr>
              <w:t>E-04</w:t>
            </w:r>
          </w:p>
        </w:tc>
        <w:tc>
          <w:tcPr>
            <w:tcW w:w="1246" w:type="pct"/>
            <w:vMerge w:val="continue"/>
            <w:tcBorders>
              <w:tl2br w:val="nil"/>
              <w:tr2bl w:val="nil"/>
            </w:tcBorders>
            <w:noWrap w:val="0"/>
            <w:vAlign w:val="center"/>
          </w:tcPr>
          <w:p w14:paraId="26994B4C">
            <w:pPr>
              <w:jc w:val="center"/>
              <w:rPr>
                <w:rFonts w:hint="default" w:ascii="Times New Roman" w:hAnsi="Times New Roman" w:eastAsia="宋体" w:cs="Times New Roman"/>
                <w:color w:val="auto"/>
                <w:sz w:val="18"/>
                <w:szCs w:val="18"/>
                <w:highlight w:val="none"/>
              </w:rPr>
            </w:pPr>
          </w:p>
        </w:tc>
        <w:tc>
          <w:tcPr>
            <w:tcW w:w="1290" w:type="pct"/>
            <w:tcBorders>
              <w:tl2br w:val="nil"/>
              <w:tr2bl w:val="nil"/>
            </w:tcBorders>
            <w:noWrap w:val="0"/>
            <w:vAlign w:val="center"/>
          </w:tcPr>
          <w:p w14:paraId="7D9716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12.100473</w:t>
            </w:r>
          </w:p>
        </w:tc>
      </w:tr>
      <w:tr w14:paraId="6FBBE0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6" w:type="pct"/>
            <w:tcBorders>
              <w:tl2br w:val="nil"/>
              <w:tr2bl w:val="nil"/>
            </w:tcBorders>
            <w:noWrap/>
            <w:tcMar>
              <w:top w:w="15" w:type="dxa"/>
              <w:left w:w="15" w:type="dxa"/>
              <w:bottom w:w="0" w:type="dxa"/>
              <w:right w:w="15" w:type="dxa"/>
            </w:tcMar>
            <w:vAlign w:val="center"/>
          </w:tcPr>
          <w:p w14:paraId="266F94E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GB</w:t>
            </w:r>
            <w:r>
              <w:rPr>
                <w:rFonts w:hint="default"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lang w:val="zh-CN" w:eastAsia="zh-CN"/>
              </w:rPr>
              <w:t>15618-2018</w:t>
            </w:r>
            <w:r>
              <w:rPr>
                <w:rFonts w:hint="default" w:ascii="Times New Roman" w:hAnsi="Times New Roman" w:eastAsia="宋体" w:cs="Times New Roman"/>
                <w:color w:val="auto"/>
                <w:sz w:val="18"/>
                <w:szCs w:val="18"/>
                <w:highlight w:val="none"/>
                <w:lang w:val="en-US" w:eastAsia="zh-CN"/>
              </w:rPr>
              <w:t>筛选值</w:t>
            </w:r>
          </w:p>
        </w:tc>
        <w:tc>
          <w:tcPr>
            <w:tcW w:w="3743" w:type="pct"/>
            <w:gridSpan w:val="3"/>
            <w:tcBorders>
              <w:tl2br w:val="nil"/>
              <w:tr2bl w:val="nil"/>
            </w:tcBorders>
            <w:noWrap/>
            <w:tcMar>
              <w:top w:w="15" w:type="dxa"/>
              <w:left w:w="15" w:type="dxa"/>
              <w:bottom w:w="0" w:type="dxa"/>
              <w:right w:w="15" w:type="dxa"/>
            </w:tcMar>
            <w:vAlign w:val="center"/>
          </w:tcPr>
          <w:p w14:paraId="5C921B2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w:t>
            </w:r>
          </w:p>
        </w:tc>
      </w:tr>
      <w:tr w14:paraId="605DAC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6" w:type="pct"/>
            <w:tcBorders>
              <w:tl2br w:val="nil"/>
              <w:tr2bl w:val="nil"/>
            </w:tcBorders>
            <w:noWrap/>
            <w:tcMar>
              <w:top w:w="15" w:type="dxa"/>
              <w:left w:w="15" w:type="dxa"/>
              <w:bottom w:w="0" w:type="dxa"/>
              <w:right w:w="15" w:type="dxa"/>
            </w:tcMar>
            <w:vAlign w:val="center"/>
          </w:tcPr>
          <w:p w14:paraId="3B979D1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GB</w:t>
            </w:r>
            <w:r>
              <w:rPr>
                <w:rFonts w:hint="default"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lang w:val="zh-CN" w:eastAsia="zh-CN"/>
              </w:rPr>
              <w:t>15618-2018</w:t>
            </w:r>
            <w:r>
              <w:rPr>
                <w:rFonts w:hint="default" w:ascii="Times New Roman" w:hAnsi="Times New Roman" w:eastAsia="宋体" w:cs="Times New Roman"/>
                <w:color w:val="auto"/>
                <w:sz w:val="18"/>
                <w:szCs w:val="18"/>
                <w:highlight w:val="none"/>
                <w:lang w:val="en-US" w:eastAsia="zh-CN"/>
              </w:rPr>
              <w:t>管控值</w:t>
            </w:r>
          </w:p>
        </w:tc>
        <w:tc>
          <w:tcPr>
            <w:tcW w:w="3743" w:type="pct"/>
            <w:gridSpan w:val="3"/>
            <w:tcBorders>
              <w:tl2br w:val="nil"/>
              <w:tr2bl w:val="nil"/>
            </w:tcBorders>
            <w:noWrap/>
            <w:tcMar>
              <w:top w:w="15" w:type="dxa"/>
              <w:left w:w="15" w:type="dxa"/>
              <w:bottom w:w="0" w:type="dxa"/>
              <w:right w:w="15" w:type="dxa"/>
            </w:tcMar>
            <w:vAlign w:val="center"/>
          </w:tcPr>
          <w:p w14:paraId="062BC03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150</w:t>
            </w:r>
          </w:p>
        </w:tc>
      </w:tr>
    </w:tbl>
    <w:p w14:paraId="11162884">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根据上表可知，在考虑项目排放的砷全部进入土壤的情况下，</w:t>
      </w:r>
      <w:r>
        <w:rPr>
          <w:rFonts w:hint="default" w:ascii="Times New Roman" w:hAnsi="Times New Roman" w:eastAsia="宋体" w:cs="Times New Roman"/>
          <w:color w:val="auto"/>
          <w:sz w:val="24"/>
          <w:szCs w:val="24"/>
          <w:lang w:val="en-US" w:eastAsia="zh-CN" w:bidi="ar"/>
        </w:rPr>
        <w:t>项目运营15年后对评价范围内土壤最大贡献值为4.73E-04</w:t>
      </w:r>
      <w:r>
        <w:rPr>
          <w:rFonts w:hint="default" w:ascii="Times New Roman" w:hAnsi="Times New Roman" w:eastAsia="宋体" w:cs="Times New Roman"/>
          <w:color w:val="auto"/>
          <w:sz w:val="24"/>
          <w:szCs w:val="24"/>
          <w:lang w:bidi="ar"/>
        </w:rPr>
        <w:t>mg/kg</w:t>
      </w:r>
      <w:r>
        <w:rPr>
          <w:rFonts w:hint="default" w:ascii="Times New Roman" w:hAnsi="Times New Roman" w:eastAsia="宋体" w:cs="Times New Roman"/>
          <w:color w:val="auto"/>
          <w:sz w:val="24"/>
          <w:szCs w:val="24"/>
          <w:lang w:val="en-US" w:eastAsia="zh-CN" w:bidi="ar"/>
        </w:rPr>
        <w:t>，叠加背景值后，</w:t>
      </w:r>
      <w:r>
        <w:rPr>
          <w:rFonts w:hint="default" w:ascii="Times New Roman" w:hAnsi="Times New Roman" w:eastAsia="宋体" w:cs="Times New Roman"/>
          <w:color w:val="auto"/>
          <w:sz w:val="24"/>
          <w:szCs w:val="24"/>
          <w:lang w:bidi="ar"/>
        </w:rPr>
        <w:t>砷</w:t>
      </w:r>
      <w:r>
        <w:rPr>
          <w:rFonts w:hint="default" w:ascii="Times New Roman" w:hAnsi="Times New Roman" w:eastAsia="宋体" w:cs="Times New Roman"/>
          <w:color w:val="auto"/>
          <w:sz w:val="24"/>
          <w:szCs w:val="24"/>
          <w:lang w:val="en-US" w:eastAsia="zh-CN" w:bidi="ar"/>
        </w:rPr>
        <w:t>的</w:t>
      </w:r>
      <w:r>
        <w:rPr>
          <w:rFonts w:hint="default" w:ascii="Times New Roman" w:hAnsi="Times New Roman" w:eastAsia="宋体" w:cs="Times New Roman"/>
          <w:color w:val="auto"/>
          <w:sz w:val="24"/>
          <w:szCs w:val="24"/>
          <w:lang w:bidi="ar"/>
        </w:rPr>
        <w:t>最大</w:t>
      </w:r>
      <w:r>
        <w:rPr>
          <w:rFonts w:hint="default" w:ascii="Times New Roman" w:hAnsi="Times New Roman" w:eastAsia="宋体" w:cs="Times New Roman"/>
          <w:color w:val="auto"/>
          <w:sz w:val="24"/>
          <w:szCs w:val="24"/>
          <w:lang w:val="en-US" w:eastAsia="zh-CN" w:bidi="ar"/>
        </w:rPr>
        <w:t>预测</w:t>
      </w:r>
      <w:r>
        <w:rPr>
          <w:rFonts w:hint="default" w:ascii="Times New Roman" w:hAnsi="Times New Roman" w:eastAsia="宋体" w:cs="Times New Roman"/>
          <w:color w:val="auto"/>
          <w:sz w:val="24"/>
          <w:szCs w:val="24"/>
          <w:lang w:bidi="ar"/>
        </w:rPr>
        <w:t>值</w:t>
      </w:r>
      <w:r>
        <w:rPr>
          <w:rFonts w:hint="default" w:ascii="Times New Roman" w:hAnsi="Times New Roman" w:eastAsia="宋体" w:cs="Times New Roman"/>
          <w:color w:val="auto"/>
          <w:sz w:val="24"/>
          <w:szCs w:val="24"/>
          <w:lang w:val="en-US" w:eastAsia="zh-CN" w:bidi="ar"/>
        </w:rPr>
        <w:t>为12.100473</w:t>
      </w:r>
      <w:r>
        <w:rPr>
          <w:rFonts w:hint="default" w:ascii="Times New Roman" w:hAnsi="Times New Roman" w:eastAsia="宋体" w:cs="Times New Roman"/>
          <w:color w:val="auto"/>
          <w:sz w:val="24"/>
          <w:szCs w:val="24"/>
          <w:lang w:bidi="ar"/>
        </w:rPr>
        <w:t>mg/kg</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项目在正常情况下，土壤中砷</w:t>
      </w:r>
      <w:r>
        <w:rPr>
          <w:rFonts w:hint="default" w:ascii="Times New Roman" w:hAnsi="Times New Roman" w:eastAsia="宋体" w:cs="Times New Roman"/>
          <w:color w:val="auto"/>
          <w:sz w:val="24"/>
          <w:szCs w:val="24"/>
          <w:lang w:val="en-US" w:eastAsia="zh-CN" w:bidi="ar"/>
        </w:rPr>
        <w:t>15</w:t>
      </w:r>
      <w:r>
        <w:rPr>
          <w:rFonts w:hint="default" w:ascii="Times New Roman" w:hAnsi="Times New Roman" w:eastAsia="宋体" w:cs="Times New Roman"/>
          <w:color w:val="auto"/>
          <w:sz w:val="24"/>
          <w:szCs w:val="24"/>
          <w:lang w:bidi="ar"/>
        </w:rPr>
        <w:t>年后累积值</w:t>
      </w:r>
      <w:r>
        <w:rPr>
          <w:rFonts w:hint="default" w:ascii="Times New Roman" w:hAnsi="Times New Roman" w:eastAsia="宋体" w:cs="Times New Roman"/>
          <w:color w:val="auto"/>
          <w:sz w:val="24"/>
          <w:szCs w:val="24"/>
          <w:lang w:val="en-US" w:eastAsia="zh-CN" w:bidi="ar"/>
        </w:rPr>
        <w:t>低于</w:t>
      </w:r>
      <w:r>
        <w:rPr>
          <w:rFonts w:hint="default" w:ascii="Times New Roman" w:hAnsi="Times New Roman" w:eastAsia="宋体" w:cs="Times New Roman"/>
          <w:bCs/>
          <w:color w:val="auto"/>
          <w:kern w:val="0"/>
          <w:sz w:val="24"/>
          <w:szCs w:val="24"/>
          <w:highlight w:val="none"/>
          <w:lang w:val="zh-CN" w:eastAsia="zh-CN" w:bidi="ar-SA"/>
        </w:rPr>
        <w:t>《土壤环境质量农用地土壤污染风险管控标准》（GB</w:t>
      </w:r>
      <w:r>
        <w:rPr>
          <w:rFonts w:hint="default" w:ascii="Times New Roman" w:hAnsi="Times New Roman" w:eastAsia="宋体" w:cs="Times New Roman"/>
          <w:bCs/>
          <w:color w:val="auto"/>
          <w:kern w:val="0"/>
          <w:sz w:val="24"/>
          <w:szCs w:val="24"/>
          <w:highlight w:val="none"/>
          <w:lang w:val="en-US" w:eastAsia="zh-CN" w:bidi="ar-SA"/>
        </w:rPr>
        <w:t xml:space="preserve"> </w:t>
      </w:r>
      <w:r>
        <w:rPr>
          <w:rFonts w:hint="default" w:ascii="Times New Roman" w:hAnsi="Times New Roman" w:eastAsia="宋体" w:cs="Times New Roman"/>
          <w:bCs/>
          <w:color w:val="auto"/>
          <w:kern w:val="0"/>
          <w:sz w:val="24"/>
          <w:szCs w:val="24"/>
          <w:highlight w:val="none"/>
          <w:lang w:val="zh-CN" w:eastAsia="zh-CN" w:bidi="ar-SA"/>
        </w:rPr>
        <w:t>15618-2018）风险筛选值标准</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项目运营过程中排放的</w:t>
      </w:r>
      <w:r>
        <w:rPr>
          <w:rFonts w:hint="default" w:ascii="Times New Roman" w:hAnsi="Times New Roman" w:eastAsia="宋体" w:cs="Times New Roman"/>
          <w:color w:val="auto"/>
          <w:sz w:val="24"/>
          <w:szCs w:val="24"/>
          <w:lang w:bidi="ar"/>
        </w:rPr>
        <w:t>砷对周边土壤的累积影响较小。</w:t>
      </w:r>
    </w:p>
    <w:p w14:paraId="69C0C986">
      <w:pPr>
        <w:spacing w:line="360" w:lineRule="auto"/>
        <w:ind w:firstLine="49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②</w:t>
      </w:r>
      <w:r>
        <w:rPr>
          <w:rFonts w:hint="default" w:ascii="Times New Roman" w:hAnsi="Times New Roman" w:cs="Times New Roman"/>
          <w:color w:val="auto"/>
          <w:sz w:val="24"/>
          <w:szCs w:val="24"/>
          <w:highlight w:val="none"/>
        </w:rPr>
        <w:t>铅的预测结果</w:t>
      </w:r>
    </w:p>
    <w:p w14:paraId="0467A3AA">
      <w:pPr>
        <w:spacing w:line="360" w:lineRule="auto"/>
        <w:ind w:firstLine="49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根据以上预测公式及参数，项目排放的特征污染物铅对土壤的预测结果如下：</w:t>
      </w:r>
    </w:p>
    <w:p w14:paraId="6C70CCFE">
      <w:pPr>
        <w:adjustRightInd w:val="0"/>
        <w:snapToGrid w:val="0"/>
        <w:spacing w:line="360" w:lineRule="auto"/>
        <w:ind w:firstLine="430" w:firstLineChars="200"/>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highlight w:val="none"/>
        </w:rPr>
        <w:t>表</w:t>
      </w:r>
      <w:r>
        <w:rPr>
          <w:rFonts w:hint="default" w:ascii="Times New Roman" w:hAnsi="Times New Roman" w:eastAsia="黑体" w:cs="Times New Roman"/>
          <w:b w:val="0"/>
          <w:bCs/>
          <w:color w:val="auto"/>
          <w:kern w:val="2"/>
          <w:sz w:val="21"/>
          <w:szCs w:val="21"/>
          <w:highlight w:val="none"/>
          <w:lang w:val="en-US" w:eastAsia="zh-CN" w:bidi="ar-SA"/>
        </w:rPr>
        <w:t xml:space="preserve">6.4.4-4  </w:t>
      </w:r>
      <w:r>
        <w:rPr>
          <w:rFonts w:hint="default" w:ascii="Times New Roman" w:hAnsi="Times New Roman" w:eastAsia="黑体" w:cs="Times New Roman"/>
          <w:b w:val="0"/>
          <w:bCs/>
          <w:color w:val="auto"/>
          <w:sz w:val="21"/>
          <w:szCs w:val="21"/>
          <w:highlight w:val="none"/>
        </w:rPr>
        <w:t>项目铅预测对土壤的影响结果一览表  单位</w:t>
      </w:r>
      <w:r>
        <w:rPr>
          <w:rFonts w:hint="default" w:ascii="Times New Roman" w:hAnsi="Times New Roman" w:eastAsia="黑体" w:cs="Times New Roman"/>
          <w:b w:val="0"/>
          <w:bCs/>
          <w:color w:val="auto"/>
          <w:sz w:val="21"/>
          <w:szCs w:val="21"/>
          <w:highlight w:val="none"/>
          <w:lang w:eastAsia="zh-CN"/>
        </w:rPr>
        <w:t>：</w:t>
      </w:r>
      <w:r>
        <w:rPr>
          <w:rFonts w:hint="default" w:ascii="Times New Roman" w:hAnsi="Times New Roman" w:eastAsia="黑体" w:cs="Times New Roman"/>
          <w:b w:val="0"/>
          <w:bCs/>
          <w:color w:val="auto"/>
          <w:sz w:val="21"/>
          <w:szCs w:val="21"/>
          <w:highlight w:val="none"/>
          <w:lang w:val="en-US" w:eastAsia="zh-CN"/>
        </w:rPr>
        <w:t>m</w:t>
      </w:r>
      <w:r>
        <w:rPr>
          <w:rFonts w:hint="default" w:ascii="Times New Roman" w:hAnsi="Times New Roman" w:eastAsia="黑体" w:cs="Times New Roman"/>
          <w:b w:val="0"/>
          <w:bCs/>
          <w:color w:val="auto"/>
          <w:sz w:val="21"/>
          <w:szCs w:val="21"/>
          <w:highlight w:val="none"/>
        </w:rPr>
        <w:t>g/kg</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83"/>
        <w:gridCol w:w="2199"/>
        <w:gridCol w:w="2270"/>
        <w:gridCol w:w="2346"/>
      </w:tblGrid>
      <w:tr w14:paraId="6E6A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5" w:type="pct"/>
            <w:vMerge w:val="restart"/>
            <w:tcBorders>
              <w:left w:val="nil"/>
            </w:tcBorders>
            <w:noWrap/>
            <w:tcMar>
              <w:top w:w="15" w:type="dxa"/>
              <w:left w:w="15" w:type="dxa"/>
              <w:bottom w:w="0" w:type="dxa"/>
              <w:right w:w="15" w:type="dxa"/>
            </w:tcMar>
            <w:vAlign w:val="center"/>
          </w:tcPr>
          <w:p w14:paraId="128BA906">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污染物</w:t>
            </w:r>
          </w:p>
          <w:p w14:paraId="241D0ABA">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年限</w:t>
            </w:r>
          </w:p>
        </w:tc>
        <w:tc>
          <w:tcPr>
            <w:tcW w:w="3744" w:type="pct"/>
            <w:gridSpan w:val="3"/>
            <w:tcBorders>
              <w:right w:val="nil"/>
            </w:tcBorders>
            <w:noWrap/>
            <w:tcMar>
              <w:top w:w="15" w:type="dxa"/>
              <w:left w:w="15" w:type="dxa"/>
              <w:bottom w:w="0" w:type="dxa"/>
              <w:right w:w="15" w:type="dxa"/>
            </w:tcMar>
            <w:vAlign w:val="center"/>
          </w:tcPr>
          <w:p w14:paraId="6D36A0E8">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铅</w:t>
            </w:r>
          </w:p>
        </w:tc>
      </w:tr>
      <w:tr w14:paraId="5375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5" w:type="pct"/>
            <w:vMerge w:val="continue"/>
            <w:tcBorders>
              <w:left w:val="nil"/>
            </w:tcBorders>
            <w:noWrap/>
            <w:tcMar>
              <w:top w:w="15" w:type="dxa"/>
              <w:left w:w="15" w:type="dxa"/>
              <w:bottom w:w="0" w:type="dxa"/>
              <w:right w:w="15" w:type="dxa"/>
            </w:tcMar>
            <w:vAlign w:val="center"/>
          </w:tcPr>
          <w:p w14:paraId="5D2E11F7">
            <w:pPr>
              <w:jc w:val="center"/>
              <w:rPr>
                <w:rFonts w:hint="default" w:ascii="Times New Roman" w:hAnsi="Times New Roman" w:eastAsia="宋体" w:cs="Times New Roman"/>
                <w:color w:val="auto"/>
                <w:sz w:val="18"/>
                <w:szCs w:val="18"/>
                <w:highlight w:val="none"/>
                <w:lang w:val="en-US" w:eastAsia="zh-CN"/>
              </w:rPr>
            </w:pPr>
          </w:p>
        </w:tc>
        <w:tc>
          <w:tcPr>
            <w:tcW w:w="1208" w:type="pct"/>
            <w:noWrap/>
            <w:tcMar>
              <w:top w:w="15" w:type="dxa"/>
              <w:left w:w="15" w:type="dxa"/>
              <w:bottom w:w="0" w:type="dxa"/>
              <w:right w:w="15" w:type="dxa"/>
            </w:tcMar>
            <w:vAlign w:val="center"/>
          </w:tcPr>
          <w:p w14:paraId="248352A7">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Sb（预测值）</w:t>
            </w:r>
          </w:p>
        </w:tc>
        <w:tc>
          <w:tcPr>
            <w:tcW w:w="1247" w:type="pct"/>
            <w:noWrap w:val="0"/>
            <w:vAlign w:val="center"/>
          </w:tcPr>
          <w:p w14:paraId="6BB7FF84">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S（现状值）</w:t>
            </w:r>
          </w:p>
        </w:tc>
        <w:tc>
          <w:tcPr>
            <w:tcW w:w="1289" w:type="pct"/>
            <w:tcBorders>
              <w:right w:val="nil"/>
            </w:tcBorders>
            <w:noWrap w:val="0"/>
            <w:vAlign w:val="center"/>
          </w:tcPr>
          <w:p w14:paraId="2E095C88">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ΔS（叠加值）</w:t>
            </w:r>
          </w:p>
        </w:tc>
      </w:tr>
      <w:tr w14:paraId="711E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5" w:type="pct"/>
            <w:tcBorders>
              <w:left w:val="nil"/>
            </w:tcBorders>
            <w:noWrap/>
            <w:tcMar>
              <w:top w:w="15" w:type="dxa"/>
              <w:left w:w="15" w:type="dxa"/>
              <w:bottom w:w="0" w:type="dxa"/>
              <w:right w:w="15" w:type="dxa"/>
            </w:tcMar>
            <w:vAlign w:val="center"/>
          </w:tcPr>
          <w:p w14:paraId="7E7A486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208" w:type="pct"/>
            <w:noWrap/>
            <w:tcMar>
              <w:top w:w="15" w:type="dxa"/>
              <w:left w:w="15" w:type="dxa"/>
              <w:bottom w:w="0" w:type="dxa"/>
              <w:right w:w="15" w:type="dxa"/>
            </w:tcMar>
            <w:vAlign w:val="center"/>
          </w:tcPr>
          <w:p w14:paraId="62997C3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cs="Times New Roman"/>
                <w:i w:val="0"/>
                <w:iCs w:val="0"/>
                <w:color w:val="auto"/>
                <w:kern w:val="0"/>
                <w:sz w:val="18"/>
                <w:szCs w:val="18"/>
                <w:u w:val="none"/>
                <w:lang w:val="en-US" w:eastAsia="zh-CN" w:bidi="ar"/>
              </w:rPr>
              <w:t>6.30</w:t>
            </w:r>
            <w:r>
              <w:rPr>
                <w:rFonts w:hint="default" w:ascii="Times New Roman" w:hAnsi="Times New Roman" w:eastAsia="宋体" w:cs="Times New Roman"/>
                <w:i w:val="0"/>
                <w:iCs w:val="0"/>
                <w:color w:val="auto"/>
                <w:kern w:val="0"/>
                <w:sz w:val="18"/>
                <w:szCs w:val="18"/>
                <w:u w:val="none"/>
                <w:lang w:val="en-US" w:eastAsia="zh-CN" w:bidi="ar"/>
              </w:rPr>
              <w:t>E-05</w:t>
            </w:r>
          </w:p>
        </w:tc>
        <w:tc>
          <w:tcPr>
            <w:tcW w:w="1247" w:type="pct"/>
            <w:vMerge w:val="restart"/>
            <w:noWrap w:val="0"/>
            <w:vAlign w:val="center"/>
          </w:tcPr>
          <w:p w14:paraId="461232CC">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2.8</w:t>
            </w:r>
            <w:r>
              <w:rPr>
                <w:rFonts w:hint="default" w:ascii="Times New Roman" w:hAnsi="Times New Roman" w:eastAsia="宋体" w:cs="Times New Roman"/>
                <w:color w:val="auto"/>
                <w:sz w:val="18"/>
                <w:szCs w:val="18"/>
                <w:highlight w:val="none"/>
                <w:lang w:val="en-US" w:eastAsia="zh-CN"/>
              </w:rPr>
              <w:t>（现状值采用厂界外农作地监测的最大值）</w:t>
            </w:r>
          </w:p>
        </w:tc>
        <w:tc>
          <w:tcPr>
            <w:tcW w:w="1289" w:type="pct"/>
            <w:tcBorders>
              <w:right w:val="nil"/>
            </w:tcBorders>
            <w:noWrap w:val="0"/>
            <w:vAlign w:val="center"/>
          </w:tcPr>
          <w:p w14:paraId="150075EB">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2.800063</w:t>
            </w:r>
          </w:p>
        </w:tc>
      </w:tr>
      <w:tr w14:paraId="26C0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5" w:type="pct"/>
            <w:tcBorders>
              <w:left w:val="nil"/>
            </w:tcBorders>
            <w:noWrap/>
            <w:tcMar>
              <w:top w:w="15" w:type="dxa"/>
              <w:left w:w="15" w:type="dxa"/>
              <w:bottom w:w="0" w:type="dxa"/>
              <w:right w:w="15" w:type="dxa"/>
            </w:tcMar>
            <w:vAlign w:val="center"/>
          </w:tcPr>
          <w:p w14:paraId="1BBE04B1">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1208" w:type="pct"/>
            <w:noWrap/>
            <w:tcMar>
              <w:top w:w="15" w:type="dxa"/>
              <w:left w:w="15" w:type="dxa"/>
              <w:bottom w:w="0" w:type="dxa"/>
              <w:right w:w="15" w:type="dxa"/>
            </w:tcMar>
            <w:vAlign w:val="center"/>
          </w:tcPr>
          <w:p w14:paraId="0EB75A1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cs="Times New Roman"/>
                <w:i w:val="0"/>
                <w:iCs w:val="0"/>
                <w:color w:val="auto"/>
                <w:kern w:val="0"/>
                <w:sz w:val="18"/>
                <w:szCs w:val="18"/>
                <w:u w:val="none"/>
                <w:lang w:val="en-US" w:eastAsia="zh-CN" w:bidi="ar"/>
              </w:rPr>
              <w:t>3.15</w:t>
            </w:r>
            <w:r>
              <w:rPr>
                <w:rFonts w:hint="default" w:ascii="Times New Roman" w:hAnsi="Times New Roman" w:eastAsia="宋体" w:cs="Times New Roman"/>
                <w:i w:val="0"/>
                <w:iCs w:val="0"/>
                <w:color w:val="auto"/>
                <w:kern w:val="0"/>
                <w:sz w:val="18"/>
                <w:szCs w:val="18"/>
                <w:u w:val="none"/>
                <w:lang w:val="en-US" w:eastAsia="zh-CN" w:bidi="ar"/>
              </w:rPr>
              <w:t>E-04</w:t>
            </w:r>
          </w:p>
        </w:tc>
        <w:tc>
          <w:tcPr>
            <w:tcW w:w="1247" w:type="pct"/>
            <w:vMerge w:val="continue"/>
            <w:noWrap w:val="0"/>
            <w:vAlign w:val="center"/>
          </w:tcPr>
          <w:p w14:paraId="2DFF8C5B">
            <w:pPr>
              <w:jc w:val="center"/>
              <w:rPr>
                <w:rFonts w:hint="default" w:ascii="Times New Roman" w:hAnsi="Times New Roman" w:eastAsia="宋体" w:cs="Times New Roman"/>
                <w:color w:val="auto"/>
                <w:sz w:val="18"/>
                <w:szCs w:val="18"/>
                <w:highlight w:val="none"/>
                <w:lang w:val="en-US" w:eastAsia="zh-CN"/>
              </w:rPr>
            </w:pPr>
          </w:p>
        </w:tc>
        <w:tc>
          <w:tcPr>
            <w:tcW w:w="1289" w:type="pct"/>
            <w:tcBorders>
              <w:right w:val="nil"/>
            </w:tcBorders>
            <w:noWrap w:val="0"/>
            <w:vAlign w:val="center"/>
          </w:tcPr>
          <w:p w14:paraId="4B66DFFC">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2.800315</w:t>
            </w:r>
          </w:p>
        </w:tc>
      </w:tr>
      <w:tr w14:paraId="38C0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5" w:type="pct"/>
            <w:tcBorders>
              <w:left w:val="nil"/>
            </w:tcBorders>
            <w:noWrap/>
            <w:tcMar>
              <w:top w:w="15" w:type="dxa"/>
              <w:left w:w="15" w:type="dxa"/>
              <w:bottom w:w="0" w:type="dxa"/>
              <w:right w:w="15" w:type="dxa"/>
            </w:tcMar>
            <w:vAlign w:val="center"/>
          </w:tcPr>
          <w:p w14:paraId="50D9A20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1208" w:type="pct"/>
            <w:noWrap/>
            <w:tcMar>
              <w:top w:w="15" w:type="dxa"/>
              <w:left w:w="15" w:type="dxa"/>
              <w:bottom w:w="0" w:type="dxa"/>
              <w:right w:w="15" w:type="dxa"/>
            </w:tcMar>
            <w:vAlign w:val="center"/>
          </w:tcPr>
          <w:p w14:paraId="02A4E8C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cs="Times New Roman"/>
                <w:i w:val="0"/>
                <w:iCs w:val="0"/>
                <w:color w:val="auto"/>
                <w:kern w:val="0"/>
                <w:sz w:val="18"/>
                <w:szCs w:val="18"/>
                <w:u w:val="none"/>
                <w:lang w:val="en-US" w:eastAsia="zh-CN" w:bidi="ar"/>
              </w:rPr>
              <w:t>6.30</w:t>
            </w:r>
            <w:r>
              <w:rPr>
                <w:rFonts w:hint="default" w:ascii="Times New Roman" w:hAnsi="Times New Roman" w:eastAsia="宋体" w:cs="Times New Roman"/>
                <w:i w:val="0"/>
                <w:iCs w:val="0"/>
                <w:color w:val="auto"/>
                <w:kern w:val="0"/>
                <w:sz w:val="18"/>
                <w:szCs w:val="18"/>
                <w:u w:val="none"/>
                <w:lang w:val="en-US" w:eastAsia="zh-CN" w:bidi="ar"/>
              </w:rPr>
              <w:t>E-04</w:t>
            </w:r>
          </w:p>
        </w:tc>
        <w:tc>
          <w:tcPr>
            <w:tcW w:w="1247" w:type="pct"/>
            <w:vMerge w:val="continue"/>
            <w:noWrap w:val="0"/>
            <w:vAlign w:val="center"/>
          </w:tcPr>
          <w:p w14:paraId="4943D515">
            <w:pPr>
              <w:jc w:val="center"/>
              <w:rPr>
                <w:rFonts w:hint="default" w:ascii="Times New Roman" w:hAnsi="Times New Roman" w:eastAsia="宋体" w:cs="Times New Roman"/>
                <w:color w:val="auto"/>
                <w:sz w:val="18"/>
                <w:szCs w:val="18"/>
                <w:highlight w:val="none"/>
                <w:lang w:val="en-US" w:eastAsia="zh-CN"/>
              </w:rPr>
            </w:pPr>
          </w:p>
        </w:tc>
        <w:tc>
          <w:tcPr>
            <w:tcW w:w="1289" w:type="pct"/>
            <w:tcBorders>
              <w:right w:val="nil"/>
            </w:tcBorders>
            <w:noWrap w:val="0"/>
            <w:vAlign w:val="center"/>
          </w:tcPr>
          <w:p w14:paraId="06CDC6A7">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2.80063</w:t>
            </w:r>
          </w:p>
        </w:tc>
      </w:tr>
      <w:tr w14:paraId="34CE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5" w:type="pct"/>
            <w:tcBorders>
              <w:left w:val="nil"/>
            </w:tcBorders>
            <w:noWrap/>
            <w:tcMar>
              <w:top w:w="15" w:type="dxa"/>
              <w:left w:w="15" w:type="dxa"/>
              <w:bottom w:w="0" w:type="dxa"/>
              <w:right w:w="15" w:type="dxa"/>
            </w:tcMar>
            <w:vAlign w:val="center"/>
          </w:tcPr>
          <w:p w14:paraId="5F69D501">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1208" w:type="pct"/>
            <w:noWrap/>
            <w:tcMar>
              <w:top w:w="15" w:type="dxa"/>
              <w:left w:w="15" w:type="dxa"/>
              <w:bottom w:w="0" w:type="dxa"/>
              <w:right w:w="15" w:type="dxa"/>
            </w:tcMar>
            <w:vAlign w:val="center"/>
          </w:tcPr>
          <w:p w14:paraId="2539494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cs="Times New Roman"/>
                <w:i w:val="0"/>
                <w:iCs w:val="0"/>
                <w:color w:val="auto"/>
                <w:kern w:val="0"/>
                <w:sz w:val="18"/>
                <w:szCs w:val="18"/>
                <w:u w:val="none"/>
                <w:lang w:val="en-US" w:eastAsia="zh-CN" w:bidi="ar"/>
              </w:rPr>
              <w:t>9.45</w:t>
            </w:r>
            <w:r>
              <w:rPr>
                <w:rFonts w:hint="default" w:ascii="Times New Roman" w:hAnsi="Times New Roman" w:eastAsia="宋体" w:cs="Times New Roman"/>
                <w:i w:val="0"/>
                <w:iCs w:val="0"/>
                <w:color w:val="auto"/>
                <w:kern w:val="0"/>
                <w:sz w:val="18"/>
                <w:szCs w:val="18"/>
                <w:u w:val="none"/>
                <w:lang w:val="en-US" w:eastAsia="zh-CN" w:bidi="ar"/>
              </w:rPr>
              <w:t>E-04</w:t>
            </w:r>
          </w:p>
        </w:tc>
        <w:tc>
          <w:tcPr>
            <w:tcW w:w="1247" w:type="pct"/>
            <w:vMerge w:val="continue"/>
            <w:noWrap w:val="0"/>
            <w:vAlign w:val="center"/>
          </w:tcPr>
          <w:p w14:paraId="1D78661D">
            <w:pPr>
              <w:jc w:val="center"/>
              <w:rPr>
                <w:rFonts w:hint="default" w:ascii="Times New Roman" w:hAnsi="Times New Roman" w:eastAsia="宋体" w:cs="Times New Roman"/>
                <w:color w:val="auto"/>
                <w:sz w:val="18"/>
                <w:szCs w:val="18"/>
                <w:highlight w:val="none"/>
                <w:lang w:val="en-US" w:eastAsia="zh-CN"/>
              </w:rPr>
            </w:pPr>
          </w:p>
        </w:tc>
        <w:tc>
          <w:tcPr>
            <w:tcW w:w="1289" w:type="pct"/>
            <w:tcBorders>
              <w:right w:val="nil"/>
            </w:tcBorders>
            <w:noWrap w:val="0"/>
            <w:vAlign w:val="center"/>
          </w:tcPr>
          <w:p w14:paraId="1CC0129D">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2.800945</w:t>
            </w:r>
          </w:p>
        </w:tc>
      </w:tr>
      <w:tr w14:paraId="6C85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5" w:type="pct"/>
            <w:tcBorders>
              <w:left w:val="nil"/>
            </w:tcBorders>
            <w:noWrap/>
            <w:tcMar>
              <w:top w:w="15" w:type="dxa"/>
              <w:left w:w="15" w:type="dxa"/>
              <w:bottom w:w="0" w:type="dxa"/>
              <w:right w:w="15" w:type="dxa"/>
            </w:tcMar>
            <w:vAlign w:val="center"/>
          </w:tcPr>
          <w:p w14:paraId="60A8085C">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GB</w:t>
            </w:r>
            <w:r>
              <w:rPr>
                <w:rFonts w:hint="default"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lang w:val="zh-CN" w:eastAsia="zh-CN"/>
              </w:rPr>
              <w:t>15618-2018筛选值</w:t>
            </w:r>
          </w:p>
        </w:tc>
        <w:tc>
          <w:tcPr>
            <w:tcW w:w="3744" w:type="pct"/>
            <w:gridSpan w:val="3"/>
            <w:tcBorders>
              <w:right w:val="nil"/>
            </w:tcBorders>
            <w:noWrap/>
            <w:tcMar>
              <w:top w:w="15" w:type="dxa"/>
              <w:left w:w="15" w:type="dxa"/>
              <w:bottom w:w="0" w:type="dxa"/>
              <w:right w:w="15" w:type="dxa"/>
            </w:tcMar>
            <w:vAlign w:val="center"/>
          </w:tcPr>
          <w:p w14:paraId="12EA9498">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90</w:t>
            </w:r>
          </w:p>
        </w:tc>
      </w:tr>
      <w:tr w14:paraId="265A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55" w:type="pct"/>
            <w:tcBorders>
              <w:left w:val="nil"/>
            </w:tcBorders>
            <w:noWrap/>
            <w:tcMar>
              <w:top w:w="15" w:type="dxa"/>
              <w:left w:w="15" w:type="dxa"/>
              <w:bottom w:w="0" w:type="dxa"/>
              <w:right w:w="15" w:type="dxa"/>
            </w:tcMar>
            <w:vAlign w:val="center"/>
          </w:tcPr>
          <w:p w14:paraId="14865607">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GB</w:t>
            </w:r>
            <w:r>
              <w:rPr>
                <w:rFonts w:hint="default"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lang w:val="zh-CN" w:eastAsia="zh-CN"/>
              </w:rPr>
              <w:t>15618-2018</w:t>
            </w:r>
            <w:r>
              <w:rPr>
                <w:rFonts w:hint="default" w:ascii="Times New Roman" w:hAnsi="Times New Roman" w:eastAsia="宋体" w:cs="Times New Roman"/>
                <w:color w:val="auto"/>
                <w:sz w:val="18"/>
                <w:szCs w:val="18"/>
                <w:highlight w:val="none"/>
                <w:lang w:val="en-US" w:eastAsia="zh-CN"/>
              </w:rPr>
              <w:t>管控值</w:t>
            </w:r>
          </w:p>
        </w:tc>
        <w:tc>
          <w:tcPr>
            <w:tcW w:w="3744" w:type="pct"/>
            <w:gridSpan w:val="3"/>
            <w:tcBorders>
              <w:right w:val="nil"/>
            </w:tcBorders>
            <w:noWrap/>
            <w:tcMar>
              <w:top w:w="15" w:type="dxa"/>
              <w:left w:w="15" w:type="dxa"/>
              <w:bottom w:w="0" w:type="dxa"/>
              <w:right w:w="15" w:type="dxa"/>
            </w:tcMar>
            <w:vAlign w:val="center"/>
          </w:tcPr>
          <w:p w14:paraId="0A87D308">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500</w:t>
            </w:r>
          </w:p>
        </w:tc>
      </w:tr>
    </w:tbl>
    <w:p w14:paraId="4AD6E35F">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snapToGrid w:val="0"/>
          <w:color w:val="auto"/>
          <w:sz w:val="24"/>
          <w:szCs w:val="24"/>
        </w:rPr>
      </w:pPr>
      <w:r>
        <w:rPr>
          <w:rFonts w:hint="default" w:ascii="Times New Roman" w:hAnsi="Times New Roman" w:eastAsia="宋体" w:cs="Times New Roman"/>
          <w:color w:val="auto"/>
          <w:sz w:val="24"/>
          <w:szCs w:val="24"/>
          <w:lang w:bidi="ar"/>
        </w:rPr>
        <w:t>根据上表可知，在考虑项目排放的</w:t>
      </w:r>
      <w:r>
        <w:rPr>
          <w:rFonts w:hint="default" w:ascii="Times New Roman" w:hAnsi="Times New Roman" w:eastAsia="宋体" w:cs="Times New Roman"/>
          <w:color w:val="auto"/>
          <w:sz w:val="24"/>
          <w:szCs w:val="24"/>
          <w:lang w:val="en-US" w:eastAsia="zh-CN" w:bidi="ar"/>
        </w:rPr>
        <w:t>铅</w:t>
      </w:r>
      <w:r>
        <w:rPr>
          <w:rFonts w:hint="default" w:ascii="Times New Roman" w:hAnsi="Times New Roman" w:eastAsia="宋体" w:cs="Times New Roman"/>
          <w:color w:val="auto"/>
          <w:sz w:val="24"/>
          <w:szCs w:val="24"/>
          <w:lang w:bidi="ar"/>
        </w:rPr>
        <w:t>全部进入土壤的情况下，</w:t>
      </w:r>
      <w:r>
        <w:rPr>
          <w:rFonts w:hint="default" w:ascii="Times New Roman" w:hAnsi="Times New Roman" w:eastAsia="宋体" w:cs="Times New Roman"/>
          <w:color w:val="auto"/>
          <w:sz w:val="24"/>
          <w:szCs w:val="24"/>
          <w:lang w:val="en-US" w:eastAsia="zh-CN" w:bidi="ar"/>
        </w:rPr>
        <w:t>项目运营15年后对评价范围内土壤最大贡献值为9.45E-04</w:t>
      </w:r>
      <w:r>
        <w:rPr>
          <w:rFonts w:hint="default" w:ascii="Times New Roman" w:hAnsi="Times New Roman" w:eastAsia="宋体" w:cs="Times New Roman"/>
          <w:color w:val="auto"/>
          <w:sz w:val="24"/>
          <w:szCs w:val="24"/>
          <w:lang w:bidi="ar"/>
        </w:rPr>
        <w:t>mg/kg</w:t>
      </w:r>
      <w:r>
        <w:rPr>
          <w:rFonts w:hint="default" w:ascii="Times New Roman" w:hAnsi="Times New Roman" w:eastAsia="宋体" w:cs="Times New Roman"/>
          <w:color w:val="auto"/>
          <w:sz w:val="24"/>
          <w:szCs w:val="24"/>
          <w:lang w:val="en-US" w:eastAsia="zh-CN" w:bidi="ar"/>
        </w:rPr>
        <w:t>，叠加背景值后，铅的</w:t>
      </w:r>
      <w:r>
        <w:rPr>
          <w:rFonts w:hint="default" w:ascii="Times New Roman" w:hAnsi="Times New Roman" w:eastAsia="宋体" w:cs="Times New Roman"/>
          <w:color w:val="auto"/>
          <w:sz w:val="24"/>
          <w:szCs w:val="24"/>
          <w:lang w:bidi="ar"/>
        </w:rPr>
        <w:t>最大</w:t>
      </w:r>
      <w:r>
        <w:rPr>
          <w:rFonts w:hint="default" w:ascii="Times New Roman" w:hAnsi="Times New Roman" w:eastAsia="宋体" w:cs="Times New Roman"/>
          <w:color w:val="auto"/>
          <w:sz w:val="24"/>
          <w:szCs w:val="24"/>
          <w:lang w:val="en-US" w:eastAsia="zh-CN" w:bidi="ar"/>
        </w:rPr>
        <w:t>预测</w:t>
      </w:r>
      <w:r>
        <w:rPr>
          <w:rFonts w:hint="default" w:ascii="Times New Roman" w:hAnsi="Times New Roman" w:eastAsia="宋体" w:cs="Times New Roman"/>
          <w:color w:val="auto"/>
          <w:sz w:val="24"/>
          <w:szCs w:val="24"/>
          <w:lang w:bidi="ar"/>
        </w:rPr>
        <w:t>值</w:t>
      </w:r>
      <w:r>
        <w:rPr>
          <w:rFonts w:hint="default" w:ascii="Times New Roman" w:hAnsi="Times New Roman" w:eastAsia="宋体" w:cs="Times New Roman"/>
          <w:color w:val="auto"/>
          <w:sz w:val="24"/>
          <w:szCs w:val="24"/>
          <w:lang w:val="en-US" w:eastAsia="zh-CN" w:bidi="ar"/>
        </w:rPr>
        <w:t>为2.800945</w:t>
      </w:r>
      <w:r>
        <w:rPr>
          <w:rFonts w:hint="default" w:ascii="Times New Roman" w:hAnsi="Times New Roman" w:eastAsia="宋体" w:cs="Times New Roman"/>
          <w:color w:val="auto"/>
          <w:sz w:val="24"/>
          <w:szCs w:val="24"/>
          <w:lang w:bidi="ar"/>
        </w:rPr>
        <w:t>mg/kg</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项目在正常情况下，土壤中</w:t>
      </w:r>
      <w:r>
        <w:rPr>
          <w:rFonts w:hint="default" w:ascii="Times New Roman" w:hAnsi="Times New Roman" w:eastAsia="宋体" w:cs="Times New Roman"/>
          <w:color w:val="auto"/>
          <w:sz w:val="24"/>
          <w:szCs w:val="24"/>
          <w:lang w:val="en-US" w:eastAsia="zh-CN" w:bidi="ar"/>
        </w:rPr>
        <w:t>铅15</w:t>
      </w:r>
      <w:r>
        <w:rPr>
          <w:rFonts w:hint="default" w:ascii="Times New Roman" w:hAnsi="Times New Roman" w:eastAsia="宋体" w:cs="Times New Roman"/>
          <w:color w:val="auto"/>
          <w:sz w:val="24"/>
          <w:szCs w:val="24"/>
          <w:lang w:bidi="ar"/>
        </w:rPr>
        <w:t>年后累积值</w:t>
      </w:r>
      <w:r>
        <w:rPr>
          <w:rFonts w:hint="default" w:ascii="Times New Roman" w:hAnsi="Times New Roman" w:eastAsia="宋体" w:cs="Times New Roman"/>
          <w:color w:val="auto"/>
          <w:sz w:val="24"/>
          <w:szCs w:val="24"/>
          <w:lang w:val="en-US" w:eastAsia="zh-CN" w:bidi="ar"/>
        </w:rPr>
        <w:t>低于</w:t>
      </w:r>
      <w:r>
        <w:rPr>
          <w:rFonts w:hint="default" w:ascii="Times New Roman" w:hAnsi="Times New Roman" w:eastAsia="宋体" w:cs="Times New Roman"/>
          <w:bCs/>
          <w:color w:val="auto"/>
          <w:kern w:val="0"/>
          <w:sz w:val="24"/>
          <w:szCs w:val="24"/>
          <w:highlight w:val="none"/>
          <w:lang w:val="zh-CN" w:eastAsia="zh-CN" w:bidi="ar-SA"/>
        </w:rPr>
        <w:t>《土壤环境质量农用地土壤污染风险管控标准》（GB</w:t>
      </w:r>
      <w:r>
        <w:rPr>
          <w:rFonts w:hint="default" w:ascii="Times New Roman" w:hAnsi="Times New Roman" w:eastAsia="宋体" w:cs="Times New Roman"/>
          <w:bCs/>
          <w:color w:val="auto"/>
          <w:kern w:val="0"/>
          <w:sz w:val="24"/>
          <w:szCs w:val="24"/>
          <w:highlight w:val="none"/>
          <w:lang w:val="en-US" w:eastAsia="zh-CN" w:bidi="ar-SA"/>
        </w:rPr>
        <w:t xml:space="preserve"> </w:t>
      </w:r>
      <w:r>
        <w:rPr>
          <w:rFonts w:hint="default" w:ascii="Times New Roman" w:hAnsi="Times New Roman" w:eastAsia="宋体" w:cs="Times New Roman"/>
          <w:bCs/>
          <w:color w:val="auto"/>
          <w:kern w:val="0"/>
          <w:sz w:val="24"/>
          <w:szCs w:val="24"/>
          <w:highlight w:val="none"/>
          <w:lang w:val="zh-CN" w:eastAsia="zh-CN" w:bidi="ar-SA"/>
        </w:rPr>
        <w:t>15618-2018）风险筛选值标准</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项目运营过程中排放的铅</w:t>
      </w:r>
      <w:r>
        <w:rPr>
          <w:rFonts w:hint="default" w:ascii="Times New Roman" w:hAnsi="Times New Roman" w:eastAsia="宋体" w:cs="Times New Roman"/>
          <w:color w:val="auto"/>
          <w:sz w:val="24"/>
          <w:szCs w:val="24"/>
          <w:lang w:bidi="ar"/>
        </w:rPr>
        <w:t>对周边土壤的累积影响较小</w:t>
      </w:r>
      <w:r>
        <w:rPr>
          <w:rFonts w:hint="default" w:ascii="Times New Roman" w:hAnsi="Times New Roman" w:cs="Times New Roman"/>
          <w:snapToGrid w:val="0"/>
          <w:color w:val="auto"/>
          <w:sz w:val="24"/>
          <w:szCs w:val="24"/>
          <w:lang w:bidi="ar"/>
        </w:rPr>
        <w:t>。</w:t>
      </w:r>
    </w:p>
    <w:p w14:paraId="7130D261">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③铜</w:t>
      </w:r>
      <w:r>
        <w:rPr>
          <w:rFonts w:hint="default" w:ascii="Times New Roman" w:hAnsi="Times New Roman" w:cs="Times New Roman"/>
          <w:color w:val="auto"/>
          <w:sz w:val="24"/>
          <w:szCs w:val="24"/>
          <w:highlight w:val="none"/>
        </w:rPr>
        <w:t>的预测结果</w:t>
      </w:r>
    </w:p>
    <w:p w14:paraId="1A40578D">
      <w:pPr>
        <w:spacing w:line="360" w:lineRule="auto"/>
        <w:ind w:firstLine="49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根据以上预测公式及参数，项目排放的特征污染物</w:t>
      </w:r>
      <w:r>
        <w:rPr>
          <w:rFonts w:hint="default" w:ascii="Times New Roman" w:hAnsi="Times New Roman" w:cs="Times New Roman"/>
          <w:color w:val="auto"/>
          <w:sz w:val="24"/>
          <w:szCs w:val="24"/>
          <w:highlight w:val="none"/>
          <w:lang w:val="en-US" w:eastAsia="zh-CN"/>
        </w:rPr>
        <w:t>铜</w:t>
      </w:r>
      <w:r>
        <w:rPr>
          <w:rFonts w:hint="default" w:ascii="Times New Roman" w:hAnsi="Times New Roman" w:cs="Times New Roman"/>
          <w:color w:val="auto"/>
          <w:sz w:val="24"/>
          <w:szCs w:val="24"/>
          <w:highlight w:val="none"/>
        </w:rPr>
        <w:t>对土壤的预测结果如下：</w:t>
      </w:r>
    </w:p>
    <w:p w14:paraId="059B4BDC">
      <w:pPr>
        <w:adjustRightInd w:val="0"/>
        <w:snapToGrid w:val="0"/>
        <w:spacing w:line="360" w:lineRule="auto"/>
        <w:ind w:firstLine="430" w:firstLineChars="200"/>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highlight w:val="none"/>
        </w:rPr>
        <w:t>表</w:t>
      </w:r>
      <w:r>
        <w:rPr>
          <w:rFonts w:hint="default" w:ascii="Times New Roman" w:hAnsi="Times New Roman" w:eastAsia="黑体" w:cs="Times New Roman"/>
          <w:b w:val="0"/>
          <w:bCs/>
          <w:color w:val="auto"/>
          <w:kern w:val="2"/>
          <w:sz w:val="21"/>
          <w:szCs w:val="21"/>
          <w:highlight w:val="none"/>
          <w:lang w:val="en-US" w:eastAsia="zh-CN" w:bidi="ar-SA"/>
        </w:rPr>
        <w:t>6.4.4-5</w:t>
      </w:r>
      <w:r>
        <w:rPr>
          <w:rFonts w:hint="default" w:ascii="Times New Roman" w:hAnsi="Times New Roman" w:eastAsia="黑体" w:cs="Times New Roman"/>
          <w:b w:val="0"/>
          <w:bCs/>
          <w:color w:val="auto"/>
          <w:sz w:val="21"/>
          <w:szCs w:val="21"/>
          <w:highlight w:val="none"/>
        </w:rPr>
        <w:t xml:space="preserve"> </w:t>
      </w:r>
      <w:r>
        <w:rPr>
          <w:rFonts w:hint="default" w:ascii="Times New Roman" w:hAnsi="Times New Roman" w:eastAsia="黑体" w:cs="Times New Roman"/>
          <w:b w:val="0"/>
          <w:bCs/>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rPr>
        <w:t>项目</w:t>
      </w:r>
      <w:r>
        <w:rPr>
          <w:rFonts w:hint="default" w:ascii="Times New Roman" w:hAnsi="Times New Roman" w:eastAsia="黑体" w:cs="Times New Roman"/>
          <w:b w:val="0"/>
          <w:bCs/>
          <w:color w:val="auto"/>
          <w:sz w:val="21"/>
          <w:szCs w:val="21"/>
          <w:highlight w:val="none"/>
          <w:lang w:val="en-US" w:eastAsia="zh-CN"/>
        </w:rPr>
        <w:t>铜</w:t>
      </w:r>
      <w:r>
        <w:rPr>
          <w:rFonts w:hint="default" w:ascii="Times New Roman" w:hAnsi="Times New Roman" w:eastAsia="黑体" w:cs="Times New Roman"/>
          <w:b w:val="0"/>
          <w:bCs/>
          <w:color w:val="auto"/>
          <w:sz w:val="21"/>
          <w:szCs w:val="21"/>
          <w:highlight w:val="none"/>
        </w:rPr>
        <w:t>预测对土壤的影响结果一览表  单位</w:t>
      </w:r>
      <w:r>
        <w:rPr>
          <w:rFonts w:hint="default" w:ascii="Times New Roman" w:hAnsi="Times New Roman" w:eastAsia="黑体" w:cs="Times New Roman"/>
          <w:b w:val="0"/>
          <w:bCs/>
          <w:color w:val="auto"/>
          <w:sz w:val="21"/>
          <w:szCs w:val="21"/>
          <w:highlight w:val="none"/>
          <w:lang w:eastAsia="zh-CN"/>
        </w:rPr>
        <w:t>：</w:t>
      </w:r>
      <w:r>
        <w:rPr>
          <w:rFonts w:hint="default" w:ascii="Times New Roman" w:hAnsi="Times New Roman" w:eastAsia="黑体" w:cs="Times New Roman"/>
          <w:b w:val="0"/>
          <w:bCs/>
          <w:color w:val="auto"/>
          <w:sz w:val="21"/>
          <w:szCs w:val="21"/>
          <w:highlight w:val="none"/>
          <w:lang w:val="en-US" w:eastAsia="zh-CN"/>
        </w:rPr>
        <w:t>m</w:t>
      </w:r>
      <w:r>
        <w:rPr>
          <w:rFonts w:hint="default" w:ascii="Times New Roman" w:hAnsi="Times New Roman" w:eastAsia="黑体" w:cs="Times New Roman"/>
          <w:b w:val="0"/>
          <w:bCs/>
          <w:color w:val="auto"/>
          <w:sz w:val="21"/>
          <w:szCs w:val="21"/>
          <w:highlight w:val="none"/>
        </w:rPr>
        <w:t>g/kg</w:t>
      </w:r>
    </w:p>
    <w:tbl>
      <w:tblPr>
        <w:tblStyle w:val="2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98"/>
        <w:gridCol w:w="2228"/>
        <w:gridCol w:w="2297"/>
        <w:gridCol w:w="2375"/>
      </w:tblGrid>
      <w:tr w14:paraId="7FD18E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08" w:type="pct"/>
            <w:vMerge w:val="restart"/>
            <w:tcBorders>
              <w:tl2br w:val="nil"/>
              <w:tr2bl w:val="nil"/>
            </w:tcBorders>
            <w:noWrap/>
            <w:tcMar>
              <w:top w:w="15" w:type="dxa"/>
              <w:left w:w="15" w:type="dxa"/>
              <w:bottom w:w="0" w:type="dxa"/>
              <w:right w:w="15" w:type="dxa"/>
            </w:tcMar>
            <w:vAlign w:val="center"/>
          </w:tcPr>
          <w:p w14:paraId="4F5142E1">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污染物</w:t>
            </w:r>
          </w:p>
          <w:p w14:paraId="3CEAF1C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年限</w:t>
            </w:r>
          </w:p>
        </w:tc>
        <w:tc>
          <w:tcPr>
            <w:tcW w:w="3791" w:type="pct"/>
            <w:gridSpan w:val="3"/>
            <w:tcBorders>
              <w:tl2br w:val="nil"/>
              <w:tr2bl w:val="nil"/>
            </w:tcBorders>
            <w:noWrap/>
            <w:tcMar>
              <w:top w:w="15" w:type="dxa"/>
              <w:left w:w="15" w:type="dxa"/>
              <w:bottom w:w="0" w:type="dxa"/>
              <w:right w:w="15" w:type="dxa"/>
            </w:tcMar>
            <w:vAlign w:val="center"/>
          </w:tcPr>
          <w:p w14:paraId="3CBE8317">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铜</w:t>
            </w:r>
          </w:p>
        </w:tc>
      </w:tr>
      <w:tr w14:paraId="4E504C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08" w:type="pct"/>
            <w:vMerge w:val="continue"/>
            <w:tcBorders>
              <w:tl2br w:val="nil"/>
              <w:tr2bl w:val="nil"/>
            </w:tcBorders>
            <w:noWrap/>
            <w:tcMar>
              <w:top w:w="15" w:type="dxa"/>
              <w:left w:w="15" w:type="dxa"/>
              <w:bottom w:w="0" w:type="dxa"/>
              <w:right w:w="15" w:type="dxa"/>
            </w:tcMar>
            <w:vAlign w:val="center"/>
          </w:tcPr>
          <w:p w14:paraId="13FAD1FB">
            <w:pPr>
              <w:jc w:val="center"/>
              <w:rPr>
                <w:rFonts w:hint="default" w:ascii="Times New Roman" w:hAnsi="Times New Roman" w:eastAsia="宋体" w:cs="Times New Roman"/>
                <w:color w:val="auto"/>
                <w:sz w:val="18"/>
                <w:szCs w:val="18"/>
                <w:highlight w:val="none"/>
                <w:lang w:val="en-US" w:eastAsia="zh-CN"/>
              </w:rPr>
            </w:pPr>
          </w:p>
        </w:tc>
        <w:tc>
          <w:tcPr>
            <w:tcW w:w="1224" w:type="pct"/>
            <w:tcBorders>
              <w:tl2br w:val="nil"/>
              <w:tr2bl w:val="nil"/>
            </w:tcBorders>
            <w:noWrap/>
            <w:tcMar>
              <w:top w:w="15" w:type="dxa"/>
              <w:left w:w="15" w:type="dxa"/>
              <w:bottom w:w="0" w:type="dxa"/>
              <w:right w:w="15" w:type="dxa"/>
            </w:tcMar>
            <w:vAlign w:val="center"/>
          </w:tcPr>
          <w:p w14:paraId="5F5B1DB4">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Sb（预测值）</w:t>
            </w:r>
          </w:p>
        </w:tc>
        <w:tc>
          <w:tcPr>
            <w:tcW w:w="1262" w:type="pct"/>
            <w:tcBorders>
              <w:tl2br w:val="nil"/>
              <w:tr2bl w:val="nil"/>
            </w:tcBorders>
            <w:noWrap w:val="0"/>
            <w:vAlign w:val="center"/>
          </w:tcPr>
          <w:p w14:paraId="15B4B5EB">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S（现状值）</w:t>
            </w:r>
          </w:p>
        </w:tc>
        <w:tc>
          <w:tcPr>
            <w:tcW w:w="1305" w:type="pct"/>
            <w:tcBorders>
              <w:tl2br w:val="nil"/>
              <w:tr2bl w:val="nil"/>
            </w:tcBorders>
            <w:noWrap w:val="0"/>
            <w:vAlign w:val="center"/>
          </w:tcPr>
          <w:p w14:paraId="3526173B">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ΔS（叠加值）</w:t>
            </w:r>
          </w:p>
        </w:tc>
      </w:tr>
      <w:tr w14:paraId="0586F5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08" w:type="pct"/>
            <w:tcBorders>
              <w:tl2br w:val="nil"/>
              <w:tr2bl w:val="nil"/>
            </w:tcBorders>
            <w:noWrap/>
            <w:tcMar>
              <w:top w:w="15" w:type="dxa"/>
              <w:left w:w="15" w:type="dxa"/>
              <w:bottom w:w="0" w:type="dxa"/>
              <w:right w:w="15" w:type="dxa"/>
            </w:tcMar>
            <w:vAlign w:val="center"/>
          </w:tcPr>
          <w:p w14:paraId="175C627A">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2228" w:type="dxa"/>
            <w:tcBorders>
              <w:tl2br w:val="nil"/>
              <w:tr2bl w:val="nil"/>
            </w:tcBorders>
            <w:noWrap/>
            <w:tcMar>
              <w:top w:w="15" w:type="dxa"/>
              <w:left w:w="15" w:type="dxa"/>
              <w:bottom w:w="0" w:type="dxa"/>
              <w:right w:w="15" w:type="dxa"/>
            </w:tcMar>
            <w:vAlign w:val="center"/>
          </w:tcPr>
          <w:p w14:paraId="141D634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cs="Times New Roman"/>
                <w:i w:val="0"/>
                <w:iCs w:val="0"/>
                <w:color w:val="auto"/>
                <w:kern w:val="0"/>
                <w:sz w:val="18"/>
                <w:szCs w:val="18"/>
                <w:u w:val="none"/>
                <w:lang w:val="en-US" w:eastAsia="zh-CN" w:bidi="ar"/>
              </w:rPr>
              <w:t>6.30</w:t>
            </w:r>
            <w:r>
              <w:rPr>
                <w:rFonts w:hint="default" w:ascii="Times New Roman" w:hAnsi="Times New Roman" w:eastAsia="宋体" w:cs="Times New Roman"/>
                <w:i w:val="0"/>
                <w:iCs w:val="0"/>
                <w:color w:val="auto"/>
                <w:kern w:val="0"/>
                <w:sz w:val="18"/>
                <w:szCs w:val="18"/>
                <w:u w:val="none"/>
                <w:lang w:val="en-US" w:eastAsia="zh-CN" w:bidi="ar"/>
              </w:rPr>
              <w:t>E-05</w:t>
            </w:r>
          </w:p>
        </w:tc>
        <w:tc>
          <w:tcPr>
            <w:tcW w:w="1262" w:type="pct"/>
            <w:vMerge w:val="restart"/>
            <w:tcBorders>
              <w:tl2br w:val="nil"/>
              <w:tr2bl w:val="nil"/>
            </w:tcBorders>
            <w:noWrap w:val="0"/>
            <w:vAlign w:val="center"/>
          </w:tcPr>
          <w:p w14:paraId="7A44B6A7">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42</w:t>
            </w:r>
            <w:r>
              <w:rPr>
                <w:rFonts w:hint="default" w:ascii="Times New Roman" w:hAnsi="Times New Roman" w:eastAsia="宋体" w:cs="Times New Roman"/>
                <w:color w:val="auto"/>
                <w:sz w:val="18"/>
                <w:szCs w:val="18"/>
                <w:highlight w:val="none"/>
                <w:lang w:val="en-US" w:eastAsia="zh-CN"/>
              </w:rPr>
              <w:t>（现状值采用厂界外农作地监测的最大值）</w:t>
            </w:r>
          </w:p>
        </w:tc>
        <w:tc>
          <w:tcPr>
            <w:tcW w:w="1305" w:type="pct"/>
            <w:tcBorders>
              <w:tl2br w:val="nil"/>
              <w:tr2bl w:val="nil"/>
            </w:tcBorders>
            <w:noWrap w:val="0"/>
            <w:vAlign w:val="center"/>
          </w:tcPr>
          <w:p w14:paraId="182BEF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42.000063</w:t>
            </w:r>
          </w:p>
        </w:tc>
      </w:tr>
      <w:tr w14:paraId="31DC60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08" w:type="pct"/>
            <w:tcBorders>
              <w:tl2br w:val="nil"/>
              <w:tr2bl w:val="nil"/>
            </w:tcBorders>
            <w:noWrap/>
            <w:tcMar>
              <w:top w:w="15" w:type="dxa"/>
              <w:left w:w="15" w:type="dxa"/>
              <w:bottom w:w="0" w:type="dxa"/>
              <w:right w:w="15" w:type="dxa"/>
            </w:tcMar>
            <w:vAlign w:val="center"/>
          </w:tcPr>
          <w:p w14:paraId="653CA836">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2228" w:type="dxa"/>
            <w:tcBorders>
              <w:tl2br w:val="nil"/>
              <w:tr2bl w:val="nil"/>
            </w:tcBorders>
            <w:noWrap/>
            <w:tcMar>
              <w:top w:w="15" w:type="dxa"/>
              <w:left w:w="15" w:type="dxa"/>
              <w:bottom w:w="0" w:type="dxa"/>
              <w:right w:w="15" w:type="dxa"/>
            </w:tcMar>
            <w:vAlign w:val="center"/>
          </w:tcPr>
          <w:p w14:paraId="341CDE3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cs="Times New Roman"/>
                <w:i w:val="0"/>
                <w:iCs w:val="0"/>
                <w:color w:val="auto"/>
                <w:kern w:val="0"/>
                <w:sz w:val="18"/>
                <w:szCs w:val="18"/>
                <w:u w:val="none"/>
                <w:lang w:val="en-US" w:eastAsia="zh-CN" w:bidi="ar"/>
              </w:rPr>
              <w:t>3.15</w:t>
            </w:r>
            <w:r>
              <w:rPr>
                <w:rFonts w:hint="default" w:ascii="Times New Roman" w:hAnsi="Times New Roman" w:eastAsia="宋体" w:cs="Times New Roman"/>
                <w:i w:val="0"/>
                <w:iCs w:val="0"/>
                <w:color w:val="auto"/>
                <w:kern w:val="0"/>
                <w:sz w:val="18"/>
                <w:szCs w:val="18"/>
                <w:u w:val="none"/>
                <w:lang w:val="en-US" w:eastAsia="zh-CN" w:bidi="ar"/>
              </w:rPr>
              <w:t>E-04</w:t>
            </w:r>
          </w:p>
        </w:tc>
        <w:tc>
          <w:tcPr>
            <w:tcW w:w="1262" w:type="pct"/>
            <w:vMerge w:val="continue"/>
            <w:tcBorders>
              <w:tl2br w:val="nil"/>
              <w:tr2bl w:val="nil"/>
            </w:tcBorders>
            <w:noWrap w:val="0"/>
            <w:vAlign w:val="center"/>
          </w:tcPr>
          <w:p w14:paraId="76213437">
            <w:pPr>
              <w:jc w:val="center"/>
              <w:rPr>
                <w:rFonts w:hint="default" w:ascii="Times New Roman" w:hAnsi="Times New Roman" w:eastAsia="宋体" w:cs="Times New Roman"/>
                <w:color w:val="auto"/>
                <w:sz w:val="18"/>
                <w:szCs w:val="18"/>
                <w:highlight w:val="none"/>
                <w:lang w:val="en-US" w:eastAsia="zh-CN"/>
              </w:rPr>
            </w:pPr>
          </w:p>
        </w:tc>
        <w:tc>
          <w:tcPr>
            <w:tcW w:w="1305" w:type="pct"/>
            <w:tcBorders>
              <w:tl2br w:val="nil"/>
              <w:tr2bl w:val="nil"/>
            </w:tcBorders>
            <w:noWrap w:val="0"/>
            <w:vAlign w:val="center"/>
          </w:tcPr>
          <w:p w14:paraId="1C6D2C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42.000315</w:t>
            </w:r>
          </w:p>
        </w:tc>
      </w:tr>
      <w:tr w14:paraId="516694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08" w:type="pct"/>
            <w:tcBorders>
              <w:tl2br w:val="nil"/>
              <w:tr2bl w:val="nil"/>
            </w:tcBorders>
            <w:noWrap/>
            <w:tcMar>
              <w:top w:w="15" w:type="dxa"/>
              <w:left w:w="15" w:type="dxa"/>
              <w:bottom w:w="0" w:type="dxa"/>
              <w:right w:w="15" w:type="dxa"/>
            </w:tcMar>
            <w:vAlign w:val="center"/>
          </w:tcPr>
          <w:p w14:paraId="5C166BAB">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2228" w:type="dxa"/>
            <w:tcBorders>
              <w:tl2br w:val="nil"/>
              <w:tr2bl w:val="nil"/>
            </w:tcBorders>
            <w:noWrap/>
            <w:tcMar>
              <w:top w:w="15" w:type="dxa"/>
              <w:left w:w="15" w:type="dxa"/>
              <w:bottom w:w="0" w:type="dxa"/>
              <w:right w:w="15" w:type="dxa"/>
            </w:tcMar>
            <w:vAlign w:val="center"/>
          </w:tcPr>
          <w:p w14:paraId="114E6B6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cs="Times New Roman"/>
                <w:i w:val="0"/>
                <w:iCs w:val="0"/>
                <w:color w:val="auto"/>
                <w:kern w:val="0"/>
                <w:sz w:val="18"/>
                <w:szCs w:val="18"/>
                <w:u w:val="none"/>
                <w:lang w:val="en-US" w:eastAsia="zh-CN" w:bidi="ar"/>
              </w:rPr>
              <w:t>6.30</w:t>
            </w:r>
            <w:r>
              <w:rPr>
                <w:rFonts w:hint="default" w:ascii="Times New Roman" w:hAnsi="Times New Roman" w:eastAsia="宋体" w:cs="Times New Roman"/>
                <w:i w:val="0"/>
                <w:iCs w:val="0"/>
                <w:color w:val="auto"/>
                <w:kern w:val="0"/>
                <w:sz w:val="18"/>
                <w:szCs w:val="18"/>
                <w:u w:val="none"/>
                <w:lang w:val="en-US" w:eastAsia="zh-CN" w:bidi="ar"/>
              </w:rPr>
              <w:t>E-04</w:t>
            </w:r>
          </w:p>
        </w:tc>
        <w:tc>
          <w:tcPr>
            <w:tcW w:w="1262" w:type="pct"/>
            <w:vMerge w:val="continue"/>
            <w:tcBorders>
              <w:tl2br w:val="nil"/>
              <w:tr2bl w:val="nil"/>
            </w:tcBorders>
            <w:noWrap w:val="0"/>
            <w:vAlign w:val="center"/>
          </w:tcPr>
          <w:p w14:paraId="02B1EC0F">
            <w:pPr>
              <w:jc w:val="center"/>
              <w:rPr>
                <w:rFonts w:hint="default" w:ascii="Times New Roman" w:hAnsi="Times New Roman" w:eastAsia="宋体" w:cs="Times New Roman"/>
                <w:color w:val="auto"/>
                <w:sz w:val="18"/>
                <w:szCs w:val="18"/>
                <w:highlight w:val="none"/>
                <w:lang w:val="en-US" w:eastAsia="zh-CN"/>
              </w:rPr>
            </w:pPr>
          </w:p>
        </w:tc>
        <w:tc>
          <w:tcPr>
            <w:tcW w:w="1305" w:type="pct"/>
            <w:tcBorders>
              <w:tl2br w:val="nil"/>
              <w:tr2bl w:val="nil"/>
            </w:tcBorders>
            <w:noWrap w:val="0"/>
            <w:vAlign w:val="center"/>
          </w:tcPr>
          <w:p w14:paraId="0D7ECF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42.00063</w:t>
            </w:r>
          </w:p>
        </w:tc>
      </w:tr>
      <w:tr w14:paraId="5A4DE8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08" w:type="pct"/>
            <w:tcBorders>
              <w:tl2br w:val="nil"/>
              <w:tr2bl w:val="nil"/>
            </w:tcBorders>
            <w:noWrap/>
            <w:tcMar>
              <w:top w:w="15" w:type="dxa"/>
              <w:left w:w="15" w:type="dxa"/>
              <w:bottom w:w="0" w:type="dxa"/>
              <w:right w:w="15" w:type="dxa"/>
            </w:tcMar>
            <w:vAlign w:val="center"/>
          </w:tcPr>
          <w:p w14:paraId="15B8D19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2228" w:type="dxa"/>
            <w:tcBorders>
              <w:tl2br w:val="nil"/>
              <w:tr2bl w:val="nil"/>
            </w:tcBorders>
            <w:noWrap/>
            <w:tcMar>
              <w:top w:w="15" w:type="dxa"/>
              <w:left w:w="15" w:type="dxa"/>
              <w:bottom w:w="0" w:type="dxa"/>
              <w:right w:w="15" w:type="dxa"/>
            </w:tcMar>
            <w:vAlign w:val="center"/>
          </w:tcPr>
          <w:p w14:paraId="61E08D8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cs="Times New Roman"/>
                <w:i w:val="0"/>
                <w:iCs w:val="0"/>
                <w:color w:val="auto"/>
                <w:kern w:val="0"/>
                <w:sz w:val="18"/>
                <w:szCs w:val="18"/>
                <w:u w:val="none"/>
                <w:lang w:val="en-US" w:eastAsia="zh-CN" w:bidi="ar"/>
              </w:rPr>
              <w:t>9.45</w:t>
            </w:r>
            <w:r>
              <w:rPr>
                <w:rFonts w:hint="default" w:ascii="Times New Roman" w:hAnsi="Times New Roman" w:eastAsia="宋体" w:cs="Times New Roman"/>
                <w:i w:val="0"/>
                <w:iCs w:val="0"/>
                <w:color w:val="auto"/>
                <w:kern w:val="0"/>
                <w:sz w:val="18"/>
                <w:szCs w:val="18"/>
                <w:u w:val="none"/>
                <w:lang w:val="en-US" w:eastAsia="zh-CN" w:bidi="ar"/>
              </w:rPr>
              <w:t>E-04</w:t>
            </w:r>
          </w:p>
        </w:tc>
        <w:tc>
          <w:tcPr>
            <w:tcW w:w="1262" w:type="pct"/>
            <w:vMerge w:val="continue"/>
            <w:tcBorders>
              <w:tl2br w:val="nil"/>
              <w:tr2bl w:val="nil"/>
            </w:tcBorders>
            <w:noWrap w:val="0"/>
            <w:vAlign w:val="center"/>
          </w:tcPr>
          <w:p w14:paraId="5CB65722">
            <w:pPr>
              <w:jc w:val="center"/>
              <w:rPr>
                <w:rFonts w:hint="default" w:ascii="Times New Roman" w:hAnsi="Times New Roman" w:eastAsia="宋体" w:cs="Times New Roman"/>
                <w:color w:val="auto"/>
                <w:sz w:val="18"/>
                <w:szCs w:val="18"/>
                <w:highlight w:val="none"/>
                <w:lang w:val="en-US" w:eastAsia="zh-CN"/>
              </w:rPr>
            </w:pPr>
          </w:p>
        </w:tc>
        <w:tc>
          <w:tcPr>
            <w:tcW w:w="1305" w:type="pct"/>
            <w:tcBorders>
              <w:tl2br w:val="nil"/>
              <w:tr2bl w:val="nil"/>
            </w:tcBorders>
            <w:noWrap w:val="0"/>
            <w:vAlign w:val="center"/>
          </w:tcPr>
          <w:p w14:paraId="6C3713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42.000945</w:t>
            </w:r>
          </w:p>
        </w:tc>
      </w:tr>
      <w:tr w14:paraId="264B11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08" w:type="pct"/>
            <w:tcBorders>
              <w:tl2br w:val="nil"/>
              <w:tr2bl w:val="nil"/>
            </w:tcBorders>
            <w:noWrap/>
            <w:tcMar>
              <w:top w:w="15" w:type="dxa"/>
              <w:left w:w="15" w:type="dxa"/>
              <w:bottom w:w="0" w:type="dxa"/>
              <w:right w:w="15" w:type="dxa"/>
            </w:tcMar>
            <w:vAlign w:val="center"/>
          </w:tcPr>
          <w:p w14:paraId="1E0D80B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GB</w:t>
            </w:r>
            <w:r>
              <w:rPr>
                <w:rFonts w:hint="default"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lang w:val="zh-CN" w:eastAsia="zh-CN"/>
              </w:rPr>
              <w:t>15618-2018筛选值</w:t>
            </w:r>
          </w:p>
        </w:tc>
        <w:tc>
          <w:tcPr>
            <w:tcW w:w="3791" w:type="pct"/>
            <w:gridSpan w:val="3"/>
            <w:tcBorders>
              <w:tl2br w:val="nil"/>
              <w:tr2bl w:val="nil"/>
            </w:tcBorders>
            <w:noWrap/>
            <w:tcMar>
              <w:top w:w="15" w:type="dxa"/>
              <w:left w:w="15" w:type="dxa"/>
              <w:bottom w:w="0" w:type="dxa"/>
              <w:right w:w="15" w:type="dxa"/>
            </w:tcMar>
            <w:vAlign w:val="center"/>
          </w:tcPr>
          <w:p w14:paraId="70F02B4E">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w:t>
            </w:r>
          </w:p>
        </w:tc>
      </w:tr>
      <w:tr w14:paraId="72C91C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08" w:type="pct"/>
            <w:tcBorders>
              <w:tl2br w:val="nil"/>
              <w:tr2bl w:val="nil"/>
            </w:tcBorders>
            <w:noWrap/>
            <w:tcMar>
              <w:top w:w="15" w:type="dxa"/>
              <w:left w:w="15" w:type="dxa"/>
              <w:bottom w:w="0" w:type="dxa"/>
              <w:right w:w="15" w:type="dxa"/>
            </w:tcMar>
            <w:vAlign w:val="center"/>
          </w:tcPr>
          <w:p w14:paraId="366536BC">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GB</w:t>
            </w:r>
            <w:r>
              <w:rPr>
                <w:rFonts w:hint="default"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lang w:val="zh-CN" w:eastAsia="zh-CN"/>
              </w:rPr>
              <w:t>15618-2018</w:t>
            </w:r>
            <w:r>
              <w:rPr>
                <w:rFonts w:hint="default" w:ascii="Times New Roman" w:hAnsi="Times New Roman" w:eastAsia="宋体" w:cs="Times New Roman"/>
                <w:color w:val="auto"/>
                <w:sz w:val="18"/>
                <w:szCs w:val="18"/>
                <w:highlight w:val="none"/>
                <w:lang w:val="en-US" w:eastAsia="zh-CN"/>
              </w:rPr>
              <w:t>管控值</w:t>
            </w:r>
          </w:p>
        </w:tc>
        <w:tc>
          <w:tcPr>
            <w:tcW w:w="3791" w:type="pct"/>
            <w:gridSpan w:val="3"/>
            <w:tcBorders>
              <w:tl2br w:val="nil"/>
              <w:tr2bl w:val="nil"/>
            </w:tcBorders>
            <w:noWrap/>
            <w:tcMar>
              <w:top w:w="15" w:type="dxa"/>
              <w:left w:w="15" w:type="dxa"/>
              <w:bottom w:w="0" w:type="dxa"/>
              <w:right w:w="15" w:type="dxa"/>
            </w:tcMar>
            <w:vAlign w:val="center"/>
          </w:tcPr>
          <w:p w14:paraId="1FA60F7E">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bl>
    <w:p w14:paraId="4A526CA1">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eastAsia="宋体" w:cs="Times New Roman"/>
          <w:color w:val="auto"/>
          <w:sz w:val="24"/>
          <w:szCs w:val="24"/>
          <w:lang w:bidi="ar"/>
        </w:rPr>
        <w:t>根据上表可知，在考虑项目排放的</w:t>
      </w:r>
      <w:r>
        <w:rPr>
          <w:rFonts w:hint="default" w:ascii="Times New Roman" w:hAnsi="Times New Roman" w:eastAsia="宋体" w:cs="Times New Roman"/>
          <w:color w:val="auto"/>
          <w:sz w:val="24"/>
          <w:szCs w:val="24"/>
          <w:lang w:val="en-US" w:eastAsia="zh-CN" w:bidi="ar"/>
        </w:rPr>
        <w:t>铜</w:t>
      </w:r>
      <w:r>
        <w:rPr>
          <w:rFonts w:hint="default" w:ascii="Times New Roman" w:hAnsi="Times New Roman" w:eastAsia="宋体" w:cs="Times New Roman"/>
          <w:color w:val="auto"/>
          <w:sz w:val="24"/>
          <w:szCs w:val="24"/>
          <w:lang w:bidi="ar"/>
        </w:rPr>
        <w:t>全部进入土壤的情况下，</w:t>
      </w:r>
      <w:r>
        <w:rPr>
          <w:rFonts w:hint="default" w:ascii="Times New Roman" w:hAnsi="Times New Roman" w:eastAsia="宋体" w:cs="Times New Roman"/>
          <w:color w:val="auto"/>
          <w:sz w:val="24"/>
          <w:szCs w:val="24"/>
          <w:lang w:val="en-US" w:eastAsia="zh-CN" w:bidi="ar"/>
        </w:rPr>
        <w:t>项目运营15年后对评价范围内土壤最大贡献值为9.45E-04</w:t>
      </w:r>
      <w:r>
        <w:rPr>
          <w:rFonts w:hint="default" w:ascii="Times New Roman" w:hAnsi="Times New Roman" w:eastAsia="宋体" w:cs="Times New Roman"/>
          <w:color w:val="auto"/>
          <w:sz w:val="24"/>
          <w:szCs w:val="24"/>
          <w:lang w:bidi="ar"/>
        </w:rPr>
        <w:t>mg/kg</w:t>
      </w:r>
      <w:r>
        <w:rPr>
          <w:rFonts w:hint="default" w:ascii="Times New Roman" w:hAnsi="Times New Roman" w:eastAsia="宋体" w:cs="Times New Roman"/>
          <w:color w:val="auto"/>
          <w:sz w:val="24"/>
          <w:szCs w:val="24"/>
          <w:lang w:val="en-US" w:eastAsia="zh-CN" w:bidi="ar"/>
        </w:rPr>
        <w:t>，叠加背景值后，铜的</w:t>
      </w:r>
      <w:r>
        <w:rPr>
          <w:rFonts w:hint="default" w:ascii="Times New Roman" w:hAnsi="Times New Roman" w:eastAsia="宋体" w:cs="Times New Roman"/>
          <w:color w:val="auto"/>
          <w:sz w:val="24"/>
          <w:szCs w:val="24"/>
          <w:lang w:bidi="ar"/>
        </w:rPr>
        <w:t>最大</w:t>
      </w:r>
      <w:r>
        <w:rPr>
          <w:rFonts w:hint="default" w:ascii="Times New Roman" w:hAnsi="Times New Roman" w:eastAsia="宋体" w:cs="Times New Roman"/>
          <w:color w:val="auto"/>
          <w:sz w:val="24"/>
          <w:szCs w:val="24"/>
          <w:lang w:val="en-US" w:eastAsia="zh-CN" w:bidi="ar"/>
        </w:rPr>
        <w:t>预测</w:t>
      </w:r>
      <w:r>
        <w:rPr>
          <w:rFonts w:hint="default" w:ascii="Times New Roman" w:hAnsi="Times New Roman" w:eastAsia="宋体" w:cs="Times New Roman"/>
          <w:color w:val="auto"/>
          <w:sz w:val="24"/>
          <w:szCs w:val="24"/>
          <w:lang w:bidi="ar"/>
        </w:rPr>
        <w:t>值</w:t>
      </w:r>
      <w:r>
        <w:rPr>
          <w:rFonts w:hint="default" w:ascii="Times New Roman" w:hAnsi="Times New Roman" w:eastAsia="宋体" w:cs="Times New Roman"/>
          <w:color w:val="auto"/>
          <w:sz w:val="24"/>
          <w:szCs w:val="24"/>
          <w:lang w:val="en-US" w:eastAsia="zh-CN" w:bidi="ar"/>
        </w:rPr>
        <w:t>为42.000945</w:t>
      </w:r>
      <w:r>
        <w:rPr>
          <w:rFonts w:hint="default" w:ascii="Times New Roman" w:hAnsi="Times New Roman" w:eastAsia="宋体" w:cs="Times New Roman"/>
          <w:color w:val="auto"/>
          <w:sz w:val="24"/>
          <w:szCs w:val="24"/>
          <w:lang w:bidi="ar"/>
        </w:rPr>
        <w:t>mg/kg</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项目在正常情况下，土壤中</w:t>
      </w:r>
      <w:r>
        <w:rPr>
          <w:rFonts w:hint="default" w:ascii="Times New Roman" w:hAnsi="Times New Roman" w:eastAsia="宋体" w:cs="Times New Roman"/>
          <w:color w:val="auto"/>
          <w:sz w:val="24"/>
          <w:szCs w:val="24"/>
          <w:lang w:val="en-US" w:eastAsia="zh-CN" w:bidi="ar"/>
        </w:rPr>
        <w:t>铜15</w:t>
      </w:r>
      <w:r>
        <w:rPr>
          <w:rFonts w:hint="default" w:ascii="Times New Roman" w:hAnsi="Times New Roman" w:eastAsia="宋体" w:cs="Times New Roman"/>
          <w:color w:val="auto"/>
          <w:sz w:val="24"/>
          <w:szCs w:val="24"/>
          <w:lang w:bidi="ar"/>
        </w:rPr>
        <w:t>年后累积值</w:t>
      </w:r>
      <w:r>
        <w:rPr>
          <w:rFonts w:hint="default" w:ascii="Times New Roman" w:hAnsi="Times New Roman" w:eastAsia="宋体" w:cs="Times New Roman"/>
          <w:color w:val="auto"/>
          <w:sz w:val="24"/>
          <w:szCs w:val="24"/>
          <w:lang w:val="en-US" w:eastAsia="zh-CN" w:bidi="ar"/>
        </w:rPr>
        <w:t>低于</w:t>
      </w:r>
      <w:r>
        <w:rPr>
          <w:rFonts w:hint="default" w:ascii="Times New Roman" w:hAnsi="Times New Roman" w:eastAsia="宋体" w:cs="Times New Roman"/>
          <w:bCs/>
          <w:color w:val="auto"/>
          <w:kern w:val="0"/>
          <w:sz w:val="24"/>
          <w:szCs w:val="24"/>
          <w:highlight w:val="none"/>
          <w:lang w:val="zh-CN" w:eastAsia="zh-CN" w:bidi="ar-SA"/>
        </w:rPr>
        <w:t>《土壤环境质量农用地土壤污染风险管控标准》（GB</w:t>
      </w:r>
      <w:r>
        <w:rPr>
          <w:rFonts w:hint="default" w:ascii="Times New Roman" w:hAnsi="Times New Roman" w:eastAsia="宋体" w:cs="Times New Roman"/>
          <w:bCs/>
          <w:color w:val="auto"/>
          <w:kern w:val="0"/>
          <w:sz w:val="24"/>
          <w:szCs w:val="24"/>
          <w:highlight w:val="none"/>
          <w:lang w:val="en-US" w:eastAsia="zh-CN" w:bidi="ar-SA"/>
        </w:rPr>
        <w:t xml:space="preserve"> </w:t>
      </w:r>
      <w:r>
        <w:rPr>
          <w:rFonts w:hint="default" w:ascii="Times New Roman" w:hAnsi="Times New Roman" w:eastAsia="宋体" w:cs="Times New Roman"/>
          <w:bCs/>
          <w:color w:val="auto"/>
          <w:kern w:val="0"/>
          <w:sz w:val="24"/>
          <w:szCs w:val="24"/>
          <w:highlight w:val="none"/>
          <w:lang w:val="zh-CN" w:eastAsia="zh-CN" w:bidi="ar-SA"/>
        </w:rPr>
        <w:t>15618-2018）风险筛选值标准</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项目运营过程中排放的铜</w:t>
      </w:r>
      <w:r>
        <w:rPr>
          <w:rFonts w:hint="default" w:ascii="Times New Roman" w:hAnsi="Times New Roman" w:eastAsia="宋体" w:cs="Times New Roman"/>
          <w:color w:val="auto"/>
          <w:sz w:val="24"/>
          <w:szCs w:val="24"/>
          <w:lang w:bidi="ar"/>
        </w:rPr>
        <w:t>对周边土壤的累积影响较小</w:t>
      </w:r>
      <w:r>
        <w:rPr>
          <w:rFonts w:hint="default" w:ascii="Times New Roman" w:hAnsi="Times New Roman" w:eastAsia="宋体" w:cs="Times New Roman"/>
          <w:color w:val="auto"/>
          <w:sz w:val="24"/>
          <w:szCs w:val="24"/>
          <w:lang w:val="en-US" w:eastAsia="zh-CN" w:bidi="ar"/>
        </w:rPr>
        <w:t>。</w:t>
      </w:r>
    </w:p>
    <w:p w14:paraId="61B0738B">
      <w:pPr>
        <w:spacing w:line="360" w:lineRule="auto"/>
        <w:ind w:firstLine="49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④锌</w:t>
      </w:r>
      <w:r>
        <w:rPr>
          <w:rFonts w:hint="default" w:ascii="Times New Roman" w:hAnsi="Times New Roman" w:cs="Times New Roman"/>
          <w:color w:val="auto"/>
          <w:sz w:val="24"/>
          <w:szCs w:val="24"/>
        </w:rPr>
        <w:t>的预测结果</w:t>
      </w:r>
    </w:p>
    <w:p w14:paraId="5BEE15F2">
      <w:pPr>
        <w:spacing w:line="360" w:lineRule="auto"/>
        <w:ind w:firstLine="49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根据以上预测公式及参数，项目排放的特征污染物</w:t>
      </w:r>
      <w:r>
        <w:rPr>
          <w:rFonts w:hint="default" w:ascii="Times New Roman" w:hAnsi="Times New Roman" w:cs="Times New Roman"/>
          <w:color w:val="auto"/>
          <w:sz w:val="24"/>
          <w:szCs w:val="24"/>
          <w:highlight w:val="none"/>
          <w:lang w:val="en-US" w:eastAsia="zh-CN"/>
        </w:rPr>
        <w:t>铜</w:t>
      </w:r>
      <w:r>
        <w:rPr>
          <w:rFonts w:hint="default" w:ascii="Times New Roman" w:hAnsi="Times New Roman" w:cs="Times New Roman"/>
          <w:color w:val="auto"/>
          <w:sz w:val="24"/>
          <w:szCs w:val="24"/>
          <w:highlight w:val="none"/>
        </w:rPr>
        <w:t>对土壤的预测结果如下：</w:t>
      </w:r>
    </w:p>
    <w:p w14:paraId="2F565C12">
      <w:pPr>
        <w:adjustRightInd w:val="0"/>
        <w:snapToGrid w:val="0"/>
        <w:spacing w:line="360" w:lineRule="auto"/>
        <w:ind w:firstLine="430" w:firstLineChars="200"/>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highlight w:val="none"/>
        </w:rPr>
        <w:t>表</w:t>
      </w:r>
      <w:r>
        <w:rPr>
          <w:rFonts w:hint="default" w:ascii="Times New Roman" w:hAnsi="Times New Roman" w:eastAsia="黑体" w:cs="Times New Roman"/>
          <w:b w:val="0"/>
          <w:bCs/>
          <w:color w:val="auto"/>
          <w:kern w:val="2"/>
          <w:sz w:val="21"/>
          <w:szCs w:val="21"/>
          <w:highlight w:val="none"/>
          <w:lang w:val="en-US" w:eastAsia="zh-CN" w:bidi="ar-SA"/>
        </w:rPr>
        <w:t>6.4.4-6</w:t>
      </w:r>
      <w:r>
        <w:rPr>
          <w:rFonts w:hint="default" w:ascii="Times New Roman" w:hAnsi="Times New Roman" w:eastAsia="黑体" w:cs="Times New Roman"/>
          <w:b w:val="0"/>
          <w:bCs/>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rPr>
        <w:t>项目</w:t>
      </w:r>
      <w:r>
        <w:rPr>
          <w:rFonts w:hint="default" w:ascii="Times New Roman" w:hAnsi="Times New Roman" w:eastAsia="黑体" w:cs="Times New Roman"/>
          <w:b w:val="0"/>
          <w:bCs/>
          <w:color w:val="auto"/>
          <w:sz w:val="21"/>
          <w:szCs w:val="21"/>
          <w:highlight w:val="none"/>
          <w:lang w:val="en-US" w:eastAsia="zh-CN"/>
        </w:rPr>
        <w:t>锌</w:t>
      </w:r>
      <w:r>
        <w:rPr>
          <w:rFonts w:hint="default" w:ascii="Times New Roman" w:hAnsi="Times New Roman" w:eastAsia="黑体" w:cs="Times New Roman"/>
          <w:b w:val="0"/>
          <w:bCs/>
          <w:color w:val="auto"/>
          <w:sz w:val="21"/>
          <w:szCs w:val="21"/>
          <w:highlight w:val="none"/>
        </w:rPr>
        <w:t>预测对土壤的影响结果一览表  单位</w:t>
      </w:r>
      <w:r>
        <w:rPr>
          <w:rFonts w:hint="default" w:ascii="Times New Roman" w:hAnsi="Times New Roman" w:eastAsia="黑体" w:cs="Times New Roman"/>
          <w:b w:val="0"/>
          <w:bCs/>
          <w:color w:val="auto"/>
          <w:sz w:val="21"/>
          <w:szCs w:val="21"/>
          <w:highlight w:val="none"/>
          <w:lang w:eastAsia="zh-CN"/>
        </w:rPr>
        <w:t>：</w:t>
      </w:r>
      <w:r>
        <w:rPr>
          <w:rFonts w:hint="default" w:ascii="Times New Roman" w:hAnsi="Times New Roman" w:eastAsia="黑体" w:cs="Times New Roman"/>
          <w:b w:val="0"/>
          <w:bCs/>
          <w:color w:val="auto"/>
          <w:sz w:val="21"/>
          <w:szCs w:val="21"/>
          <w:highlight w:val="none"/>
          <w:lang w:val="en-US" w:eastAsia="zh-CN"/>
        </w:rPr>
        <w:t>m</w:t>
      </w:r>
      <w:r>
        <w:rPr>
          <w:rFonts w:hint="default" w:ascii="Times New Roman" w:hAnsi="Times New Roman" w:eastAsia="黑体" w:cs="Times New Roman"/>
          <w:b w:val="0"/>
          <w:bCs/>
          <w:color w:val="auto"/>
          <w:sz w:val="21"/>
          <w:szCs w:val="21"/>
          <w:highlight w:val="none"/>
        </w:rPr>
        <w:t>g/kg</w:t>
      </w:r>
    </w:p>
    <w:tbl>
      <w:tblPr>
        <w:tblStyle w:val="2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94"/>
        <w:gridCol w:w="2228"/>
        <w:gridCol w:w="2297"/>
        <w:gridCol w:w="2379"/>
      </w:tblGrid>
      <w:tr w14:paraId="074A0B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206" w:type="pct"/>
            <w:vMerge w:val="restart"/>
            <w:tcBorders>
              <w:tl2br w:val="nil"/>
              <w:tr2bl w:val="nil"/>
            </w:tcBorders>
            <w:noWrap/>
            <w:tcMar>
              <w:top w:w="15" w:type="dxa"/>
              <w:left w:w="15" w:type="dxa"/>
              <w:bottom w:w="0" w:type="dxa"/>
              <w:right w:w="15" w:type="dxa"/>
            </w:tcMar>
            <w:vAlign w:val="center"/>
          </w:tcPr>
          <w:p w14:paraId="2F2017B6">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污染物</w:t>
            </w:r>
          </w:p>
          <w:p w14:paraId="36888A19">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年限</w:t>
            </w:r>
          </w:p>
        </w:tc>
        <w:tc>
          <w:tcPr>
            <w:tcW w:w="3793" w:type="pct"/>
            <w:gridSpan w:val="3"/>
            <w:tcBorders>
              <w:tl2br w:val="nil"/>
              <w:tr2bl w:val="nil"/>
            </w:tcBorders>
            <w:noWrap/>
            <w:tcMar>
              <w:top w:w="15" w:type="dxa"/>
              <w:left w:w="15" w:type="dxa"/>
              <w:bottom w:w="0" w:type="dxa"/>
              <w:right w:w="15" w:type="dxa"/>
            </w:tcMar>
            <w:vAlign w:val="center"/>
          </w:tcPr>
          <w:p w14:paraId="1AB428E4">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锌</w:t>
            </w:r>
          </w:p>
        </w:tc>
      </w:tr>
      <w:tr w14:paraId="15985F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206" w:type="pct"/>
            <w:vMerge w:val="continue"/>
            <w:tcBorders>
              <w:tl2br w:val="nil"/>
              <w:tr2bl w:val="nil"/>
            </w:tcBorders>
            <w:noWrap/>
            <w:tcMar>
              <w:top w:w="15" w:type="dxa"/>
              <w:left w:w="15" w:type="dxa"/>
              <w:bottom w:w="0" w:type="dxa"/>
              <w:right w:w="15" w:type="dxa"/>
            </w:tcMar>
            <w:vAlign w:val="center"/>
          </w:tcPr>
          <w:p w14:paraId="6A40EA33">
            <w:pPr>
              <w:jc w:val="center"/>
              <w:rPr>
                <w:rFonts w:hint="default" w:ascii="Times New Roman" w:hAnsi="Times New Roman" w:eastAsia="宋体" w:cs="Times New Roman"/>
                <w:color w:val="auto"/>
                <w:sz w:val="18"/>
                <w:szCs w:val="18"/>
                <w:highlight w:val="none"/>
                <w:lang w:val="en-US" w:eastAsia="zh-CN"/>
              </w:rPr>
            </w:pPr>
          </w:p>
        </w:tc>
        <w:tc>
          <w:tcPr>
            <w:tcW w:w="1224" w:type="pct"/>
            <w:tcBorders>
              <w:tl2br w:val="nil"/>
              <w:tr2bl w:val="nil"/>
            </w:tcBorders>
            <w:noWrap/>
            <w:tcMar>
              <w:top w:w="15" w:type="dxa"/>
              <w:left w:w="15" w:type="dxa"/>
              <w:bottom w:w="0" w:type="dxa"/>
              <w:right w:w="15" w:type="dxa"/>
            </w:tcMar>
            <w:vAlign w:val="center"/>
          </w:tcPr>
          <w:p w14:paraId="50CFF870">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Sb（预测值）</w:t>
            </w:r>
          </w:p>
        </w:tc>
        <w:tc>
          <w:tcPr>
            <w:tcW w:w="1262" w:type="pct"/>
            <w:tcBorders>
              <w:tl2br w:val="nil"/>
              <w:tr2bl w:val="nil"/>
            </w:tcBorders>
            <w:noWrap w:val="0"/>
            <w:vAlign w:val="center"/>
          </w:tcPr>
          <w:p w14:paraId="796CB1F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S（现状值）</w:t>
            </w:r>
          </w:p>
        </w:tc>
        <w:tc>
          <w:tcPr>
            <w:tcW w:w="1306" w:type="pct"/>
            <w:tcBorders>
              <w:tl2br w:val="nil"/>
              <w:tr2bl w:val="nil"/>
            </w:tcBorders>
            <w:noWrap w:val="0"/>
            <w:vAlign w:val="center"/>
          </w:tcPr>
          <w:p w14:paraId="7D49BD1F">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ΔS（叠加值）</w:t>
            </w:r>
          </w:p>
        </w:tc>
      </w:tr>
      <w:tr w14:paraId="182819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1206" w:type="pct"/>
            <w:tcBorders>
              <w:tl2br w:val="nil"/>
              <w:tr2bl w:val="nil"/>
            </w:tcBorders>
            <w:noWrap/>
            <w:tcMar>
              <w:top w:w="15" w:type="dxa"/>
              <w:left w:w="15" w:type="dxa"/>
              <w:bottom w:w="0" w:type="dxa"/>
              <w:right w:w="15" w:type="dxa"/>
            </w:tcMar>
            <w:vAlign w:val="center"/>
          </w:tcPr>
          <w:p w14:paraId="0671D691">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224" w:type="pct"/>
            <w:tcBorders>
              <w:tl2br w:val="nil"/>
              <w:tr2bl w:val="nil"/>
            </w:tcBorders>
            <w:noWrap/>
            <w:tcMar>
              <w:top w:w="15" w:type="dxa"/>
              <w:left w:w="15" w:type="dxa"/>
              <w:bottom w:w="0" w:type="dxa"/>
              <w:right w:w="15" w:type="dxa"/>
            </w:tcMar>
            <w:vAlign w:val="center"/>
          </w:tcPr>
          <w:p w14:paraId="777BDAC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cs="Times New Roman"/>
                <w:b w:val="0"/>
                <w:bCs w:val="0"/>
                <w:i w:val="0"/>
                <w:iCs w:val="0"/>
                <w:color w:val="auto"/>
                <w:kern w:val="0"/>
                <w:sz w:val="18"/>
                <w:szCs w:val="18"/>
                <w:u w:val="none"/>
                <w:lang w:val="en-US" w:eastAsia="zh-CN" w:bidi="ar"/>
              </w:rPr>
              <w:t>1.52</w:t>
            </w:r>
            <w:r>
              <w:rPr>
                <w:rFonts w:hint="default" w:ascii="Times New Roman" w:hAnsi="Times New Roman" w:eastAsia="宋体" w:cs="Times New Roman"/>
                <w:b w:val="0"/>
                <w:bCs w:val="0"/>
                <w:i w:val="0"/>
                <w:iCs w:val="0"/>
                <w:color w:val="auto"/>
                <w:kern w:val="0"/>
                <w:sz w:val="18"/>
                <w:szCs w:val="18"/>
                <w:u w:val="none"/>
                <w:lang w:val="en-US" w:eastAsia="zh-CN" w:bidi="ar"/>
              </w:rPr>
              <w:t>E-0</w:t>
            </w:r>
            <w:r>
              <w:rPr>
                <w:rFonts w:hint="default" w:ascii="Times New Roman" w:hAnsi="Times New Roman" w:cs="Times New Roman"/>
                <w:b w:val="0"/>
                <w:bCs w:val="0"/>
                <w:i w:val="0"/>
                <w:iCs w:val="0"/>
                <w:color w:val="auto"/>
                <w:kern w:val="0"/>
                <w:sz w:val="18"/>
                <w:szCs w:val="18"/>
                <w:u w:val="none"/>
                <w:lang w:val="en-US" w:eastAsia="zh-CN" w:bidi="ar"/>
              </w:rPr>
              <w:t>5</w:t>
            </w:r>
          </w:p>
        </w:tc>
        <w:tc>
          <w:tcPr>
            <w:tcW w:w="1262" w:type="pct"/>
            <w:vMerge w:val="restart"/>
            <w:tcBorders>
              <w:tl2br w:val="nil"/>
              <w:tr2bl w:val="nil"/>
            </w:tcBorders>
            <w:noWrap w:val="0"/>
            <w:vAlign w:val="center"/>
          </w:tcPr>
          <w:p w14:paraId="6C72E7E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144</w:t>
            </w:r>
            <w:r>
              <w:rPr>
                <w:rFonts w:hint="default" w:ascii="Times New Roman" w:hAnsi="Times New Roman" w:eastAsia="宋体" w:cs="Times New Roman"/>
                <w:color w:val="auto"/>
                <w:sz w:val="18"/>
                <w:szCs w:val="18"/>
                <w:highlight w:val="none"/>
                <w:lang w:val="en-US" w:eastAsia="zh-CN"/>
              </w:rPr>
              <w:t>（现状值采用厂界外农作地监测的最大值）</w:t>
            </w:r>
          </w:p>
        </w:tc>
        <w:tc>
          <w:tcPr>
            <w:tcW w:w="1306" w:type="pct"/>
            <w:tcBorders>
              <w:tl2br w:val="nil"/>
              <w:tr2bl w:val="nil"/>
            </w:tcBorders>
            <w:noWrap w:val="0"/>
            <w:vAlign w:val="center"/>
          </w:tcPr>
          <w:p w14:paraId="07E706C7">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144.0000152</w:t>
            </w:r>
          </w:p>
        </w:tc>
      </w:tr>
      <w:tr w14:paraId="2ED67B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206" w:type="pct"/>
            <w:tcBorders>
              <w:tl2br w:val="nil"/>
              <w:tr2bl w:val="nil"/>
            </w:tcBorders>
            <w:noWrap/>
            <w:tcMar>
              <w:top w:w="15" w:type="dxa"/>
              <w:left w:w="15" w:type="dxa"/>
              <w:bottom w:w="0" w:type="dxa"/>
              <w:right w:w="15" w:type="dxa"/>
            </w:tcMar>
            <w:vAlign w:val="center"/>
          </w:tcPr>
          <w:p w14:paraId="3A70B73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1224" w:type="pct"/>
            <w:tcBorders>
              <w:tl2br w:val="nil"/>
              <w:tr2bl w:val="nil"/>
            </w:tcBorders>
            <w:noWrap/>
            <w:tcMar>
              <w:top w:w="15" w:type="dxa"/>
              <w:left w:w="15" w:type="dxa"/>
              <w:bottom w:w="0" w:type="dxa"/>
              <w:right w:w="15" w:type="dxa"/>
            </w:tcMar>
            <w:vAlign w:val="center"/>
          </w:tcPr>
          <w:p w14:paraId="2690B2F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cs="Times New Roman"/>
                <w:b w:val="0"/>
                <w:bCs w:val="0"/>
                <w:i w:val="0"/>
                <w:iCs w:val="0"/>
                <w:color w:val="auto"/>
                <w:kern w:val="0"/>
                <w:sz w:val="18"/>
                <w:szCs w:val="18"/>
                <w:u w:val="none"/>
                <w:lang w:val="en-US" w:eastAsia="zh-CN" w:bidi="ar"/>
              </w:rPr>
              <w:t>7.62</w:t>
            </w:r>
            <w:r>
              <w:rPr>
                <w:rFonts w:hint="default" w:ascii="Times New Roman" w:hAnsi="Times New Roman" w:eastAsia="宋体" w:cs="Times New Roman"/>
                <w:b w:val="0"/>
                <w:bCs w:val="0"/>
                <w:i w:val="0"/>
                <w:iCs w:val="0"/>
                <w:color w:val="auto"/>
                <w:kern w:val="0"/>
                <w:sz w:val="18"/>
                <w:szCs w:val="18"/>
                <w:u w:val="none"/>
                <w:lang w:val="en-US" w:eastAsia="zh-CN" w:bidi="ar"/>
              </w:rPr>
              <w:t>E-05</w:t>
            </w:r>
          </w:p>
        </w:tc>
        <w:tc>
          <w:tcPr>
            <w:tcW w:w="1262" w:type="pct"/>
            <w:vMerge w:val="continue"/>
            <w:tcBorders>
              <w:tl2br w:val="nil"/>
              <w:tr2bl w:val="nil"/>
            </w:tcBorders>
            <w:noWrap w:val="0"/>
            <w:vAlign w:val="center"/>
          </w:tcPr>
          <w:p w14:paraId="3DDA1355">
            <w:pPr>
              <w:jc w:val="center"/>
              <w:rPr>
                <w:rFonts w:hint="default" w:ascii="Times New Roman" w:hAnsi="Times New Roman" w:eastAsia="宋体" w:cs="Times New Roman"/>
                <w:color w:val="auto"/>
                <w:sz w:val="18"/>
                <w:szCs w:val="18"/>
                <w:highlight w:val="none"/>
                <w:lang w:val="en-US" w:eastAsia="zh-CN"/>
              </w:rPr>
            </w:pPr>
          </w:p>
        </w:tc>
        <w:tc>
          <w:tcPr>
            <w:tcW w:w="1306" w:type="pct"/>
            <w:tcBorders>
              <w:tl2br w:val="nil"/>
              <w:tr2bl w:val="nil"/>
            </w:tcBorders>
            <w:noWrap w:val="0"/>
            <w:vAlign w:val="center"/>
          </w:tcPr>
          <w:p w14:paraId="2F5F2C9F">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144.0000762</w:t>
            </w:r>
          </w:p>
        </w:tc>
      </w:tr>
      <w:tr w14:paraId="100C45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9" w:hRule="atLeast"/>
        </w:trPr>
        <w:tc>
          <w:tcPr>
            <w:tcW w:w="1206" w:type="pct"/>
            <w:tcBorders>
              <w:tl2br w:val="nil"/>
              <w:tr2bl w:val="nil"/>
            </w:tcBorders>
            <w:noWrap/>
            <w:tcMar>
              <w:top w:w="15" w:type="dxa"/>
              <w:left w:w="15" w:type="dxa"/>
              <w:bottom w:w="0" w:type="dxa"/>
              <w:right w:w="15" w:type="dxa"/>
            </w:tcMar>
            <w:vAlign w:val="center"/>
          </w:tcPr>
          <w:p w14:paraId="2F392B2D">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1224" w:type="pct"/>
            <w:tcBorders>
              <w:tl2br w:val="nil"/>
              <w:tr2bl w:val="nil"/>
            </w:tcBorders>
            <w:noWrap/>
            <w:tcMar>
              <w:top w:w="15" w:type="dxa"/>
              <w:left w:w="15" w:type="dxa"/>
              <w:bottom w:w="0" w:type="dxa"/>
              <w:right w:w="15" w:type="dxa"/>
            </w:tcMar>
            <w:vAlign w:val="center"/>
          </w:tcPr>
          <w:p w14:paraId="6044FC6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cs="Times New Roman"/>
                <w:b w:val="0"/>
                <w:bCs w:val="0"/>
                <w:i w:val="0"/>
                <w:iCs w:val="0"/>
                <w:color w:val="auto"/>
                <w:kern w:val="0"/>
                <w:sz w:val="18"/>
                <w:szCs w:val="18"/>
                <w:u w:val="none"/>
                <w:lang w:val="en-US" w:eastAsia="zh-CN" w:bidi="ar"/>
              </w:rPr>
              <w:t>1.52</w:t>
            </w:r>
            <w:r>
              <w:rPr>
                <w:rFonts w:hint="default" w:ascii="Times New Roman" w:hAnsi="Times New Roman" w:eastAsia="宋体" w:cs="Times New Roman"/>
                <w:b w:val="0"/>
                <w:bCs w:val="0"/>
                <w:i w:val="0"/>
                <w:iCs w:val="0"/>
                <w:color w:val="auto"/>
                <w:kern w:val="0"/>
                <w:sz w:val="18"/>
                <w:szCs w:val="18"/>
                <w:u w:val="none"/>
                <w:lang w:val="en-US" w:eastAsia="zh-CN" w:bidi="ar"/>
              </w:rPr>
              <w:t>E-0</w:t>
            </w:r>
            <w:r>
              <w:rPr>
                <w:rFonts w:hint="default" w:ascii="Times New Roman" w:hAnsi="Times New Roman" w:cs="Times New Roman"/>
                <w:b w:val="0"/>
                <w:bCs w:val="0"/>
                <w:i w:val="0"/>
                <w:iCs w:val="0"/>
                <w:color w:val="auto"/>
                <w:kern w:val="0"/>
                <w:sz w:val="18"/>
                <w:szCs w:val="18"/>
                <w:u w:val="none"/>
                <w:lang w:val="en-US" w:eastAsia="zh-CN" w:bidi="ar"/>
              </w:rPr>
              <w:t>4</w:t>
            </w:r>
          </w:p>
        </w:tc>
        <w:tc>
          <w:tcPr>
            <w:tcW w:w="1262" w:type="pct"/>
            <w:vMerge w:val="continue"/>
            <w:tcBorders>
              <w:tl2br w:val="nil"/>
              <w:tr2bl w:val="nil"/>
            </w:tcBorders>
            <w:noWrap w:val="0"/>
            <w:vAlign w:val="center"/>
          </w:tcPr>
          <w:p w14:paraId="53CEF50D">
            <w:pPr>
              <w:jc w:val="center"/>
              <w:rPr>
                <w:rFonts w:hint="default" w:ascii="Times New Roman" w:hAnsi="Times New Roman" w:eastAsia="宋体" w:cs="Times New Roman"/>
                <w:color w:val="auto"/>
                <w:sz w:val="18"/>
                <w:szCs w:val="18"/>
                <w:highlight w:val="none"/>
                <w:lang w:val="en-US" w:eastAsia="zh-CN"/>
              </w:rPr>
            </w:pPr>
          </w:p>
        </w:tc>
        <w:tc>
          <w:tcPr>
            <w:tcW w:w="1306" w:type="pct"/>
            <w:tcBorders>
              <w:tl2br w:val="nil"/>
              <w:tr2bl w:val="nil"/>
            </w:tcBorders>
            <w:noWrap w:val="0"/>
            <w:vAlign w:val="center"/>
          </w:tcPr>
          <w:p w14:paraId="24E016F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144.000152</w:t>
            </w:r>
          </w:p>
        </w:tc>
      </w:tr>
      <w:tr w14:paraId="783D82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trPr>
        <w:tc>
          <w:tcPr>
            <w:tcW w:w="1206" w:type="pct"/>
            <w:tcBorders>
              <w:tl2br w:val="nil"/>
              <w:tr2bl w:val="nil"/>
            </w:tcBorders>
            <w:noWrap/>
            <w:tcMar>
              <w:top w:w="15" w:type="dxa"/>
              <w:left w:w="15" w:type="dxa"/>
              <w:bottom w:w="0" w:type="dxa"/>
              <w:right w:w="15" w:type="dxa"/>
            </w:tcMar>
            <w:vAlign w:val="center"/>
          </w:tcPr>
          <w:p w14:paraId="68A72739">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1224" w:type="pct"/>
            <w:tcBorders>
              <w:tl2br w:val="nil"/>
              <w:tr2bl w:val="nil"/>
            </w:tcBorders>
            <w:noWrap/>
            <w:tcMar>
              <w:top w:w="15" w:type="dxa"/>
              <w:left w:w="15" w:type="dxa"/>
              <w:bottom w:w="0" w:type="dxa"/>
              <w:right w:w="15" w:type="dxa"/>
            </w:tcMar>
            <w:vAlign w:val="center"/>
          </w:tcPr>
          <w:p w14:paraId="3BA9B61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cs="Times New Roman"/>
                <w:b w:val="0"/>
                <w:bCs w:val="0"/>
                <w:i w:val="0"/>
                <w:iCs w:val="0"/>
                <w:color w:val="auto"/>
                <w:kern w:val="0"/>
                <w:sz w:val="18"/>
                <w:szCs w:val="18"/>
                <w:u w:val="none"/>
                <w:lang w:val="en-US" w:eastAsia="zh-CN" w:bidi="ar"/>
              </w:rPr>
              <w:t>2.29</w:t>
            </w:r>
            <w:r>
              <w:rPr>
                <w:rFonts w:hint="default" w:ascii="Times New Roman" w:hAnsi="Times New Roman" w:eastAsia="宋体" w:cs="Times New Roman"/>
                <w:b w:val="0"/>
                <w:bCs w:val="0"/>
                <w:i w:val="0"/>
                <w:iCs w:val="0"/>
                <w:color w:val="auto"/>
                <w:kern w:val="0"/>
                <w:sz w:val="18"/>
                <w:szCs w:val="18"/>
                <w:u w:val="none"/>
                <w:lang w:val="en-US" w:eastAsia="zh-CN" w:bidi="ar"/>
              </w:rPr>
              <w:t>E-04</w:t>
            </w:r>
          </w:p>
        </w:tc>
        <w:tc>
          <w:tcPr>
            <w:tcW w:w="1262" w:type="pct"/>
            <w:vMerge w:val="continue"/>
            <w:tcBorders>
              <w:tl2br w:val="nil"/>
              <w:tr2bl w:val="nil"/>
            </w:tcBorders>
            <w:noWrap w:val="0"/>
            <w:vAlign w:val="center"/>
          </w:tcPr>
          <w:p w14:paraId="28704C99">
            <w:pPr>
              <w:jc w:val="center"/>
              <w:rPr>
                <w:rFonts w:hint="default" w:ascii="Times New Roman" w:hAnsi="Times New Roman" w:eastAsia="宋体" w:cs="Times New Roman"/>
                <w:color w:val="auto"/>
                <w:sz w:val="18"/>
                <w:szCs w:val="18"/>
                <w:highlight w:val="none"/>
                <w:lang w:val="en-US" w:eastAsia="zh-CN"/>
              </w:rPr>
            </w:pPr>
          </w:p>
        </w:tc>
        <w:tc>
          <w:tcPr>
            <w:tcW w:w="1306" w:type="pct"/>
            <w:tcBorders>
              <w:tl2br w:val="nil"/>
              <w:tr2bl w:val="nil"/>
            </w:tcBorders>
            <w:noWrap w:val="0"/>
            <w:vAlign w:val="center"/>
          </w:tcPr>
          <w:p w14:paraId="36ECCA7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144.000229</w:t>
            </w:r>
          </w:p>
        </w:tc>
      </w:tr>
      <w:tr w14:paraId="239574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206" w:type="pct"/>
            <w:tcBorders>
              <w:tl2br w:val="nil"/>
              <w:tr2bl w:val="nil"/>
            </w:tcBorders>
            <w:noWrap/>
            <w:tcMar>
              <w:top w:w="15" w:type="dxa"/>
              <w:left w:w="15" w:type="dxa"/>
              <w:bottom w:w="0" w:type="dxa"/>
              <w:right w:w="15" w:type="dxa"/>
            </w:tcMar>
            <w:vAlign w:val="center"/>
          </w:tcPr>
          <w:p w14:paraId="3A4B988E">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GB</w:t>
            </w:r>
            <w:r>
              <w:rPr>
                <w:rFonts w:hint="default"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lang w:val="zh-CN" w:eastAsia="zh-CN"/>
              </w:rPr>
              <w:t>15618-2018筛选值</w:t>
            </w:r>
          </w:p>
        </w:tc>
        <w:tc>
          <w:tcPr>
            <w:tcW w:w="3793" w:type="pct"/>
            <w:gridSpan w:val="3"/>
            <w:tcBorders>
              <w:tl2br w:val="nil"/>
              <w:tr2bl w:val="nil"/>
            </w:tcBorders>
            <w:noWrap/>
            <w:tcMar>
              <w:top w:w="15" w:type="dxa"/>
              <w:left w:w="15" w:type="dxa"/>
              <w:bottom w:w="0" w:type="dxa"/>
              <w:right w:w="15" w:type="dxa"/>
            </w:tcMar>
            <w:vAlign w:val="center"/>
          </w:tcPr>
          <w:p w14:paraId="7AA9012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250</w:t>
            </w:r>
          </w:p>
        </w:tc>
      </w:tr>
      <w:tr w14:paraId="47F73F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206" w:type="pct"/>
            <w:tcBorders>
              <w:tl2br w:val="nil"/>
              <w:tr2bl w:val="nil"/>
            </w:tcBorders>
            <w:noWrap/>
            <w:tcMar>
              <w:top w:w="15" w:type="dxa"/>
              <w:left w:w="15" w:type="dxa"/>
              <w:bottom w:w="0" w:type="dxa"/>
              <w:right w:w="15" w:type="dxa"/>
            </w:tcMar>
            <w:vAlign w:val="center"/>
          </w:tcPr>
          <w:p w14:paraId="7D681A4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GB</w:t>
            </w:r>
            <w:r>
              <w:rPr>
                <w:rFonts w:hint="default"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lang w:val="zh-CN" w:eastAsia="zh-CN"/>
              </w:rPr>
              <w:t>15618-2018</w:t>
            </w:r>
            <w:r>
              <w:rPr>
                <w:rFonts w:hint="default" w:ascii="Times New Roman" w:hAnsi="Times New Roman" w:eastAsia="宋体" w:cs="Times New Roman"/>
                <w:color w:val="auto"/>
                <w:sz w:val="18"/>
                <w:szCs w:val="18"/>
                <w:highlight w:val="none"/>
                <w:lang w:val="en-US" w:eastAsia="zh-CN"/>
              </w:rPr>
              <w:t>管控值</w:t>
            </w:r>
          </w:p>
        </w:tc>
        <w:tc>
          <w:tcPr>
            <w:tcW w:w="3793" w:type="pct"/>
            <w:gridSpan w:val="3"/>
            <w:tcBorders>
              <w:tl2br w:val="nil"/>
              <w:tr2bl w:val="nil"/>
            </w:tcBorders>
            <w:noWrap/>
            <w:tcMar>
              <w:top w:w="15" w:type="dxa"/>
              <w:left w:w="15" w:type="dxa"/>
              <w:bottom w:w="0" w:type="dxa"/>
              <w:right w:w="15" w:type="dxa"/>
            </w:tcMar>
            <w:vAlign w:val="center"/>
          </w:tcPr>
          <w:p w14:paraId="3708B9B8">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bl>
    <w:p w14:paraId="22550C31">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eastAsia="宋体" w:cs="Times New Roman"/>
          <w:color w:val="auto"/>
          <w:sz w:val="24"/>
          <w:szCs w:val="24"/>
          <w:lang w:bidi="ar"/>
        </w:rPr>
        <w:t>根据上表可知，在考虑项目排放的</w:t>
      </w:r>
      <w:r>
        <w:rPr>
          <w:rFonts w:hint="default" w:ascii="Times New Roman" w:hAnsi="Times New Roman" w:eastAsia="宋体" w:cs="Times New Roman"/>
          <w:color w:val="auto"/>
          <w:sz w:val="24"/>
          <w:szCs w:val="24"/>
          <w:lang w:val="en-US" w:eastAsia="zh-CN" w:bidi="ar"/>
        </w:rPr>
        <w:t>锌</w:t>
      </w:r>
      <w:r>
        <w:rPr>
          <w:rFonts w:hint="default" w:ascii="Times New Roman" w:hAnsi="Times New Roman" w:eastAsia="宋体" w:cs="Times New Roman"/>
          <w:color w:val="auto"/>
          <w:sz w:val="24"/>
          <w:szCs w:val="24"/>
          <w:lang w:bidi="ar"/>
        </w:rPr>
        <w:t>全部进入土壤的情况下，</w:t>
      </w:r>
      <w:r>
        <w:rPr>
          <w:rFonts w:hint="default" w:ascii="Times New Roman" w:hAnsi="Times New Roman" w:eastAsia="宋体" w:cs="Times New Roman"/>
          <w:color w:val="auto"/>
          <w:sz w:val="24"/>
          <w:szCs w:val="24"/>
          <w:lang w:val="en-US" w:eastAsia="zh-CN" w:bidi="ar"/>
        </w:rPr>
        <w:t>项目运营15年后对评价范围内土壤最大贡献值为2.29E-04</w:t>
      </w:r>
      <w:r>
        <w:rPr>
          <w:rFonts w:hint="default" w:ascii="Times New Roman" w:hAnsi="Times New Roman" w:eastAsia="宋体" w:cs="Times New Roman"/>
          <w:color w:val="auto"/>
          <w:sz w:val="24"/>
          <w:szCs w:val="24"/>
          <w:lang w:bidi="ar"/>
        </w:rPr>
        <w:t>mg/kg</w:t>
      </w:r>
      <w:r>
        <w:rPr>
          <w:rFonts w:hint="default" w:ascii="Times New Roman" w:hAnsi="Times New Roman" w:eastAsia="宋体" w:cs="Times New Roman"/>
          <w:color w:val="auto"/>
          <w:sz w:val="24"/>
          <w:szCs w:val="24"/>
          <w:lang w:val="en-US" w:eastAsia="zh-CN" w:bidi="ar"/>
        </w:rPr>
        <w:t>，叠加背景值后，锌的</w:t>
      </w:r>
      <w:r>
        <w:rPr>
          <w:rFonts w:hint="default" w:ascii="Times New Roman" w:hAnsi="Times New Roman" w:eastAsia="宋体" w:cs="Times New Roman"/>
          <w:color w:val="auto"/>
          <w:sz w:val="24"/>
          <w:szCs w:val="24"/>
          <w:lang w:bidi="ar"/>
        </w:rPr>
        <w:t>最大</w:t>
      </w:r>
      <w:r>
        <w:rPr>
          <w:rFonts w:hint="default" w:ascii="Times New Roman" w:hAnsi="Times New Roman" w:eastAsia="宋体" w:cs="Times New Roman"/>
          <w:color w:val="auto"/>
          <w:sz w:val="24"/>
          <w:szCs w:val="24"/>
          <w:lang w:val="en-US" w:eastAsia="zh-CN" w:bidi="ar"/>
        </w:rPr>
        <w:t>预测</w:t>
      </w:r>
      <w:r>
        <w:rPr>
          <w:rFonts w:hint="default" w:ascii="Times New Roman" w:hAnsi="Times New Roman" w:eastAsia="宋体" w:cs="Times New Roman"/>
          <w:color w:val="auto"/>
          <w:sz w:val="24"/>
          <w:szCs w:val="24"/>
          <w:lang w:bidi="ar"/>
        </w:rPr>
        <w:t>值</w:t>
      </w:r>
      <w:r>
        <w:rPr>
          <w:rFonts w:hint="default" w:ascii="Times New Roman" w:hAnsi="Times New Roman" w:eastAsia="宋体" w:cs="Times New Roman"/>
          <w:color w:val="auto"/>
          <w:sz w:val="24"/>
          <w:szCs w:val="24"/>
          <w:lang w:val="en-US" w:eastAsia="zh-CN" w:bidi="ar"/>
        </w:rPr>
        <w:t>为144.000229</w:t>
      </w:r>
      <w:r>
        <w:rPr>
          <w:rFonts w:hint="default" w:ascii="Times New Roman" w:hAnsi="Times New Roman" w:eastAsia="宋体" w:cs="Times New Roman"/>
          <w:color w:val="auto"/>
          <w:sz w:val="24"/>
          <w:szCs w:val="24"/>
          <w:lang w:bidi="ar"/>
        </w:rPr>
        <w:t>mg/kg</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项目在正常情况下，土壤中</w:t>
      </w:r>
      <w:r>
        <w:rPr>
          <w:rFonts w:hint="default" w:ascii="Times New Roman" w:hAnsi="Times New Roman" w:eastAsia="宋体" w:cs="Times New Roman"/>
          <w:color w:val="auto"/>
          <w:sz w:val="24"/>
          <w:szCs w:val="24"/>
          <w:lang w:val="en-US" w:eastAsia="zh-CN" w:bidi="ar"/>
        </w:rPr>
        <w:t>锌15</w:t>
      </w:r>
      <w:r>
        <w:rPr>
          <w:rFonts w:hint="default" w:ascii="Times New Roman" w:hAnsi="Times New Roman" w:eastAsia="宋体" w:cs="Times New Roman"/>
          <w:color w:val="auto"/>
          <w:sz w:val="24"/>
          <w:szCs w:val="24"/>
          <w:lang w:bidi="ar"/>
        </w:rPr>
        <w:t>年后累积值</w:t>
      </w:r>
      <w:r>
        <w:rPr>
          <w:rFonts w:hint="default" w:ascii="Times New Roman" w:hAnsi="Times New Roman" w:eastAsia="宋体" w:cs="Times New Roman"/>
          <w:color w:val="auto"/>
          <w:sz w:val="24"/>
          <w:szCs w:val="24"/>
          <w:lang w:val="en-US" w:eastAsia="zh-CN" w:bidi="ar"/>
        </w:rPr>
        <w:t>低于</w:t>
      </w:r>
      <w:r>
        <w:rPr>
          <w:rFonts w:hint="default" w:ascii="Times New Roman" w:hAnsi="Times New Roman" w:eastAsia="宋体" w:cs="Times New Roman"/>
          <w:bCs/>
          <w:color w:val="auto"/>
          <w:kern w:val="0"/>
          <w:sz w:val="24"/>
          <w:szCs w:val="24"/>
          <w:highlight w:val="none"/>
          <w:lang w:val="zh-CN" w:eastAsia="zh-CN" w:bidi="ar-SA"/>
        </w:rPr>
        <w:t>《土壤环境质量农用地土壤污染风险管控标准》（GB</w:t>
      </w:r>
      <w:r>
        <w:rPr>
          <w:rFonts w:hint="default" w:ascii="Times New Roman" w:hAnsi="Times New Roman" w:eastAsia="宋体" w:cs="Times New Roman"/>
          <w:bCs/>
          <w:color w:val="auto"/>
          <w:kern w:val="0"/>
          <w:sz w:val="24"/>
          <w:szCs w:val="24"/>
          <w:highlight w:val="none"/>
          <w:lang w:val="en-US" w:eastAsia="zh-CN" w:bidi="ar-SA"/>
        </w:rPr>
        <w:t xml:space="preserve"> </w:t>
      </w:r>
      <w:r>
        <w:rPr>
          <w:rFonts w:hint="default" w:ascii="Times New Roman" w:hAnsi="Times New Roman" w:eastAsia="宋体" w:cs="Times New Roman"/>
          <w:bCs/>
          <w:color w:val="auto"/>
          <w:kern w:val="0"/>
          <w:sz w:val="24"/>
          <w:szCs w:val="24"/>
          <w:highlight w:val="none"/>
          <w:lang w:val="zh-CN" w:eastAsia="zh-CN" w:bidi="ar-SA"/>
        </w:rPr>
        <w:t>15618-2018）风险筛选值标准</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项目运营过程中排放的锌</w:t>
      </w:r>
      <w:r>
        <w:rPr>
          <w:rFonts w:hint="default" w:ascii="Times New Roman" w:hAnsi="Times New Roman" w:eastAsia="宋体" w:cs="Times New Roman"/>
          <w:color w:val="auto"/>
          <w:sz w:val="24"/>
          <w:szCs w:val="24"/>
          <w:lang w:bidi="ar"/>
        </w:rPr>
        <w:t>对周边土壤的累积影响较小</w:t>
      </w:r>
      <w:r>
        <w:rPr>
          <w:rFonts w:hint="default" w:ascii="Times New Roman" w:hAnsi="Times New Roman" w:eastAsia="宋体" w:cs="Times New Roman"/>
          <w:color w:val="auto"/>
          <w:sz w:val="24"/>
          <w:szCs w:val="24"/>
          <w:lang w:val="en-US" w:eastAsia="zh-CN" w:bidi="ar"/>
        </w:rPr>
        <w:t>。</w:t>
      </w:r>
    </w:p>
    <w:p w14:paraId="0D51E0D5">
      <w:pPr>
        <w:spacing w:line="360" w:lineRule="auto"/>
        <w:ind w:firstLine="49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⑤铁</w:t>
      </w:r>
      <w:r>
        <w:rPr>
          <w:rFonts w:hint="default" w:ascii="Times New Roman" w:hAnsi="Times New Roman" w:cs="Times New Roman"/>
          <w:color w:val="auto"/>
          <w:sz w:val="24"/>
          <w:szCs w:val="24"/>
        </w:rPr>
        <w:t>的预测结果</w:t>
      </w:r>
    </w:p>
    <w:p w14:paraId="71BAD9D0">
      <w:pPr>
        <w:spacing w:line="360" w:lineRule="auto"/>
        <w:ind w:firstLine="49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根据以上预测公式及参数，项目排放的特征污染物</w:t>
      </w:r>
      <w:r>
        <w:rPr>
          <w:rFonts w:hint="default" w:ascii="Times New Roman" w:hAnsi="Times New Roman" w:cs="Times New Roman"/>
          <w:color w:val="auto"/>
          <w:sz w:val="24"/>
          <w:szCs w:val="24"/>
          <w:highlight w:val="none"/>
          <w:lang w:val="en-US" w:eastAsia="zh-CN"/>
        </w:rPr>
        <w:t>铁</w:t>
      </w:r>
      <w:r>
        <w:rPr>
          <w:rFonts w:hint="default" w:ascii="Times New Roman" w:hAnsi="Times New Roman" w:cs="Times New Roman"/>
          <w:color w:val="auto"/>
          <w:sz w:val="24"/>
          <w:szCs w:val="24"/>
          <w:highlight w:val="none"/>
        </w:rPr>
        <w:t>对土壤的预测结果如下：</w:t>
      </w:r>
    </w:p>
    <w:p w14:paraId="6F55CB89">
      <w:pPr>
        <w:adjustRightInd w:val="0"/>
        <w:snapToGrid w:val="0"/>
        <w:spacing w:line="360" w:lineRule="auto"/>
        <w:ind w:firstLine="430" w:firstLineChars="200"/>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highlight w:val="none"/>
        </w:rPr>
        <w:t>表</w:t>
      </w:r>
      <w:r>
        <w:rPr>
          <w:rFonts w:hint="default" w:ascii="Times New Roman" w:hAnsi="Times New Roman" w:eastAsia="黑体" w:cs="Times New Roman"/>
          <w:b w:val="0"/>
          <w:bCs/>
          <w:color w:val="auto"/>
          <w:kern w:val="2"/>
          <w:sz w:val="21"/>
          <w:szCs w:val="21"/>
          <w:highlight w:val="none"/>
          <w:lang w:val="en-US" w:eastAsia="zh-CN" w:bidi="ar-SA"/>
        </w:rPr>
        <w:t>6.4.4-7</w:t>
      </w:r>
      <w:r>
        <w:rPr>
          <w:rFonts w:hint="default" w:ascii="Times New Roman" w:hAnsi="Times New Roman" w:eastAsia="黑体" w:cs="Times New Roman"/>
          <w:b w:val="0"/>
          <w:bCs/>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rPr>
        <w:t>项目</w:t>
      </w:r>
      <w:r>
        <w:rPr>
          <w:rFonts w:hint="default" w:ascii="Times New Roman" w:hAnsi="Times New Roman" w:eastAsia="黑体" w:cs="Times New Roman"/>
          <w:b w:val="0"/>
          <w:bCs/>
          <w:color w:val="auto"/>
          <w:sz w:val="21"/>
          <w:szCs w:val="21"/>
          <w:highlight w:val="none"/>
          <w:lang w:val="en-US" w:eastAsia="zh-CN"/>
        </w:rPr>
        <w:t>铁</w:t>
      </w:r>
      <w:r>
        <w:rPr>
          <w:rFonts w:hint="default" w:ascii="Times New Roman" w:hAnsi="Times New Roman" w:eastAsia="黑体" w:cs="Times New Roman"/>
          <w:b w:val="0"/>
          <w:bCs/>
          <w:color w:val="auto"/>
          <w:sz w:val="21"/>
          <w:szCs w:val="21"/>
          <w:highlight w:val="none"/>
        </w:rPr>
        <w:t>预测对土壤的影响结果一览表  单位</w:t>
      </w:r>
      <w:r>
        <w:rPr>
          <w:rFonts w:hint="default" w:ascii="Times New Roman" w:hAnsi="Times New Roman" w:eastAsia="黑体" w:cs="Times New Roman"/>
          <w:b w:val="0"/>
          <w:bCs/>
          <w:color w:val="auto"/>
          <w:sz w:val="21"/>
          <w:szCs w:val="21"/>
          <w:highlight w:val="none"/>
          <w:lang w:eastAsia="zh-CN"/>
        </w:rPr>
        <w:t>：</w:t>
      </w:r>
      <w:r>
        <w:rPr>
          <w:rFonts w:hint="default" w:ascii="Times New Roman" w:hAnsi="Times New Roman" w:eastAsia="黑体" w:cs="Times New Roman"/>
          <w:b w:val="0"/>
          <w:bCs/>
          <w:color w:val="auto"/>
          <w:sz w:val="21"/>
          <w:szCs w:val="21"/>
          <w:highlight w:val="none"/>
          <w:lang w:val="en-US" w:eastAsia="zh-CN"/>
        </w:rPr>
        <w:t>m</w:t>
      </w:r>
      <w:r>
        <w:rPr>
          <w:rFonts w:hint="default" w:ascii="Times New Roman" w:hAnsi="Times New Roman" w:eastAsia="黑体" w:cs="Times New Roman"/>
          <w:b w:val="0"/>
          <w:bCs/>
          <w:color w:val="auto"/>
          <w:sz w:val="21"/>
          <w:szCs w:val="21"/>
          <w:highlight w:val="none"/>
        </w:rPr>
        <w:t>g/kg</w:t>
      </w:r>
    </w:p>
    <w:tbl>
      <w:tblPr>
        <w:tblStyle w:val="29"/>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93"/>
        <w:gridCol w:w="2227"/>
        <w:gridCol w:w="2297"/>
        <w:gridCol w:w="2380"/>
      </w:tblGrid>
      <w:tr w14:paraId="5DEBD5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205" w:type="pct"/>
            <w:vMerge w:val="restart"/>
            <w:tcBorders>
              <w:tl2br w:val="nil"/>
              <w:tr2bl w:val="nil"/>
            </w:tcBorders>
            <w:noWrap/>
            <w:tcMar>
              <w:top w:w="15" w:type="dxa"/>
              <w:left w:w="15" w:type="dxa"/>
              <w:bottom w:w="0" w:type="dxa"/>
              <w:right w:w="15" w:type="dxa"/>
            </w:tcMar>
            <w:vAlign w:val="center"/>
          </w:tcPr>
          <w:p w14:paraId="211BC77D">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污染物</w:t>
            </w:r>
          </w:p>
          <w:p w14:paraId="76451276">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年限</w:t>
            </w:r>
          </w:p>
        </w:tc>
        <w:tc>
          <w:tcPr>
            <w:tcW w:w="3794" w:type="pct"/>
            <w:gridSpan w:val="3"/>
            <w:tcBorders>
              <w:tl2br w:val="nil"/>
              <w:tr2bl w:val="nil"/>
            </w:tcBorders>
            <w:noWrap/>
            <w:tcMar>
              <w:top w:w="15" w:type="dxa"/>
              <w:left w:w="15" w:type="dxa"/>
              <w:bottom w:w="0" w:type="dxa"/>
              <w:right w:w="15" w:type="dxa"/>
            </w:tcMar>
            <w:vAlign w:val="center"/>
          </w:tcPr>
          <w:p w14:paraId="6C2092E9">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铁</w:t>
            </w:r>
          </w:p>
        </w:tc>
      </w:tr>
      <w:tr w14:paraId="376392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205" w:type="pct"/>
            <w:vMerge w:val="continue"/>
            <w:tcBorders>
              <w:tl2br w:val="nil"/>
              <w:tr2bl w:val="nil"/>
            </w:tcBorders>
            <w:noWrap/>
            <w:tcMar>
              <w:top w:w="15" w:type="dxa"/>
              <w:left w:w="15" w:type="dxa"/>
              <w:bottom w:w="0" w:type="dxa"/>
              <w:right w:w="15" w:type="dxa"/>
            </w:tcMar>
            <w:vAlign w:val="center"/>
          </w:tcPr>
          <w:p w14:paraId="60BB6C22">
            <w:pPr>
              <w:jc w:val="center"/>
              <w:rPr>
                <w:rFonts w:hint="default" w:ascii="Times New Roman" w:hAnsi="Times New Roman" w:eastAsia="宋体" w:cs="Times New Roman"/>
                <w:color w:val="auto"/>
                <w:sz w:val="18"/>
                <w:szCs w:val="18"/>
                <w:highlight w:val="none"/>
                <w:lang w:val="en-US" w:eastAsia="zh-CN"/>
              </w:rPr>
            </w:pPr>
          </w:p>
        </w:tc>
        <w:tc>
          <w:tcPr>
            <w:tcW w:w="1224" w:type="pct"/>
            <w:tcBorders>
              <w:tl2br w:val="nil"/>
              <w:tr2bl w:val="nil"/>
            </w:tcBorders>
            <w:noWrap/>
            <w:tcMar>
              <w:top w:w="15" w:type="dxa"/>
              <w:left w:w="15" w:type="dxa"/>
              <w:bottom w:w="0" w:type="dxa"/>
              <w:right w:w="15" w:type="dxa"/>
            </w:tcMar>
            <w:vAlign w:val="center"/>
          </w:tcPr>
          <w:p w14:paraId="2FC24599">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Sb（预测值）</w:t>
            </w:r>
          </w:p>
        </w:tc>
        <w:tc>
          <w:tcPr>
            <w:tcW w:w="1262" w:type="pct"/>
            <w:tcBorders>
              <w:tl2br w:val="nil"/>
              <w:tr2bl w:val="nil"/>
            </w:tcBorders>
            <w:noWrap w:val="0"/>
            <w:vAlign w:val="center"/>
          </w:tcPr>
          <w:p w14:paraId="75D4CAD5">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S（现状值）</w:t>
            </w:r>
          </w:p>
        </w:tc>
        <w:tc>
          <w:tcPr>
            <w:tcW w:w="1307" w:type="pct"/>
            <w:tcBorders>
              <w:tl2br w:val="nil"/>
              <w:tr2bl w:val="nil"/>
            </w:tcBorders>
            <w:noWrap w:val="0"/>
            <w:vAlign w:val="center"/>
          </w:tcPr>
          <w:p w14:paraId="0C4B636A">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ΔS（叠加值）</w:t>
            </w:r>
          </w:p>
        </w:tc>
      </w:tr>
      <w:tr w14:paraId="61D358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1205" w:type="pct"/>
            <w:tcBorders>
              <w:tl2br w:val="nil"/>
              <w:tr2bl w:val="nil"/>
            </w:tcBorders>
            <w:noWrap/>
            <w:tcMar>
              <w:top w:w="15" w:type="dxa"/>
              <w:left w:w="15" w:type="dxa"/>
              <w:bottom w:w="0" w:type="dxa"/>
              <w:right w:w="15" w:type="dxa"/>
            </w:tcMar>
            <w:vAlign w:val="center"/>
          </w:tcPr>
          <w:p w14:paraId="31B503CE">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224" w:type="pct"/>
            <w:tcBorders>
              <w:tl2br w:val="nil"/>
              <w:tr2bl w:val="nil"/>
            </w:tcBorders>
            <w:noWrap/>
            <w:tcMar>
              <w:top w:w="15" w:type="dxa"/>
              <w:left w:w="15" w:type="dxa"/>
              <w:bottom w:w="0" w:type="dxa"/>
              <w:right w:w="15" w:type="dxa"/>
            </w:tcMar>
            <w:vAlign w:val="center"/>
          </w:tcPr>
          <w:p w14:paraId="20EEF36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cs="Times New Roman"/>
                <w:b w:val="0"/>
                <w:bCs w:val="0"/>
                <w:i w:val="0"/>
                <w:iCs w:val="0"/>
                <w:color w:val="auto"/>
                <w:kern w:val="0"/>
                <w:sz w:val="18"/>
                <w:szCs w:val="18"/>
                <w:u w:val="none"/>
                <w:lang w:val="en-US" w:eastAsia="zh-CN" w:bidi="ar"/>
              </w:rPr>
              <w:t>2.26</w:t>
            </w:r>
            <w:r>
              <w:rPr>
                <w:rFonts w:hint="default" w:ascii="Times New Roman" w:hAnsi="Times New Roman" w:eastAsia="宋体" w:cs="Times New Roman"/>
                <w:b w:val="0"/>
                <w:bCs w:val="0"/>
                <w:i w:val="0"/>
                <w:iCs w:val="0"/>
                <w:color w:val="auto"/>
                <w:kern w:val="0"/>
                <w:sz w:val="18"/>
                <w:szCs w:val="18"/>
                <w:u w:val="none"/>
                <w:lang w:val="en-US" w:eastAsia="zh-CN" w:bidi="ar"/>
              </w:rPr>
              <w:t>E-0</w:t>
            </w:r>
            <w:r>
              <w:rPr>
                <w:rFonts w:hint="default" w:ascii="Times New Roman" w:hAnsi="Times New Roman" w:cs="Times New Roman"/>
                <w:b w:val="0"/>
                <w:bCs w:val="0"/>
                <w:i w:val="0"/>
                <w:iCs w:val="0"/>
                <w:color w:val="auto"/>
                <w:kern w:val="0"/>
                <w:sz w:val="18"/>
                <w:szCs w:val="18"/>
                <w:u w:val="none"/>
                <w:lang w:val="en-US" w:eastAsia="zh-CN" w:bidi="ar"/>
              </w:rPr>
              <w:t>1</w:t>
            </w:r>
          </w:p>
        </w:tc>
        <w:tc>
          <w:tcPr>
            <w:tcW w:w="1262" w:type="pct"/>
            <w:vMerge w:val="restart"/>
            <w:tcBorders>
              <w:tl2br w:val="nil"/>
              <w:tr2bl w:val="nil"/>
            </w:tcBorders>
            <w:noWrap w:val="0"/>
            <w:vAlign w:val="center"/>
          </w:tcPr>
          <w:p w14:paraId="005E57DA">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44.4</w:t>
            </w:r>
            <w:r>
              <w:rPr>
                <w:rFonts w:hint="default" w:ascii="Times New Roman" w:hAnsi="Times New Roman" w:eastAsia="宋体" w:cs="Times New Roman"/>
                <w:color w:val="auto"/>
                <w:sz w:val="18"/>
                <w:szCs w:val="18"/>
                <w:highlight w:val="none"/>
                <w:lang w:val="en-US" w:eastAsia="zh-CN"/>
              </w:rPr>
              <w:t>（现状值采用厂界外农作地监测的最大值）</w:t>
            </w:r>
          </w:p>
        </w:tc>
        <w:tc>
          <w:tcPr>
            <w:tcW w:w="1307" w:type="pct"/>
            <w:tcBorders>
              <w:tl2br w:val="nil"/>
              <w:tr2bl w:val="nil"/>
            </w:tcBorders>
            <w:noWrap w:val="0"/>
            <w:vAlign w:val="center"/>
          </w:tcPr>
          <w:p w14:paraId="68A873FA">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44.626</w:t>
            </w:r>
          </w:p>
        </w:tc>
      </w:tr>
      <w:tr w14:paraId="06FDDC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205" w:type="pct"/>
            <w:tcBorders>
              <w:tl2br w:val="nil"/>
              <w:tr2bl w:val="nil"/>
            </w:tcBorders>
            <w:noWrap/>
            <w:tcMar>
              <w:top w:w="15" w:type="dxa"/>
              <w:left w:w="15" w:type="dxa"/>
              <w:bottom w:w="0" w:type="dxa"/>
              <w:right w:w="15" w:type="dxa"/>
            </w:tcMar>
            <w:vAlign w:val="center"/>
          </w:tcPr>
          <w:p w14:paraId="18588047">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1224" w:type="pct"/>
            <w:tcBorders>
              <w:tl2br w:val="nil"/>
              <w:tr2bl w:val="nil"/>
            </w:tcBorders>
            <w:noWrap/>
            <w:tcMar>
              <w:top w:w="15" w:type="dxa"/>
              <w:left w:w="15" w:type="dxa"/>
              <w:bottom w:w="0" w:type="dxa"/>
              <w:right w:w="15" w:type="dxa"/>
            </w:tcMar>
            <w:vAlign w:val="center"/>
          </w:tcPr>
          <w:p w14:paraId="5FC35AD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cs="Times New Roman"/>
                <w:b w:val="0"/>
                <w:bCs w:val="0"/>
                <w:i w:val="0"/>
                <w:iCs w:val="0"/>
                <w:color w:val="auto"/>
                <w:kern w:val="0"/>
                <w:sz w:val="18"/>
                <w:szCs w:val="18"/>
                <w:u w:val="none"/>
                <w:lang w:val="en-US" w:eastAsia="zh-CN" w:bidi="ar"/>
              </w:rPr>
              <w:t>1.13</w:t>
            </w:r>
          </w:p>
        </w:tc>
        <w:tc>
          <w:tcPr>
            <w:tcW w:w="1262" w:type="pct"/>
            <w:vMerge w:val="continue"/>
            <w:tcBorders>
              <w:tl2br w:val="nil"/>
              <w:tr2bl w:val="nil"/>
            </w:tcBorders>
            <w:noWrap w:val="0"/>
            <w:vAlign w:val="center"/>
          </w:tcPr>
          <w:p w14:paraId="448BBB10">
            <w:pPr>
              <w:jc w:val="center"/>
              <w:rPr>
                <w:rFonts w:hint="default" w:ascii="Times New Roman" w:hAnsi="Times New Roman" w:eastAsia="宋体" w:cs="Times New Roman"/>
                <w:color w:val="auto"/>
                <w:sz w:val="18"/>
                <w:szCs w:val="18"/>
                <w:highlight w:val="none"/>
                <w:lang w:val="en-US" w:eastAsia="zh-CN"/>
              </w:rPr>
            </w:pPr>
          </w:p>
        </w:tc>
        <w:tc>
          <w:tcPr>
            <w:tcW w:w="1307" w:type="pct"/>
            <w:tcBorders>
              <w:tl2br w:val="nil"/>
              <w:tr2bl w:val="nil"/>
            </w:tcBorders>
            <w:noWrap w:val="0"/>
            <w:vAlign w:val="center"/>
          </w:tcPr>
          <w:p w14:paraId="502698D1">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45.53</w:t>
            </w:r>
          </w:p>
        </w:tc>
      </w:tr>
      <w:tr w14:paraId="4D635B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9" w:hRule="atLeast"/>
        </w:trPr>
        <w:tc>
          <w:tcPr>
            <w:tcW w:w="1205" w:type="pct"/>
            <w:tcBorders>
              <w:tl2br w:val="nil"/>
              <w:tr2bl w:val="nil"/>
            </w:tcBorders>
            <w:noWrap/>
            <w:tcMar>
              <w:top w:w="15" w:type="dxa"/>
              <w:left w:w="15" w:type="dxa"/>
              <w:bottom w:w="0" w:type="dxa"/>
              <w:right w:w="15" w:type="dxa"/>
            </w:tcMar>
            <w:vAlign w:val="center"/>
          </w:tcPr>
          <w:p w14:paraId="5002283B">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1224" w:type="pct"/>
            <w:tcBorders>
              <w:tl2br w:val="nil"/>
              <w:tr2bl w:val="nil"/>
            </w:tcBorders>
            <w:noWrap/>
            <w:tcMar>
              <w:top w:w="15" w:type="dxa"/>
              <w:left w:w="15" w:type="dxa"/>
              <w:bottom w:w="0" w:type="dxa"/>
              <w:right w:w="15" w:type="dxa"/>
            </w:tcMar>
            <w:vAlign w:val="center"/>
          </w:tcPr>
          <w:p w14:paraId="5260E44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cs="Times New Roman"/>
                <w:b w:val="0"/>
                <w:bCs w:val="0"/>
                <w:i w:val="0"/>
                <w:iCs w:val="0"/>
                <w:color w:val="auto"/>
                <w:kern w:val="0"/>
                <w:sz w:val="18"/>
                <w:szCs w:val="18"/>
                <w:u w:val="none"/>
                <w:lang w:val="en-US" w:eastAsia="zh-CN" w:bidi="ar"/>
              </w:rPr>
              <w:t>2.26</w:t>
            </w:r>
          </w:p>
        </w:tc>
        <w:tc>
          <w:tcPr>
            <w:tcW w:w="1262" w:type="pct"/>
            <w:vMerge w:val="continue"/>
            <w:tcBorders>
              <w:tl2br w:val="nil"/>
              <w:tr2bl w:val="nil"/>
            </w:tcBorders>
            <w:noWrap w:val="0"/>
            <w:vAlign w:val="center"/>
          </w:tcPr>
          <w:p w14:paraId="6275A00B">
            <w:pPr>
              <w:jc w:val="center"/>
              <w:rPr>
                <w:rFonts w:hint="default" w:ascii="Times New Roman" w:hAnsi="Times New Roman" w:eastAsia="宋体" w:cs="Times New Roman"/>
                <w:color w:val="auto"/>
                <w:sz w:val="18"/>
                <w:szCs w:val="18"/>
                <w:highlight w:val="none"/>
                <w:lang w:val="en-US" w:eastAsia="zh-CN"/>
              </w:rPr>
            </w:pPr>
          </w:p>
        </w:tc>
        <w:tc>
          <w:tcPr>
            <w:tcW w:w="1307" w:type="pct"/>
            <w:tcBorders>
              <w:tl2br w:val="nil"/>
              <w:tr2bl w:val="nil"/>
            </w:tcBorders>
            <w:noWrap w:val="0"/>
            <w:vAlign w:val="center"/>
          </w:tcPr>
          <w:p w14:paraId="3D0BCA9E">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46.66</w:t>
            </w:r>
          </w:p>
        </w:tc>
      </w:tr>
      <w:tr w14:paraId="227FC8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1205" w:type="pct"/>
            <w:tcBorders>
              <w:tl2br w:val="nil"/>
              <w:tr2bl w:val="nil"/>
            </w:tcBorders>
            <w:noWrap/>
            <w:tcMar>
              <w:top w:w="15" w:type="dxa"/>
              <w:left w:w="15" w:type="dxa"/>
              <w:bottom w:w="0" w:type="dxa"/>
              <w:right w:w="15" w:type="dxa"/>
            </w:tcMar>
            <w:vAlign w:val="center"/>
          </w:tcPr>
          <w:p w14:paraId="2AA426E8">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1224" w:type="pct"/>
            <w:tcBorders>
              <w:tl2br w:val="nil"/>
              <w:tr2bl w:val="nil"/>
            </w:tcBorders>
            <w:noWrap/>
            <w:tcMar>
              <w:top w:w="15" w:type="dxa"/>
              <w:left w:w="15" w:type="dxa"/>
              <w:bottom w:w="0" w:type="dxa"/>
              <w:right w:w="15" w:type="dxa"/>
            </w:tcMar>
            <w:vAlign w:val="center"/>
          </w:tcPr>
          <w:p w14:paraId="0FED274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cs="Times New Roman"/>
                <w:b w:val="0"/>
                <w:bCs w:val="0"/>
                <w:i w:val="0"/>
                <w:iCs w:val="0"/>
                <w:color w:val="auto"/>
                <w:kern w:val="0"/>
                <w:sz w:val="18"/>
                <w:szCs w:val="18"/>
                <w:u w:val="none"/>
                <w:lang w:val="en-US" w:eastAsia="zh-CN" w:bidi="ar"/>
              </w:rPr>
              <w:t>3.39</w:t>
            </w:r>
          </w:p>
        </w:tc>
        <w:tc>
          <w:tcPr>
            <w:tcW w:w="1262" w:type="pct"/>
            <w:vMerge w:val="continue"/>
            <w:tcBorders>
              <w:tl2br w:val="nil"/>
              <w:tr2bl w:val="nil"/>
            </w:tcBorders>
            <w:noWrap w:val="0"/>
            <w:vAlign w:val="center"/>
          </w:tcPr>
          <w:p w14:paraId="537050F4">
            <w:pPr>
              <w:jc w:val="center"/>
              <w:rPr>
                <w:rFonts w:hint="default" w:ascii="Times New Roman" w:hAnsi="Times New Roman" w:eastAsia="宋体" w:cs="Times New Roman"/>
                <w:color w:val="auto"/>
                <w:sz w:val="18"/>
                <w:szCs w:val="18"/>
                <w:highlight w:val="none"/>
                <w:lang w:val="en-US" w:eastAsia="zh-CN"/>
              </w:rPr>
            </w:pPr>
          </w:p>
        </w:tc>
        <w:tc>
          <w:tcPr>
            <w:tcW w:w="1307" w:type="pct"/>
            <w:tcBorders>
              <w:tl2br w:val="nil"/>
              <w:tr2bl w:val="nil"/>
            </w:tcBorders>
            <w:noWrap w:val="0"/>
            <w:vAlign w:val="center"/>
          </w:tcPr>
          <w:p w14:paraId="6B111DA1">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47.79</w:t>
            </w:r>
          </w:p>
        </w:tc>
      </w:tr>
    </w:tbl>
    <w:p w14:paraId="7FD34667">
      <w:pPr>
        <w:spacing w:line="360" w:lineRule="auto"/>
        <w:ind w:firstLine="49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根据上表可知，项目排放废气污染物铁在服务年限内对土壤最大贡献值分别为</w:t>
      </w:r>
      <w:r>
        <w:rPr>
          <w:rFonts w:hint="default" w:ascii="Times New Roman" w:hAnsi="Times New Roman" w:cs="Times New Roman"/>
          <w:color w:val="auto"/>
          <w:sz w:val="24"/>
          <w:lang w:val="en-US" w:eastAsia="zh-CN"/>
        </w:rPr>
        <w:t>3.39</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rPr>
        <w:t>g/kg，增量较小，对土壤环境产生的影响较小。</w:t>
      </w:r>
    </w:p>
    <w:p w14:paraId="2C40C05E">
      <w:pPr>
        <w:spacing w:line="360" w:lineRule="auto"/>
        <w:ind w:firstLine="49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⑥锰</w:t>
      </w:r>
      <w:r>
        <w:rPr>
          <w:rFonts w:hint="default" w:ascii="Times New Roman" w:hAnsi="Times New Roman" w:cs="Times New Roman"/>
          <w:color w:val="auto"/>
          <w:sz w:val="24"/>
          <w:szCs w:val="24"/>
        </w:rPr>
        <w:t>的预测结果</w:t>
      </w:r>
    </w:p>
    <w:p w14:paraId="689734E1">
      <w:pPr>
        <w:spacing w:line="360" w:lineRule="auto"/>
        <w:ind w:firstLine="49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根据以上预测公式及参数，项目排放的特征污染物</w:t>
      </w:r>
      <w:r>
        <w:rPr>
          <w:rFonts w:hint="default" w:ascii="Times New Roman" w:hAnsi="Times New Roman" w:cs="Times New Roman"/>
          <w:color w:val="auto"/>
          <w:sz w:val="24"/>
          <w:szCs w:val="24"/>
          <w:highlight w:val="none"/>
          <w:lang w:val="en-US" w:eastAsia="zh-CN"/>
        </w:rPr>
        <w:t>锰</w:t>
      </w:r>
      <w:r>
        <w:rPr>
          <w:rFonts w:hint="default" w:ascii="Times New Roman" w:hAnsi="Times New Roman" w:cs="Times New Roman"/>
          <w:color w:val="auto"/>
          <w:sz w:val="24"/>
          <w:szCs w:val="24"/>
          <w:highlight w:val="none"/>
        </w:rPr>
        <w:t>对土壤的预测结果如下：</w:t>
      </w:r>
    </w:p>
    <w:p w14:paraId="1BE0ED9B">
      <w:pPr>
        <w:adjustRightInd w:val="0"/>
        <w:snapToGrid w:val="0"/>
        <w:spacing w:line="360" w:lineRule="auto"/>
        <w:ind w:firstLine="430" w:firstLineChars="200"/>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highlight w:val="none"/>
        </w:rPr>
        <w:t>表</w:t>
      </w:r>
      <w:r>
        <w:rPr>
          <w:rFonts w:hint="default" w:ascii="Times New Roman" w:hAnsi="Times New Roman" w:eastAsia="黑体" w:cs="Times New Roman"/>
          <w:b w:val="0"/>
          <w:bCs/>
          <w:color w:val="auto"/>
          <w:kern w:val="2"/>
          <w:sz w:val="21"/>
          <w:szCs w:val="21"/>
          <w:highlight w:val="none"/>
          <w:lang w:val="en-US" w:eastAsia="zh-CN" w:bidi="ar-SA"/>
        </w:rPr>
        <w:t>6.4.4-8</w:t>
      </w:r>
      <w:r>
        <w:rPr>
          <w:rFonts w:hint="default" w:ascii="Times New Roman" w:hAnsi="Times New Roman" w:eastAsia="黑体" w:cs="Times New Roman"/>
          <w:b w:val="0"/>
          <w:bCs/>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rPr>
        <w:t>项目</w:t>
      </w:r>
      <w:r>
        <w:rPr>
          <w:rFonts w:hint="default" w:ascii="Times New Roman" w:hAnsi="Times New Roman" w:eastAsia="黑体" w:cs="Times New Roman"/>
          <w:b w:val="0"/>
          <w:bCs/>
          <w:color w:val="auto"/>
          <w:sz w:val="21"/>
          <w:szCs w:val="21"/>
          <w:highlight w:val="none"/>
          <w:lang w:val="en-US" w:eastAsia="zh-CN"/>
        </w:rPr>
        <w:t>锰</w:t>
      </w:r>
      <w:r>
        <w:rPr>
          <w:rFonts w:hint="default" w:ascii="Times New Roman" w:hAnsi="Times New Roman" w:eastAsia="黑体" w:cs="Times New Roman"/>
          <w:b w:val="0"/>
          <w:bCs/>
          <w:color w:val="auto"/>
          <w:sz w:val="21"/>
          <w:szCs w:val="21"/>
          <w:highlight w:val="none"/>
        </w:rPr>
        <w:t>预测对土壤的影响结果一览表  单位</w:t>
      </w:r>
      <w:r>
        <w:rPr>
          <w:rFonts w:hint="default" w:ascii="Times New Roman" w:hAnsi="Times New Roman" w:eastAsia="黑体" w:cs="Times New Roman"/>
          <w:b w:val="0"/>
          <w:bCs/>
          <w:color w:val="auto"/>
          <w:sz w:val="21"/>
          <w:szCs w:val="21"/>
          <w:highlight w:val="none"/>
          <w:lang w:eastAsia="zh-CN"/>
        </w:rPr>
        <w:t>：</w:t>
      </w:r>
      <w:r>
        <w:rPr>
          <w:rFonts w:hint="default" w:ascii="Times New Roman" w:hAnsi="Times New Roman" w:eastAsia="黑体" w:cs="Times New Roman"/>
          <w:b w:val="0"/>
          <w:bCs/>
          <w:color w:val="auto"/>
          <w:sz w:val="21"/>
          <w:szCs w:val="21"/>
          <w:highlight w:val="none"/>
          <w:lang w:val="en-US" w:eastAsia="zh-CN"/>
        </w:rPr>
        <w:t>m</w:t>
      </w:r>
      <w:r>
        <w:rPr>
          <w:rFonts w:hint="default" w:ascii="Times New Roman" w:hAnsi="Times New Roman" w:eastAsia="黑体" w:cs="Times New Roman"/>
          <w:b w:val="0"/>
          <w:bCs/>
          <w:color w:val="auto"/>
          <w:sz w:val="21"/>
          <w:szCs w:val="21"/>
          <w:highlight w:val="none"/>
        </w:rPr>
        <w:t>g/kg</w:t>
      </w:r>
    </w:p>
    <w:tbl>
      <w:tblPr>
        <w:tblStyle w:val="29"/>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93"/>
        <w:gridCol w:w="2227"/>
        <w:gridCol w:w="2297"/>
        <w:gridCol w:w="2380"/>
      </w:tblGrid>
      <w:tr w14:paraId="76AF3F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205" w:type="pct"/>
            <w:vMerge w:val="restart"/>
            <w:tcBorders>
              <w:tl2br w:val="nil"/>
              <w:tr2bl w:val="nil"/>
            </w:tcBorders>
            <w:noWrap/>
            <w:tcMar>
              <w:top w:w="15" w:type="dxa"/>
              <w:left w:w="15" w:type="dxa"/>
              <w:bottom w:w="0" w:type="dxa"/>
              <w:right w:w="15" w:type="dxa"/>
            </w:tcMar>
            <w:vAlign w:val="center"/>
          </w:tcPr>
          <w:p w14:paraId="15EC6A2A">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污染物</w:t>
            </w:r>
          </w:p>
          <w:p w14:paraId="08E30ABA">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年限</w:t>
            </w:r>
          </w:p>
        </w:tc>
        <w:tc>
          <w:tcPr>
            <w:tcW w:w="3794" w:type="pct"/>
            <w:gridSpan w:val="3"/>
            <w:tcBorders>
              <w:tl2br w:val="nil"/>
              <w:tr2bl w:val="nil"/>
            </w:tcBorders>
            <w:noWrap/>
            <w:tcMar>
              <w:top w:w="15" w:type="dxa"/>
              <w:left w:w="15" w:type="dxa"/>
              <w:bottom w:w="0" w:type="dxa"/>
              <w:right w:w="15" w:type="dxa"/>
            </w:tcMar>
            <w:vAlign w:val="center"/>
          </w:tcPr>
          <w:p w14:paraId="3F6F803F">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锰</w:t>
            </w:r>
          </w:p>
        </w:tc>
      </w:tr>
      <w:tr w14:paraId="1EEBF2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205" w:type="pct"/>
            <w:vMerge w:val="continue"/>
            <w:tcBorders>
              <w:tl2br w:val="nil"/>
              <w:tr2bl w:val="nil"/>
            </w:tcBorders>
            <w:noWrap/>
            <w:tcMar>
              <w:top w:w="15" w:type="dxa"/>
              <w:left w:w="15" w:type="dxa"/>
              <w:bottom w:w="0" w:type="dxa"/>
              <w:right w:w="15" w:type="dxa"/>
            </w:tcMar>
            <w:vAlign w:val="center"/>
          </w:tcPr>
          <w:p w14:paraId="5B8348B8">
            <w:pPr>
              <w:jc w:val="center"/>
              <w:rPr>
                <w:rFonts w:hint="default" w:ascii="Times New Roman" w:hAnsi="Times New Roman" w:eastAsia="宋体" w:cs="Times New Roman"/>
                <w:color w:val="auto"/>
                <w:sz w:val="18"/>
                <w:szCs w:val="18"/>
                <w:highlight w:val="none"/>
                <w:lang w:val="en-US" w:eastAsia="zh-CN"/>
              </w:rPr>
            </w:pPr>
          </w:p>
        </w:tc>
        <w:tc>
          <w:tcPr>
            <w:tcW w:w="1224" w:type="pct"/>
            <w:tcBorders>
              <w:tl2br w:val="nil"/>
              <w:tr2bl w:val="nil"/>
            </w:tcBorders>
            <w:noWrap/>
            <w:tcMar>
              <w:top w:w="15" w:type="dxa"/>
              <w:left w:w="15" w:type="dxa"/>
              <w:bottom w:w="0" w:type="dxa"/>
              <w:right w:w="15" w:type="dxa"/>
            </w:tcMar>
            <w:vAlign w:val="center"/>
          </w:tcPr>
          <w:p w14:paraId="54FC1139">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Sb（预测值）</w:t>
            </w:r>
          </w:p>
        </w:tc>
        <w:tc>
          <w:tcPr>
            <w:tcW w:w="1262" w:type="pct"/>
            <w:tcBorders>
              <w:tl2br w:val="nil"/>
              <w:tr2bl w:val="nil"/>
            </w:tcBorders>
            <w:noWrap w:val="0"/>
            <w:vAlign w:val="center"/>
          </w:tcPr>
          <w:p w14:paraId="442FEDB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S（现状值）</w:t>
            </w:r>
          </w:p>
        </w:tc>
        <w:tc>
          <w:tcPr>
            <w:tcW w:w="1307" w:type="pct"/>
            <w:tcBorders>
              <w:tl2br w:val="nil"/>
              <w:tr2bl w:val="nil"/>
            </w:tcBorders>
            <w:noWrap w:val="0"/>
            <w:vAlign w:val="center"/>
          </w:tcPr>
          <w:p w14:paraId="20AF162F">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ΔS（叠加值）</w:t>
            </w:r>
          </w:p>
        </w:tc>
      </w:tr>
      <w:tr w14:paraId="25ABE7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1205" w:type="pct"/>
            <w:tcBorders>
              <w:tl2br w:val="nil"/>
              <w:tr2bl w:val="nil"/>
            </w:tcBorders>
            <w:noWrap/>
            <w:tcMar>
              <w:top w:w="15" w:type="dxa"/>
              <w:left w:w="15" w:type="dxa"/>
              <w:bottom w:w="0" w:type="dxa"/>
              <w:right w:w="15" w:type="dxa"/>
            </w:tcMar>
            <w:vAlign w:val="center"/>
          </w:tcPr>
          <w:p w14:paraId="41CFB20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224" w:type="pct"/>
            <w:tcBorders>
              <w:tl2br w:val="nil"/>
              <w:tr2bl w:val="nil"/>
            </w:tcBorders>
            <w:noWrap/>
            <w:tcMar>
              <w:top w:w="15" w:type="dxa"/>
              <w:left w:w="15" w:type="dxa"/>
              <w:bottom w:w="0" w:type="dxa"/>
              <w:right w:w="15" w:type="dxa"/>
            </w:tcMar>
            <w:vAlign w:val="center"/>
          </w:tcPr>
          <w:p w14:paraId="72CF915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cs="Times New Roman"/>
                <w:b w:val="0"/>
                <w:bCs w:val="0"/>
                <w:i w:val="0"/>
                <w:iCs w:val="0"/>
                <w:color w:val="auto"/>
                <w:kern w:val="0"/>
                <w:sz w:val="18"/>
                <w:szCs w:val="18"/>
                <w:u w:val="none"/>
                <w:lang w:val="en-US" w:eastAsia="zh-CN" w:bidi="ar"/>
              </w:rPr>
              <w:t>1.64</w:t>
            </w:r>
            <w:r>
              <w:rPr>
                <w:rFonts w:hint="default" w:ascii="Times New Roman" w:hAnsi="Times New Roman" w:eastAsia="宋体" w:cs="Times New Roman"/>
                <w:b w:val="0"/>
                <w:bCs w:val="0"/>
                <w:i w:val="0"/>
                <w:iCs w:val="0"/>
                <w:color w:val="auto"/>
                <w:kern w:val="0"/>
                <w:sz w:val="18"/>
                <w:szCs w:val="18"/>
                <w:u w:val="none"/>
                <w:lang w:val="en-US" w:eastAsia="zh-CN" w:bidi="ar"/>
              </w:rPr>
              <w:t>E-0</w:t>
            </w:r>
            <w:r>
              <w:rPr>
                <w:rFonts w:hint="default" w:ascii="Times New Roman" w:hAnsi="Times New Roman" w:cs="Times New Roman"/>
                <w:b w:val="0"/>
                <w:bCs w:val="0"/>
                <w:i w:val="0"/>
                <w:iCs w:val="0"/>
                <w:color w:val="auto"/>
                <w:kern w:val="0"/>
                <w:sz w:val="18"/>
                <w:szCs w:val="18"/>
                <w:u w:val="none"/>
                <w:lang w:val="en-US" w:eastAsia="zh-CN" w:bidi="ar"/>
              </w:rPr>
              <w:t>2</w:t>
            </w:r>
          </w:p>
        </w:tc>
        <w:tc>
          <w:tcPr>
            <w:tcW w:w="1262" w:type="pct"/>
            <w:vMerge w:val="restart"/>
            <w:tcBorders>
              <w:tl2br w:val="nil"/>
              <w:tr2bl w:val="nil"/>
            </w:tcBorders>
            <w:noWrap w:val="0"/>
            <w:vAlign w:val="center"/>
          </w:tcPr>
          <w:p w14:paraId="1BFB358D">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49.8</w:t>
            </w:r>
            <w:r>
              <w:rPr>
                <w:rFonts w:hint="default" w:ascii="Times New Roman" w:hAnsi="Times New Roman" w:eastAsia="宋体" w:cs="Times New Roman"/>
                <w:color w:val="auto"/>
                <w:sz w:val="18"/>
                <w:szCs w:val="18"/>
                <w:highlight w:val="none"/>
                <w:lang w:val="en-US" w:eastAsia="zh-CN"/>
              </w:rPr>
              <w:t>（现状值采用厂界外农作地监测的最大值）</w:t>
            </w:r>
          </w:p>
        </w:tc>
        <w:tc>
          <w:tcPr>
            <w:tcW w:w="1307" w:type="pct"/>
            <w:tcBorders>
              <w:tl2br w:val="nil"/>
              <w:tr2bl w:val="nil"/>
            </w:tcBorders>
            <w:noWrap w:val="0"/>
            <w:vAlign w:val="center"/>
          </w:tcPr>
          <w:p w14:paraId="6DAF44C8">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49.8164</w:t>
            </w:r>
          </w:p>
        </w:tc>
      </w:tr>
      <w:tr w14:paraId="77EDDE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205" w:type="pct"/>
            <w:tcBorders>
              <w:tl2br w:val="nil"/>
              <w:tr2bl w:val="nil"/>
            </w:tcBorders>
            <w:noWrap/>
            <w:tcMar>
              <w:top w:w="15" w:type="dxa"/>
              <w:left w:w="15" w:type="dxa"/>
              <w:bottom w:w="0" w:type="dxa"/>
              <w:right w:w="15" w:type="dxa"/>
            </w:tcMar>
            <w:vAlign w:val="center"/>
          </w:tcPr>
          <w:p w14:paraId="45B438D7">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1224" w:type="pct"/>
            <w:tcBorders>
              <w:tl2br w:val="nil"/>
              <w:tr2bl w:val="nil"/>
            </w:tcBorders>
            <w:noWrap/>
            <w:tcMar>
              <w:top w:w="15" w:type="dxa"/>
              <w:left w:w="15" w:type="dxa"/>
              <w:bottom w:w="0" w:type="dxa"/>
              <w:right w:w="15" w:type="dxa"/>
            </w:tcMar>
            <w:vAlign w:val="center"/>
          </w:tcPr>
          <w:p w14:paraId="64AC3F9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cs="Times New Roman"/>
                <w:b w:val="0"/>
                <w:bCs w:val="0"/>
                <w:i w:val="0"/>
                <w:iCs w:val="0"/>
                <w:color w:val="auto"/>
                <w:kern w:val="0"/>
                <w:sz w:val="18"/>
                <w:szCs w:val="18"/>
                <w:u w:val="none"/>
                <w:lang w:val="en-US" w:eastAsia="zh-CN" w:bidi="ar"/>
              </w:rPr>
              <w:t>8.18</w:t>
            </w:r>
            <w:r>
              <w:rPr>
                <w:rFonts w:hint="default" w:ascii="Times New Roman" w:hAnsi="Times New Roman" w:eastAsia="宋体" w:cs="Times New Roman"/>
                <w:b w:val="0"/>
                <w:bCs w:val="0"/>
                <w:i w:val="0"/>
                <w:iCs w:val="0"/>
                <w:color w:val="auto"/>
                <w:kern w:val="0"/>
                <w:sz w:val="18"/>
                <w:szCs w:val="18"/>
                <w:u w:val="none"/>
                <w:lang w:val="en-US" w:eastAsia="zh-CN" w:bidi="ar"/>
              </w:rPr>
              <w:t>E-0</w:t>
            </w:r>
            <w:r>
              <w:rPr>
                <w:rFonts w:hint="default" w:ascii="Times New Roman" w:hAnsi="Times New Roman" w:cs="Times New Roman"/>
                <w:b w:val="0"/>
                <w:bCs w:val="0"/>
                <w:i w:val="0"/>
                <w:iCs w:val="0"/>
                <w:color w:val="auto"/>
                <w:kern w:val="0"/>
                <w:sz w:val="18"/>
                <w:szCs w:val="18"/>
                <w:u w:val="none"/>
                <w:lang w:val="en-US" w:eastAsia="zh-CN" w:bidi="ar"/>
              </w:rPr>
              <w:t>2</w:t>
            </w:r>
          </w:p>
        </w:tc>
        <w:tc>
          <w:tcPr>
            <w:tcW w:w="1262" w:type="pct"/>
            <w:vMerge w:val="continue"/>
            <w:tcBorders>
              <w:tl2br w:val="nil"/>
              <w:tr2bl w:val="nil"/>
            </w:tcBorders>
            <w:noWrap w:val="0"/>
            <w:vAlign w:val="center"/>
          </w:tcPr>
          <w:p w14:paraId="08B15403">
            <w:pPr>
              <w:jc w:val="center"/>
              <w:rPr>
                <w:rFonts w:hint="default" w:ascii="Times New Roman" w:hAnsi="Times New Roman" w:eastAsia="宋体" w:cs="Times New Roman"/>
                <w:color w:val="auto"/>
                <w:sz w:val="18"/>
                <w:szCs w:val="18"/>
                <w:highlight w:val="none"/>
                <w:lang w:val="en-US" w:eastAsia="zh-CN"/>
              </w:rPr>
            </w:pPr>
          </w:p>
        </w:tc>
        <w:tc>
          <w:tcPr>
            <w:tcW w:w="1307" w:type="pct"/>
            <w:tcBorders>
              <w:tl2br w:val="nil"/>
              <w:tr2bl w:val="nil"/>
            </w:tcBorders>
            <w:noWrap w:val="0"/>
            <w:vAlign w:val="center"/>
          </w:tcPr>
          <w:p w14:paraId="186C03B7">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49.8818</w:t>
            </w:r>
          </w:p>
        </w:tc>
      </w:tr>
      <w:tr w14:paraId="0A6CB0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9" w:hRule="atLeast"/>
        </w:trPr>
        <w:tc>
          <w:tcPr>
            <w:tcW w:w="1205" w:type="pct"/>
            <w:tcBorders>
              <w:tl2br w:val="nil"/>
              <w:tr2bl w:val="nil"/>
            </w:tcBorders>
            <w:noWrap/>
            <w:tcMar>
              <w:top w:w="15" w:type="dxa"/>
              <w:left w:w="15" w:type="dxa"/>
              <w:bottom w:w="0" w:type="dxa"/>
              <w:right w:w="15" w:type="dxa"/>
            </w:tcMar>
            <w:vAlign w:val="center"/>
          </w:tcPr>
          <w:p w14:paraId="471B8301">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1224" w:type="pct"/>
            <w:tcBorders>
              <w:tl2br w:val="nil"/>
              <w:tr2bl w:val="nil"/>
            </w:tcBorders>
            <w:noWrap/>
            <w:tcMar>
              <w:top w:w="15" w:type="dxa"/>
              <w:left w:w="15" w:type="dxa"/>
              <w:bottom w:w="0" w:type="dxa"/>
              <w:right w:w="15" w:type="dxa"/>
            </w:tcMar>
            <w:vAlign w:val="center"/>
          </w:tcPr>
          <w:p w14:paraId="099580D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cs="Times New Roman"/>
                <w:b w:val="0"/>
                <w:bCs w:val="0"/>
                <w:i w:val="0"/>
                <w:iCs w:val="0"/>
                <w:color w:val="auto"/>
                <w:kern w:val="0"/>
                <w:sz w:val="18"/>
                <w:szCs w:val="18"/>
                <w:u w:val="none"/>
                <w:lang w:val="en-US" w:eastAsia="zh-CN" w:bidi="ar"/>
              </w:rPr>
              <w:t>1.64</w:t>
            </w:r>
            <w:r>
              <w:rPr>
                <w:rFonts w:hint="default" w:ascii="Times New Roman" w:hAnsi="Times New Roman" w:eastAsia="宋体" w:cs="Times New Roman"/>
                <w:b w:val="0"/>
                <w:bCs w:val="0"/>
                <w:i w:val="0"/>
                <w:iCs w:val="0"/>
                <w:color w:val="auto"/>
                <w:kern w:val="0"/>
                <w:sz w:val="18"/>
                <w:szCs w:val="18"/>
                <w:u w:val="none"/>
                <w:lang w:val="en-US" w:eastAsia="zh-CN" w:bidi="ar"/>
              </w:rPr>
              <w:t>E-0</w:t>
            </w:r>
            <w:r>
              <w:rPr>
                <w:rFonts w:hint="default" w:ascii="Times New Roman" w:hAnsi="Times New Roman" w:cs="Times New Roman"/>
                <w:b w:val="0"/>
                <w:bCs w:val="0"/>
                <w:i w:val="0"/>
                <w:iCs w:val="0"/>
                <w:color w:val="auto"/>
                <w:kern w:val="0"/>
                <w:sz w:val="18"/>
                <w:szCs w:val="18"/>
                <w:u w:val="none"/>
                <w:lang w:val="en-US" w:eastAsia="zh-CN" w:bidi="ar"/>
              </w:rPr>
              <w:t>1</w:t>
            </w:r>
          </w:p>
        </w:tc>
        <w:tc>
          <w:tcPr>
            <w:tcW w:w="1262" w:type="pct"/>
            <w:vMerge w:val="continue"/>
            <w:tcBorders>
              <w:tl2br w:val="nil"/>
              <w:tr2bl w:val="nil"/>
            </w:tcBorders>
            <w:noWrap w:val="0"/>
            <w:vAlign w:val="center"/>
          </w:tcPr>
          <w:p w14:paraId="1BCA4C68">
            <w:pPr>
              <w:jc w:val="center"/>
              <w:rPr>
                <w:rFonts w:hint="default" w:ascii="Times New Roman" w:hAnsi="Times New Roman" w:eastAsia="宋体" w:cs="Times New Roman"/>
                <w:color w:val="auto"/>
                <w:sz w:val="18"/>
                <w:szCs w:val="18"/>
                <w:highlight w:val="none"/>
                <w:lang w:val="en-US" w:eastAsia="zh-CN"/>
              </w:rPr>
            </w:pPr>
          </w:p>
        </w:tc>
        <w:tc>
          <w:tcPr>
            <w:tcW w:w="1307" w:type="pct"/>
            <w:tcBorders>
              <w:tl2br w:val="nil"/>
              <w:tr2bl w:val="nil"/>
            </w:tcBorders>
            <w:noWrap w:val="0"/>
            <w:vAlign w:val="center"/>
          </w:tcPr>
          <w:p w14:paraId="137F085C">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49.964</w:t>
            </w:r>
          </w:p>
        </w:tc>
      </w:tr>
      <w:tr w14:paraId="5C0C0D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1205" w:type="pct"/>
            <w:tcBorders>
              <w:tl2br w:val="nil"/>
              <w:tr2bl w:val="nil"/>
            </w:tcBorders>
            <w:noWrap/>
            <w:tcMar>
              <w:top w:w="15" w:type="dxa"/>
              <w:left w:w="15" w:type="dxa"/>
              <w:bottom w:w="0" w:type="dxa"/>
              <w:right w:w="15" w:type="dxa"/>
            </w:tcMar>
            <w:vAlign w:val="center"/>
          </w:tcPr>
          <w:p w14:paraId="7F44966D">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1224" w:type="pct"/>
            <w:tcBorders>
              <w:tl2br w:val="nil"/>
              <w:tr2bl w:val="nil"/>
            </w:tcBorders>
            <w:noWrap/>
            <w:tcMar>
              <w:top w:w="15" w:type="dxa"/>
              <w:left w:w="15" w:type="dxa"/>
              <w:bottom w:w="0" w:type="dxa"/>
              <w:right w:w="15" w:type="dxa"/>
            </w:tcMar>
            <w:vAlign w:val="center"/>
          </w:tcPr>
          <w:p w14:paraId="75FEAE2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cs="Times New Roman"/>
                <w:b w:val="0"/>
                <w:bCs w:val="0"/>
                <w:i w:val="0"/>
                <w:iCs w:val="0"/>
                <w:color w:val="auto"/>
                <w:kern w:val="0"/>
                <w:sz w:val="18"/>
                <w:szCs w:val="18"/>
                <w:u w:val="none"/>
                <w:lang w:val="en-US" w:eastAsia="zh-CN" w:bidi="ar"/>
              </w:rPr>
              <w:t>2.45</w:t>
            </w:r>
            <w:r>
              <w:rPr>
                <w:rFonts w:hint="default" w:ascii="Times New Roman" w:hAnsi="Times New Roman" w:eastAsia="宋体" w:cs="Times New Roman"/>
                <w:b w:val="0"/>
                <w:bCs w:val="0"/>
                <w:i w:val="0"/>
                <w:iCs w:val="0"/>
                <w:color w:val="auto"/>
                <w:kern w:val="0"/>
                <w:sz w:val="18"/>
                <w:szCs w:val="18"/>
                <w:u w:val="none"/>
                <w:lang w:val="en-US" w:eastAsia="zh-CN" w:bidi="ar"/>
              </w:rPr>
              <w:t>E-0</w:t>
            </w:r>
            <w:r>
              <w:rPr>
                <w:rFonts w:hint="default" w:ascii="Times New Roman" w:hAnsi="Times New Roman" w:cs="Times New Roman"/>
                <w:b w:val="0"/>
                <w:bCs w:val="0"/>
                <w:i w:val="0"/>
                <w:iCs w:val="0"/>
                <w:color w:val="auto"/>
                <w:kern w:val="0"/>
                <w:sz w:val="18"/>
                <w:szCs w:val="18"/>
                <w:u w:val="none"/>
                <w:lang w:val="en-US" w:eastAsia="zh-CN" w:bidi="ar"/>
              </w:rPr>
              <w:t>1</w:t>
            </w:r>
          </w:p>
        </w:tc>
        <w:tc>
          <w:tcPr>
            <w:tcW w:w="1262" w:type="pct"/>
            <w:vMerge w:val="continue"/>
            <w:tcBorders>
              <w:tl2br w:val="nil"/>
              <w:tr2bl w:val="nil"/>
            </w:tcBorders>
            <w:noWrap w:val="0"/>
            <w:vAlign w:val="center"/>
          </w:tcPr>
          <w:p w14:paraId="67649C81">
            <w:pPr>
              <w:jc w:val="center"/>
              <w:rPr>
                <w:rFonts w:hint="default" w:ascii="Times New Roman" w:hAnsi="Times New Roman" w:eastAsia="宋体" w:cs="Times New Roman"/>
                <w:color w:val="auto"/>
                <w:sz w:val="18"/>
                <w:szCs w:val="18"/>
                <w:highlight w:val="none"/>
                <w:lang w:val="en-US" w:eastAsia="zh-CN"/>
              </w:rPr>
            </w:pPr>
          </w:p>
        </w:tc>
        <w:tc>
          <w:tcPr>
            <w:tcW w:w="1307" w:type="pct"/>
            <w:tcBorders>
              <w:tl2br w:val="nil"/>
              <w:tr2bl w:val="nil"/>
            </w:tcBorders>
            <w:noWrap w:val="0"/>
            <w:vAlign w:val="center"/>
          </w:tcPr>
          <w:p w14:paraId="2DDAC27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50.045</w:t>
            </w:r>
          </w:p>
        </w:tc>
      </w:tr>
    </w:tbl>
    <w:p w14:paraId="2B4405DF">
      <w:pPr>
        <w:spacing w:line="360" w:lineRule="auto"/>
        <w:ind w:firstLine="490" w:firstLineChars="200"/>
        <w:rPr>
          <w:rFonts w:hint="default" w:ascii="Times New Roman" w:hAnsi="Times New Roman" w:cs="Times New Roman"/>
        </w:rPr>
      </w:pPr>
      <w:r>
        <w:rPr>
          <w:rFonts w:hint="default" w:ascii="Times New Roman" w:hAnsi="Times New Roman" w:eastAsia="宋体" w:cs="Times New Roman"/>
          <w:sz w:val="24"/>
        </w:rPr>
        <w:t>根据上表可知，项目排放废气污染物</w:t>
      </w:r>
      <w:r>
        <w:rPr>
          <w:rFonts w:hint="default" w:ascii="Times New Roman" w:hAnsi="Times New Roman" w:eastAsia="宋体" w:cs="Times New Roman"/>
          <w:sz w:val="24"/>
          <w:lang w:val="en-US" w:eastAsia="zh-CN"/>
        </w:rPr>
        <w:t>锰</w:t>
      </w:r>
      <w:r>
        <w:rPr>
          <w:rFonts w:hint="default" w:ascii="Times New Roman" w:hAnsi="Times New Roman" w:eastAsia="宋体" w:cs="Times New Roman"/>
          <w:sz w:val="24"/>
        </w:rPr>
        <w:t>在服务年限内对土壤最大贡献值分别为</w:t>
      </w:r>
      <w:r>
        <w:rPr>
          <w:rFonts w:hint="default" w:ascii="Times New Roman" w:hAnsi="Times New Roman" w:eastAsia="宋体" w:cs="Times New Roman"/>
          <w:sz w:val="24"/>
          <w:lang w:val="en-US" w:eastAsia="zh-CN"/>
        </w:rPr>
        <w:t>2.45E-01m</w:t>
      </w:r>
      <w:r>
        <w:rPr>
          <w:rFonts w:hint="default" w:ascii="Times New Roman" w:hAnsi="Times New Roman" w:eastAsia="宋体" w:cs="Times New Roman"/>
          <w:sz w:val="24"/>
        </w:rPr>
        <w:t>g/kg</w:t>
      </w:r>
      <w:r>
        <w:rPr>
          <w:rFonts w:hint="default" w:ascii="Times New Roman" w:hAnsi="Times New Roman" w:cs="Times New Roman"/>
          <w:sz w:val="24"/>
        </w:rPr>
        <w:t>，增量较小，对土壤环境产生的影响较小。</w:t>
      </w:r>
    </w:p>
    <w:p w14:paraId="7015A8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sz w:val="24"/>
          <w:szCs w:val="24"/>
          <w:highlight w:val="none"/>
          <w:lang w:val="en-US" w:eastAsia="zh-CN"/>
        </w:rPr>
        <w:t>2</w:t>
      </w:r>
      <w:r>
        <w:rPr>
          <w:rFonts w:hint="default" w:ascii="Times New Roman" w:hAnsi="Times New Roman" w:cs="Times New Roman"/>
          <w:b/>
          <w:bCs w:val="0"/>
          <w:color w:val="auto"/>
          <w:sz w:val="24"/>
          <w:highlight w:val="none"/>
        </w:rPr>
        <w:t>地表漫流影响分析</w:t>
      </w:r>
    </w:p>
    <w:p w14:paraId="68C934F7">
      <w:pPr>
        <w:spacing w:line="360" w:lineRule="auto"/>
        <w:ind w:firstLine="490" w:firstLineChars="200"/>
        <w:rPr>
          <w:rFonts w:hint="default" w:ascii="Times New Roman" w:hAnsi="Times New Roman" w:cs="Times New Roman"/>
          <w:color w:val="auto"/>
          <w:szCs w:val="24"/>
        </w:rPr>
      </w:pPr>
      <w:bookmarkStart w:id="503" w:name="_Toc17133"/>
      <w:bookmarkStart w:id="504" w:name="_Toc18153"/>
      <w:bookmarkStart w:id="505" w:name="_Toc21751"/>
      <w:bookmarkStart w:id="506" w:name="_Toc40561551"/>
      <w:bookmarkStart w:id="507" w:name="_Toc2626"/>
      <w:bookmarkStart w:id="508" w:name="_Toc30783"/>
      <w:r>
        <w:rPr>
          <w:rFonts w:hint="default" w:ascii="Times New Roman" w:hAnsi="Times New Roman" w:cs="Times New Roman"/>
          <w:color w:val="auto"/>
          <w:szCs w:val="24"/>
        </w:rPr>
        <w:t>原矿、</w:t>
      </w:r>
      <w:r>
        <w:rPr>
          <w:rFonts w:hint="default" w:ascii="Times New Roman" w:hAnsi="Times New Roman" w:cs="Times New Roman"/>
          <w:color w:val="auto"/>
          <w:szCs w:val="24"/>
          <w:lang w:val="en-US" w:eastAsia="zh-CN"/>
        </w:rPr>
        <w:t>铁矿石产品</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砂石料</w:t>
      </w:r>
      <w:r>
        <w:rPr>
          <w:rFonts w:hint="default" w:ascii="Times New Roman" w:hAnsi="Times New Roman" w:cs="Times New Roman"/>
          <w:color w:val="auto"/>
          <w:szCs w:val="24"/>
        </w:rPr>
        <w:t>产品装卸、转运产生的粉尘污染物通过自降和降水淋溶等途径进入土壤环境，对周围土壤的孔隙度、团粒结构、酸碱度、土壤肥力及微量元素含量等会造成不利影响，进而抑制土壤中微生物活动，降低土壤肥力。</w:t>
      </w:r>
    </w:p>
    <w:p w14:paraId="23263EE8">
      <w:pPr>
        <w:spacing w:line="360" w:lineRule="auto"/>
        <w:ind w:firstLine="490" w:firstLineChars="200"/>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本项目</w:t>
      </w:r>
      <w:r>
        <w:rPr>
          <w:rFonts w:hint="default" w:ascii="Times New Roman" w:hAnsi="Times New Roman" w:cs="Times New Roman"/>
          <w:color w:val="auto"/>
          <w:szCs w:val="24"/>
        </w:rPr>
        <w:t>原矿除S含量为0.</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rPr>
        <w:t>%偏高外，其余有害元素含量不高。根据表2.2-7，项目菱铁矿原矿</w:t>
      </w:r>
      <w:r>
        <w:rPr>
          <w:rFonts w:hint="default" w:ascii="Times New Roman" w:hAnsi="Times New Roman" w:cs="Times New Roman"/>
          <w:color w:val="auto"/>
          <w:szCs w:val="24"/>
          <w:lang w:val="en-US" w:eastAsia="zh-CN"/>
        </w:rPr>
        <w:t>成分</w:t>
      </w:r>
      <w:r>
        <w:rPr>
          <w:rFonts w:hint="default" w:ascii="Times New Roman" w:hAnsi="Times New Roman" w:cs="Times New Roman"/>
          <w:color w:val="auto"/>
          <w:szCs w:val="24"/>
        </w:rPr>
        <w:t>分析，铁元素含量＞10%，其它元素如As、</w:t>
      </w:r>
      <w:r>
        <w:rPr>
          <w:rFonts w:hint="default" w:ascii="Times New Roman" w:hAnsi="Times New Roman" w:cs="Times New Roman"/>
          <w:color w:val="auto"/>
          <w:szCs w:val="24"/>
          <w:lang w:val="en-US" w:eastAsia="zh-CN"/>
        </w:rPr>
        <w:t>Pb</w:t>
      </w:r>
      <w:r>
        <w:rPr>
          <w:rFonts w:hint="default" w:ascii="Times New Roman" w:hAnsi="Times New Roman" w:cs="Times New Roman"/>
          <w:color w:val="auto"/>
          <w:szCs w:val="24"/>
        </w:rPr>
        <w:t>、Cu等重金属元素含量均低于0.006%。</w:t>
      </w:r>
      <w:r>
        <w:rPr>
          <w:rFonts w:hint="default" w:ascii="Times New Roman" w:hAnsi="Times New Roman" w:cs="Times New Roman"/>
          <w:color w:val="auto"/>
        </w:rPr>
        <w:t>项目区场地存在高度差，周边建有雨水沟，初期雨水经雨水沟收集至</w:t>
      </w:r>
      <w:r>
        <w:rPr>
          <w:rFonts w:hint="default" w:ascii="Times New Roman" w:hAnsi="Times New Roman" w:cs="Times New Roman"/>
          <w:color w:val="auto"/>
          <w:lang w:val="en-US" w:eastAsia="zh-CN"/>
        </w:rPr>
        <w:t>北</w:t>
      </w:r>
      <w:r>
        <w:rPr>
          <w:rFonts w:hint="default" w:ascii="Times New Roman" w:hAnsi="Times New Roman" w:cs="Times New Roman"/>
          <w:color w:val="auto"/>
        </w:rPr>
        <w:t>面地势最低处初期雨水收集池，用于降尘，不外排。本项目</w:t>
      </w:r>
      <w:r>
        <w:rPr>
          <w:rFonts w:hint="default" w:ascii="Times New Roman" w:hAnsi="Times New Roman" w:cs="Times New Roman"/>
          <w:color w:val="auto"/>
          <w:lang w:val="en-US" w:eastAsia="zh-CN"/>
        </w:rPr>
        <w:t>新建</w:t>
      </w:r>
      <w:r>
        <w:rPr>
          <w:rFonts w:hint="default" w:ascii="Times New Roman" w:hAnsi="Times New Roman" w:cs="Times New Roman"/>
          <w:color w:val="auto"/>
        </w:rPr>
        <w:t>初期雨水收集池，雨水收集池总容积</w:t>
      </w:r>
      <w:r>
        <w:rPr>
          <w:rFonts w:hint="default" w:ascii="Times New Roman" w:hAnsi="Times New Roman" w:cs="Times New Roman"/>
          <w:color w:val="auto"/>
          <w:lang w:val="en-US" w:eastAsia="zh-CN"/>
        </w:rPr>
        <w:t>325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，可以满足最大暴雨强度情况下</w:t>
      </w:r>
      <w:r>
        <w:rPr>
          <w:rFonts w:hint="default" w:ascii="Times New Roman" w:hAnsi="Times New Roman" w:cs="Times New Roman"/>
          <w:color w:val="auto"/>
          <w:lang w:val="en-US" w:eastAsia="zh-CN"/>
        </w:rPr>
        <w:t>整个6号料场初期</w:t>
      </w:r>
      <w:r>
        <w:rPr>
          <w:rFonts w:hint="default" w:ascii="Times New Roman" w:hAnsi="Times New Roman" w:cs="Times New Roman"/>
          <w:color w:val="auto"/>
        </w:rPr>
        <w:t>雨水的收集。项目初期雨水收集池</w:t>
      </w:r>
      <w:r>
        <w:rPr>
          <w:rFonts w:hint="default" w:ascii="Times New Roman" w:hAnsi="Times New Roman" w:cs="Times New Roman"/>
          <w:color w:val="auto"/>
          <w:szCs w:val="24"/>
        </w:rPr>
        <w:t>进行一般防渗处理，正常工况下不涉及废水地面漫流对土壤环境的影响。综上，项目区内地表淋溶水（雨水）不会对厂区及工业场地周围土壤环境造成大的影响。</w:t>
      </w:r>
    </w:p>
    <w:p w14:paraId="037FDFA5">
      <w:pPr>
        <w:spacing w:line="360" w:lineRule="auto"/>
        <w:ind w:firstLine="490" w:firstLineChars="200"/>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3垂直入渗影响分析</w:t>
      </w:r>
    </w:p>
    <w:p w14:paraId="55A84553">
      <w:pPr>
        <w:spacing w:line="360" w:lineRule="auto"/>
        <w:ind w:firstLine="490" w:firstLineChars="200"/>
        <w:rPr>
          <w:rFonts w:hint="default" w:ascii="Times New Roman" w:hAnsi="Times New Roman" w:eastAsia="宋体" w:cs="Times New Roman"/>
          <w:color w:val="auto"/>
          <w:szCs w:val="24"/>
          <w:lang w:val="en-US" w:eastAsia="zh-CN" w:bidi="ar"/>
        </w:rPr>
      </w:pPr>
      <w:r>
        <w:rPr>
          <w:rFonts w:hint="default" w:ascii="Times New Roman" w:hAnsi="Times New Roman" w:cs="Times New Roman"/>
          <w:color w:val="auto"/>
          <w:sz w:val="24"/>
          <w:szCs w:val="24"/>
          <w:highlight w:val="none"/>
          <w:lang w:val="en-US" w:eastAsia="zh-CN"/>
        </w:rPr>
        <w:t>项目原料及成品堆场均建设半封闭式大棚，地面采取一般防渗措施，</w:t>
      </w:r>
      <w:r>
        <w:rPr>
          <w:rFonts w:hint="default" w:ascii="Times New Roman" w:hAnsi="Times New Roman" w:cs="Times New Roman"/>
          <w:color w:val="auto"/>
        </w:rPr>
        <w:t>初期雨水收集池</w:t>
      </w:r>
      <w:r>
        <w:rPr>
          <w:rFonts w:hint="default" w:ascii="Times New Roman" w:hAnsi="Times New Roman" w:cs="Times New Roman"/>
          <w:color w:val="auto"/>
          <w:szCs w:val="24"/>
        </w:rPr>
        <w:t>进行一般防渗处理</w:t>
      </w:r>
      <w:r>
        <w:rPr>
          <w:rFonts w:hint="default" w:ascii="Times New Roman" w:hAnsi="Times New Roman" w:cs="Times New Roman"/>
          <w:color w:val="auto"/>
          <w:sz w:val="24"/>
          <w:szCs w:val="24"/>
          <w:highlight w:val="none"/>
          <w:lang w:val="en-US" w:eastAsia="zh-CN"/>
        </w:rPr>
        <w:t>。根据</w:t>
      </w:r>
      <w:r>
        <w:rPr>
          <w:rFonts w:hint="default" w:ascii="Times New Roman" w:hAnsi="Times New Roman" w:cs="Times New Roman"/>
          <w:color w:val="auto"/>
          <w:lang w:val="en-US" w:eastAsia="zh-CN"/>
        </w:rPr>
        <w:t>本次建设单位委托云南浩辰环保科技有限公司对6号料场堆场淋滤水取样检测结果可知，Fe、Mn、</w:t>
      </w:r>
      <w:r>
        <w:rPr>
          <w:rFonts w:hint="default" w:ascii="Times New Roman" w:hAnsi="Times New Roman" w:cs="Times New Roman"/>
          <w:color w:val="auto"/>
          <w:szCs w:val="24"/>
        </w:rPr>
        <w:t>As、</w:t>
      </w:r>
      <w:r>
        <w:rPr>
          <w:rFonts w:hint="default" w:ascii="Times New Roman" w:hAnsi="Times New Roman" w:cs="Times New Roman"/>
          <w:color w:val="auto"/>
          <w:szCs w:val="24"/>
          <w:lang w:val="en-US" w:eastAsia="zh-CN"/>
        </w:rPr>
        <w:t>Pb</w:t>
      </w:r>
      <w:r>
        <w:rPr>
          <w:rFonts w:hint="default" w:ascii="Times New Roman" w:hAnsi="Times New Roman" w:cs="Times New Roman"/>
          <w:color w:val="auto"/>
          <w:szCs w:val="24"/>
        </w:rPr>
        <w:t>、Cu等重金属元素</w:t>
      </w:r>
      <w:r>
        <w:rPr>
          <w:rFonts w:hint="default" w:ascii="Times New Roman" w:hAnsi="Times New Roman" w:cs="Times New Roman"/>
          <w:color w:val="auto"/>
          <w:szCs w:val="24"/>
          <w:lang w:val="en-US" w:eastAsia="zh-CN"/>
        </w:rPr>
        <w:t>含量很低，均低于</w:t>
      </w:r>
      <w:r>
        <w:rPr>
          <w:rFonts w:hint="default" w:ascii="Times New Roman" w:hAnsi="Times New Roman" w:cs="Times New Roman"/>
          <w:color w:val="auto"/>
          <w:sz w:val="24"/>
        </w:rPr>
        <w:t>《土壤环境质量</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建设用地土壤污染风险管控标准》（GB15618-2018）</w:t>
      </w:r>
      <w:r>
        <w:rPr>
          <w:rFonts w:hint="default" w:ascii="Times New Roman" w:hAnsi="Times New Roman" w:cs="Times New Roman"/>
          <w:color w:val="auto"/>
          <w:sz w:val="24"/>
          <w:lang w:val="en-US" w:eastAsia="zh-CN"/>
        </w:rPr>
        <w:t>第二类</w:t>
      </w:r>
      <w:r>
        <w:rPr>
          <w:rFonts w:hint="default" w:ascii="Times New Roman" w:hAnsi="Times New Roman" w:cs="Times New Roman"/>
          <w:color w:val="auto"/>
          <w:sz w:val="24"/>
        </w:rPr>
        <w:t>土壤污染风险筛选值</w:t>
      </w:r>
      <w:r>
        <w:rPr>
          <w:rFonts w:hint="default" w:ascii="Times New Roman" w:hAnsi="Times New Roman" w:cs="Times New Roman"/>
          <w:color w:val="auto"/>
          <w:sz w:val="24"/>
          <w:lang w:val="en-US" w:eastAsia="zh-CN"/>
        </w:rPr>
        <w:t>。</w:t>
      </w:r>
      <w:r>
        <w:rPr>
          <w:rFonts w:hint="default" w:ascii="Times New Roman" w:hAnsi="Times New Roman" w:cs="Times New Roman"/>
          <w:color w:val="auto"/>
          <w:szCs w:val="24"/>
          <w:lang w:val="en-US" w:eastAsia="zh-CN"/>
        </w:rPr>
        <w:t>非正常情况下淋滤水及初期雨水收集池发生垂直入渗对</w:t>
      </w:r>
      <w:r>
        <w:rPr>
          <w:rFonts w:hint="default" w:ascii="Times New Roman" w:hAnsi="Times New Roman" w:cs="Times New Roman"/>
          <w:color w:val="auto"/>
          <w:sz w:val="24"/>
          <w:szCs w:val="24"/>
          <w:highlight w:val="none"/>
          <w:lang w:val="en-US" w:eastAsia="zh-CN"/>
        </w:rPr>
        <w:t>土壤影响很小。</w:t>
      </w:r>
    </w:p>
    <w:p w14:paraId="52A820A2">
      <w:pPr>
        <w:pStyle w:val="6"/>
        <w:bidi w:val="0"/>
        <w:rPr>
          <w:rFonts w:hint="default" w:ascii="Times New Roman" w:hAnsi="Times New Roman" w:cs="Times New Roman"/>
          <w:lang w:val="en-US" w:eastAsia="zh-CN"/>
        </w:rPr>
      </w:pPr>
      <w:bookmarkStart w:id="509" w:name="_Toc11187"/>
      <w:r>
        <w:rPr>
          <w:rFonts w:hint="default" w:ascii="Times New Roman" w:hAnsi="Times New Roman" w:cs="Times New Roman"/>
          <w:lang w:val="en-US" w:eastAsia="zh-CN"/>
        </w:rPr>
        <w:t>6.4.5土壤环境污染防治措施</w:t>
      </w:r>
      <w:bookmarkEnd w:id="503"/>
      <w:bookmarkEnd w:id="504"/>
      <w:bookmarkEnd w:id="505"/>
      <w:bookmarkEnd w:id="506"/>
      <w:bookmarkEnd w:id="507"/>
      <w:bookmarkEnd w:id="508"/>
      <w:bookmarkEnd w:id="509"/>
    </w:p>
    <w:p w14:paraId="0E979E58">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lang w:bidi="ar"/>
        </w:rPr>
        <w:t xml:space="preserve">1、源头控制 </w:t>
      </w:r>
    </w:p>
    <w:p w14:paraId="58F93AA4">
      <w:pPr>
        <w:spacing w:line="360" w:lineRule="auto"/>
        <w:ind w:firstLine="480"/>
        <w:rPr>
          <w:rFonts w:hint="default" w:ascii="Times New Roman" w:hAnsi="Times New Roman" w:cs="Times New Roman"/>
          <w:sz w:val="24"/>
          <w:szCs w:val="24"/>
          <w:lang w:bidi="ar"/>
        </w:rPr>
      </w:pPr>
      <w:r>
        <w:rPr>
          <w:rFonts w:hint="default" w:ascii="Times New Roman" w:hAnsi="Times New Roman" w:cs="Times New Roman"/>
          <w:sz w:val="24"/>
          <w:szCs w:val="24"/>
          <w:lang w:bidi="ar"/>
        </w:rPr>
        <w:t>严格按照设计要求从污染源源头控制排放，破碎、筛分、磁选产生的粉尘配套设置废气收集和净化措施，</w:t>
      </w:r>
      <w:r>
        <w:rPr>
          <w:rFonts w:hint="default" w:ascii="Times New Roman" w:hAnsi="Times New Roman" w:cs="Times New Roman"/>
          <w:sz w:val="24"/>
          <w:szCs w:val="24"/>
          <w:lang w:val="en-US" w:eastAsia="zh-CN" w:bidi="ar"/>
        </w:rPr>
        <w:t>设备</w:t>
      </w:r>
      <w:r>
        <w:rPr>
          <w:rFonts w:hint="default" w:ascii="Times New Roman" w:hAnsi="Times New Roman" w:cs="Times New Roman"/>
          <w:sz w:val="24"/>
          <w:szCs w:val="24"/>
          <w:lang w:bidi="ar"/>
        </w:rPr>
        <w:t>和库房均采取封闭、喷淋降尘等措施，减少颗粒物外排量。</w:t>
      </w:r>
      <w:r>
        <w:rPr>
          <w:rFonts w:hint="default" w:ascii="Times New Roman" w:hAnsi="Times New Roman" w:cs="Times New Roman"/>
          <w:sz w:val="24"/>
          <w:szCs w:val="24"/>
        </w:rPr>
        <w:t>严格按照本次环评提出分区防渗的措施进行建设，按照相关要求进行设计、施工，做好防渗工程，确保防渗效果。</w:t>
      </w:r>
    </w:p>
    <w:p w14:paraId="77118F94">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2、过程防控措施</w:t>
      </w:r>
    </w:p>
    <w:p w14:paraId="0B7A291A">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（1）大气沉降过程防控</w:t>
      </w:r>
    </w:p>
    <w:p w14:paraId="1102ACA9">
      <w:pPr>
        <w:spacing w:line="360" w:lineRule="auto"/>
        <w:ind w:firstLine="480"/>
        <w:rPr>
          <w:rFonts w:hint="default" w:ascii="Times New Roman" w:hAnsi="Times New Roman" w:cs="Times New Roman"/>
          <w:szCs w:val="24"/>
          <w:lang w:bidi="ar"/>
        </w:rPr>
      </w:pPr>
      <w:r>
        <w:rPr>
          <w:rFonts w:hint="default" w:ascii="Times New Roman" w:hAnsi="Times New Roman" w:cs="Times New Roman"/>
          <w:szCs w:val="24"/>
        </w:rPr>
        <w:t>本项目废气中含有</w:t>
      </w:r>
      <w:r>
        <w:rPr>
          <w:rFonts w:hint="default" w:ascii="Times New Roman" w:hAnsi="Times New Roman" w:cs="Times New Roman" w:eastAsiaTheme="minorEastAsia"/>
          <w:szCs w:val="24"/>
        </w:rPr>
        <w:t>颗粒物</w:t>
      </w:r>
      <w:r>
        <w:rPr>
          <w:rFonts w:hint="default" w:ascii="Times New Roman" w:hAnsi="Times New Roman" w:cs="Times New Roman"/>
          <w:szCs w:val="24"/>
        </w:rPr>
        <w:t>，存在大气沉降污染，</w:t>
      </w:r>
      <w:r>
        <w:rPr>
          <w:rFonts w:hint="default" w:ascii="Times New Roman" w:hAnsi="Times New Roman" w:cs="Times New Roman"/>
          <w:szCs w:val="24"/>
          <w:lang w:bidi="ar"/>
        </w:rPr>
        <w:t>加强废气处理设备维护，保证废气处理设备正常运行。</w:t>
      </w:r>
    </w:p>
    <w:p w14:paraId="02EAA2E2">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lang w:eastAsia="zh-CN"/>
        </w:rPr>
        <w:t>（</w:t>
      </w:r>
      <w:r>
        <w:rPr>
          <w:rFonts w:hint="default" w:ascii="Times New Roman" w:hAnsi="Times New Roman" w:cs="Times New Roman"/>
          <w:szCs w:val="24"/>
          <w:lang w:val="en-US" w:eastAsia="zh-CN"/>
        </w:rPr>
        <w:t>2</w:t>
      </w:r>
      <w:r>
        <w:rPr>
          <w:rFonts w:hint="default" w:ascii="Times New Roman" w:hAnsi="Times New Roman" w:cs="Times New Roman"/>
          <w:szCs w:val="24"/>
          <w:lang w:eastAsia="zh-CN"/>
        </w:rPr>
        <w:t>）</w:t>
      </w:r>
      <w:r>
        <w:rPr>
          <w:rFonts w:hint="default" w:ascii="Times New Roman" w:hAnsi="Times New Roman" w:cs="Times New Roman"/>
          <w:szCs w:val="24"/>
          <w:lang w:val="en-US" w:eastAsia="zh-CN"/>
        </w:rPr>
        <w:t>地表漫流</w:t>
      </w:r>
      <w:r>
        <w:rPr>
          <w:rFonts w:hint="default" w:ascii="Times New Roman" w:hAnsi="Times New Roman" w:cs="Times New Roman"/>
          <w:szCs w:val="24"/>
        </w:rPr>
        <w:t>途径过程防控</w:t>
      </w:r>
    </w:p>
    <w:p w14:paraId="2CF4BFEF">
      <w:pPr>
        <w:spacing w:line="360" w:lineRule="auto"/>
        <w:ind w:firstLine="490" w:firstLineChars="200"/>
        <w:jc w:val="both"/>
        <w:rPr>
          <w:rFonts w:hint="default" w:ascii="Times New Roman" w:hAnsi="Times New Roman" w:eastAsia="宋体" w:cs="Times New Roman"/>
          <w:szCs w:val="24"/>
          <w:lang w:val="en-US" w:eastAsia="zh-CN"/>
        </w:rPr>
      </w:pPr>
      <w:r>
        <w:rPr>
          <w:rFonts w:hint="default" w:ascii="Times New Roman" w:hAnsi="Times New Roman" w:cs="Times New Roman"/>
          <w:szCs w:val="24"/>
          <w:lang w:val="en-US" w:eastAsia="zh-CN"/>
        </w:rPr>
        <w:t>通过建设截排水沟，初期雨水收集池，初期雨水沉淀后回用于洒水降尘。</w:t>
      </w:r>
    </w:p>
    <w:p w14:paraId="2CAA3D69">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w:t>
      </w:r>
      <w:r>
        <w:rPr>
          <w:rFonts w:hint="default" w:ascii="Times New Roman" w:hAnsi="Times New Roman" w:cs="Times New Roman"/>
          <w:szCs w:val="24"/>
          <w:lang w:val="en-US" w:eastAsia="zh-CN"/>
        </w:rPr>
        <w:t>3</w:t>
      </w:r>
      <w:r>
        <w:rPr>
          <w:rFonts w:hint="default" w:ascii="Times New Roman" w:hAnsi="Times New Roman" w:cs="Times New Roman"/>
          <w:szCs w:val="24"/>
        </w:rPr>
        <w:t>）垂直入渗途径过程防控</w:t>
      </w:r>
    </w:p>
    <w:p w14:paraId="04EA5E4C">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lang w:bidi="ar"/>
        </w:rPr>
        <w:t>严格做好</w:t>
      </w:r>
      <w:r>
        <w:rPr>
          <w:rFonts w:hint="default" w:ascii="Times New Roman" w:hAnsi="Times New Roman" w:cs="Times New Roman"/>
          <w:szCs w:val="24"/>
          <w:lang w:val="en-US" w:eastAsia="zh-CN" w:bidi="ar"/>
        </w:rPr>
        <w:t>各区域</w:t>
      </w:r>
      <w:r>
        <w:rPr>
          <w:rFonts w:hint="default" w:ascii="Times New Roman" w:hAnsi="Times New Roman" w:cs="Times New Roman"/>
          <w:szCs w:val="24"/>
          <w:lang w:bidi="ar"/>
        </w:rPr>
        <w:t>防渗措施，定期检查，一旦发现发生泄漏情况，</w:t>
      </w:r>
      <w:r>
        <w:rPr>
          <w:rFonts w:hint="default" w:ascii="Times New Roman" w:hAnsi="Times New Roman" w:cs="Times New Roman"/>
          <w:szCs w:val="24"/>
          <w:lang w:eastAsia="zh-CN" w:bidi="ar"/>
        </w:rPr>
        <w:t>应立即</w:t>
      </w:r>
      <w:r>
        <w:rPr>
          <w:rFonts w:hint="default" w:ascii="Times New Roman" w:hAnsi="Times New Roman" w:cs="Times New Roman"/>
          <w:szCs w:val="24"/>
          <w:lang w:bidi="ar"/>
        </w:rPr>
        <w:t>对设施进行检修。</w:t>
      </w:r>
    </w:p>
    <w:p w14:paraId="4F029F05">
      <w:pPr>
        <w:spacing w:line="360" w:lineRule="auto"/>
        <w:ind w:firstLine="480"/>
        <w:rPr>
          <w:rFonts w:hint="default" w:ascii="Times New Roman" w:hAnsi="Times New Roman" w:cs="Times New Roman"/>
        </w:rPr>
      </w:pPr>
      <w:r>
        <w:rPr>
          <w:rFonts w:hint="default" w:ascii="Times New Roman" w:hAnsi="Times New Roman" w:cs="Times New Roman"/>
          <w:szCs w:val="24"/>
          <w:lang w:bidi="ar"/>
        </w:rPr>
        <w:t xml:space="preserve">3、跟踪监测 </w:t>
      </w:r>
    </w:p>
    <w:p w14:paraId="6DBA6DA1">
      <w:pPr>
        <w:spacing w:line="360" w:lineRule="auto"/>
        <w:ind w:firstLine="480"/>
        <w:rPr>
          <w:rFonts w:hint="default" w:ascii="Times New Roman" w:hAnsi="Times New Roman" w:cs="Times New Roman"/>
        </w:rPr>
      </w:pPr>
      <w:r>
        <w:rPr>
          <w:rFonts w:hint="default" w:ascii="Times New Roman" w:hAnsi="Times New Roman" w:cs="Times New Roman"/>
          <w:szCs w:val="24"/>
          <w:lang w:bidi="ar"/>
        </w:rPr>
        <w:t>制定土壤环境影响跟踪监测计划、以便及时发现问题，采取措施。评价提出的本项目土壤环境监测计划见下表。</w:t>
      </w:r>
    </w:p>
    <w:p w14:paraId="3F4E65B7">
      <w:pPr>
        <w:ind w:firstLine="215" w:firstLineChars="100"/>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6</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4.5</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1</w:t>
      </w:r>
      <w:r>
        <w:rPr>
          <w:rFonts w:hint="default" w:ascii="Times New Roman" w:hAnsi="Times New Roman" w:eastAsia="黑体" w:cs="Times New Roman"/>
          <w:b w:val="0"/>
          <w:bCs/>
          <w:sz w:val="21"/>
          <w:szCs w:val="21"/>
        </w:rPr>
        <w:t xml:space="preserve">  项目监测计划一览表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086"/>
        <w:gridCol w:w="1773"/>
        <w:gridCol w:w="993"/>
        <w:gridCol w:w="1139"/>
        <w:gridCol w:w="1197"/>
        <w:gridCol w:w="2299"/>
      </w:tblGrid>
      <w:tr w14:paraId="0BCAE0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pct"/>
            <w:tcBorders>
              <w:tl2br w:val="nil"/>
              <w:tr2bl w:val="nil"/>
            </w:tcBorders>
            <w:vAlign w:val="center"/>
          </w:tcPr>
          <w:p w14:paraId="6C2A0F19">
            <w:pPr>
              <w:spacing w:line="240" w:lineRule="auto"/>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内容</w:t>
            </w:r>
          </w:p>
        </w:tc>
        <w:tc>
          <w:tcPr>
            <w:tcW w:w="584" w:type="pct"/>
            <w:tcBorders>
              <w:tl2br w:val="nil"/>
              <w:tr2bl w:val="nil"/>
            </w:tcBorders>
            <w:vAlign w:val="center"/>
          </w:tcPr>
          <w:p w14:paraId="0155322F">
            <w:pPr>
              <w:spacing w:line="240" w:lineRule="auto"/>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监测点位</w:t>
            </w:r>
          </w:p>
        </w:tc>
        <w:tc>
          <w:tcPr>
            <w:tcW w:w="954" w:type="pct"/>
            <w:tcBorders>
              <w:tl2br w:val="nil"/>
              <w:tr2bl w:val="nil"/>
            </w:tcBorders>
            <w:vAlign w:val="center"/>
          </w:tcPr>
          <w:p w14:paraId="58987A28">
            <w:pPr>
              <w:spacing w:line="240" w:lineRule="auto"/>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监测项目</w:t>
            </w:r>
          </w:p>
        </w:tc>
        <w:tc>
          <w:tcPr>
            <w:tcW w:w="534" w:type="pct"/>
            <w:tcBorders>
              <w:tl2br w:val="nil"/>
              <w:tr2bl w:val="nil"/>
            </w:tcBorders>
            <w:vAlign w:val="center"/>
          </w:tcPr>
          <w:p w14:paraId="2608148C">
            <w:pPr>
              <w:spacing w:line="240" w:lineRule="auto"/>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监测频率</w:t>
            </w:r>
          </w:p>
        </w:tc>
        <w:tc>
          <w:tcPr>
            <w:tcW w:w="613" w:type="pct"/>
            <w:tcBorders>
              <w:tl2br w:val="nil"/>
              <w:tr2bl w:val="nil"/>
            </w:tcBorders>
            <w:vAlign w:val="center"/>
          </w:tcPr>
          <w:p w14:paraId="4C5B6FB9">
            <w:pPr>
              <w:spacing w:line="240" w:lineRule="auto"/>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监测方法</w:t>
            </w:r>
          </w:p>
        </w:tc>
        <w:tc>
          <w:tcPr>
            <w:tcW w:w="644" w:type="pct"/>
            <w:tcBorders>
              <w:tl2br w:val="nil"/>
              <w:tr2bl w:val="nil"/>
            </w:tcBorders>
            <w:vAlign w:val="center"/>
          </w:tcPr>
          <w:p w14:paraId="151B71C7">
            <w:pPr>
              <w:spacing w:line="240" w:lineRule="auto"/>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检测单位</w:t>
            </w:r>
          </w:p>
        </w:tc>
        <w:tc>
          <w:tcPr>
            <w:tcW w:w="1237" w:type="pct"/>
            <w:tcBorders>
              <w:tl2br w:val="nil"/>
              <w:tr2bl w:val="nil"/>
            </w:tcBorders>
            <w:vAlign w:val="center"/>
          </w:tcPr>
          <w:p w14:paraId="1920F9DE">
            <w:pPr>
              <w:spacing w:line="240" w:lineRule="auto"/>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执行标准</w:t>
            </w:r>
          </w:p>
        </w:tc>
      </w:tr>
      <w:tr w14:paraId="0F302B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pct"/>
            <w:vMerge w:val="restart"/>
            <w:tcBorders>
              <w:tl2br w:val="nil"/>
              <w:tr2bl w:val="nil"/>
            </w:tcBorders>
            <w:vAlign w:val="center"/>
          </w:tcPr>
          <w:p w14:paraId="3DF70DF7">
            <w:pPr>
              <w:spacing w:line="240" w:lineRule="auto"/>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土壤</w:t>
            </w:r>
          </w:p>
        </w:tc>
        <w:tc>
          <w:tcPr>
            <w:tcW w:w="584" w:type="pct"/>
            <w:tcBorders>
              <w:tl2br w:val="nil"/>
              <w:tr2bl w:val="nil"/>
            </w:tcBorders>
            <w:vAlign w:val="center"/>
          </w:tcPr>
          <w:p w14:paraId="35FFF816">
            <w:pPr>
              <w:spacing w:line="240" w:lineRule="auto"/>
              <w:jc w:val="center"/>
              <w:rPr>
                <w:rFonts w:hint="default" w:ascii="Times New Roman" w:hAnsi="Times New Roman" w:eastAsia="宋体" w:cs="Times New Roman"/>
                <w:b w:val="0"/>
                <w:bCs/>
                <w:color w:val="auto"/>
                <w:sz w:val="18"/>
                <w:szCs w:val="18"/>
                <w:lang w:val="en-US" w:eastAsia="zh-CN"/>
              </w:rPr>
            </w:pPr>
            <w:r>
              <w:rPr>
                <w:rFonts w:hint="default" w:ascii="Times New Roman" w:hAnsi="Times New Roman" w:cs="Times New Roman"/>
                <w:b w:val="0"/>
                <w:bCs/>
                <w:color w:val="auto"/>
                <w:sz w:val="18"/>
                <w:szCs w:val="18"/>
                <w:lang w:val="en-US" w:eastAsia="zh-CN"/>
              </w:rPr>
              <w:t>项目下风向约20米建设用地</w:t>
            </w:r>
          </w:p>
        </w:tc>
        <w:tc>
          <w:tcPr>
            <w:tcW w:w="954" w:type="pct"/>
            <w:tcBorders>
              <w:tl2br w:val="nil"/>
              <w:tr2bl w:val="nil"/>
            </w:tcBorders>
            <w:vAlign w:val="center"/>
          </w:tcPr>
          <w:p w14:paraId="0040DA14">
            <w:pPr>
              <w:spacing w:line="240" w:lineRule="auto"/>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lang w:val="en-US" w:eastAsia="zh-CN"/>
              </w:rPr>
              <w:t>Fe、Mn、Pb、Zn、Cu、As</w:t>
            </w:r>
          </w:p>
        </w:tc>
        <w:tc>
          <w:tcPr>
            <w:tcW w:w="534" w:type="pct"/>
            <w:vMerge w:val="restart"/>
            <w:tcBorders>
              <w:tl2br w:val="nil"/>
              <w:tr2bl w:val="nil"/>
            </w:tcBorders>
            <w:vAlign w:val="center"/>
          </w:tcPr>
          <w:p w14:paraId="28D94547">
            <w:pPr>
              <w:spacing w:line="240" w:lineRule="auto"/>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每</w:t>
            </w:r>
            <w:r>
              <w:rPr>
                <w:rFonts w:hint="default" w:ascii="Times New Roman" w:hAnsi="Times New Roman" w:cs="Times New Roman"/>
                <w:b w:val="0"/>
                <w:bCs/>
                <w:color w:val="auto"/>
                <w:sz w:val="18"/>
                <w:szCs w:val="18"/>
                <w:lang w:val="en-US" w:eastAsia="zh-CN"/>
              </w:rPr>
              <w:t>三</w:t>
            </w:r>
            <w:r>
              <w:rPr>
                <w:rFonts w:hint="default" w:ascii="Times New Roman" w:hAnsi="Times New Roman" w:cs="Times New Roman"/>
                <w:b w:val="0"/>
                <w:bCs/>
                <w:color w:val="auto"/>
                <w:sz w:val="18"/>
                <w:szCs w:val="18"/>
              </w:rPr>
              <w:t>年开展一次监测</w:t>
            </w:r>
          </w:p>
        </w:tc>
        <w:tc>
          <w:tcPr>
            <w:tcW w:w="613" w:type="pct"/>
            <w:vMerge w:val="restart"/>
            <w:tcBorders>
              <w:tl2br w:val="nil"/>
              <w:tr2bl w:val="nil"/>
            </w:tcBorders>
            <w:vAlign w:val="center"/>
          </w:tcPr>
          <w:p w14:paraId="3117E1B7">
            <w:pPr>
              <w:spacing w:line="240" w:lineRule="auto"/>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按国家标准方法进行监测</w:t>
            </w:r>
          </w:p>
        </w:tc>
        <w:tc>
          <w:tcPr>
            <w:tcW w:w="644" w:type="pct"/>
            <w:vMerge w:val="restart"/>
            <w:tcBorders>
              <w:tl2br w:val="nil"/>
              <w:tr2bl w:val="nil"/>
            </w:tcBorders>
            <w:vAlign w:val="center"/>
          </w:tcPr>
          <w:p w14:paraId="19A8296A">
            <w:pPr>
              <w:spacing w:line="240" w:lineRule="auto"/>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有计量认证的环境监测单位</w:t>
            </w:r>
          </w:p>
        </w:tc>
        <w:tc>
          <w:tcPr>
            <w:tcW w:w="1237" w:type="pct"/>
            <w:tcBorders>
              <w:tl2br w:val="nil"/>
              <w:tr2bl w:val="nil"/>
            </w:tcBorders>
            <w:vAlign w:val="center"/>
          </w:tcPr>
          <w:p w14:paraId="32246866">
            <w:pPr>
              <w:spacing w:line="240" w:lineRule="auto"/>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《土壤环境质量</w:t>
            </w:r>
            <w:r>
              <w:rPr>
                <w:rFonts w:hint="default" w:ascii="Times New Roman" w:hAnsi="Times New Roman" w:cs="Times New Roman"/>
                <w:b w:val="0"/>
                <w:bCs/>
                <w:color w:val="auto"/>
                <w:sz w:val="18"/>
                <w:szCs w:val="18"/>
                <w:lang w:val="en-US" w:eastAsia="zh-CN"/>
              </w:rPr>
              <w:t xml:space="preserve">  </w:t>
            </w:r>
            <w:r>
              <w:rPr>
                <w:rFonts w:hint="default" w:ascii="Times New Roman" w:hAnsi="Times New Roman" w:cs="Times New Roman"/>
                <w:b w:val="0"/>
                <w:bCs/>
                <w:color w:val="auto"/>
                <w:sz w:val="18"/>
                <w:szCs w:val="18"/>
              </w:rPr>
              <w:t>建设用地土壤污染风险管控标准（试行）》（GB36600-2018）第二类用地土壤污染风险筛选值</w:t>
            </w:r>
          </w:p>
        </w:tc>
      </w:tr>
      <w:tr w14:paraId="6445C9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pct"/>
            <w:vMerge w:val="continue"/>
            <w:tcBorders>
              <w:tl2br w:val="nil"/>
              <w:tr2bl w:val="nil"/>
            </w:tcBorders>
            <w:vAlign w:val="center"/>
          </w:tcPr>
          <w:p w14:paraId="2C136A8A">
            <w:pPr>
              <w:spacing w:line="240" w:lineRule="auto"/>
              <w:jc w:val="center"/>
              <w:rPr>
                <w:rFonts w:hint="default" w:ascii="Times New Roman" w:hAnsi="Times New Roman" w:cs="Times New Roman"/>
                <w:b w:val="0"/>
                <w:bCs/>
                <w:color w:val="auto"/>
                <w:sz w:val="18"/>
                <w:szCs w:val="18"/>
              </w:rPr>
            </w:pPr>
            <w:bookmarkStart w:id="510" w:name="_Toc27342"/>
          </w:p>
        </w:tc>
        <w:tc>
          <w:tcPr>
            <w:tcW w:w="584" w:type="pct"/>
            <w:tcBorders>
              <w:tl2br w:val="nil"/>
              <w:tr2bl w:val="nil"/>
            </w:tcBorders>
            <w:vAlign w:val="center"/>
          </w:tcPr>
          <w:p w14:paraId="56BD1B30">
            <w:pPr>
              <w:spacing w:line="240" w:lineRule="auto"/>
              <w:jc w:val="center"/>
              <w:rPr>
                <w:rFonts w:hint="default" w:ascii="Times New Roman" w:hAnsi="Times New Roman" w:cs="Times New Roman"/>
                <w:b w:val="0"/>
                <w:bCs/>
                <w:color w:val="auto"/>
                <w:sz w:val="18"/>
                <w:szCs w:val="18"/>
                <w:lang w:val="en-US" w:eastAsia="zh-CN"/>
              </w:rPr>
            </w:pPr>
            <w:r>
              <w:rPr>
                <w:rFonts w:hint="default" w:ascii="Times New Roman" w:hAnsi="Times New Roman" w:cs="Times New Roman"/>
                <w:b w:val="0"/>
                <w:bCs/>
                <w:color w:val="auto"/>
                <w:sz w:val="18"/>
                <w:szCs w:val="18"/>
                <w:lang w:val="en-US" w:eastAsia="zh-CN"/>
              </w:rPr>
              <w:t>项目下风向约250米农用地</w:t>
            </w:r>
          </w:p>
        </w:tc>
        <w:tc>
          <w:tcPr>
            <w:tcW w:w="954" w:type="pct"/>
            <w:tcBorders>
              <w:tl2br w:val="nil"/>
              <w:tr2bl w:val="nil"/>
            </w:tcBorders>
            <w:vAlign w:val="center"/>
          </w:tcPr>
          <w:p w14:paraId="6E9BF41F">
            <w:pPr>
              <w:spacing w:line="240" w:lineRule="auto"/>
              <w:jc w:val="center"/>
              <w:rPr>
                <w:rFonts w:hint="default" w:ascii="Times New Roman" w:hAnsi="Times New Roman" w:cs="Times New Roman"/>
                <w:b w:val="0"/>
                <w:bCs/>
                <w:color w:val="auto"/>
                <w:sz w:val="18"/>
                <w:szCs w:val="18"/>
                <w:lang w:val="en-US" w:eastAsia="zh-CN"/>
              </w:rPr>
            </w:pPr>
            <w:r>
              <w:rPr>
                <w:rFonts w:hint="default" w:ascii="Times New Roman" w:hAnsi="Times New Roman" w:cs="Times New Roman"/>
                <w:b w:val="0"/>
                <w:bCs/>
                <w:color w:val="auto"/>
                <w:sz w:val="18"/>
                <w:szCs w:val="18"/>
                <w:lang w:val="en-US" w:eastAsia="zh-CN"/>
              </w:rPr>
              <w:t>Fe、Mn、Pb、Zn、Cu、As</w:t>
            </w:r>
          </w:p>
        </w:tc>
        <w:tc>
          <w:tcPr>
            <w:tcW w:w="534" w:type="pct"/>
            <w:vMerge w:val="continue"/>
            <w:tcBorders>
              <w:tl2br w:val="nil"/>
              <w:tr2bl w:val="nil"/>
            </w:tcBorders>
            <w:vAlign w:val="center"/>
          </w:tcPr>
          <w:p w14:paraId="1669B1EB">
            <w:pPr>
              <w:spacing w:line="240" w:lineRule="auto"/>
              <w:jc w:val="center"/>
              <w:rPr>
                <w:rFonts w:hint="default" w:ascii="Times New Roman" w:hAnsi="Times New Roman" w:cs="Times New Roman"/>
                <w:b w:val="0"/>
                <w:bCs/>
                <w:color w:val="auto"/>
                <w:sz w:val="18"/>
                <w:szCs w:val="18"/>
              </w:rPr>
            </w:pPr>
          </w:p>
        </w:tc>
        <w:tc>
          <w:tcPr>
            <w:tcW w:w="613" w:type="pct"/>
            <w:vMerge w:val="continue"/>
            <w:tcBorders>
              <w:tl2br w:val="nil"/>
              <w:tr2bl w:val="nil"/>
            </w:tcBorders>
            <w:vAlign w:val="center"/>
          </w:tcPr>
          <w:p w14:paraId="67DF02F0">
            <w:pPr>
              <w:spacing w:line="240" w:lineRule="auto"/>
              <w:jc w:val="center"/>
              <w:rPr>
                <w:rFonts w:hint="default" w:ascii="Times New Roman" w:hAnsi="Times New Roman" w:cs="Times New Roman"/>
                <w:b w:val="0"/>
                <w:bCs/>
                <w:color w:val="auto"/>
                <w:sz w:val="18"/>
                <w:szCs w:val="18"/>
              </w:rPr>
            </w:pPr>
          </w:p>
        </w:tc>
        <w:tc>
          <w:tcPr>
            <w:tcW w:w="644" w:type="pct"/>
            <w:vMerge w:val="continue"/>
            <w:tcBorders>
              <w:tl2br w:val="nil"/>
              <w:tr2bl w:val="nil"/>
            </w:tcBorders>
            <w:vAlign w:val="center"/>
          </w:tcPr>
          <w:p w14:paraId="5BBFE0F1">
            <w:pPr>
              <w:spacing w:line="240" w:lineRule="auto"/>
              <w:jc w:val="center"/>
              <w:rPr>
                <w:rFonts w:hint="default" w:ascii="Times New Roman" w:hAnsi="Times New Roman" w:cs="Times New Roman"/>
                <w:b w:val="0"/>
                <w:bCs/>
                <w:color w:val="auto"/>
                <w:sz w:val="18"/>
                <w:szCs w:val="18"/>
              </w:rPr>
            </w:pPr>
          </w:p>
        </w:tc>
        <w:tc>
          <w:tcPr>
            <w:tcW w:w="1237" w:type="pct"/>
            <w:tcBorders>
              <w:tl2br w:val="nil"/>
              <w:tr2bl w:val="nil"/>
            </w:tcBorders>
            <w:vAlign w:val="center"/>
          </w:tcPr>
          <w:p w14:paraId="23177F57">
            <w:pPr>
              <w:spacing w:line="240" w:lineRule="auto"/>
              <w:jc w:val="center"/>
              <w:rPr>
                <w:rFonts w:hint="default" w:ascii="Times New Roman" w:hAnsi="Times New Roman" w:cs="Times New Roman"/>
                <w:b w:val="0"/>
                <w:bCs/>
                <w:color w:val="auto"/>
                <w:sz w:val="18"/>
                <w:szCs w:val="18"/>
              </w:rPr>
            </w:pPr>
            <w:r>
              <w:rPr>
                <w:rFonts w:hint="default" w:ascii="Times New Roman" w:hAnsi="Times New Roman" w:cs="Times New Roman"/>
                <w:color w:val="auto"/>
                <w:sz w:val="18"/>
                <w:szCs w:val="18"/>
              </w:rPr>
              <w:t>《土壤环境质量  农用地土壤污染风险管控标准（试行）（GB15618-2018）》中8项基本因子</w:t>
            </w:r>
          </w:p>
        </w:tc>
      </w:tr>
    </w:tbl>
    <w:p w14:paraId="5EA6FA2D">
      <w:pPr>
        <w:pStyle w:val="6"/>
        <w:bidi w:val="0"/>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土壤环境影响评价结论</w:t>
      </w:r>
      <w:bookmarkEnd w:id="510"/>
    </w:p>
    <w:p w14:paraId="1B73DDCC">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24"/>
          <w:highlight w:val="none"/>
        </w:rPr>
      </w:pPr>
      <w:bookmarkStart w:id="511" w:name="_Toc9993"/>
      <w:bookmarkStart w:id="512" w:name="_Toc22293"/>
      <w:bookmarkStart w:id="513" w:name="_Toc23117"/>
      <w:r>
        <w:rPr>
          <w:rFonts w:hint="default" w:ascii="Times New Roman" w:hAnsi="Times New Roman" w:cs="Times New Roman"/>
          <w:color w:val="auto"/>
          <w:sz w:val="24"/>
          <w:highlight w:val="none"/>
        </w:rPr>
        <w:t>（1）根据《环境影响评价技术导则 土壤环境（试行）》（HJ964-2018）划分，本项目土壤评价等级为</w:t>
      </w:r>
      <w:r>
        <w:rPr>
          <w:rFonts w:hint="default" w:ascii="Times New Roman" w:hAnsi="Times New Roman" w:cs="Times New Roman"/>
          <w:color w:val="auto"/>
          <w:sz w:val="24"/>
          <w:highlight w:val="none"/>
          <w:lang w:val="en-US" w:eastAsia="zh-CN"/>
        </w:rPr>
        <w:t>一</w:t>
      </w:r>
      <w:r>
        <w:rPr>
          <w:rFonts w:hint="default" w:ascii="Times New Roman" w:hAnsi="Times New Roman" w:cs="Times New Roman"/>
          <w:color w:val="auto"/>
          <w:sz w:val="24"/>
          <w:highlight w:val="none"/>
        </w:rPr>
        <w:t>级。</w:t>
      </w:r>
    </w:p>
    <w:p w14:paraId="737FD9A4">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（2）根据现状监测结果，</w:t>
      </w:r>
      <w:r>
        <w:rPr>
          <w:rFonts w:hint="default" w:ascii="Times New Roman" w:hAnsi="Times New Roman" w:cs="Times New Roman"/>
          <w:color w:val="auto"/>
          <w:sz w:val="24"/>
          <w:highlight w:val="none"/>
          <w:lang w:val="en-US" w:eastAsia="zh-CN"/>
        </w:rPr>
        <w:t>各生产区域</w:t>
      </w:r>
      <w:r>
        <w:rPr>
          <w:rFonts w:hint="default" w:ascii="Times New Roman" w:hAnsi="Times New Roman" w:cs="Times New Roman"/>
          <w:color w:val="auto"/>
          <w:sz w:val="24"/>
          <w:highlight w:val="none"/>
        </w:rPr>
        <w:t>占地</w:t>
      </w:r>
      <w:r>
        <w:rPr>
          <w:rFonts w:hint="default" w:ascii="Times New Roman" w:hAnsi="Times New Roman" w:cs="Times New Roman"/>
          <w:color w:val="auto"/>
          <w:sz w:val="24"/>
          <w:highlight w:val="none"/>
          <w:lang w:val="en-US" w:eastAsia="zh-CN"/>
        </w:rPr>
        <w:t>范围</w:t>
      </w:r>
      <w:r>
        <w:rPr>
          <w:rFonts w:hint="default" w:ascii="Times New Roman" w:hAnsi="Times New Roman" w:cs="Times New Roman"/>
          <w:color w:val="auto"/>
          <w:sz w:val="24"/>
          <w:highlight w:val="none"/>
        </w:rPr>
        <w:t>内</w:t>
      </w:r>
      <w:r>
        <w:rPr>
          <w:rFonts w:hint="default" w:ascii="Times New Roman" w:hAnsi="Times New Roman" w:cs="Times New Roman"/>
          <w:color w:val="auto"/>
          <w:sz w:val="24"/>
          <w:highlight w:val="none"/>
          <w:lang w:val="en-US" w:eastAsia="zh-CN"/>
        </w:rPr>
        <w:t>及占地范围外建设用地</w:t>
      </w:r>
      <w:r>
        <w:rPr>
          <w:rFonts w:hint="default" w:ascii="Times New Roman" w:hAnsi="Times New Roman" w:cs="Times New Roman"/>
          <w:color w:val="auto"/>
          <w:sz w:val="24"/>
          <w:highlight w:val="none"/>
        </w:rPr>
        <w:t>各监测点各项监测指标均低于《土壤环境质量 建设用地土壤污染风险管控标准（试行）》（GB</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36600-2018）中的风险筛选值标准；场地外</w:t>
      </w:r>
      <w:r>
        <w:rPr>
          <w:rFonts w:hint="default" w:ascii="Times New Roman" w:hAnsi="Times New Roman" w:cs="Times New Roman"/>
          <w:color w:val="auto"/>
          <w:sz w:val="24"/>
          <w:highlight w:val="none"/>
          <w:lang w:val="en-US" w:eastAsia="zh-CN"/>
        </w:rPr>
        <w:t>农用地</w:t>
      </w:r>
      <w:r>
        <w:rPr>
          <w:rFonts w:hint="default" w:ascii="Times New Roman" w:hAnsi="Times New Roman" w:cs="Times New Roman"/>
          <w:color w:val="auto"/>
          <w:sz w:val="24"/>
          <w:highlight w:val="none"/>
        </w:rPr>
        <w:t>各监测点均低于《土壤环境质量</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农用地土壤污染风险管控标准（试行）》（GB</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15618-2018）标准中的风险筛选值标准，项目占地区域内及周边土壤环境质量状况良好。</w:t>
      </w:r>
    </w:p>
    <w:p w14:paraId="5B887BB7">
      <w:pPr>
        <w:pStyle w:val="17"/>
        <w:spacing w:line="360" w:lineRule="auto"/>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bCs/>
          <w:color w:val="auto"/>
          <w:sz w:val="24"/>
          <w:szCs w:val="24"/>
          <w:highlight w:val="none"/>
        </w:rPr>
        <w:t>项目对土壤的影响主要为废气中的</w:t>
      </w:r>
      <w:r>
        <w:rPr>
          <w:rFonts w:hint="default" w:ascii="Times New Roman" w:hAnsi="Times New Roman" w:cs="Times New Roman"/>
          <w:bCs/>
          <w:color w:val="auto"/>
          <w:sz w:val="24"/>
          <w:szCs w:val="24"/>
          <w:highlight w:val="none"/>
          <w:lang w:val="en-US" w:eastAsia="zh-CN"/>
        </w:rPr>
        <w:t>铅、砷、铜、锌、</w:t>
      </w:r>
      <w:r>
        <w:rPr>
          <w:rFonts w:hint="default" w:ascii="Times New Roman" w:hAnsi="Times New Roman" w:cs="Times New Roman"/>
          <w:color w:val="auto"/>
          <w:sz w:val="24"/>
          <w:highlight w:val="none"/>
          <w:lang w:val="en-US" w:eastAsia="zh-CN"/>
        </w:rPr>
        <w:t>铁、锰</w:t>
      </w:r>
      <w:r>
        <w:rPr>
          <w:rFonts w:hint="default" w:ascii="Times New Roman" w:hAnsi="Times New Roman" w:cs="Times New Roman"/>
          <w:bCs/>
          <w:color w:val="auto"/>
          <w:sz w:val="24"/>
          <w:szCs w:val="24"/>
          <w:highlight w:val="none"/>
          <w:lang w:val="en-US" w:eastAsia="zh-CN"/>
        </w:rPr>
        <w:t>等</w:t>
      </w:r>
      <w:r>
        <w:rPr>
          <w:rFonts w:hint="default" w:ascii="Times New Roman" w:hAnsi="Times New Roman" w:cs="Times New Roman"/>
          <w:bCs/>
          <w:color w:val="auto"/>
          <w:sz w:val="24"/>
          <w:szCs w:val="24"/>
          <w:highlight w:val="none"/>
        </w:rPr>
        <w:t>以大气沉降的方式进入土壤环境，对土壤产生不利影响；根据预测</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铅、砷、铜、锌的</w:t>
      </w:r>
      <w:r>
        <w:rPr>
          <w:rFonts w:hint="default" w:ascii="Times New Roman" w:hAnsi="Times New Roman" w:cs="Times New Roman"/>
          <w:bCs/>
          <w:color w:val="auto"/>
          <w:sz w:val="24"/>
          <w:szCs w:val="24"/>
          <w:highlight w:val="none"/>
        </w:rPr>
        <w:t>贡献值较低，在叠加背景值后</w:t>
      </w:r>
      <w:r>
        <w:rPr>
          <w:rFonts w:hint="default" w:ascii="Times New Roman" w:hAnsi="Times New Roman" w:cs="Times New Roman"/>
          <w:snapToGrid w:val="0"/>
          <w:color w:val="auto"/>
          <w:sz w:val="24"/>
          <w:szCs w:val="24"/>
          <w:highlight w:val="none"/>
        </w:rPr>
        <w:t>均低于</w:t>
      </w:r>
      <w:r>
        <w:rPr>
          <w:rFonts w:hint="default" w:ascii="Times New Roman" w:hAnsi="Times New Roman" w:cs="Times New Roman"/>
          <w:color w:val="auto"/>
          <w:sz w:val="24"/>
          <w:highlight w:val="none"/>
        </w:rPr>
        <w:t>《土壤环境质量</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农用地土壤污染风险管控标准（试行）》（GB</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15618-2018）标准中的风险筛选值标准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铁、锰</w:t>
      </w:r>
      <w:r>
        <w:rPr>
          <w:rFonts w:hint="default" w:ascii="Times New Roman" w:hAnsi="Times New Roman" w:cs="Times New Roman"/>
          <w:color w:val="auto"/>
          <w:sz w:val="24"/>
          <w:highlight w:val="none"/>
          <w:lang w:eastAsia="zh-CN"/>
        </w:rPr>
        <w:t>贡献值较低对土壤环境产生的影响较小。</w:t>
      </w:r>
    </w:p>
    <w:p w14:paraId="65E7E778">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）项目采取分区防渗</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建设截排水沟、初期雨水收集池</w:t>
      </w:r>
      <w:r>
        <w:rPr>
          <w:rFonts w:hint="default" w:ascii="Times New Roman" w:hAnsi="Times New Roman" w:cs="Times New Roman"/>
          <w:color w:val="auto"/>
          <w:sz w:val="24"/>
          <w:highlight w:val="none"/>
        </w:rPr>
        <w:t>等各项措施，入渗及</w:t>
      </w:r>
      <w:r>
        <w:rPr>
          <w:rFonts w:hint="default" w:ascii="Times New Roman" w:hAnsi="Times New Roman" w:cs="Times New Roman"/>
          <w:color w:val="auto"/>
          <w:sz w:val="24"/>
          <w:highlight w:val="none"/>
          <w:lang w:val="en-US" w:eastAsia="zh-CN"/>
        </w:rPr>
        <w:t>地表</w:t>
      </w:r>
      <w:r>
        <w:rPr>
          <w:rFonts w:hint="default" w:ascii="Times New Roman" w:hAnsi="Times New Roman" w:cs="Times New Roman"/>
          <w:color w:val="auto"/>
          <w:sz w:val="24"/>
          <w:highlight w:val="none"/>
        </w:rPr>
        <w:t>漫流对土壤影响小。</w:t>
      </w:r>
    </w:p>
    <w:bookmarkEnd w:id="511"/>
    <w:bookmarkEnd w:id="512"/>
    <w:bookmarkEnd w:id="513"/>
    <w:p w14:paraId="31C7FD87">
      <w:pPr>
        <w:pStyle w:val="5"/>
        <w:bidi w:val="0"/>
        <w:rPr>
          <w:rFonts w:hint="default" w:ascii="Times New Roman" w:hAnsi="Times New Roman" w:cs="Times New Roman"/>
        </w:rPr>
      </w:pPr>
      <w:bookmarkStart w:id="514" w:name="_Toc32553"/>
      <w:bookmarkStart w:id="515" w:name="_Toc18181"/>
      <w:bookmarkStart w:id="516" w:name="_Toc19984"/>
      <w:bookmarkStart w:id="517" w:name="_Toc10812"/>
      <w:bookmarkStart w:id="518" w:name="_Toc21320"/>
      <w:bookmarkStart w:id="519" w:name="_Toc165816784"/>
      <w:r>
        <w:rPr>
          <w:rFonts w:hint="default" w:ascii="Times New Roman" w:hAnsi="Times New Roman" w:cs="Times New Roman"/>
          <w:lang w:val="en-US" w:eastAsia="zh-CN"/>
        </w:rPr>
        <w:t>6</w:t>
      </w:r>
      <w:r>
        <w:rPr>
          <w:rFonts w:hint="default" w:ascii="Times New Roman" w:hAnsi="Times New Roman" w:cs="Times New Roman"/>
        </w:rPr>
        <w:t>.5声环境影响预测与评价</w:t>
      </w:r>
      <w:bookmarkEnd w:id="514"/>
      <w:bookmarkEnd w:id="515"/>
      <w:bookmarkEnd w:id="516"/>
      <w:bookmarkEnd w:id="517"/>
      <w:bookmarkEnd w:id="518"/>
      <w:bookmarkEnd w:id="519"/>
    </w:p>
    <w:p w14:paraId="11213169">
      <w:pPr>
        <w:pStyle w:val="6"/>
        <w:bidi w:val="0"/>
        <w:rPr>
          <w:rFonts w:hint="default" w:ascii="Times New Roman" w:hAnsi="Times New Roman" w:cs="Times New Roman"/>
        </w:rPr>
      </w:pPr>
      <w:bookmarkStart w:id="520" w:name="_Toc23248"/>
      <w:r>
        <w:rPr>
          <w:rFonts w:hint="default" w:ascii="Times New Roman" w:hAnsi="Times New Roman" w:cs="Times New Roman"/>
          <w:lang w:val="en-US" w:eastAsia="zh-CN"/>
        </w:rPr>
        <w:t>6</w:t>
      </w:r>
      <w:r>
        <w:rPr>
          <w:rFonts w:hint="default" w:ascii="Times New Roman" w:hAnsi="Times New Roman" w:cs="Times New Roman"/>
        </w:rPr>
        <w:t>.5.1预测基础数据</w:t>
      </w:r>
      <w:bookmarkEnd w:id="520"/>
    </w:p>
    <w:p w14:paraId="2348769C">
      <w:pPr>
        <w:snapToGrid w:val="0"/>
        <w:ind w:firstLine="490" w:firstLineChars="200"/>
        <w:rPr>
          <w:rFonts w:hint="default" w:ascii="Times New Roman" w:hAnsi="Times New Roman" w:cs="Times New Roman" w:eastAsiaTheme="minorEastAsia"/>
          <w:szCs w:val="24"/>
        </w:rPr>
      </w:pPr>
      <w:r>
        <w:rPr>
          <w:rFonts w:hint="default" w:ascii="Times New Roman" w:hAnsi="Times New Roman" w:cs="Times New Roman"/>
          <w:b/>
          <w:bCs/>
        </w:rPr>
        <w:t>（1）声源数据</w:t>
      </w:r>
    </w:p>
    <w:p w14:paraId="19D1CF1A">
      <w:pPr>
        <w:spacing w:line="360" w:lineRule="auto"/>
        <w:ind w:firstLine="480"/>
        <w:rPr>
          <w:rFonts w:hint="default" w:ascii="Times New Roman" w:hAnsi="Times New Roman" w:cs="Times New Roman"/>
          <w:szCs w:val="24"/>
        </w:rPr>
      </w:pPr>
      <w:r>
        <w:rPr>
          <w:rFonts w:hint="default" w:ascii="Times New Roman" w:hAnsi="Times New Roman" w:eastAsia="宋体" w:cs="Times New Roman"/>
          <w:color w:val="auto"/>
          <w:sz w:val="24"/>
          <w:szCs w:val="24"/>
          <w:highlight w:val="none"/>
          <w:lang w:val="en-US" w:eastAsia="zh-CN"/>
        </w:rPr>
        <w:t>项目运营过程中噪声主要为</w:t>
      </w:r>
      <w:r>
        <w:rPr>
          <w:rFonts w:hint="default" w:ascii="Times New Roman" w:hAnsi="Times New Roman" w:cs="Times New Roman"/>
          <w:color w:val="auto"/>
          <w:sz w:val="24"/>
          <w:szCs w:val="24"/>
          <w:highlight w:val="none"/>
          <w:lang w:val="en-US" w:eastAsia="zh-CN"/>
        </w:rPr>
        <w:t>破碎机、筛分机、磁选机、风机</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lang w:val="en-US" w:eastAsia="zh-CN"/>
        </w:rPr>
        <w:t>设备，</w:t>
      </w:r>
      <w:r>
        <w:rPr>
          <w:rFonts w:hint="default" w:ascii="Times New Roman" w:hAnsi="Times New Roman" w:eastAsia="宋体" w:cs="Times New Roman"/>
          <w:color w:val="auto"/>
          <w:sz w:val="24"/>
          <w:szCs w:val="24"/>
          <w:highlight w:val="none"/>
        </w:rPr>
        <w:t>噪声源强在</w:t>
      </w:r>
      <w:r>
        <w:rPr>
          <w:rFonts w:hint="default" w:ascii="Times New Roman" w:hAnsi="Times New Roman" w:cs="Times New Roman"/>
          <w:color w:val="auto"/>
          <w:sz w:val="24"/>
          <w:szCs w:val="24"/>
          <w:highlight w:val="none"/>
          <w:lang w:val="en-US" w:eastAsia="zh-CN"/>
        </w:rPr>
        <w:t>85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95</w:t>
      </w:r>
      <w:r>
        <w:rPr>
          <w:rFonts w:hint="default" w:ascii="Times New Roman" w:hAnsi="Times New Roman" w:cs="Times New Roman"/>
          <w:color w:val="auto"/>
          <w:sz w:val="24"/>
          <w:szCs w:val="24"/>
          <w:highlight w:val="none"/>
        </w:rPr>
        <w:t>dB（A）</w:t>
      </w:r>
      <w:r>
        <w:rPr>
          <w:rFonts w:hint="default" w:ascii="Times New Roman" w:hAnsi="Times New Roman" w:eastAsia="宋体" w:cs="Times New Roman"/>
          <w:color w:val="auto"/>
          <w:sz w:val="24"/>
          <w:szCs w:val="24"/>
          <w:highlight w:val="none"/>
        </w:rPr>
        <w:t>之间。</w:t>
      </w:r>
      <w:r>
        <w:rPr>
          <w:rFonts w:hint="default" w:ascii="Times New Roman" w:hAnsi="Times New Roman" w:cs="Times New Roman" w:eastAsiaTheme="minorEastAsia"/>
          <w:szCs w:val="24"/>
        </w:rPr>
        <w:t>项目产生噪声的噪声源强调查清单见表</w:t>
      </w:r>
      <w:r>
        <w:rPr>
          <w:rFonts w:hint="default" w:ascii="Times New Roman" w:hAnsi="Times New Roman" w:cs="Times New Roman" w:eastAsiaTheme="minorEastAsia"/>
          <w:szCs w:val="24"/>
          <w:lang w:val="en-US" w:eastAsia="zh-CN"/>
        </w:rPr>
        <w:t>6.5</w:t>
      </w:r>
      <w:r>
        <w:rPr>
          <w:rFonts w:hint="default" w:ascii="Times New Roman" w:hAnsi="Times New Roman" w:cs="Times New Roman" w:eastAsiaTheme="minorEastAsia"/>
          <w:szCs w:val="24"/>
        </w:rPr>
        <w:t>.</w:t>
      </w:r>
      <w:r>
        <w:rPr>
          <w:rFonts w:hint="default" w:ascii="Times New Roman" w:hAnsi="Times New Roman" w:cs="Times New Roman" w:eastAsiaTheme="minorEastAsia"/>
          <w:szCs w:val="24"/>
          <w:lang w:val="en-US" w:eastAsia="zh-CN"/>
        </w:rPr>
        <w:t>1</w:t>
      </w:r>
      <w:r>
        <w:rPr>
          <w:rFonts w:hint="default" w:ascii="Times New Roman" w:hAnsi="Times New Roman" w:cs="Times New Roman" w:eastAsiaTheme="minorEastAsia"/>
          <w:szCs w:val="24"/>
        </w:rPr>
        <w:t>-</w:t>
      </w:r>
      <w:r>
        <w:rPr>
          <w:rFonts w:hint="default" w:ascii="Times New Roman" w:hAnsi="Times New Roman" w:cs="Times New Roman" w:eastAsiaTheme="minorEastAsia"/>
          <w:szCs w:val="24"/>
          <w:lang w:val="en-US" w:eastAsia="zh-CN"/>
        </w:rPr>
        <w:t>1</w:t>
      </w:r>
      <w:r>
        <w:rPr>
          <w:rFonts w:hint="default" w:ascii="Times New Roman" w:hAnsi="Times New Roman" w:cs="Times New Roman" w:eastAsiaTheme="minorEastAsia"/>
          <w:szCs w:val="24"/>
        </w:rPr>
        <w:t>。</w:t>
      </w:r>
    </w:p>
    <w:p w14:paraId="4EE8321A">
      <w:pPr>
        <w:pStyle w:val="50"/>
        <w:jc w:val="center"/>
        <w:rPr>
          <w:rFonts w:hint="default" w:ascii="Times New Roman" w:hAnsi="Times New Roman" w:eastAsia="黑体" w:cs="Times New Roman"/>
          <w:b w:val="0"/>
          <w:bCs/>
          <w:color w:val="auto"/>
          <w:sz w:val="21"/>
          <w:szCs w:val="21"/>
          <w:lang w:bidi="zh-CN"/>
        </w:rPr>
      </w:pPr>
      <w:r>
        <w:rPr>
          <w:rFonts w:hint="default" w:ascii="Times New Roman" w:hAnsi="Times New Roman" w:eastAsia="黑体" w:cs="Times New Roman"/>
          <w:b w:val="0"/>
          <w:bCs/>
          <w:color w:val="auto"/>
          <w:sz w:val="21"/>
          <w:szCs w:val="21"/>
          <w:lang w:bidi="zh-CN"/>
        </w:rPr>
        <w:t>表</w:t>
      </w:r>
      <w:r>
        <w:rPr>
          <w:rFonts w:hint="default" w:ascii="Times New Roman" w:hAnsi="Times New Roman" w:eastAsia="黑体" w:cs="Times New Roman"/>
          <w:b w:val="0"/>
          <w:bCs/>
          <w:color w:val="auto"/>
          <w:sz w:val="21"/>
          <w:szCs w:val="21"/>
          <w:lang w:val="en-US" w:bidi="zh-CN"/>
        </w:rPr>
        <w:t>6.5.1</w:t>
      </w:r>
      <w:r>
        <w:rPr>
          <w:rFonts w:hint="default" w:ascii="Times New Roman" w:hAnsi="Times New Roman" w:eastAsia="黑体" w:cs="Times New Roman"/>
          <w:b w:val="0"/>
          <w:bCs/>
          <w:color w:val="auto"/>
          <w:sz w:val="21"/>
          <w:szCs w:val="21"/>
          <w:lang w:bidi="zh-CN"/>
        </w:rPr>
        <w:t>-</w:t>
      </w:r>
      <w:r>
        <w:rPr>
          <w:rFonts w:hint="default" w:ascii="Times New Roman" w:hAnsi="Times New Roman" w:eastAsia="黑体" w:cs="Times New Roman"/>
          <w:b w:val="0"/>
          <w:bCs/>
          <w:color w:val="auto"/>
          <w:sz w:val="21"/>
          <w:szCs w:val="21"/>
          <w:lang w:val="en-US" w:bidi="zh-CN"/>
        </w:rPr>
        <w:t xml:space="preserve">1 </w:t>
      </w:r>
      <w:r>
        <w:rPr>
          <w:rFonts w:hint="default" w:ascii="Times New Roman" w:hAnsi="Times New Roman" w:eastAsia="黑体" w:cs="Times New Roman"/>
          <w:b w:val="0"/>
          <w:bCs/>
          <w:color w:val="auto"/>
          <w:sz w:val="21"/>
          <w:szCs w:val="21"/>
          <w:lang w:bidi="zh-CN"/>
        </w:rPr>
        <w:t xml:space="preserve"> 运营期噪声源强一览表</w:t>
      </w:r>
      <w:r>
        <w:rPr>
          <w:rFonts w:hint="default" w:ascii="Times New Roman" w:hAnsi="Times New Roman" w:eastAsia="黑体" w:cs="Times New Roman"/>
          <w:b w:val="0"/>
          <w:bCs/>
          <w:kern w:val="24"/>
          <w:sz w:val="21"/>
          <w:szCs w:val="21"/>
        </w:rPr>
        <w:t>（室</w:t>
      </w:r>
      <w:r>
        <w:rPr>
          <w:rFonts w:hint="default" w:ascii="Times New Roman" w:hAnsi="Times New Roman" w:eastAsia="黑体" w:cs="Times New Roman"/>
          <w:b w:val="0"/>
          <w:bCs/>
          <w:kern w:val="24"/>
          <w:sz w:val="21"/>
          <w:szCs w:val="21"/>
          <w:lang w:val="en-US" w:eastAsia="zh-CN"/>
        </w:rPr>
        <w:t>外</w:t>
      </w:r>
      <w:r>
        <w:rPr>
          <w:rFonts w:hint="default" w:ascii="Times New Roman" w:hAnsi="Times New Roman" w:eastAsia="黑体" w:cs="Times New Roman"/>
          <w:b w:val="0"/>
          <w:bCs/>
          <w:kern w:val="24"/>
          <w:sz w:val="21"/>
          <w:szCs w:val="21"/>
        </w:rPr>
        <w:t>声源）</w:t>
      </w:r>
      <w:r>
        <w:rPr>
          <w:rFonts w:hint="default" w:ascii="Times New Roman" w:hAnsi="Times New Roman" w:eastAsia="黑体" w:cs="Times New Roman"/>
          <w:b w:val="0"/>
          <w:bCs/>
          <w:color w:val="auto"/>
          <w:sz w:val="21"/>
          <w:szCs w:val="21"/>
          <w:lang w:bidi="zh-CN"/>
        </w:rPr>
        <w:tab/>
      </w:r>
      <w:r>
        <w:rPr>
          <w:rFonts w:hint="default" w:ascii="Times New Roman" w:hAnsi="Times New Roman" w:eastAsia="黑体" w:cs="Times New Roman"/>
          <w:b w:val="0"/>
          <w:bCs/>
          <w:color w:val="auto"/>
          <w:sz w:val="21"/>
          <w:szCs w:val="21"/>
          <w:lang w:bidi="zh-CN"/>
        </w:rPr>
        <w:t>单位：dB（A）</w:t>
      </w:r>
    </w:p>
    <w:tbl>
      <w:tblPr>
        <w:tblStyle w:val="30"/>
        <w:tblW w:w="4933"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225"/>
        <w:gridCol w:w="1817"/>
        <w:gridCol w:w="1052"/>
        <w:gridCol w:w="882"/>
        <w:gridCol w:w="790"/>
        <w:gridCol w:w="772"/>
        <w:gridCol w:w="774"/>
        <w:gridCol w:w="1399"/>
      </w:tblGrid>
      <w:tr w14:paraId="42BB92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Merge w:val="restart"/>
            <w:vAlign w:val="center"/>
          </w:tcPr>
          <w:p w14:paraId="630D06F6">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序号</w:t>
            </w:r>
          </w:p>
        </w:tc>
        <w:tc>
          <w:tcPr>
            <w:tcW w:w="668" w:type="pct"/>
            <w:vMerge w:val="restart"/>
            <w:vAlign w:val="center"/>
          </w:tcPr>
          <w:p w14:paraId="301762CF">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声源名称</w:t>
            </w:r>
          </w:p>
        </w:tc>
        <w:tc>
          <w:tcPr>
            <w:tcW w:w="991" w:type="pct"/>
            <w:vMerge w:val="restart"/>
            <w:vAlign w:val="center"/>
          </w:tcPr>
          <w:p w14:paraId="44D33A48">
            <w:pPr>
              <w:spacing w:line="240" w:lineRule="auto"/>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b/>
                <w:color w:val="auto"/>
                <w:sz w:val="18"/>
                <w:szCs w:val="18"/>
                <w:lang w:val="en-US" w:eastAsia="zh-CN"/>
              </w:rPr>
              <w:t>型号</w:t>
            </w:r>
          </w:p>
        </w:tc>
        <w:tc>
          <w:tcPr>
            <w:tcW w:w="1486" w:type="pct"/>
            <w:gridSpan w:val="3"/>
            <w:vAlign w:val="center"/>
          </w:tcPr>
          <w:p w14:paraId="78DEFB66">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空间相对位置m</w:t>
            </w:r>
          </w:p>
        </w:tc>
        <w:tc>
          <w:tcPr>
            <w:tcW w:w="421" w:type="pct"/>
            <w:vMerge w:val="restart"/>
            <w:vAlign w:val="center"/>
          </w:tcPr>
          <w:p w14:paraId="1DD03471">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声功率级dB（A）</w:t>
            </w:r>
          </w:p>
        </w:tc>
        <w:tc>
          <w:tcPr>
            <w:tcW w:w="422" w:type="pct"/>
            <w:vMerge w:val="restart"/>
            <w:vAlign w:val="center"/>
          </w:tcPr>
          <w:p w14:paraId="0ACAD9C3">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声源控制措施</w:t>
            </w:r>
          </w:p>
        </w:tc>
        <w:tc>
          <w:tcPr>
            <w:tcW w:w="763" w:type="pct"/>
            <w:vMerge w:val="restart"/>
            <w:vAlign w:val="center"/>
          </w:tcPr>
          <w:p w14:paraId="1708DE4C">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运行时段</w:t>
            </w:r>
          </w:p>
        </w:tc>
      </w:tr>
      <w:tr w14:paraId="7A3647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69DB0695">
            <w:pPr>
              <w:spacing w:line="240" w:lineRule="auto"/>
              <w:ind w:firstLine="0" w:firstLineChars="0"/>
              <w:jc w:val="center"/>
              <w:rPr>
                <w:rFonts w:hint="default" w:ascii="Times New Roman" w:hAnsi="Times New Roman" w:cs="Times New Roman"/>
                <w:color w:val="auto"/>
                <w:sz w:val="18"/>
                <w:szCs w:val="18"/>
              </w:rPr>
            </w:pPr>
          </w:p>
        </w:tc>
        <w:tc>
          <w:tcPr>
            <w:tcW w:w="668" w:type="pct"/>
            <w:vMerge w:val="continue"/>
            <w:vAlign w:val="center"/>
          </w:tcPr>
          <w:p w14:paraId="0EF8FF06">
            <w:pPr>
              <w:spacing w:line="240" w:lineRule="auto"/>
              <w:ind w:firstLine="0" w:firstLineChars="0"/>
              <w:jc w:val="center"/>
              <w:rPr>
                <w:rFonts w:hint="default" w:ascii="Times New Roman" w:hAnsi="Times New Roman" w:cs="Times New Roman"/>
                <w:color w:val="auto"/>
                <w:sz w:val="18"/>
                <w:szCs w:val="18"/>
              </w:rPr>
            </w:pPr>
          </w:p>
        </w:tc>
        <w:tc>
          <w:tcPr>
            <w:tcW w:w="991" w:type="pct"/>
            <w:vMerge w:val="continue"/>
            <w:vAlign w:val="center"/>
          </w:tcPr>
          <w:p w14:paraId="0F79DD8D">
            <w:pPr>
              <w:spacing w:line="240" w:lineRule="auto"/>
              <w:ind w:firstLine="0" w:firstLineChars="0"/>
              <w:jc w:val="center"/>
              <w:rPr>
                <w:rFonts w:hint="default" w:ascii="Times New Roman" w:hAnsi="Times New Roman" w:cs="Times New Roman"/>
                <w:color w:val="auto"/>
                <w:sz w:val="18"/>
                <w:szCs w:val="18"/>
              </w:rPr>
            </w:pPr>
          </w:p>
        </w:tc>
        <w:tc>
          <w:tcPr>
            <w:tcW w:w="574" w:type="pct"/>
            <w:vAlign w:val="center"/>
          </w:tcPr>
          <w:p w14:paraId="374FE949">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X</w:t>
            </w:r>
          </w:p>
        </w:tc>
        <w:tc>
          <w:tcPr>
            <w:tcW w:w="481" w:type="pct"/>
            <w:vAlign w:val="center"/>
          </w:tcPr>
          <w:p w14:paraId="301322D8">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Y</w:t>
            </w:r>
          </w:p>
        </w:tc>
        <w:tc>
          <w:tcPr>
            <w:tcW w:w="430" w:type="pct"/>
            <w:vAlign w:val="center"/>
          </w:tcPr>
          <w:p w14:paraId="77CBF502">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Z</w:t>
            </w:r>
          </w:p>
        </w:tc>
        <w:tc>
          <w:tcPr>
            <w:tcW w:w="421" w:type="pct"/>
            <w:vMerge w:val="continue"/>
            <w:vAlign w:val="center"/>
          </w:tcPr>
          <w:p w14:paraId="09BF3FD7">
            <w:pPr>
              <w:spacing w:line="240" w:lineRule="auto"/>
              <w:ind w:firstLine="0" w:firstLineChars="0"/>
              <w:jc w:val="center"/>
              <w:rPr>
                <w:rFonts w:hint="default" w:ascii="Times New Roman" w:hAnsi="Times New Roman" w:cs="Times New Roman"/>
                <w:color w:val="auto"/>
                <w:sz w:val="18"/>
                <w:szCs w:val="18"/>
              </w:rPr>
            </w:pPr>
          </w:p>
        </w:tc>
        <w:tc>
          <w:tcPr>
            <w:tcW w:w="422" w:type="pct"/>
            <w:vMerge w:val="continue"/>
            <w:vAlign w:val="center"/>
          </w:tcPr>
          <w:p w14:paraId="3BDB9437">
            <w:pPr>
              <w:spacing w:line="240" w:lineRule="auto"/>
              <w:ind w:firstLine="0" w:firstLineChars="0"/>
              <w:jc w:val="center"/>
              <w:rPr>
                <w:rFonts w:hint="default" w:ascii="Times New Roman" w:hAnsi="Times New Roman" w:cs="Times New Roman"/>
                <w:color w:val="auto"/>
                <w:sz w:val="18"/>
                <w:szCs w:val="18"/>
              </w:rPr>
            </w:pPr>
          </w:p>
        </w:tc>
        <w:tc>
          <w:tcPr>
            <w:tcW w:w="763" w:type="pct"/>
            <w:vMerge w:val="continue"/>
            <w:vAlign w:val="center"/>
          </w:tcPr>
          <w:p w14:paraId="0A432137">
            <w:pPr>
              <w:spacing w:line="240" w:lineRule="auto"/>
              <w:ind w:firstLine="0" w:firstLineChars="0"/>
              <w:jc w:val="center"/>
              <w:rPr>
                <w:rFonts w:hint="default" w:ascii="Times New Roman" w:hAnsi="Times New Roman" w:cs="Times New Roman"/>
                <w:color w:val="auto"/>
                <w:sz w:val="18"/>
                <w:szCs w:val="18"/>
              </w:rPr>
            </w:pPr>
          </w:p>
        </w:tc>
      </w:tr>
      <w:tr w14:paraId="686438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41A9A349">
            <w:pPr>
              <w:pStyle w:val="2"/>
              <w:adjustRightInd w:val="0"/>
              <w:spacing w:before="0" w:after="0" w:line="240" w:lineRule="auto"/>
              <w:ind w:right="0" w:rightChars="0"/>
              <w:jc w:val="center"/>
              <w:rPr>
                <w:rFonts w:hint="default" w:ascii="Times New Roman" w:hAnsi="Times New Roman" w:cs="Times New Roman"/>
                <w:color w:val="auto"/>
                <w:sz w:val="18"/>
                <w:szCs w:val="18"/>
              </w:rPr>
            </w:pPr>
            <w:r>
              <w:rPr>
                <w:rFonts w:hint="default" w:ascii="Times New Roman" w:hAnsi="Times New Roman" w:eastAsia="宋体" w:cs="Times New Roman"/>
                <w:sz w:val="18"/>
                <w:szCs w:val="18"/>
              </w:rPr>
              <w:t>1</w:t>
            </w:r>
          </w:p>
        </w:tc>
        <w:tc>
          <w:tcPr>
            <w:tcW w:w="668" w:type="pct"/>
            <w:vAlign w:val="center"/>
          </w:tcPr>
          <w:p w14:paraId="3FDB1934">
            <w:pPr>
              <w:pStyle w:val="2"/>
              <w:adjustRightInd w:val="0"/>
              <w:spacing w:before="0" w:after="0" w:line="240" w:lineRule="auto"/>
              <w:ind w:right="0" w:rightChars="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000000" w:themeColor="text1"/>
                <w:sz w:val="18"/>
                <w:szCs w:val="18"/>
                <w:lang w:val="en-US" w:eastAsia="zh-CN"/>
                <w14:textFill>
                  <w14:solidFill>
                    <w14:schemeClr w14:val="tx1"/>
                  </w14:solidFill>
                </w14:textFill>
              </w:rPr>
              <w:t>棒条筛</w:t>
            </w:r>
          </w:p>
        </w:tc>
        <w:tc>
          <w:tcPr>
            <w:tcW w:w="991" w:type="pct"/>
            <w:vAlign w:val="center"/>
          </w:tcPr>
          <w:p w14:paraId="2DAB6495">
            <w:pPr>
              <w:pStyle w:val="2"/>
              <w:adjustRightInd w:val="0"/>
              <w:spacing w:before="0" w:after="0" w:line="240" w:lineRule="auto"/>
              <w:ind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eastAsiaTheme="minorEastAsia"/>
                <w:color w:val="000000"/>
                <w:sz w:val="18"/>
                <w:szCs w:val="18"/>
              </w:rPr>
              <w:t>GZT-1200*4800</w:t>
            </w:r>
          </w:p>
        </w:tc>
        <w:tc>
          <w:tcPr>
            <w:tcW w:w="574" w:type="pct"/>
            <w:vAlign w:val="center"/>
          </w:tcPr>
          <w:p w14:paraId="671A6566">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38</w:t>
            </w:r>
          </w:p>
        </w:tc>
        <w:tc>
          <w:tcPr>
            <w:tcW w:w="481" w:type="pct"/>
            <w:vAlign w:val="center"/>
          </w:tcPr>
          <w:p w14:paraId="3E2BE3BD">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c>
          <w:tcPr>
            <w:tcW w:w="430" w:type="pct"/>
            <w:vAlign w:val="center"/>
          </w:tcPr>
          <w:p w14:paraId="1A113AE4">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1770</w:t>
            </w:r>
          </w:p>
        </w:tc>
        <w:tc>
          <w:tcPr>
            <w:tcW w:w="421" w:type="pct"/>
            <w:vAlign w:val="center"/>
          </w:tcPr>
          <w:p w14:paraId="4E74B4C1">
            <w:pPr>
              <w:pStyle w:val="2"/>
              <w:adjustRightInd w:val="0"/>
              <w:spacing w:before="0" w:after="0" w:line="240" w:lineRule="auto"/>
              <w:ind w:right="0" w:righ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000000" w:themeColor="text1"/>
                <w:sz w:val="18"/>
                <w:szCs w:val="18"/>
                <w14:textFill>
                  <w14:solidFill>
                    <w14:schemeClr w14:val="tx1"/>
                  </w14:solidFill>
                </w14:textFill>
              </w:rPr>
              <w:t>8</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5</w:t>
            </w:r>
          </w:p>
        </w:tc>
        <w:tc>
          <w:tcPr>
            <w:tcW w:w="422" w:type="pct"/>
            <w:vMerge w:val="restart"/>
            <w:vAlign w:val="center"/>
          </w:tcPr>
          <w:p w14:paraId="649C404B">
            <w:pPr>
              <w:pStyle w:val="2"/>
              <w:adjustRightInd w:val="0"/>
              <w:spacing w:before="0" w:after="0" w:line="240" w:lineRule="auto"/>
              <w:ind w:right="0"/>
              <w:jc w:val="left"/>
              <w:rPr>
                <w:rFonts w:hint="default" w:ascii="Times New Roman" w:hAnsi="Times New Roman" w:eastAsia="宋体" w:cs="Times New Roman"/>
                <w:color w:val="0066FF"/>
                <w:sz w:val="18"/>
                <w:szCs w:val="18"/>
              </w:rPr>
            </w:pPr>
            <w:r>
              <w:rPr>
                <w:rFonts w:hint="default" w:ascii="Times New Roman" w:hAnsi="Times New Roman" w:cs="Times New Roman"/>
                <w:color w:val="auto"/>
                <w:sz w:val="18"/>
                <w:szCs w:val="18"/>
              </w:rPr>
              <w:t>设备选型、</w:t>
            </w:r>
            <w:r>
              <w:rPr>
                <w:rFonts w:hint="default" w:ascii="Times New Roman" w:hAnsi="Times New Roman" w:eastAsia="宋体" w:cs="Times New Roman"/>
                <w:color w:val="auto"/>
                <w:sz w:val="18"/>
                <w:szCs w:val="18"/>
              </w:rPr>
              <w:t>基础减振、</w:t>
            </w:r>
            <w:r>
              <w:rPr>
                <w:rFonts w:hint="default" w:ascii="Times New Roman" w:hAnsi="Times New Roman" w:eastAsia="宋体" w:cs="Times New Roman"/>
                <w:color w:val="auto"/>
                <w:sz w:val="18"/>
                <w:szCs w:val="18"/>
                <w:lang w:val="en-US" w:eastAsia="zh-CN"/>
              </w:rPr>
              <w:t>封闭</w:t>
            </w:r>
            <w:r>
              <w:rPr>
                <w:rFonts w:hint="default" w:ascii="Times New Roman" w:hAnsi="Times New Roman" w:cs="Times New Roman"/>
                <w:color w:val="auto"/>
                <w:sz w:val="18"/>
                <w:szCs w:val="18"/>
                <w:lang w:val="en-US" w:eastAsia="zh-CN"/>
              </w:rPr>
              <w:t>加装隔声材料</w:t>
            </w:r>
          </w:p>
          <w:p w14:paraId="71942738">
            <w:pPr>
              <w:spacing w:line="240" w:lineRule="auto"/>
              <w:ind w:firstLine="0" w:firstLineChars="0"/>
              <w:jc w:val="center"/>
              <w:rPr>
                <w:rFonts w:hint="default" w:ascii="Times New Roman" w:hAnsi="Times New Roman" w:cs="Times New Roman"/>
                <w:color w:val="auto"/>
                <w:sz w:val="18"/>
                <w:szCs w:val="18"/>
              </w:rPr>
            </w:pPr>
          </w:p>
          <w:p w14:paraId="7ABD7810">
            <w:pPr>
              <w:spacing w:line="240" w:lineRule="auto"/>
              <w:ind w:firstLine="0" w:firstLineChars="0"/>
              <w:jc w:val="center"/>
              <w:rPr>
                <w:rFonts w:hint="default" w:ascii="Times New Roman" w:hAnsi="Times New Roman" w:cs="Times New Roman"/>
                <w:color w:val="auto"/>
                <w:sz w:val="18"/>
                <w:szCs w:val="18"/>
              </w:rPr>
            </w:pPr>
          </w:p>
        </w:tc>
        <w:tc>
          <w:tcPr>
            <w:tcW w:w="763" w:type="pct"/>
            <w:vAlign w:val="center"/>
          </w:tcPr>
          <w:p w14:paraId="57ECD725">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r>
      <w:tr w14:paraId="51C3F9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6FD129CF">
            <w:pPr>
              <w:pStyle w:val="2"/>
              <w:adjustRightInd w:val="0"/>
              <w:spacing w:before="0" w:after="0" w:line="240" w:lineRule="auto"/>
              <w:ind w:right="0" w:rightChars="0"/>
              <w:jc w:val="center"/>
              <w:rPr>
                <w:rFonts w:hint="default" w:ascii="Times New Roman" w:hAnsi="Times New Roman" w:cs="Times New Roman"/>
                <w:color w:val="auto"/>
                <w:sz w:val="18"/>
                <w:szCs w:val="18"/>
              </w:rPr>
            </w:pPr>
            <w:r>
              <w:rPr>
                <w:rFonts w:hint="default" w:ascii="Times New Roman" w:hAnsi="Times New Roman" w:eastAsia="宋体" w:cs="Times New Roman"/>
                <w:sz w:val="18"/>
                <w:szCs w:val="18"/>
              </w:rPr>
              <w:t>2</w:t>
            </w:r>
          </w:p>
        </w:tc>
        <w:tc>
          <w:tcPr>
            <w:tcW w:w="668" w:type="pct"/>
            <w:vAlign w:val="center"/>
          </w:tcPr>
          <w:p w14:paraId="53D0AEE7">
            <w:pPr>
              <w:pStyle w:val="2"/>
              <w:adjustRightInd w:val="0"/>
              <w:spacing w:before="0" w:after="0" w:line="240" w:lineRule="auto"/>
              <w:ind w:right="0" w:rightChars="0"/>
              <w:jc w:val="center"/>
              <w:rPr>
                <w:rFonts w:hint="default" w:ascii="Times New Roman" w:hAnsi="Times New Roman" w:cs="Times New Roman"/>
                <w:color w:val="auto"/>
                <w:sz w:val="18"/>
                <w:szCs w:val="18"/>
              </w:rPr>
            </w:pPr>
            <w:r>
              <w:rPr>
                <w:rFonts w:hint="default" w:ascii="Times New Roman" w:hAnsi="Times New Roman" w:eastAsia="宋体" w:cs="Times New Roman"/>
                <w:color w:val="000000" w:themeColor="text1"/>
                <w:sz w:val="18"/>
                <w:szCs w:val="18"/>
                <w14:textFill>
                  <w14:solidFill>
                    <w14:schemeClr w14:val="tx1"/>
                  </w14:solidFill>
                </w14:textFill>
              </w:rPr>
              <w:t>半移动破碎机</w:t>
            </w:r>
          </w:p>
        </w:tc>
        <w:tc>
          <w:tcPr>
            <w:tcW w:w="991" w:type="pct"/>
            <w:vAlign w:val="center"/>
          </w:tcPr>
          <w:p w14:paraId="5D7612C3">
            <w:pPr>
              <w:pStyle w:val="2"/>
              <w:adjustRightInd w:val="0"/>
              <w:spacing w:before="0" w:after="0" w:line="240" w:lineRule="auto"/>
              <w:ind w:right="0" w:right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CSMJ1575-2</w:t>
            </w:r>
          </w:p>
        </w:tc>
        <w:tc>
          <w:tcPr>
            <w:tcW w:w="574" w:type="pct"/>
            <w:vAlign w:val="center"/>
          </w:tcPr>
          <w:p w14:paraId="728AC1EF">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39</w:t>
            </w:r>
          </w:p>
        </w:tc>
        <w:tc>
          <w:tcPr>
            <w:tcW w:w="481" w:type="pct"/>
            <w:vAlign w:val="center"/>
          </w:tcPr>
          <w:p w14:paraId="67C54B22">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1</w:t>
            </w:r>
          </w:p>
        </w:tc>
        <w:tc>
          <w:tcPr>
            <w:tcW w:w="430" w:type="pct"/>
            <w:vAlign w:val="center"/>
          </w:tcPr>
          <w:p w14:paraId="234F700C">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1770</w:t>
            </w:r>
          </w:p>
        </w:tc>
        <w:tc>
          <w:tcPr>
            <w:tcW w:w="421" w:type="pct"/>
            <w:vAlign w:val="center"/>
          </w:tcPr>
          <w:p w14:paraId="2AC788FF">
            <w:pPr>
              <w:pStyle w:val="2"/>
              <w:adjustRightInd w:val="0"/>
              <w:spacing w:before="0" w:after="0" w:line="240" w:lineRule="auto"/>
              <w:ind w:right="0" w:righ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000000" w:themeColor="text1"/>
                <w:sz w:val="18"/>
                <w:szCs w:val="18"/>
                <w:lang w:val="en-US" w:eastAsia="zh-CN"/>
                <w14:textFill>
                  <w14:solidFill>
                    <w14:schemeClr w14:val="tx1"/>
                  </w14:solidFill>
                </w14:textFill>
              </w:rPr>
              <w:t>95</w:t>
            </w:r>
          </w:p>
        </w:tc>
        <w:tc>
          <w:tcPr>
            <w:tcW w:w="422" w:type="pct"/>
            <w:vMerge w:val="continue"/>
            <w:vAlign w:val="center"/>
          </w:tcPr>
          <w:p w14:paraId="1B5A26CF">
            <w:pPr>
              <w:spacing w:line="240" w:lineRule="auto"/>
              <w:ind w:firstLine="0" w:firstLineChars="0"/>
              <w:jc w:val="center"/>
              <w:rPr>
                <w:rFonts w:hint="default" w:ascii="Times New Roman" w:hAnsi="Times New Roman" w:cs="Times New Roman"/>
                <w:color w:val="auto"/>
                <w:sz w:val="18"/>
                <w:szCs w:val="18"/>
              </w:rPr>
            </w:pPr>
          </w:p>
        </w:tc>
        <w:tc>
          <w:tcPr>
            <w:tcW w:w="763" w:type="pct"/>
            <w:vAlign w:val="center"/>
          </w:tcPr>
          <w:p w14:paraId="084F6F52">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r>
      <w:tr w14:paraId="03E08D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07FBC495">
            <w:pPr>
              <w:pStyle w:val="2"/>
              <w:adjustRightInd w:val="0"/>
              <w:spacing w:before="0" w:after="0" w:line="240" w:lineRule="auto"/>
              <w:ind w:right="0" w:righ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z w:val="18"/>
                <w:szCs w:val="18"/>
              </w:rPr>
              <w:t>3</w:t>
            </w:r>
          </w:p>
        </w:tc>
        <w:tc>
          <w:tcPr>
            <w:tcW w:w="668" w:type="pct"/>
            <w:vAlign w:val="center"/>
          </w:tcPr>
          <w:p w14:paraId="4311022F">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000000" w:themeColor="text1"/>
                <w:sz w:val="18"/>
                <w:szCs w:val="18"/>
                <w:lang w:val="en-US" w:eastAsia="zh-CN"/>
                <w14:textFill>
                  <w14:solidFill>
                    <w14:schemeClr w14:val="tx1"/>
                  </w14:solidFill>
                </w14:textFill>
              </w:rPr>
              <w:t>振动筛1#</w:t>
            </w:r>
          </w:p>
        </w:tc>
        <w:tc>
          <w:tcPr>
            <w:tcW w:w="991" w:type="pct"/>
            <w:vAlign w:val="center"/>
          </w:tcPr>
          <w:p w14:paraId="551B23B6">
            <w:pPr>
              <w:pStyle w:val="2"/>
              <w:adjustRightInd w:val="0"/>
              <w:spacing w:before="0" w:after="0" w:line="240" w:lineRule="auto"/>
              <w:ind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2SZZ-1232</w:t>
            </w:r>
          </w:p>
        </w:tc>
        <w:tc>
          <w:tcPr>
            <w:tcW w:w="574" w:type="pct"/>
            <w:vAlign w:val="center"/>
          </w:tcPr>
          <w:p w14:paraId="0FEBBB25">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36</w:t>
            </w:r>
          </w:p>
        </w:tc>
        <w:tc>
          <w:tcPr>
            <w:tcW w:w="481" w:type="pct"/>
            <w:vAlign w:val="center"/>
          </w:tcPr>
          <w:p w14:paraId="6F51D9CB">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c>
          <w:tcPr>
            <w:tcW w:w="430" w:type="pct"/>
            <w:vAlign w:val="center"/>
          </w:tcPr>
          <w:p w14:paraId="0824C338">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1770</w:t>
            </w:r>
          </w:p>
        </w:tc>
        <w:tc>
          <w:tcPr>
            <w:tcW w:w="421" w:type="pct"/>
            <w:vAlign w:val="center"/>
          </w:tcPr>
          <w:p w14:paraId="61FF9CCE">
            <w:pPr>
              <w:pStyle w:val="2"/>
              <w:adjustRightInd w:val="0"/>
              <w:spacing w:before="0" w:after="0" w:line="240" w:lineRule="auto"/>
              <w:ind w:right="0" w:righ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90</w:t>
            </w:r>
          </w:p>
        </w:tc>
        <w:tc>
          <w:tcPr>
            <w:tcW w:w="422" w:type="pct"/>
            <w:vMerge w:val="continue"/>
            <w:vAlign w:val="center"/>
          </w:tcPr>
          <w:p w14:paraId="5676F984">
            <w:pPr>
              <w:spacing w:line="240" w:lineRule="auto"/>
              <w:ind w:firstLine="0" w:firstLineChars="0"/>
              <w:jc w:val="center"/>
              <w:rPr>
                <w:rFonts w:hint="default" w:ascii="Times New Roman" w:hAnsi="Times New Roman" w:cs="Times New Roman"/>
                <w:color w:val="auto"/>
                <w:sz w:val="18"/>
                <w:szCs w:val="18"/>
              </w:rPr>
            </w:pPr>
          </w:p>
        </w:tc>
        <w:tc>
          <w:tcPr>
            <w:tcW w:w="763" w:type="pct"/>
            <w:vAlign w:val="center"/>
          </w:tcPr>
          <w:p w14:paraId="20A57CA3">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r>
      <w:tr w14:paraId="2D355A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37A0F709">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sz w:val="18"/>
                <w:szCs w:val="18"/>
              </w:rPr>
              <w:t>4</w:t>
            </w:r>
          </w:p>
        </w:tc>
        <w:tc>
          <w:tcPr>
            <w:tcW w:w="668" w:type="pct"/>
            <w:vAlign w:val="center"/>
          </w:tcPr>
          <w:p w14:paraId="3FFA6D3C">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000000" w:themeColor="text1"/>
                <w:sz w:val="18"/>
                <w:szCs w:val="18"/>
                <w:lang w:val="en-US" w:eastAsia="zh-CN"/>
                <w14:textFill>
                  <w14:solidFill>
                    <w14:schemeClr w14:val="tx1"/>
                  </w14:solidFill>
                </w14:textFill>
              </w:rPr>
              <w:t>振动筛2#</w:t>
            </w:r>
          </w:p>
        </w:tc>
        <w:tc>
          <w:tcPr>
            <w:tcW w:w="991" w:type="pct"/>
            <w:vAlign w:val="center"/>
          </w:tcPr>
          <w:p w14:paraId="527CDFA5">
            <w:pPr>
              <w:pStyle w:val="2"/>
              <w:adjustRightInd w:val="0"/>
              <w:spacing w:before="0" w:after="0" w:line="240" w:lineRule="auto"/>
              <w:ind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2SZZ-1232</w:t>
            </w:r>
          </w:p>
        </w:tc>
        <w:tc>
          <w:tcPr>
            <w:tcW w:w="574" w:type="pct"/>
            <w:vAlign w:val="center"/>
          </w:tcPr>
          <w:p w14:paraId="5D2C8CEA">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31</w:t>
            </w:r>
          </w:p>
        </w:tc>
        <w:tc>
          <w:tcPr>
            <w:tcW w:w="481" w:type="pct"/>
            <w:vAlign w:val="center"/>
          </w:tcPr>
          <w:p w14:paraId="457AA202">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-13</w:t>
            </w:r>
          </w:p>
        </w:tc>
        <w:tc>
          <w:tcPr>
            <w:tcW w:w="430" w:type="pct"/>
            <w:vAlign w:val="center"/>
          </w:tcPr>
          <w:p w14:paraId="2346576A">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1770</w:t>
            </w:r>
          </w:p>
        </w:tc>
        <w:tc>
          <w:tcPr>
            <w:tcW w:w="421" w:type="pct"/>
            <w:vAlign w:val="center"/>
          </w:tcPr>
          <w:p w14:paraId="14C13D64">
            <w:pPr>
              <w:pStyle w:val="2"/>
              <w:adjustRightInd w:val="0"/>
              <w:spacing w:before="0" w:after="0" w:line="240" w:lineRule="auto"/>
              <w:ind w:right="0" w:righ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90</w:t>
            </w:r>
          </w:p>
        </w:tc>
        <w:tc>
          <w:tcPr>
            <w:tcW w:w="422" w:type="pct"/>
            <w:vMerge w:val="continue"/>
            <w:vAlign w:val="center"/>
          </w:tcPr>
          <w:p w14:paraId="5BA8A48A">
            <w:pPr>
              <w:spacing w:line="240" w:lineRule="auto"/>
              <w:ind w:firstLine="0" w:firstLineChars="0"/>
              <w:jc w:val="center"/>
              <w:rPr>
                <w:rFonts w:hint="default" w:ascii="Times New Roman" w:hAnsi="Times New Roman" w:cs="Times New Roman"/>
                <w:color w:val="auto"/>
                <w:sz w:val="18"/>
                <w:szCs w:val="18"/>
              </w:rPr>
            </w:pPr>
          </w:p>
        </w:tc>
        <w:tc>
          <w:tcPr>
            <w:tcW w:w="763" w:type="pct"/>
            <w:vAlign w:val="center"/>
          </w:tcPr>
          <w:p w14:paraId="5B5DE5BF">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r>
      <w:tr w14:paraId="628533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196E38E9">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sz w:val="18"/>
                <w:szCs w:val="18"/>
              </w:rPr>
              <w:t>5</w:t>
            </w:r>
          </w:p>
        </w:tc>
        <w:tc>
          <w:tcPr>
            <w:tcW w:w="668" w:type="pct"/>
            <w:vAlign w:val="center"/>
          </w:tcPr>
          <w:p w14:paraId="394E1557">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000000" w:themeColor="text1"/>
                <w:sz w:val="18"/>
                <w:szCs w:val="18"/>
                <w14:textFill>
                  <w14:solidFill>
                    <w14:schemeClr w14:val="tx1"/>
                  </w14:solidFill>
                </w14:textFill>
              </w:rPr>
              <w:t>辊式破碎机</w:t>
            </w:r>
          </w:p>
        </w:tc>
        <w:tc>
          <w:tcPr>
            <w:tcW w:w="991" w:type="pct"/>
            <w:vAlign w:val="center"/>
          </w:tcPr>
          <w:p w14:paraId="257AF550">
            <w:pPr>
              <w:pStyle w:val="2"/>
              <w:adjustRightInd w:val="0"/>
              <w:spacing w:before="0" w:after="0" w:line="240" w:lineRule="auto"/>
              <w:ind w:right="0" w:right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2PG-30PT</w:t>
            </w:r>
          </w:p>
        </w:tc>
        <w:tc>
          <w:tcPr>
            <w:tcW w:w="574" w:type="pct"/>
            <w:vAlign w:val="center"/>
          </w:tcPr>
          <w:p w14:paraId="6DE8E7E7">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40</w:t>
            </w:r>
          </w:p>
        </w:tc>
        <w:tc>
          <w:tcPr>
            <w:tcW w:w="481" w:type="pct"/>
            <w:vAlign w:val="center"/>
          </w:tcPr>
          <w:p w14:paraId="3D6DE647">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-13</w:t>
            </w:r>
          </w:p>
        </w:tc>
        <w:tc>
          <w:tcPr>
            <w:tcW w:w="430" w:type="pct"/>
            <w:vAlign w:val="center"/>
          </w:tcPr>
          <w:p w14:paraId="6261A8E7">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1770</w:t>
            </w:r>
          </w:p>
        </w:tc>
        <w:tc>
          <w:tcPr>
            <w:tcW w:w="421" w:type="pct"/>
            <w:vAlign w:val="center"/>
          </w:tcPr>
          <w:p w14:paraId="2F726AB9">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000000" w:themeColor="text1"/>
                <w:sz w:val="18"/>
                <w:szCs w:val="18"/>
                <w:lang w:val="en-US" w:eastAsia="zh-CN"/>
                <w14:textFill>
                  <w14:solidFill>
                    <w14:schemeClr w14:val="tx1"/>
                  </w14:solidFill>
                </w14:textFill>
              </w:rPr>
              <w:t>95</w:t>
            </w:r>
          </w:p>
        </w:tc>
        <w:tc>
          <w:tcPr>
            <w:tcW w:w="422" w:type="pct"/>
            <w:vMerge w:val="continue"/>
            <w:vAlign w:val="center"/>
          </w:tcPr>
          <w:p w14:paraId="21215C3A">
            <w:pPr>
              <w:spacing w:line="240" w:lineRule="auto"/>
              <w:ind w:firstLine="0" w:firstLineChars="0"/>
              <w:jc w:val="center"/>
              <w:rPr>
                <w:rFonts w:hint="default" w:ascii="Times New Roman" w:hAnsi="Times New Roman" w:cs="Times New Roman"/>
                <w:color w:val="auto"/>
                <w:sz w:val="18"/>
                <w:szCs w:val="18"/>
              </w:rPr>
            </w:pPr>
          </w:p>
        </w:tc>
        <w:tc>
          <w:tcPr>
            <w:tcW w:w="763" w:type="pct"/>
            <w:vAlign w:val="center"/>
          </w:tcPr>
          <w:p w14:paraId="602E6894">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r>
      <w:tr w14:paraId="352281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3182B248">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sz w:val="18"/>
                <w:szCs w:val="18"/>
              </w:rPr>
              <w:t>6</w:t>
            </w:r>
          </w:p>
        </w:tc>
        <w:tc>
          <w:tcPr>
            <w:tcW w:w="668" w:type="pct"/>
            <w:vAlign w:val="center"/>
          </w:tcPr>
          <w:p w14:paraId="37101DB7">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000000" w:themeColor="text1"/>
                <w:sz w:val="18"/>
                <w:szCs w:val="18"/>
                <w:lang w:val="en-US" w:eastAsia="zh-CN" w:bidi="ar"/>
                <w14:textFill>
                  <w14:solidFill>
                    <w14:schemeClr w14:val="tx1"/>
                  </w14:solidFill>
                </w14:textFill>
              </w:rPr>
              <w:t>振动给料机1#</w:t>
            </w:r>
          </w:p>
        </w:tc>
        <w:tc>
          <w:tcPr>
            <w:tcW w:w="991" w:type="pct"/>
            <w:vAlign w:val="center"/>
          </w:tcPr>
          <w:p w14:paraId="08D84ABE">
            <w:pPr>
              <w:pStyle w:val="2"/>
              <w:adjustRightInd w:val="0"/>
              <w:spacing w:before="0" w:after="0" w:line="240" w:lineRule="auto"/>
              <w:ind w:right="0" w:rightChars="0"/>
              <w:jc w:val="center"/>
              <w:rPr>
                <w:rFonts w:hint="default" w:ascii="Times New Roman" w:hAnsi="Times New Roman" w:cs="Times New Roman"/>
                <w:color w:val="000000" w:themeColor="text1"/>
                <w:sz w:val="18"/>
                <w:szCs w:val="18"/>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GZG-503</w:t>
            </w:r>
          </w:p>
        </w:tc>
        <w:tc>
          <w:tcPr>
            <w:tcW w:w="574" w:type="pct"/>
            <w:vAlign w:val="center"/>
          </w:tcPr>
          <w:p w14:paraId="0DA743F7">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39</w:t>
            </w:r>
          </w:p>
        </w:tc>
        <w:tc>
          <w:tcPr>
            <w:tcW w:w="481" w:type="pct"/>
            <w:vAlign w:val="center"/>
          </w:tcPr>
          <w:p w14:paraId="65C2C387">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c>
          <w:tcPr>
            <w:tcW w:w="430" w:type="pct"/>
            <w:vAlign w:val="center"/>
          </w:tcPr>
          <w:p w14:paraId="7722FDEB">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1770</w:t>
            </w:r>
          </w:p>
        </w:tc>
        <w:tc>
          <w:tcPr>
            <w:tcW w:w="421" w:type="pct"/>
            <w:vAlign w:val="center"/>
          </w:tcPr>
          <w:p w14:paraId="3EC1F686">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000000" w:themeColor="text1"/>
                <w:sz w:val="18"/>
                <w:szCs w:val="18"/>
                <w14:textFill>
                  <w14:solidFill>
                    <w14:schemeClr w14:val="tx1"/>
                  </w14:solidFill>
                </w14:textFill>
              </w:rPr>
              <w:t>85</w:t>
            </w:r>
          </w:p>
        </w:tc>
        <w:tc>
          <w:tcPr>
            <w:tcW w:w="422" w:type="pct"/>
            <w:vMerge w:val="continue"/>
            <w:vAlign w:val="center"/>
          </w:tcPr>
          <w:p w14:paraId="41ACB7ED">
            <w:pPr>
              <w:spacing w:line="240" w:lineRule="auto"/>
              <w:ind w:firstLine="0" w:firstLineChars="0"/>
              <w:jc w:val="center"/>
              <w:rPr>
                <w:rFonts w:hint="default" w:ascii="Times New Roman" w:hAnsi="Times New Roman" w:cs="Times New Roman"/>
                <w:color w:val="auto"/>
                <w:sz w:val="18"/>
                <w:szCs w:val="18"/>
              </w:rPr>
            </w:pPr>
          </w:p>
        </w:tc>
        <w:tc>
          <w:tcPr>
            <w:tcW w:w="763" w:type="pct"/>
            <w:vAlign w:val="center"/>
          </w:tcPr>
          <w:p w14:paraId="7F4FD33B">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r>
      <w:tr w14:paraId="35D69F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7FED3D12">
            <w:pPr>
              <w:pStyle w:val="2"/>
              <w:adjustRightInd w:val="0"/>
              <w:spacing w:before="0" w:after="0" w:line="240" w:lineRule="auto"/>
              <w:ind w:right="0" w:righ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z w:val="18"/>
                <w:szCs w:val="18"/>
                <w:lang w:val="en-US" w:eastAsia="zh-CN"/>
              </w:rPr>
              <w:t>7</w:t>
            </w:r>
          </w:p>
        </w:tc>
        <w:tc>
          <w:tcPr>
            <w:tcW w:w="668" w:type="pct"/>
            <w:vAlign w:val="center"/>
          </w:tcPr>
          <w:p w14:paraId="2C507BD4">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000000" w:themeColor="text1"/>
                <w:sz w:val="18"/>
                <w:szCs w:val="18"/>
                <w:lang w:val="en-US" w:eastAsia="zh-CN" w:bidi="ar"/>
                <w14:textFill>
                  <w14:solidFill>
                    <w14:schemeClr w14:val="tx1"/>
                  </w14:solidFill>
                </w14:textFill>
              </w:rPr>
              <w:t>振动给料机2#</w:t>
            </w:r>
          </w:p>
        </w:tc>
        <w:tc>
          <w:tcPr>
            <w:tcW w:w="991" w:type="pct"/>
            <w:vAlign w:val="center"/>
          </w:tcPr>
          <w:p w14:paraId="0EA62FE9">
            <w:pPr>
              <w:pStyle w:val="2"/>
              <w:adjustRightInd w:val="0"/>
              <w:spacing w:before="0" w:after="0" w:line="240" w:lineRule="auto"/>
              <w:ind w:right="0" w:rightChars="0"/>
              <w:jc w:val="center"/>
              <w:rPr>
                <w:rFonts w:hint="default" w:ascii="Times New Roman" w:hAnsi="Times New Roman" w:cs="Times New Roman"/>
                <w:color w:val="000000" w:themeColor="text1"/>
                <w:sz w:val="18"/>
                <w:szCs w:val="18"/>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GZG-503</w:t>
            </w:r>
          </w:p>
        </w:tc>
        <w:tc>
          <w:tcPr>
            <w:tcW w:w="574" w:type="pct"/>
            <w:vAlign w:val="center"/>
          </w:tcPr>
          <w:p w14:paraId="75570F79">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481" w:type="pct"/>
            <w:vAlign w:val="center"/>
          </w:tcPr>
          <w:p w14:paraId="7FEB4E55">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c>
          <w:tcPr>
            <w:tcW w:w="430" w:type="pct"/>
            <w:vAlign w:val="center"/>
          </w:tcPr>
          <w:p w14:paraId="7E0F8591">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1770</w:t>
            </w:r>
          </w:p>
        </w:tc>
        <w:tc>
          <w:tcPr>
            <w:tcW w:w="421" w:type="pct"/>
            <w:vAlign w:val="center"/>
          </w:tcPr>
          <w:p w14:paraId="2F899319">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000000" w:themeColor="text1"/>
                <w:sz w:val="18"/>
                <w:szCs w:val="18"/>
                <w14:textFill>
                  <w14:solidFill>
                    <w14:schemeClr w14:val="tx1"/>
                  </w14:solidFill>
                </w14:textFill>
              </w:rPr>
              <w:t>85</w:t>
            </w:r>
          </w:p>
        </w:tc>
        <w:tc>
          <w:tcPr>
            <w:tcW w:w="422" w:type="pct"/>
            <w:vMerge w:val="continue"/>
            <w:vAlign w:val="center"/>
          </w:tcPr>
          <w:p w14:paraId="6BB38E59">
            <w:pPr>
              <w:spacing w:line="240" w:lineRule="auto"/>
              <w:ind w:firstLine="0" w:firstLineChars="0"/>
              <w:jc w:val="center"/>
              <w:rPr>
                <w:rFonts w:hint="default" w:ascii="Times New Roman" w:hAnsi="Times New Roman" w:cs="Times New Roman"/>
                <w:color w:val="auto"/>
                <w:sz w:val="18"/>
                <w:szCs w:val="18"/>
              </w:rPr>
            </w:pPr>
          </w:p>
        </w:tc>
        <w:tc>
          <w:tcPr>
            <w:tcW w:w="763" w:type="pct"/>
            <w:vAlign w:val="center"/>
          </w:tcPr>
          <w:p w14:paraId="384A23FC">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r>
      <w:tr w14:paraId="7765F8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2DA20E22">
            <w:pPr>
              <w:pStyle w:val="2"/>
              <w:adjustRightInd w:val="0"/>
              <w:spacing w:before="0" w:after="0" w:line="240" w:lineRule="auto"/>
              <w:ind w:right="0" w:righ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z w:val="18"/>
                <w:szCs w:val="18"/>
                <w:lang w:val="en-US" w:eastAsia="zh-CN"/>
              </w:rPr>
              <w:t>8</w:t>
            </w:r>
          </w:p>
        </w:tc>
        <w:tc>
          <w:tcPr>
            <w:tcW w:w="668" w:type="pct"/>
            <w:vAlign w:val="center"/>
          </w:tcPr>
          <w:p w14:paraId="19D5F444">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000000" w:themeColor="text1"/>
                <w:sz w:val="18"/>
                <w:szCs w:val="18"/>
                <w:lang w:val="en-US" w:eastAsia="zh-CN" w:bidi="ar"/>
                <w14:textFill>
                  <w14:solidFill>
                    <w14:schemeClr w14:val="tx1"/>
                  </w14:solidFill>
                </w14:textFill>
              </w:rPr>
              <w:t>振动给料机3#</w:t>
            </w:r>
          </w:p>
        </w:tc>
        <w:tc>
          <w:tcPr>
            <w:tcW w:w="991" w:type="pct"/>
            <w:vAlign w:val="center"/>
          </w:tcPr>
          <w:p w14:paraId="62B560C0">
            <w:pPr>
              <w:pStyle w:val="2"/>
              <w:adjustRightInd w:val="0"/>
              <w:spacing w:before="0" w:after="0" w:line="240" w:lineRule="auto"/>
              <w:ind w:right="0" w:rightChars="0"/>
              <w:jc w:val="center"/>
              <w:rPr>
                <w:rFonts w:hint="default" w:ascii="Times New Roman" w:hAnsi="Times New Roman" w:cs="Times New Roman"/>
                <w:color w:val="000000" w:themeColor="text1"/>
                <w:sz w:val="18"/>
                <w:szCs w:val="18"/>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GZG-503</w:t>
            </w:r>
          </w:p>
        </w:tc>
        <w:tc>
          <w:tcPr>
            <w:tcW w:w="574" w:type="pct"/>
            <w:vAlign w:val="center"/>
          </w:tcPr>
          <w:p w14:paraId="7EE9E466">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c>
          <w:tcPr>
            <w:tcW w:w="481" w:type="pct"/>
            <w:vAlign w:val="center"/>
          </w:tcPr>
          <w:p w14:paraId="16DCD9F8">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430" w:type="pct"/>
            <w:vAlign w:val="center"/>
          </w:tcPr>
          <w:p w14:paraId="301D8103">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1770</w:t>
            </w:r>
          </w:p>
        </w:tc>
        <w:tc>
          <w:tcPr>
            <w:tcW w:w="421" w:type="pct"/>
            <w:vAlign w:val="center"/>
          </w:tcPr>
          <w:p w14:paraId="402E2256">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000000" w:themeColor="text1"/>
                <w:sz w:val="18"/>
                <w:szCs w:val="18"/>
                <w14:textFill>
                  <w14:solidFill>
                    <w14:schemeClr w14:val="tx1"/>
                  </w14:solidFill>
                </w14:textFill>
              </w:rPr>
              <w:t>85</w:t>
            </w:r>
          </w:p>
        </w:tc>
        <w:tc>
          <w:tcPr>
            <w:tcW w:w="422" w:type="pct"/>
            <w:vMerge w:val="continue"/>
            <w:vAlign w:val="center"/>
          </w:tcPr>
          <w:p w14:paraId="479D431F">
            <w:pPr>
              <w:spacing w:line="240" w:lineRule="auto"/>
              <w:ind w:firstLine="0" w:firstLineChars="0"/>
              <w:jc w:val="center"/>
              <w:rPr>
                <w:rFonts w:hint="default" w:ascii="Times New Roman" w:hAnsi="Times New Roman" w:cs="Times New Roman"/>
                <w:color w:val="auto"/>
                <w:sz w:val="18"/>
                <w:szCs w:val="18"/>
              </w:rPr>
            </w:pPr>
          </w:p>
        </w:tc>
        <w:tc>
          <w:tcPr>
            <w:tcW w:w="763" w:type="pct"/>
            <w:vAlign w:val="center"/>
          </w:tcPr>
          <w:p w14:paraId="32B09114">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r>
      <w:tr w14:paraId="212555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22BEB10D">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sz w:val="18"/>
                <w:szCs w:val="18"/>
                <w:lang w:val="en-US" w:eastAsia="zh-CN"/>
              </w:rPr>
              <w:t>9</w:t>
            </w:r>
          </w:p>
        </w:tc>
        <w:tc>
          <w:tcPr>
            <w:tcW w:w="668" w:type="pct"/>
            <w:vAlign w:val="center"/>
          </w:tcPr>
          <w:p w14:paraId="7C548712">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000000" w:themeColor="text1"/>
                <w:sz w:val="18"/>
                <w:szCs w:val="18"/>
                <w:lang w:val="en-US" w:eastAsia="zh-CN" w:bidi="ar"/>
                <w14:textFill>
                  <w14:solidFill>
                    <w14:schemeClr w14:val="tx1"/>
                  </w14:solidFill>
                </w14:textFill>
              </w:rPr>
              <w:t>磁选机1#</w:t>
            </w:r>
          </w:p>
        </w:tc>
        <w:tc>
          <w:tcPr>
            <w:tcW w:w="991" w:type="pct"/>
            <w:vAlign w:val="center"/>
          </w:tcPr>
          <w:p w14:paraId="6991DD40">
            <w:pPr>
              <w:pStyle w:val="2"/>
              <w:adjustRightInd w:val="0"/>
              <w:spacing w:before="0" w:after="0" w:line="240" w:lineRule="auto"/>
              <w:ind w:right="0" w:rightChars="0"/>
              <w:jc w:val="center"/>
              <w:rPr>
                <w:rFonts w:hint="default" w:ascii="Times New Roman" w:hAnsi="Times New Roman" w:cs="Times New Roman"/>
                <w:color w:val="000000" w:themeColor="text1"/>
                <w:sz w:val="18"/>
                <w:szCs w:val="18"/>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2RTGX0612</w:t>
            </w:r>
          </w:p>
        </w:tc>
        <w:tc>
          <w:tcPr>
            <w:tcW w:w="574" w:type="pct"/>
            <w:vAlign w:val="center"/>
          </w:tcPr>
          <w:p w14:paraId="0653A8DD">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c>
          <w:tcPr>
            <w:tcW w:w="481" w:type="pct"/>
            <w:vAlign w:val="center"/>
          </w:tcPr>
          <w:p w14:paraId="20B9B9E1">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c>
          <w:tcPr>
            <w:tcW w:w="430" w:type="pct"/>
            <w:vAlign w:val="center"/>
          </w:tcPr>
          <w:p w14:paraId="636AE36F">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1770</w:t>
            </w:r>
          </w:p>
        </w:tc>
        <w:tc>
          <w:tcPr>
            <w:tcW w:w="421" w:type="pct"/>
            <w:vAlign w:val="center"/>
          </w:tcPr>
          <w:p w14:paraId="2A06E3D6">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000000" w:themeColor="text1"/>
                <w:sz w:val="18"/>
                <w:szCs w:val="18"/>
                <w:lang w:val="en-US" w:eastAsia="zh-CN"/>
                <w14:textFill>
                  <w14:solidFill>
                    <w14:schemeClr w14:val="tx1"/>
                  </w14:solidFill>
                </w14:textFill>
              </w:rPr>
              <w:t>85</w:t>
            </w:r>
          </w:p>
        </w:tc>
        <w:tc>
          <w:tcPr>
            <w:tcW w:w="422" w:type="pct"/>
            <w:vMerge w:val="continue"/>
            <w:vAlign w:val="center"/>
          </w:tcPr>
          <w:p w14:paraId="064FED77">
            <w:pPr>
              <w:spacing w:line="240" w:lineRule="auto"/>
              <w:ind w:firstLine="0" w:firstLineChars="0"/>
              <w:jc w:val="center"/>
              <w:rPr>
                <w:rFonts w:hint="default" w:ascii="Times New Roman" w:hAnsi="Times New Roman" w:cs="Times New Roman"/>
                <w:color w:val="auto"/>
                <w:sz w:val="18"/>
                <w:szCs w:val="18"/>
              </w:rPr>
            </w:pPr>
          </w:p>
        </w:tc>
        <w:tc>
          <w:tcPr>
            <w:tcW w:w="763" w:type="pct"/>
            <w:vAlign w:val="center"/>
          </w:tcPr>
          <w:p w14:paraId="0BDFF385">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r>
      <w:tr w14:paraId="330483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4E3E30B1">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sz w:val="18"/>
                <w:szCs w:val="18"/>
                <w:lang w:val="en-US" w:eastAsia="zh-CN"/>
              </w:rPr>
              <w:t>10</w:t>
            </w:r>
          </w:p>
        </w:tc>
        <w:tc>
          <w:tcPr>
            <w:tcW w:w="668" w:type="pct"/>
            <w:vAlign w:val="center"/>
          </w:tcPr>
          <w:p w14:paraId="647871EA">
            <w:pPr>
              <w:pStyle w:val="2"/>
              <w:adjustRightInd w:val="0"/>
              <w:spacing w:before="0" w:after="0" w:line="240" w:lineRule="auto"/>
              <w:ind w:right="0" w:rightChars="0"/>
              <w:jc w:val="center"/>
              <w:rPr>
                <w:rFonts w:hint="default" w:ascii="Times New Roman" w:hAnsi="Times New Roman" w:cs="Times New Roman"/>
                <w:color w:val="000000" w:themeColor="text1"/>
                <w:sz w:val="18"/>
                <w:szCs w:val="18"/>
                <w:lang w:val="en-US" w:eastAsia="zh-CN" w:bidi="ar"/>
                <w14:textFill>
                  <w14:solidFill>
                    <w14:schemeClr w14:val="tx1"/>
                  </w14:solidFill>
                </w14:textFill>
              </w:rPr>
            </w:pPr>
            <w:r>
              <w:rPr>
                <w:rFonts w:hint="default" w:ascii="Times New Roman" w:hAnsi="Times New Roman" w:cs="Times New Roman"/>
                <w:color w:val="000000" w:themeColor="text1"/>
                <w:sz w:val="18"/>
                <w:szCs w:val="18"/>
                <w:lang w:val="en-US" w:eastAsia="zh-CN" w:bidi="ar"/>
                <w14:textFill>
                  <w14:solidFill>
                    <w14:schemeClr w14:val="tx1"/>
                  </w14:solidFill>
                </w14:textFill>
              </w:rPr>
              <w:t>磁选机2#</w:t>
            </w:r>
          </w:p>
        </w:tc>
        <w:tc>
          <w:tcPr>
            <w:tcW w:w="991" w:type="pct"/>
            <w:vAlign w:val="center"/>
          </w:tcPr>
          <w:p w14:paraId="4B6126DE">
            <w:pPr>
              <w:pStyle w:val="2"/>
              <w:adjustRightInd w:val="0"/>
              <w:spacing w:before="0" w:after="0" w:line="240" w:lineRule="auto"/>
              <w:ind w:right="0" w:rightChars="0"/>
              <w:jc w:val="center"/>
              <w:rPr>
                <w:rFonts w:hint="default" w:ascii="Times New Roman" w:hAnsi="Times New Roman" w:cs="Times New Roman"/>
                <w:color w:val="000000" w:themeColor="text1"/>
                <w:sz w:val="18"/>
                <w:szCs w:val="18"/>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2RTGX0612</w:t>
            </w:r>
          </w:p>
        </w:tc>
        <w:tc>
          <w:tcPr>
            <w:tcW w:w="574" w:type="pct"/>
            <w:vAlign w:val="center"/>
          </w:tcPr>
          <w:p w14:paraId="4A572A70">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c>
          <w:tcPr>
            <w:tcW w:w="481" w:type="pct"/>
            <w:vAlign w:val="center"/>
          </w:tcPr>
          <w:p w14:paraId="5A169AFF">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-16</w:t>
            </w:r>
          </w:p>
        </w:tc>
        <w:tc>
          <w:tcPr>
            <w:tcW w:w="430" w:type="pct"/>
            <w:vAlign w:val="center"/>
          </w:tcPr>
          <w:p w14:paraId="613E1832">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1770</w:t>
            </w:r>
          </w:p>
        </w:tc>
        <w:tc>
          <w:tcPr>
            <w:tcW w:w="421" w:type="pct"/>
            <w:vAlign w:val="center"/>
          </w:tcPr>
          <w:p w14:paraId="6AA06FD1">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000000" w:themeColor="text1"/>
                <w:sz w:val="18"/>
                <w:szCs w:val="18"/>
                <w:lang w:val="en-US" w:eastAsia="zh-CN"/>
                <w14:textFill>
                  <w14:solidFill>
                    <w14:schemeClr w14:val="tx1"/>
                  </w14:solidFill>
                </w14:textFill>
              </w:rPr>
              <w:t>85</w:t>
            </w:r>
          </w:p>
        </w:tc>
        <w:tc>
          <w:tcPr>
            <w:tcW w:w="422" w:type="pct"/>
            <w:vMerge w:val="continue"/>
            <w:vAlign w:val="center"/>
          </w:tcPr>
          <w:p w14:paraId="0AB08B0A">
            <w:pPr>
              <w:spacing w:line="240" w:lineRule="auto"/>
              <w:ind w:firstLine="0" w:firstLineChars="0"/>
              <w:jc w:val="center"/>
              <w:rPr>
                <w:rFonts w:hint="default" w:ascii="Times New Roman" w:hAnsi="Times New Roman" w:cs="Times New Roman"/>
                <w:color w:val="auto"/>
                <w:sz w:val="18"/>
                <w:szCs w:val="18"/>
              </w:rPr>
            </w:pPr>
          </w:p>
        </w:tc>
        <w:tc>
          <w:tcPr>
            <w:tcW w:w="763" w:type="pct"/>
            <w:vAlign w:val="center"/>
          </w:tcPr>
          <w:p w14:paraId="40D9AB2A">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r>
      <w:tr w14:paraId="1F82F8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4B37DBBD">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sz w:val="18"/>
                <w:szCs w:val="18"/>
              </w:rPr>
              <w:t>1</w:t>
            </w:r>
            <w:r>
              <w:rPr>
                <w:rFonts w:hint="default" w:ascii="Times New Roman" w:hAnsi="Times New Roman" w:cs="Times New Roman"/>
                <w:sz w:val="18"/>
                <w:szCs w:val="18"/>
                <w:lang w:val="en-US" w:eastAsia="zh-CN"/>
              </w:rPr>
              <w:t>1</w:t>
            </w:r>
          </w:p>
        </w:tc>
        <w:tc>
          <w:tcPr>
            <w:tcW w:w="668" w:type="pct"/>
            <w:vAlign w:val="center"/>
          </w:tcPr>
          <w:p w14:paraId="7DF20E84">
            <w:pPr>
              <w:pStyle w:val="2"/>
              <w:adjustRightInd w:val="0"/>
              <w:spacing w:before="0" w:after="0" w:line="240" w:lineRule="auto"/>
              <w:ind w:right="0" w:rightChars="0"/>
              <w:jc w:val="center"/>
              <w:rPr>
                <w:rFonts w:hint="default" w:ascii="Times New Roman" w:hAnsi="Times New Roman" w:cs="Times New Roman"/>
                <w:color w:val="000000" w:themeColor="text1"/>
                <w:sz w:val="18"/>
                <w:szCs w:val="18"/>
                <w:lang w:val="en-US" w:eastAsia="zh-CN" w:bidi="ar"/>
                <w14:textFill>
                  <w14:solidFill>
                    <w14:schemeClr w14:val="tx1"/>
                  </w14:solidFill>
                </w14:textFill>
              </w:rPr>
            </w:pPr>
            <w:r>
              <w:rPr>
                <w:rFonts w:hint="default" w:ascii="Times New Roman" w:hAnsi="Times New Roman" w:eastAsia="宋体" w:cs="Times New Roman"/>
                <w:color w:val="000000" w:themeColor="text1"/>
                <w:sz w:val="18"/>
                <w:szCs w:val="18"/>
                <w:lang w:bidi="ar"/>
                <w14:textFill>
                  <w14:solidFill>
                    <w14:schemeClr w14:val="tx1"/>
                  </w14:solidFill>
                </w14:textFill>
              </w:rPr>
              <w:t>除尘器风机</w:t>
            </w:r>
          </w:p>
        </w:tc>
        <w:tc>
          <w:tcPr>
            <w:tcW w:w="991" w:type="pct"/>
            <w:vAlign w:val="center"/>
          </w:tcPr>
          <w:p w14:paraId="0CED785E">
            <w:pPr>
              <w:pStyle w:val="2"/>
              <w:adjustRightInd w:val="0"/>
              <w:spacing w:before="0" w:after="0" w:line="240" w:lineRule="auto"/>
              <w:ind w:right="0" w:rightChars="0"/>
              <w:jc w:val="center"/>
              <w:rPr>
                <w:rFonts w:hint="default" w:ascii="Times New Roman" w:hAnsi="Times New Roman" w:eastAsia="宋体" w:cs="Times New Roman"/>
                <w:color w:val="000000" w:themeColor="text1"/>
                <w:sz w:val="18"/>
                <w:szCs w:val="18"/>
                <w:lang w:val="en-US" w:eastAsia="zh-CN" w:bidi="ar"/>
                <w14:textFill>
                  <w14:solidFill>
                    <w14:schemeClr w14:val="tx1"/>
                  </w14:solidFill>
                </w14:textFill>
              </w:rPr>
            </w:pPr>
            <w:r>
              <w:rPr>
                <w:rFonts w:hint="default" w:ascii="Times New Roman" w:hAnsi="Times New Roman" w:cs="Times New Roman" w:eastAsiaTheme="minorEastAsia"/>
                <w:sz w:val="18"/>
                <w:szCs w:val="18"/>
              </w:rPr>
              <w:t>4000</w:t>
            </w:r>
            <w:r>
              <w:rPr>
                <w:rFonts w:hint="default" w:ascii="Times New Roman" w:hAnsi="Times New Roman" w:cs="Times New Roman" w:eastAsiaTheme="minorEastAsia"/>
                <w:sz w:val="18"/>
                <w:szCs w:val="18"/>
                <w:lang w:val="en-US" w:eastAsia="zh-CN"/>
              </w:rPr>
              <w:t>0</w:t>
            </w:r>
            <w:r>
              <w:rPr>
                <w:rFonts w:hint="default" w:ascii="Times New Roman" w:hAnsi="Times New Roman" w:cs="Times New Roman" w:eastAsiaTheme="minorEastAsia"/>
                <w:sz w:val="18"/>
                <w:szCs w:val="18"/>
              </w:rPr>
              <w:t>m³/h</w:t>
            </w:r>
          </w:p>
        </w:tc>
        <w:tc>
          <w:tcPr>
            <w:tcW w:w="574" w:type="pct"/>
            <w:vAlign w:val="center"/>
          </w:tcPr>
          <w:p w14:paraId="1D6370A2">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481" w:type="pct"/>
            <w:vAlign w:val="center"/>
          </w:tcPr>
          <w:p w14:paraId="3182BB05">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w:t>
            </w:r>
          </w:p>
        </w:tc>
        <w:tc>
          <w:tcPr>
            <w:tcW w:w="430" w:type="pct"/>
            <w:vAlign w:val="center"/>
          </w:tcPr>
          <w:p w14:paraId="6753409A">
            <w:pPr>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1770</w:t>
            </w:r>
          </w:p>
        </w:tc>
        <w:tc>
          <w:tcPr>
            <w:tcW w:w="421" w:type="pct"/>
            <w:vAlign w:val="center"/>
          </w:tcPr>
          <w:p w14:paraId="5DE1AF8A">
            <w:pPr>
              <w:pStyle w:val="2"/>
              <w:adjustRightInd w:val="0"/>
              <w:spacing w:before="0" w:after="0" w:line="240" w:lineRule="auto"/>
              <w:ind w:right="0" w:rightChars="0"/>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000000" w:themeColor="text1"/>
                <w:sz w:val="18"/>
                <w:szCs w:val="18"/>
                <w14:textFill>
                  <w14:solidFill>
                    <w14:schemeClr w14:val="tx1"/>
                  </w14:solidFill>
                </w14:textFill>
              </w:rPr>
              <w:t>85</w:t>
            </w:r>
          </w:p>
        </w:tc>
        <w:tc>
          <w:tcPr>
            <w:tcW w:w="422" w:type="pct"/>
            <w:vMerge w:val="continue"/>
            <w:vAlign w:val="center"/>
          </w:tcPr>
          <w:p w14:paraId="45E41A3C">
            <w:pPr>
              <w:spacing w:line="240" w:lineRule="auto"/>
              <w:ind w:firstLine="0" w:firstLineChars="0"/>
              <w:jc w:val="center"/>
              <w:rPr>
                <w:rFonts w:hint="default" w:ascii="Times New Roman" w:hAnsi="Times New Roman" w:cs="Times New Roman"/>
                <w:color w:val="auto"/>
                <w:sz w:val="18"/>
                <w:szCs w:val="18"/>
              </w:rPr>
            </w:pPr>
          </w:p>
        </w:tc>
        <w:tc>
          <w:tcPr>
            <w:tcW w:w="763" w:type="pct"/>
            <w:vAlign w:val="center"/>
          </w:tcPr>
          <w:p w14:paraId="5031CD90">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r>
    </w:tbl>
    <w:p w14:paraId="5CAFC8CA">
      <w:pPr>
        <w:pStyle w:val="68"/>
        <w:keepNext w:val="0"/>
        <w:keepLines w:val="0"/>
        <w:suppressLineNumbers w:val="0"/>
        <w:adjustRightInd/>
        <w:snapToGrid/>
        <w:spacing w:before="0" w:beforeAutospacing="0" w:after="0" w:afterAutospacing="0" w:line="360" w:lineRule="auto"/>
        <w:ind w:left="0" w:right="0" w:firstLine="48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1"/>
          <w:szCs w:val="21"/>
          <w:lang w:val="en-US" w:eastAsia="zh-CN"/>
        </w:rPr>
        <w:t>注：102°11′45.38719″,23°57′29.22919″为原点，</w:t>
      </w:r>
      <w:r>
        <w:rPr>
          <w:rFonts w:hint="default" w:ascii="Times New Roman" w:hAnsi="Times New Roman" w:eastAsia="宋体" w:cs="Times New Roman"/>
          <w:b w:val="0"/>
          <w:bCs w:val="0"/>
          <w:color w:val="auto"/>
          <w:sz w:val="21"/>
          <w:szCs w:val="21"/>
        </w:rPr>
        <w:t>正东向为X轴正方向，正北向为Y轴正方向</w:t>
      </w:r>
      <w:r>
        <w:rPr>
          <w:rFonts w:hint="default" w:ascii="Times New Roman" w:hAnsi="Times New Roman" w:eastAsia="宋体" w:cs="Times New Roman"/>
          <w:b w:val="0"/>
          <w:bCs w:val="0"/>
          <w:color w:val="auto"/>
          <w:sz w:val="21"/>
          <w:szCs w:val="21"/>
          <w:shd w:val="clear" w:color="auto" w:fill="auto"/>
          <w:lang w:val="en-US" w:eastAsia="zh-CN"/>
        </w:rPr>
        <w:t>。</w:t>
      </w:r>
    </w:p>
    <w:p w14:paraId="56903273">
      <w:pPr>
        <w:pStyle w:val="6"/>
        <w:bidi w:val="0"/>
        <w:spacing w:line="360" w:lineRule="auto"/>
        <w:rPr>
          <w:rFonts w:hint="default" w:ascii="Times New Roman" w:hAnsi="Times New Roman" w:cs="Times New Roman"/>
          <w:color w:val="auto"/>
          <w:lang w:val="zh-CN" w:eastAsia="zh-CN"/>
        </w:rPr>
      </w:pPr>
      <w:bookmarkStart w:id="521" w:name="_Toc21040"/>
      <w:r>
        <w:rPr>
          <w:rFonts w:hint="default" w:ascii="Times New Roman" w:hAnsi="Times New Roman" w:cs="Times New Roman"/>
          <w:color w:val="auto"/>
          <w:lang w:val="en-US" w:eastAsia="zh-CN"/>
        </w:rPr>
        <w:t>6.5.2</w:t>
      </w:r>
      <w:r>
        <w:rPr>
          <w:rFonts w:hint="default" w:ascii="Times New Roman" w:hAnsi="Times New Roman" w:cs="Times New Roman"/>
          <w:color w:val="auto"/>
          <w:lang w:val="zh-CN" w:eastAsia="zh-CN"/>
        </w:rPr>
        <w:t>预测模式</w:t>
      </w:r>
      <w:bookmarkEnd w:id="521"/>
    </w:p>
    <w:p w14:paraId="57477B65">
      <w:pPr>
        <w:autoSpaceDE w:val="0"/>
        <w:autoSpaceDN w:val="0"/>
        <w:adjustRightInd w:val="0"/>
        <w:snapToGrid w:val="0"/>
        <w:spacing w:line="360" w:lineRule="auto"/>
        <w:ind w:firstLine="480"/>
        <w:jc w:val="left"/>
        <w:rPr>
          <w:rFonts w:hint="default" w:ascii="Times New Roman" w:hAnsi="Times New Roman" w:eastAsia="宋体" w:cs="Times New Roman"/>
          <w:b w:val="0"/>
          <w:bCs w:val="0"/>
          <w:color w:val="auto"/>
          <w:sz w:val="24"/>
          <w:szCs w:val="24"/>
          <w:lang w:eastAsia="zh-CN"/>
        </w:rPr>
      </w:pPr>
      <w:bookmarkStart w:id="522" w:name="_Toc26137"/>
      <w:r>
        <w:rPr>
          <w:rFonts w:hint="default" w:ascii="Times New Roman" w:hAnsi="Times New Roman" w:eastAsia="宋体" w:cs="Times New Roman"/>
          <w:b w:val="0"/>
          <w:bCs w:val="0"/>
          <w:color w:val="auto"/>
          <w:sz w:val="24"/>
          <w:szCs w:val="24"/>
        </w:rPr>
        <w:t>根据建设项目的噪声排放特点</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结合《环境影响评价技术导则声环境》</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HJ2.4-2021</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的要求，可选择点声源预测模式模拟预测噪声源排放噪声随距离的衰减变化规律。</w:t>
      </w:r>
      <w:r>
        <w:rPr>
          <w:rFonts w:hint="default" w:ascii="Times New Roman" w:hAnsi="Times New Roman" w:cs="Times New Roman"/>
          <w:color w:val="auto"/>
          <w:kern w:val="0"/>
          <w:sz w:val="24"/>
        </w:rPr>
        <w:t>运营期各主要产噪设备均</w:t>
      </w:r>
      <w:r>
        <w:rPr>
          <w:rFonts w:hint="default" w:ascii="Times New Roman" w:hAnsi="Times New Roman" w:cs="Times New Roman"/>
          <w:color w:val="auto"/>
          <w:kern w:val="0"/>
          <w:sz w:val="24"/>
          <w:lang w:val="en-US" w:eastAsia="zh-CN"/>
        </w:rPr>
        <w:t>采取</w:t>
      </w:r>
      <w:r>
        <w:rPr>
          <w:rFonts w:hint="default" w:ascii="Times New Roman" w:hAnsi="Times New Roman" w:cs="Times New Roman"/>
          <w:color w:val="auto"/>
          <w:kern w:val="0"/>
          <w:sz w:val="24"/>
        </w:rPr>
        <w:t>隔声、减</w:t>
      </w:r>
      <w:r>
        <w:rPr>
          <w:rFonts w:hint="default" w:ascii="Times New Roman" w:hAnsi="Times New Roman" w:cs="Times New Roman"/>
          <w:color w:val="auto"/>
          <w:kern w:val="0"/>
          <w:sz w:val="24"/>
          <w:lang w:val="en-US" w:eastAsia="zh-CN"/>
        </w:rPr>
        <w:t>振措施</w:t>
      </w:r>
      <w:r>
        <w:rPr>
          <w:rFonts w:hint="default" w:ascii="Times New Roman" w:hAnsi="Times New Roman" w:cs="Times New Roman"/>
          <w:color w:val="auto"/>
          <w:kern w:val="0"/>
          <w:sz w:val="24"/>
        </w:rPr>
        <w:t>，本环评统一按</w:t>
      </w:r>
      <w:r>
        <w:rPr>
          <w:rFonts w:hint="default" w:ascii="Times New Roman" w:hAnsi="Times New Roman" w:cs="Times New Roman"/>
          <w:color w:val="auto"/>
          <w:kern w:val="0"/>
          <w:sz w:val="24"/>
          <w:lang w:val="en-US" w:eastAsia="zh-CN"/>
        </w:rPr>
        <w:t>降低噪声2</w:t>
      </w:r>
      <w:r>
        <w:rPr>
          <w:rFonts w:hint="default" w:ascii="Times New Roman" w:hAnsi="Times New Roman" w:cs="Times New Roman"/>
          <w:color w:val="auto"/>
          <w:kern w:val="0"/>
          <w:sz w:val="24"/>
        </w:rPr>
        <w:t>0dB(A)进行估算。</w:t>
      </w:r>
      <w:r>
        <w:rPr>
          <w:rFonts w:hint="default" w:ascii="Times New Roman" w:hAnsi="Times New Roman" w:eastAsia="宋体" w:cs="Times New Roman"/>
          <w:b w:val="0"/>
          <w:bCs w:val="0"/>
          <w:color w:val="auto"/>
          <w:sz w:val="24"/>
          <w:szCs w:val="24"/>
        </w:rPr>
        <w:t>对室外噪声源主要考虑噪声的几何发散衰减及环境因素衰减。预测模式如下</w:t>
      </w:r>
      <w:r>
        <w:rPr>
          <w:rFonts w:hint="default" w:ascii="Times New Roman" w:hAnsi="Times New Roman" w:eastAsia="宋体" w:cs="Times New Roman"/>
          <w:b w:val="0"/>
          <w:bCs w:val="0"/>
          <w:color w:val="auto"/>
          <w:sz w:val="24"/>
          <w:szCs w:val="24"/>
          <w:lang w:eastAsia="zh-CN"/>
        </w:rPr>
        <w:t>：</w:t>
      </w:r>
    </w:p>
    <w:p w14:paraId="08E1829D">
      <w:pPr>
        <w:autoSpaceDE w:val="0"/>
        <w:autoSpaceDN w:val="0"/>
        <w:adjustRightInd w:val="0"/>
        <w:snapToGrid w:val="0"/>
        <w:spacing w:line="360" w:lineRule="auto"/>
        <w:ind w:firstLine="49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（1）无指向性点声源的几何发散衰减基本公式：</w:t>
      </w:r>
    </w:p>
    <w:p w14:paraId="242F78DF">
      <w:pPr>
        <w:autoSpaceDE w:val="0"/>
        <w:autoSpaceDN w:val="0"/>
        <w:adjustRightInd w:val="0"/>
        <w:spacing w:line="360" w:lineRule="auto"/>
        <w:ind w:firstLine="1388" w:firstLineChars="567"/>
        <w:jc w:val="left"/>
        <w:rPr>
          <w:rFonts w:hint="default" w:ascii="Times New Roman" w:hAnsi="Times New Roman" w:eastAsia="宋体" w:cs="Times New Roman"/>
          <w:b w:val="0"/>
          <w:bCs w:val="0"/>
          <w:color w:val="auto"/>
          <w:sz w:val="24"/>
          <w:szCs w:val="24"/>
          <w:lang w:val="it-IT"/>
        </w:rPr>
      </w:pPr>
      <w:r>
        <w:rPr>
          <w:rFonts w:hint="default" w:ascii="Times New Roman" w:hAnsi="Times New Roman" w:eastAsia="宋体" w:cs="Times New Roman"/>
          <w:b w:val="0"/>
          <w:bCs w:val="0"/>
          <w:color w:val="auto"/>
          <w:sz w:val="24"/>
          <w:szCs w:val="24"/>
          <w:lang w:val="en-US" w:eastAsia="zh-CN"/>
        </w:rPr>
        <w:t>L</w:t>
      </w:r>
      <w:r>
        <w:rPr>
          <w:rFonts w:hint="default" w:ascii="Times New Roman" w:hAnsi="Times New Roman" w:eastAsia="宋体" w:cs="Times New Roman"/>
          <w:b w:val="0"/>
          <w:bCs w:val="0"/>
          <w:color w:val="auto"/>
          <w:sz w:val="24"/>
          <w:szCs w:val="24"/>
          <w:vertAlign w:val="subscript"/>
          <w:lang w:val="en-US" w:eastAsia="zh-CN"/>
        </w:rPr>
        <w:t>P</w:t>
      </w:r>
      <w:r>
        <w:rPr>
          <w:rFonts w:hint="default" w:ascii="Times New Roman" w:hAnsi="Times New Roman" w:eastAsia="宋体" w:cs="Times New Roman"/>
          <w:b w:val="0"/>
          <w:bCs w:val="0"/>
          <w:color w:val="auto"/>
          <w:sz w:val="24"/>
          <w:szCs w:val="24"/>
          <w:lang w:val="it-IT" w:eastAsia="zh-CN"/>
        </w:rPr>
        <w:t>（</w:t>
      </w:r>
      <w:r>
        <w:rPr>
          <w:rFonts w:hint="default" w:ascii="Times New Roman" w:hAnsi="Times New Roman" w:eastAsia="宋体" w:cs="Times New Roman"/>
          <w:b w:val="0"/>
          <w:bCs w:val="0"/>
          <w:color w:val="auto"/>
          <w:sz w:val="24"/>
          <w:szCs w:val="24"/>
          <w:lang w:val="en-US" w:eastAsia="zh-CN"/>
        </w:rPr>
        <w:t>r</w:t>
      </w:r>
      <w:r>
        <w:rPr>
          <w:rFonts w:hint="default" w:ascii="Times New Roman" w:hAnsi="Times New Roman" w:eastAsia="宋体" w:cs="Times New Roman"/>
          <w:b w:val="0"/>
          <w:bCs w:val="0"/>
          <w:color w:val="auto"/>
          <w:sz w:val="24"/>
          <w:szCs w:val="24"/>
          <w:lang w:val="it-IT" w:eastAsia="zh-CN"/>
        </w:rPr>
        <w:t>）</w:t>
      </w:r>
      <w:r>
        <w:rPr>
          <w:rFonts w:hint="default" w:ascii="Times New Roman" w:hAnsi="Times New Roman" w:eastAsia="宋体" w:cs="Times New Roman"/>
          <w:b w:val="0"/>
          <w:bCs w:val="0"/>
          <w:color w:val="auto"/>
          <w:sz w:val="24"/>
          <w:szCs w:val="24"/>
          <w:lang w:val="it-IT"/>
        </w:rPr>
        <w:t>=</w:t>
      </w:r>
      <w:r>
        <w:rPr>
          <w:rFonts w:hint="default" w:ascii="Times New Roman" w:hAnsi="Times New Roman" w:eastAsia="宋体" w:cs="Times New Roman"/>
          <w:b w:val="0"/>
          <w:bCs w:val="0"/>
          <w:color w:val="auto"/>
          <w:sz w:val="24"/>
          <w:szCs w:val="24"/>
          <w:lang w:val="en-US" w:eastAsia="zh-CN"/>
        </w:rPr>
        <w:t>L</w:t>
      </w:r>
      <w:r>
        <w:rPr>
          <w:rFonts w:hint="default" w:ascii="Times New Roman" w:hAnsi="Times New Roman" w:eastAsia="宋体" w:cs="Times New Roman"/>
          <w:b w:val="0"/>
          <w:bCs w:val="0"/>
          <w:color w:val="auto"/>
          <w:sz w:val="24"/>
          <w:szCs w:val="24"/>
          <w:vertAlign w:val="subscript"/>
          <w:lang w:val="en-US" w:eastAsia="zh-CN"/>
        </w:rPr>
        <w:t>P</w:t>
      </w:r>
      <w:r>
        <w:rPr>
          <w:rFonts w:hint="default" w:ascii="Times New Roman" w:hAnsi="Times New Roman" w:eastAsia="宋体" w:cs="Times New Roman"/>
          <w:b w:val="0"/>
          <w:bCs w:val="0"/>
          <w:color w:val="auto"/>
          <w:sz w:val="24"/>
          <w:szCs w:val="24"/>
          <w:lang w:val="it-IT" w:eastAsia="zh-CN"/>
        </w:rPr>
        <w:t>（</w:t>
      </w:r>
      <w:r>
        <w:rPr>
          <w:rFonts w:hint="default" w:ascii="Times New Roman" w:hAnsi="Times New Roman" w:eastAsia="宋体" w:cs="Times New Roman"/>
          <w:b w:val="0"/>
          <w:bCs w:val="0"/>
          <w:color w:val="auto"/>
          <w:sz w:val="24"/>
          <w:szCs w:val="24"/>
          <w:lang w:val="en-US" w:eastAsia="zh-CN"/>
        </w:rPr>
        <w:t>r</w:t>
      </w:r>
      <w:r>
        <w:rPr>
          <w:rFonts w:hint="default" w:ascii="Times New Roman" w:hAnsi="Times New Roman" w:eastAsia="宋体" w:cs="Times New Roman"/>
          <w:b w:val="0"/>
          <w:bCs w:val="0"/>
          <w:color w:val="auto"/>
          <w:sz w:val="24"/>
          <w:szCs w:val="24"/>
          <w:vertAlign w:val="subscript"/>
          <w:lang w:val="en-US" w:eastAsia="zh-CN"/>
        </w:rPr>
        <w:t>o</w:t>
      </w:r>
      <w:r>
        <w:rPr>
          <w:rFonts w:hint="default" w:ascii="Times New Roman" w:hAnsi="Times New Roman" w:eastAsia="宋体" w:cs="Times New Roman"/>
          <w:b w:val="0"/>
          <w:bCs w:val="0"/>
          <w:color w:val="auto"/>
          <w:sz w:val="24"/>
          <w:szCs w:val="24"/>
          <w:lang w:val="it-IT" w:eastAsia="zh-CN"/>
        </w:rPr>
        <w:t>）</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it-IT"/>
        </w:rPr>
        <w:t>20lg</w:t>
      </w:r>
      <w:r>
        <w:rPr>
          <w:rFonts w:hint="default" w:ascii="Times New Roman" w:hAnsi="Times New Roman" w:eastAsia="宋体" w:cs="Times New Roman"/>
          <w:b w:val="0"/>
          <w:bCs w:val="0"/>
          <w:color w:val="auto"/>
          <w:sz w:val="24"/>
          <w:szCs w:val="24"/>
          <w:lang w:val="it-IT" w:eastAsia="zh-CN"/>
        </w:rPr>
        <w:t>（</w:t>
      </w:r>
      <w:r>
        <w:rPr>
          <w:rFonts w:hint="default" w:ascii="Times New Roman" w:hAnsi="Times New Roman" w:eastAsia="宋体" w:cs="Times New Roman"/>
          <w:b w:val="0"/>
          <w:bCs w:val="0"/>
          <w:color w:val="auto"/>
          <w:sz w:val="24"/>
          <w:szCs w:val="24"/>
          <w:lang w:val="it-IT"/>
        </w:rPr>
        <w:t>r/r</w:t>
      </w:r>
      <w:r>
        <w:rPr>
          <w:rFonts w:hint="default" w:ascii="Times New Roman" w:hAnsi="Times New Roman" w:eastAsia="宋体" w:cs="Times New Roman"/>
          <w:b w:val="0"/>
          <w:bCs w:val="0"/>
          <w:color w:val="auto"/>
          <w:sz w:val="24"/>
          <w:szCs w:val="24"/>
          <w:vertAlign w:val="subscript"/>
          <w:lang w:val="it-IT"/>
        </w:rPr>
        <w:t>0</w:t>
      </w:r>
      <w:r>
        <w:rPr>
          <w:rFonts w:hint="default" w:ascii="Times New Roman" w:hAnsi="Times New Roman" w:eastAsia="宋体" w:cs="Times New Roman"/>
          <w:b w:val="0"/>
          <w:bCs w:val="0"/>
          <w:color w:val="auto"/>
          <w:sz w:val="24"/>
          <w:szCs w:val="24"/>
          <w:lang w:val="it-IT" w:eastAsia="zh-CN"/>
        </w:rPr>
        <w:t>）</w:t>
      </w:r>
    </w:p>
    <w:p w14:paraId="3153D515">
      <w:pPr>
        <w:autoSpaceDE w:val="0"/>
        <w:autoSpaceDN w:val="0"/>
        <w:adjustRightInd w:val="0"/>
        <w:spacing w:line="360" w:lineRule="auto"/>
        <w:ind w:firstLine="735" w:firstLineChars="30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式中：</w:t>
      </w:r>
      <w:r>
        <w:rPr>
          <w:rFonts w:hint="default" w:ascii="Times New Roman" w:hAnsi="Times New Roman" w:eastAsia="宋体" w:cs="Times New Roman"/>
          <w:b w:val="0"/>
          <w:bCs w:val="0"/>
          <w:color w:val="auto"/>
          <w:sz w:val="24"/>
          <w:szCs w:val="24"/>
          <w:lang w:val="en-US" w:eastAsia="zh-CN"/>
        </w:rPr>
        <w:t>L</w:t>
      </w:r>
      <w:r>
        <w:rPr>
          <w:rFonts w:hint="default" w:ascii="Times New Roman" w:hAnsi="Times New Roman" w:eastAsia="宋体" w:cs="Times New Roman"/>
          <w:b w:val="0"/>
          <w:bCs w:val="0"/>
          <w:color w:val="auto"/>
          <w:sz w:val="24"/>
          <w:szCs w:val="24"/>
          <w:vertAlign w:val="subscript"/>
          <w:lang w:val="en-US" w:eastAsia="zh-CN"/>
        </w:rPr>
        <w:t>P</w:t>
      </w:r>
      <w:r>
        <w:rPr>
          <w:rFonts w:hint="default" w:ascii="Times New Roman" w:hAnsi="Times New Roman" w:eastAsia="宋体" w:cs="Times New Roman"/>
          <w:b w:val="0"/>
          <w:bCs w:val="0"/>
          <w:color w:val="auto"/>
          <w:sz w:val="24"/>
          <w:szCs w:val="24"/>
          <w:lang w:val="it-IT" w:eastAsia="zh-CN"/>
        </w:rPr>
        <w:t>（</w:t>
      </w:r>
      <w:r>
        <w:rPr>
          <w:rFonts w:hint="default" w:ascii="Times New Roman" w:hAnsi="Times New Roman" w:eastAsia="宋体" w:cs="Times New Roman"/>
          <w:b w:val="0"/>
          <w:bCs w:val="0"/>
          <w:color w:val="auto"/>
          <w:sz w:val="24"/>
          <w:szCs w:val="24"/>
          <w:lang w:val="en-US" w:eastAsia="zh-CN"/>
        </w:rPr>
        <w:t>r</w:t>
      </w:r>
      <w:r>
        <w:rPr>
          <w:rFonts w:hint="default" w:ascii="Times New Roman" w:hAnsi="Times New Roman" w:eastAsia="宋体" w:cs="Times New Roman"/>
          <w:b w:val="0"/>
          <w:bCs w:val="0"/>
          <w:color w:val="auto"/>
          <w:sz w:val="24"/>
          <w:szCs w:val="24"/>
          <w:lang w:val="it-IT" w:eastAsia="zh-CN"/>
        </w:rPr>
        <w:t>）－</w:t>
      </w:r>
      <w:r>
        <w:rPr>
          <w:rFonts w:hint="default" w:ascii="Times New Roman" w:hAnsi="Times New Roman" w:eastAsia="宋体" w:cs="Times New Roman"/>
          <w:b w:val="0"/>
          <w:bCs w:val="0"/>
          <w:color w:val="auto"/>
          <w:sz w:val="24"/>
          <w:szCs w:val="24"/>
          <w:lang w:val="en-US" w:eastAsia="zh-CN"/>
        </w:rPr>
        <w:t>预测点处声压级，</w:t>
      </w:r>
      <w:r>
        <w:rPr>
          <w:rFonts w:hint="default" w:ascii="Times New Roman" w:hAnsi="Times New Roman" w:eastAsia="宋体" w:cs="Times New Roman"/>
          <w:b w:val="0"/>
          <w:bCs w:val="0"/>
          <w:color w:val="auto"/>
          <w:sz w:val="24"/>
          <w:szCs w:val="24"/>
        </w:rPr>
        <w:t>dB；</w:t>
      </w:r>
    </w:p>
    <w:p w14:paraId="4C4955C1">
      <w:pPr>
        <w:autoSpaceDE w:val="0"/>
        <w:autoSpaceDN w:val="0"/>
        <w:adjustRightInd w:val="0"/>
        <w:spacing w:line="360" w:lineRule="auto"/>
        <w:ind w:firstLine="1470" w:firstLineChars="600"/>
        <w:jc w:val="left"/>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val="en-US" w:eastAsia="zh-CN"/>
        </w:rPr>
        <w:t>L</w:t>
      </w:r>
      <w:r>
        <w:rPr>
          <w:rFonts w:hint="default" w:ascii="Times New Roman" w:hAnsi="Times New Roman" w:eastAsia="宋体" w:cs="Times New Roman"/>
          <w:b w:val="0"/>
          <w:bCs w:val="0"/>
          <w:color w:val="auto"/>
          <w:sz w:val="24"/>
          <w:szCs w:val="24"/>
          <w:vertAlign w:val="subscript"/>
          <w:lang w:val="en-US" w:eastAsia="zh-CN"/>
        </w:rPr>
        <w:t>P</w:t>
      </w:r>
      <w:r>
        <w:rPr>
          <w:rFonts w:hint="default" w:ascii="Times New Roman" w:hAnsi="Times New Roman" w:eastAsia="宋体" w:cs="Times New Roman"/>
          <w:b w:val="0"/>
          <w:bCs w:val="0"/>
          <w:color w:val="auto"/>
          <w:sz w:val="24"/>
          <w:szCs w:val="24"/>
          <w:lang w:val="it-IT" w:eastAsia="zh-CN"/>
        </w:rPr>
        <w:t>（</w:t>
      </w:r>
      <w:r>
        <w:rPr>
          <w:rFonts w:hint="default" w:ascii="Times New Roman" w:hAnsi="Times New Roman" w:eastAsia="宋体" w:cs="Times New Roman"/>
          <w:b w:val="0"/>
          <w:bCs w:val="0"/>
          <w:color w:val="auto"/>
          <w:sz w:val="24"/>
          <w:szCs w:val="24"/>
          <w:lang w:val="en-US" w:eastAsia="zh-CN"/>
        </w:rPr>
        <w:t>r</w:t>
      </w:r>
      <w:r>
        <w:rPr>
          <w:rFonts w:hint="default" w:ascii="Times New Roman" w:hAnsi="Times New Roman" w:eastAsia="宋体" w:cs="Times New Roman"/>
          <w:b w:val="0"/>
          <w:bCs w:val="0"/>
          <w:color w:val="auto"/>
          <w:sz w:val="24"/>
          <w:szCs w:val="24"/>
          <w:vertAlign w:val="subscript"/>
          <w:lang w:val="en-US" w:eastAsia="zh-CN"/>
        </w:rPr>
        <w:t>o</w:t>
      </w:r>
      <w:r>
        <w:rPr>
          <w:rFonts w:hint="default" w:ascii="Times New Roman" w:hAnsi="Times New Roman" w:eastAsia="宋体" w:cs="Times New Roman"/>
          <w:b w:val="0"/>
          <w:bCs w:val="0"/>
          <w:color w:val="auto"/>
          <w:sz w:val="24"/>
          <w:szCs w:val="24"/>
          <w:lang w:val="it-IT" w:eastAsia="zh-CN"/>
        </w:rPr>
        <w:t>）－</w:t>
      </w:r>
      <w:r>
        <w:rPr>
          <w:rFonts w:hint="default" w:ascii="Times New Roman" w:hAnsi="Times New Roman" w:eastAsia="宋体" w:cs="Times New Roman"/>
          <w:b w:val="0"/>
          <w:bCs w:val="0"/>
          <w:color w:val="auto"/>
          <w:sz w:val="24"/>
          <w:szCs w:val="24"/>
        </w:rPr>
        <w:t>参考位置</w:t>
      </w:r>
      <w:r>
        <w:rPr>
          <w:rFonts w:hint="default" w:ascii="Times New Roman" w:hAnsi="Times New Roman" w:eastAsia="宋体" w:cs="Times New Roman"/>
          <w:b w:val="0"/>
          <w:bCs w:val="0"/>
          <w:color w:val="auto"/>
          <w:sz w:val="24"/>
          <w:szCs w:val="24"/>
          <w:lang w:val="en-US" w:eastAsia="zh-CN"/>
        </w:rPr>
        <w:t>r</w:t>
      </w:r>
      <w:r>
        <w:rPr>
          <w:rFonts w:hint="default" w:ascii="Times New Roman" w:hAnsi="Times New Roman" w:eastAsia="宋体" w:cs="Times New Roman"/>
          <w:b w:val="0"/>
          <w:bCs w:val="0"/>
          <w:color w:val="auto"/>
          <w:sz w:val="24"/>
          <w:szCs w:val="24"/>
          <w:vertAlign w:val="subscript"/>
          <w:lang w:val="en-US" w:eastAsia="zh-CN"/>
        </w:rPr>
        <w:t>o</w:t>
      </w:r>
      <w:r>
        <w:rPr>
          <w:rFonts w:hint="default" w:ascii="Times New Roman" w:hAnsi="Times New Roman" w:eastAsia="宋体" w:cs="Times New Roman"/>
          <w:b w:val="0"/>
          <w:bCs w:val="0"/>
          <w:color w:val="auto"/>
          <w:sz w:val="24"/>
          <w:szCs w:val="24"/>
        </w:rPr>
        <w:t>处的声压级</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dB；</w:t>
      </w:r>
    </w:p>
    <w:p w14:paraId="15402190">
      <w:pPr>
        <w:autoSpaceDE w:val="0"/>
        <w:autoSpaceDN w:val="0"/>
        <w:adjustRightInd w:val="0"/>
        <w:spacing w:line="360" w:lineRule="auto"/>
        <w:ind w:firstLine="1470" w:firstLineChars="60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r－</w:t>
      </w:r>
      <w:r>
        <w:rPr>
          <w:rFonts w:hint="default" w:ascii="Times New Roman" w:hAnsi="Times New Roman" w:eastAsia="宋体" w:cs="Times New Roman"/>
          <w:b w:val="0"/>
          <w:bCs w:val="0"/>
          <w:color w:val="auto"/>
          <w:sz w:val="24"/>
          <w:szCs w:val="24"/>
        </w:rPr>
        <w:t>预测点与</w:t>
      </w:r>
      <w:r>
        <w:rPr>
          <w:rFonts w:hint="default" w:ascii="Times New Roman" w:hAnsi="Times New Roman" w:eastAsia="宋体" w:cs="Times New Roman"/>
          <w:b w:val="0"/>
          <w:bCs w:val="0"/>
          <w:color w:val="auto"/>
          <w:sz w:val="24"/>
          <w:szCs w:val="24"/>
          <w:lang w:val="en-US" w:eastAsia="zh-CN"/>
        </w:rPr>
        <w:t>声</w:t>
      </w:r>
      <w:r>
        <w:rPr>
          <w:rFonts w:hint="default" w:ascii="Times New Roman" w:hAnsi="Times New Roman" w:eastAsia="宋体" w:cs="Times New Roman"/>
          <w:b w:val="0"/>
          <w:bCs w:val="0"/>
          <w:color w:val="auto"/>
          <w:sz w:val="24"/>
          <w:szCs w:val="24"/>
        </w:rPr>
        <w:t>源之间的距离（m）；</w:t>
      </w:r>
    </w:p>
    <w:p w14:paraId="5A3EC7C7">
      <w:pPr>
        <w:autoSpaceDE w:val="0"/>
        <w:autoSpaceDN w:val="0"/>
        <w:adjustRightInd w:val="0"/>
        <w:spacing w:line="360" w:lineRule="auto"/>
        <w:ind w:firstLine="1470" w:firstLineChars="60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r</w:t>
      </w:r>
      <w:r>
        <w:rPr>
          <w:rFonts w:hint="default" w:ascii="Times New Roman" w:hAnsi="Times New Roman" w:eastAsia="宋体" w:cs="Times New Roman"/>
          <w:b w:val="0"/>
          <w:bCs w:val="0"/>
          <w:color w:val="auto"/>
          <w:sz w:val="24"/>
          <w:szCs w:val="24"/>
          <w:vertAlign w:val="subscript"/>
        </w:rPr>
        <w:t>0</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参考</w:t>
      </w:r>
      <w:r>
        <w:rPr>
          <w:rFonts w:hint="default" w:ascii="Times New Roman" w:hAnsi="Times New Roman" w:eastAsia="宋体" w:cs="Times New Roman"/>
          <w:b w:val="0"/>
          <w:bCs w:val="0"/>
          <w:color w:val="auto"/>
          <w:sz w:val="24"/>
          <w:szCs w:val="24"/>
          <w:lang w:val="en-US" w:eastAsia="zh-CN"/>
        </w:rPr>
        <w:t>位置距声</w:t>
      </w:r>
      <w:r>
        <w:rPr>
          <w:rFonts w:hint="default" w:ascii="Times New Roman" w:hAnsi="Times New Roman" w:eastAsia="宋体" w:cs="Times New Roman"/>
          <w:b w:val="0"/>
          <w:bCs w:val="0"/>
          <w:color w:val="auto"/>
          <w:sz w:val="24"/>
          <w:szCs w:val="24"/>
        </w:rPr>
        <w:t>源的距离（m）；</w:t>
      </w:r>
    </w:p>
    <w:p w14:paraId="1B6DCE64">
      <w:pPr>
        <w:adjustRightInd w:val="0"/>
        <w:snapToGrid w:val="0"/>
        <w:spacing w:line="360" w:lineRule="auto"/>
        <w:ind w:firstLine="49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（2）噪声贡献值</w:t>
      </w:r>
    </w:p>
    <w:p w14:paraId="26C74D4A">
      <w:pPr>
        <w:autoSpaceDE w:val="0"/>
        <w:autoSpaceDN w:val="0"/>
        <w:adjustRightInd w:val="0"/>
        <w:snapToGrid w:val="0"/>
        <w:spacing w:line="360" w:lineRule="auto"/>
        <w:ind w:firstLine="980" w:firstLineChars="4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根据《环境影响评价技术导则声环境》(HJ2.4-2021) ，噪声贡献值计算公式如下：</w:t>
      </w:r>
    </w:p>
    <w:p w14:paraId="3861F985">
      <w:pPr>
        <w:autoSpaceDE w:val="0"/>
        <w:autoSpaceDN w:val="0"/>
        <w:adjustRightInd w:val="0"/>
        <w:snapToGrid w:val="0"/>
        <w:spacing w:line="360" w:lineRule="auto"/>
        <w:ind w:firstLine="980" w:firstLineChars="4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L</w:t>
      </w:r>
      <w:r>
        <w:rPr>
          <w:rFonts w:hint="default" w:ascii="Times New Roman" w:hAnsi="Times New Roman" w:eastAsia="宋体" w:cs="Times New Roman"/>
          <w:b w:val="0"/>
          <w:bCs w:val="0"/>
          <w:color w:val="auto"/>
          <w:sz w:val="24"/>
          <w:szCs w:val="24"/>
          <w:vertAlign w:val="subscript"/>
          <w:lang w:val="en-US" w:eastAsia="zh-CN"/>
        </w:rPr>
        <w:t>eqg</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position w:val="-30"/>
          <w:sz w:val="24"/>
          <w:szCs w:val="24"/>
          <w:lang w:val="en-US" w:eastAsia="zh-CN"/>
        </w:rPr>
        <w:object>
          <v:shape id="_x0000_i1031" o:spt="75" type="#_x0000_t75" style="height:36pt;width:103pt;" o:ole="t" filled="f" o:preferrelative="t" stroked="f" coordsize="21600,21600">
            <v:path/>
            <v:fill on="f" focussize="0,0"/>
            <v:stroke on="f"/>
            <v:imagedata r:id="rId42" o:title=""/>
            <o:lock v:ext="edit" aspectratio="t"/>
            <w10:wrap type="none"/>
            <w10:anchorlock/>
          </v:shape>
          <o:OLEObject Type="Embed" ProgID="Equation.KSEE3" ShapeID="_x0000_i1031" DrawAspect="Content" ObjectID="_1468075731" r:id="rId41">
            <o:LockedField>false</o:LockedField>
          </o:OLEObject>
        </w:object>
      </w:r>
      <w:r>
        <w:rPr>
          <w:rFonts w:hint="default" w:ascii="Times New Roman" w:hAnsi="Times New Roman" w:eastAsia="宋体" w:cs="Times New Roman"/>
          <w:b w:val="0"/>
          <w:bCs w:val="0"/>
          <w:color w:val="auto"/>
          <w:sz w:val="24"/>
          <w:szCs w:val="24"/>
          <w:lang w:val="en-US" w:eastAsia="zh-CN"/>
        </w:rPr>
        <w:t>（dB）</w:t>
      </w:r>
    </w:p>
    <w:p w14:paraId="79FB00A8">
      <w:pPr>
        <w:autoSpaceDE w:val="0"/>
        <w:autoSpaceDN w:val="0"/>
        <w:adjustRightInd w:val="0"/>
        <w:snapToGrid w:val="0"/>
        <w:spacing w:line="360" w:lineRule="auto"/>
        <w:ind w:firstLine="980" w:firstLineChars="4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式中： L</w:t>
      </w:r>
      <w:r>
        <w:rPr>
          <w:rFonts w:hint="default" w:ascii="Times New Roman" w:hAnsi="Times New Roman" w:eastAsia="宋体" w:cs="Times New Roman"/>
          <w:b w:val="0"/>
          <w:bCs w:val="0"/>
          <w:color w:val="auto"/>
          <w:sz w:val="24"/>
          <w:szCs w:val="24"/>
          <w:vertAlign w:val="subscript"/>
          <w:lang w:val="en-US" w:eastAsia="zh-CN"/>
        </w:rPr>
        <w:t>eqg</w:t>
      </w:r>
      <w:r>
        <w:rPr>
          <w:rFonts w:hint="default" w:ascii="Times New Roman" w:hAnsi="Times New Roman" w:eastAsia="宋体" w:cs="Times New Roman"/>
          <w:b w:val="0"/>
          <w:bCs w:val="0"/>
          <w:color w:val="auto"/>
          <w:sz w:val="24"/>
          <w:szCs w:val="24"/>
          <w:lang w:val="en-US" w:eastAsia="zh-CN"/>
        </w:rPr>
        <w:t>-一噪声贡献值，dB；</w:t>
      </w:r>
    </w:p>
    <w:p w14:paraId="0A1F8EAC">
      <w:pPr>
        <w:autoSpaceDE w:val="0"/>
        <w:autoSpaceDN w:val="0"/>
        <w:adjustRightInd w:val="0"/>
        <w:snapToGrid w:val="0"/>
        <w:spacing w:line="360" w:lineRule="auto"/>
        <w:ind w:firstLine="980" w:firstLineChars="4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t－预测计算的时间段，s</w:t>
      </w:r>
    </w:p>
    <w:p w14:paraId="79493E41">
      <w:pPr>
        <w:autoSpaceDE w:val="0"/>
        <w:autoSpaceDN w:val="0"/>
        <w:adjustRightInd w:val="0"/>
        <w:snapToGrid w:val="0"/>
        <w:spacing w:line="360" w:lineRule="auto"/>
        <w:ind w:firstLine="980" w:firstLineChars="4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Ti-i声源在T时段内运行的时间，s</w:t>
      </w:r>
    </w:p>
    <w:p w14:paraId="1A7E5877">
      <w:pPr>
        <w:autoSpaceDE w:val="0"/>
        <w:autoSpaceDN w:val="0"/>
        <w:adjustRightInd w:val="0"/>
        <w:snapToGrid w:val="0"/>
        <w:spacing w:line="360" w:lineRule="auto"/>
        <w:ind w:firstLine="980" w:firstLineChars="400"/>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color w:val="auto"/>
          <w:sz w:val="24"/>
          <w:szCs w:val="24"/>
          <w:lang w:val="en-US" w:eastAsia="zh-CN"/>
        </w:rPr>
        <w:t>LAi-i声源在预测点产生的等效连续A声级，dB。</w:t>
      </w:r>
    </w:p>
    <w:p w14:paraId="1C0DBEDC">
      <w:pPr>
        <w:adjustRightInd w:val="0"/>
        <w:snapToGrid w:val="0"/>
        <w:spacing w:line="360" w:lineRule="auto"/>
        <w:ind w:firstLine="980" w:firstLineChars="400"/>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color w:val="auto"/>
          <w:sz w:val="24"/>
          <w:szCs w:val="24"/>
          <w:lang w:val="en-US" w:eastAsia="zh-CN"/>
        </w:rPr>
        <w:t>（3）噪声预测值</w:t>
      </w:r>
    </w:p>
    <w:p w14:paraId="610A0F3F">
      <w:pPr>
        <w:adjustRightInd w:val="0"/>
        <w:snapToGrid w:val="0"/>
        <w:spacing w:line="360" w:lineRule="auto"/>
        <w:ind w:firstLine="980" w:firstLineChars="4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根据《环境影响评价技术导则声环境》(HJ2.4-2021) ，噪声预测值计算公式如下：</w:t>
      </w:r>
    </w:p>
    <w:p w14:paraId="4DB15109">
      <w:pPr>
        <w:adjustRightInd w:val="0"/>
        <w:snapToGrid w:val="0"/>
        <w:spacing w:line="360" w:lineRule="auto"/>
        <w:ind w:firstLine="980" w:firstLineChars="4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L</w:t>
      </w:r>
      <w:r>
        <w:rPr>
          <w:rFonts w:hint="default" w:ascii="Times New Roman" w:hAnsi="Times New Roman" w:eastAsia="宋体" w:cs="Times New Roman"/>
          <w:b w:val="0"/>
          <w:bCs w:val="0"/>
          <w:color w:val="auto"/>
          <w:sz w:val="24"/>
          <w:szCs w:val="24"/>
          <w:vertAlign w:val="subscript"/>
          <w:lang w:val="en-US" w:eastAsia="zh-CN"/>
        </w:rPr>
        <w:t>eq</w:t>
      </w:r>
      <w:r>
        <w:rPr>
          <w:rFonts w:hint="default" w:ascii="Times New Roman" w:hAnsi="Times New Roman" w:eastAsia="宋体" w:cs="Times New Roman"/>
          <w:b w:val="0"/>
          <w:bCs w:val="0"/>
          <w:color w:val="auto"/>
          <w:sz w:val="24"/>
          <w:szCs w:val="24"/>
          <w:lang w:val="en-US" w:eastAsia="zh-CN"/>
        </w:rPr>
        <w:t xml:space="preserve"> = 101g(10</w:t>
      </w:r>
      <w:r>
        <w:rPr>
          <w:rFonts w:hint="default" w:ascii="Times New Roman" w:hAnsi="Times New Roman" w:eastAsia="宋体" w:cs="Times New Roman"/>
          <w:b w:val="0"/>
          <w:bCs w:val="0"/>
          <w:color w:val="auto"/>
          <w:sz w:val="24"/>
          <w:szCs w:val="24"/>
          <w:vertAlign w:val="superscript"/>
          <w:lang w:val="en-US" w:eastAsia="zh-CN"/>
        </w:rPr>
        <w:t>0.1Leqg</w:t>
      </w:r>
      <w:r>
        <w:rPr>
          <w:rFonts w:hint="default" w:ascii="Times New Roman" w:hAnsi="Times New Roman" w:eastAsia="宋体" w:cs="Times New Roman"/>
          <w:b w:val="0"/>
          <w:bCs w:val="0"/>
          <w:color w:val="auto"/>
          <w:sz w:val="24"/>
          <w:szCs w:val="24"/>
          <w:lang w:val="en-US" w:eastAsia="zh-CN"/>
        </w:rPr>
        <w:t xml:space="preserve"> +10</w:t>
      </w:r>
      <w:r>
        <w:rPr>
          <w:rFonts w:hint="default" w:ascii="Times New Roman" w:hAnsi="Times New Roman" w:eastAsia="宋体" w:cs="Times New Roman"/>
          <w:b w:val="0"/>
          <w:bCs w:val="0"/>
          <w:color w:val="auto"/>
          <w:sz w:val="24"/>
          <w:szCs w:val="24"/>
          <w:vertAlign w:val="superscript"/>
          <w:lang w:val="en-US" w:eastAsia="zh-CN"/>
        </w:rPr>
        <w:t>0.1Leqb</w:t>
      </w:r>
      <w:r>
        <w:rPr>
          <w:rFonts w:hint="default" w:ascii="Times New Roman" w:hAnsi="Times New Roman" w:eastAsia="宋体" w:cs="Times New Roman"/>
          <w:b w:val="0"/>
          <w:bCs w:val="0"/>
          <w:color w:val="auto"/>
          <w:sz w:val="24"/>
          <w:szCs w:val="24"/>
          <w:lang w:val="en-US" w:eastAsia="zh-CN"/>
        </w:rPr>
        <w:t>)</w:t>
      </w:r>
    </w:p>
    <w:p w14:paraId="76498AD7">
      <w:pPr>
        <w:adjustRightInd w:val="0"/>
        <w:snapToGrid w:val="0"/>
        <w:spacing w:line="360" w:lineRule="auto"/>
        <w:ind w:firstLine="980" w:firstLineChars="4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式中： L</w:t>
      </w:r>
      <w:r>
        <w:rPr>
          <w:rFonts w:hint="default" w:ascii="Times New Roman" w:hAnsi="Times New Roman" w:eastAsia="宋体" w:cs="Times New Roman"/>
          <w:b w:val="0"/>
          <w:bCs w:val="0"/>
          <w:color w:val="auto"/>
          <w:sz w:val="24"/>
          <w:szCs w:val="24"/>
          <w:vertAlign w:val="subscript"/>
          <w:lang w:val="en-US" w:eastAsia="zh-CN"/>
        </w:rPr>
        <w:t>eq</w:t>
      </w:r>
      <w:r>
        <w:rPr>
          <w:rFonts w:hint="default"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lang w:val="en-US" w:eastAsia="zh-CN"/>
        </w:rPr>
        <w:t>预测点的噪声预测值，dB；</w:t>
      </w:r>
    </w:p>
    <w:p w14:paraId="11A74B22">
      <w:pPr>
        <w:adjustRightInd w:val="0"/>
        <w:snapToGrid w:val="0"/>
        <w:spacing w:line="360" w:lineRule="auto"/>
        <w:ind w:firstLine="980" w:firstLineChars="4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L</w:t>
      </w:r>
      <w:r>
        <w:rPr>
          <w:rFonts w:hint="default" w:ascii="Times New Roman" w:hAnsi="Times New Roman" w:eastAsia="宋体" w:cs="Times New Roman"/>
          <w:b w:val="0"/>
          <w:bCs w:val="0"/>
          <w:color w:val="auto"/>
          <w:sz w:val="24"/>
          <w:szCs w:val="24"/>
          <w:vertAlign w:val="subscript"/>
          <w:lang w:val="en-US" w:eastAsia="zh-CN"/>
        </w:rPr>
        <w:t>eqg</w:t>
      </w:r>
      <w:r>
        <w:rPr>
          <w:rFonts w:hint="default" w:ascii="Times New Roman" w:hAnsi="Times New Roman" w:eastAsia="宋体" w:cs="Times New Roman"/>
          <w:b w:val="0"/>
          <w:bCs w:val="0"/>
          <w:color w:val="auto"/>
          <w:sz w:val="24"/>
          <w:szCs w:val="24"/>
          <w:lang w:val="en-US" w:eastAsia="zh-CN"/>
        </w:rPr>
        <w:t>-噪声贡献值，dB；</w:t>
      </w:r>
    </w:p>
    <w:p w14:paraId="534B2B2C">
      <w:pPr>
        <w:adjustRightInd w:val="0"/>
        <w:snapToGrid w:val="0"/>
        <w:spacing w:line="360" w:lineRule="auto"/>
        <w:ind w:firstLine="980" w:firstLineChars="4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L</w:t>
      </w:r>
      <w:r>
        <w:rPr>
          <w:rFonts w:hint="default" w:ascii="Times New Roman" w:hAnsi="Times New Roman" w:eastAsia="宋体" w:cs="Times New Roman"/>
          <w:b w:val="0"/>
          <w:bCs w:val="0"/>
          <w:color w:val="auto"/>
          <w:sz w:val="24"/>
          <w:szCs w:val="24"/>
          <w:vertAlign w:val="subscript"/>
          <w:lang w:val="en-US" w:eastAsia="zh-CN"/>
        </w:rPr>
        <w:t>eqb</w:t>
      </w:r>
      <w:r>
        <w:rPr>
          <w:rFonts w:hint="default" w:ascii="Times New Roman" w:hAnsi="Times New Roman" w:eastAsia="宋体" w:cs="Times New Roman"/>
          <w:b w:val="0"/>
          <w:bCs w:val="0"/>
          <w:color w:val="auto"/>
          <w:sz w:val="24"/>
          <w:szCs w:val="24"/>
          <w:lang w:val="en-US" w:eastAsia="zh-CN"/>
        </w:rPr>
        <w:t>-预测点的背景噪声值，dB。</w:t>
      </w:r>
    </w:p>
    <w:p w14:paraId="3125210F">
      <w:pPr>
        <w:spacing w:line="360" w:lineRule="auto"/>
        <w:ind w:firstLine="490" w:firstLineChars="200"/>
        <w:rPr>
          <w:rFonts w:hint="default" w:ascii="Times New Roman" w:hAnsi="Times New Roman" w:cs="Times New Roman"/>
          <w:color w:val="auto"/>
          <w:sz w:val="24"/>
          <w:szCs w:val="28"/>
        </w:rPr>
      </w:pPr>
      <w:r>
        <w:rPr>
          <w:rFonts w:hint="default" w:ascii="Times New Roman" w:hAnsi="Times New Roman" w:cs="Times New Roman"/>
          <w:color w:val="auto"/>
          <w:sz w:val="24"/>
          <w:szCs w:val="28"/>
        </w:rPr>
        <w:t>预测软件为由北京尚云开发制作并拥有全部版权的EIAProN2021。EIAProN2021以新版噪声导则—《环境影响评价技术导则 声环境》（HJ2.4-2021）的要求为编制依据，功能全面深入、符合新导则要求。</w:t>
      </w:r>
    </w:p>
    <w:p w14:paraId="7C1BF843">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6.5.3预测结果</w:t>
      </w:r>
      <w:bookmarkEnd w:id="522"/>
    </w:p>
    <w:p w14:paraId="2481EF95">
      <w:pPr>
        <w:keepNext w:val="0"/>
        <w:keepLines w:val="0"/>
        <w:suppressLineNumbers w:val="0"/>
        <w:autoSpaceDE w:val="0"/>
        <w:autoSpaceDN w:val="0"/>
        <w:snapToGrid w:val="0"/>
        <w:spacing w:before="0" w:beforeAutospacing="0" w:after="0" w:afterAutospacing="0" w:line="360" w:lineRule="auto"/>
        <w:ind w:left="0" w:right="0" w:firstLine="49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根据项目的生产设备情况，本次预测在考虑同种设备多个噪声源噪声叠加，以及距离衰减至受声点处的噪声贡献。经预测，项目生产设备噪声衰减至厂界的噪声见表</w:t>
      </w:r>
      <w:r>
        <w:rPr>
          <w:rFonts w:hint="default" w:ascii="Times New Roman" w:hAnsi="Times New Roman" w:cs="Times New Roman"/>
          <w:color w:val="000000"/>
          <w:sz w:val="24"/>
          <w:szCs w:val="24"/>
          <w:lang w:val="en-US" w:eastAsia="zh-CN"/>
        </w:rPr>
        <w:t>6.5.3</w:t>
      </w:r>
      <w:r>
        <w:rPr>
          <w:rFonts w:hint="default" w:ascii="Times New Roman" w:hAnsi="Times New Roman" w:eastAsia="宋体" w:cs="Times New Roman"/>
          <w:color w:val="000000"/>
          <w:sz w:val="24"/>
          <w:szCs w:val="24"/>
          <w:lang w:val="en-US" w:eastAsia="zh-CN"/>
        </w:rPr>
        <w:t>-</w:t>
      </w:r>
      <w:r>
        <w:rPr>
          <w:rFonts w:hint="default" w:ascii="Times New Roman" w:hAnsi="Times New Roman" w:cs="Times New Roman"/>
          <w:color w:val="000000"/>
          <w:sz w:val="24"/>
          <w:szCs w:val="24"/>
          <w:lang w:val="en-US" w:eastAsia="zh-CN"/>
        </w:rPr>
        <w:t>1</w:t>
      </w:r>
      <w:r>
        <w:rPr>
          <w:rFonts w:hint="default" w:ascii="Times New Roman" w:hAnsi="Times New Roman" w:eastAsia="宋体" w:cs="Times New Roman"/>
          <w:color w:val="000000"/>
          <w:sz w:val="24"/>
          <w:szCs w:val="24"/>
        </w:rPr>
        <w:t>。</w:t>
      </w:r>
    </w:p>
    <w:p w14:paraId="47A8B867">
      <w:pPr>
        <w:keepNext w:val="0"/>
        <w:keepLines w:val="0"/>
        <w:suppressLineNumbers w:val="0"/>
        <w:autoSpaceDE w:val="0"/>
        <w:autoSpaceDN w:val="0"/>
        <w:snapToGrid w:val="0"/>
        <w:spacing w:before="0" w:beforeAutospacing="0" w:after="0" w:afterAutospacing="0" w:line="240" w:lineRule="auto"/>
        <w:ind w:left="0" w:right="0"/>
        <w:jc w:val="center"/>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表6.5.3-1  厂界噪声贡献值预测结果一览表  单位：dB（A）</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224"/>
        <w:gridCol w:w="2253"/>
        <w:gridCol w:w="2489"/>
      </w:tblGrid>
      <w:tr w14:paraId="414159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4"/>
            <w:noWrap w:val="0"/>
            <w:vAlign w:val="center"/>
          </w:tcPr>
          <w:p w14:paraId="25204BF8">
            <w:pPr>
              <w:pStyle w:val="47"/>
              <w:keepNext w:val="0"/>
              <w:keepLines w:val="0"/>
              <w:suppressLineNumbers w:val="0"/>
              <w:tabs>
                <w:tab w:val="left" w:pos="1257"/>
              </w:tabs>
              <w:spacing w:before="24" w:beforeAutospacing="0" w:after="24" w:afterAutospacing="0" w:line="340" w:lineRule="exact"/>
              <w:ind w:left="0" w:right="0"/>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至厂界处噪声</w:t>
            </w:r>
            <w:r>
              <w:rPr>
                <w:rFonts w:hint="default" w:ascii="Times New Roman" w:hAnsi="Times New Roman" w:eastAsia="宋体" w:cs="Times New Roman"/>
                <w:color w:val="000000"/>
                <w:sz w:val="18"/>
                <w:szCs w:val="18"/>
                <w:lang w:val="en-US" w:eastAsia="zh-CN"/>
              </w:rPr>
              <w:t>预测</w:t>
            </w:r>
            <w:r>
              <w:rPr>
                <w:rFonts w:hint="default" w:ascii="Times New Roman" w:hAnsi="Times New Roman" w:eastAsia="宋体" w:cs="Times New Roman"/>
                <w:color w:val="000000"/>
                <w:sz w:val="18"/>
                <w:szCs w:val="18"/>
              </w:rPr>
              <w:t>值</w:t>
            </w:r>
          </w:p>
        </w:tc>
      </w:tr>
      <w:tr w14:paraId="76782B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50" w:type="pct"/>
            <w:noWrap w:val="0"/>
            <w:vAlign w:val="center"/>
          </w:tcPr>
          <w:p w14:paraId="7B6065A1">
            <w:pPr>
              <w:pStyle w:val="47"/>
              <w:keepNext w:val="0"/>
              <w:keepLines w:val="0"/>
              <w:suppressLineNumbers w:val="0"/>
              <w:tabs>
                <w:tab w:val="left" w:pos="1257"/>
              </w:tabs>
              <w:spacing w:before="24" w:beforeAutospacing="0" w:after="24" w:afterAutospacing="0" w:line="340" w:lineRule="exact"/>
              <w:ind w:left="0" w:right="0"/>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东</w:t>
            </w:r>
          </w:p>
        </w:tc>
        <w:tc>
          <w:tcPr>
            <w:tcW w:w="1197" w:type="pct"/>
            <w:noWrap w:val="0"/>
            <w:vAlign w:val="center"/>
          </w:tcPr>
          <w:p w14:paraId="470B3750">
            <w:pPr>
              <w:pStyle w:val="47"/>
              <w:keepNext w:val="0"/>
              <w:keepLines w:val="0"/>
              <w:suppressLineNumbers w:val="0"/>
              <w:tabs>
                <w:tab w:val="left" w:pos="1257"/>
              </w:tabs>
              <w:spacing w:before="24" w:beforeAutospacing="0" w:after="24" w:afterAutospacing="0" w:line="340" w:lineRule="exact"/>
              <w:ind w:left="0" w:right="0"/>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南</w:t>
            </w:r>
          </w:p>
        </w:tc>
        <w:tc>
          <w:tcPr>
            <w:tcW w:w="1213" w:type="pct"/>
            <w:noWrap w:val="0"/>
            <w:vAlign w:val="center"/>
          </w:tcPr>
          <w:p w14:paraId="3765B58E">
            <w:pPr>
              <w:pStyle w:val="47"/>
              <w:keepNext w:val="0"/>
              <w:keepLines w:val="0"/>
              <w:suppressLineNumbers w:val="0"/>
              <w:tabs>
                <w:tab w:val="left" w:pos="1257"/>
              </w:tabs>
              <w:spacing w:before="24" w:beforeAutospacing="0" w:after="24" w:afterAutospacing="0" w:line="340" w:lineRule="exact"/>
              <w:ind w:left="0" w:right="0"/>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西</w:t>
            </w:r>
          </w:p>
        </w:tc>
        <w:tc>
          <w:tcPr>
            <w:tcW w:w="1338" w:type="pct"/>
            <w:noWrap w:val="0"/>
            <w:vAlign w:val="center"/>
          </w:tcPr>
          <w:p w14:paraId="2659BE76">
            <w:pPr>
              <w:pStyle w:val="47"/>
              <w:keepNext w:val="0"/>
              <w:keepLines w:val="0"/>
              <w:suppressLineNumbers w:val="0"/>
              <w:tabs>
                <w:tab w:val="left" w:pos="1257"/>
              </w:tabs>
              <w:spacing w:before="24" w:beforeAutospacing="0" w:after="24" w:afterAutospacing="0" w:line="340" w:lineRule="exact"/>
              <w:ind w:left="0" w:right="0"/>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北</w:t>
            </w:r>
          </w:p>
        </w:tc>
      </w:tr>
      <w:tr w14:paraId="5A1E33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50" w:type="pct"/>
            <w:noWrap w:val="0"/>
            <w:vAlign w:val="center"/>
          </w:tcPr>
          <w:p w14:paraId="50EB6336">
            <w:pPr>
              <w:pStyle w:val="47"/>
              <w:keepNext w:val="0"/>
              <w:keepLines w:val="0"/>
              <w:suppressLineNumbers w:val="0"/>
              <w:tabs>
                <w:tab w:val="left" w:pos="1257"/>
              </w:tabs>
              <w:spacing w:before="24" w:beforeAutospacing="0" w:after="24" w:afterAutospacing="0" w:line="340" w:lineRule="exact"/>
              <w:ind w:left="0" w:right="0"/>
              <w:rPr>
                <w:rFonts w:hint="default"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default" w:ascii="Times New Roman" w:hAnsi="Times New Roman" w:cs="Times New Roman"/>
                <w:b w:val="0"/>
                <w:bCs/>
                <w:color w:val="000000" w:themeColor="text1"/>
                <w:sz w:val="18"/>
                <w:szCs w:val="18"/>
                <w:lang w:val="en-US" w:eastAsia="zh-CN"/>
                <w14:textFill>
                  <w14:solidFill>
                    <w14:schemeClr w14:val="tx1"/>
                  </w14:solidFill>
                </w14:textFill>
              </w:rPr>
              <w:t>50</w:t>
            </w:r>
          </w:p>
        </w:tc>
        <w:tc>
          <w:tcPr>
            <w:tcW w:w="1197" w:type="pct"/>
            <w:noWrap w:val="0"/>
            <w:vAlign w:val="center"/>
          </w:tcPr>
          <w:p w14:paraId="7D559A14">
            <w:pPr>
              <w:pStyle w:val="47"/>
              <w:keepNext w:val="0"/>
              <w:keepLines w:val="0"/>
              <w:suppressLineNumbers w:val="0"/>
              <w:tabs>
                <w:tab w:val="left" w:pos="1257"/>
              </w:tabs>
              <w:spacing w:before="24" w:beforeAutospacing="0" w:after="24" w:afterAutospacing="0" w:line="340" w:lineRule="exact"/>
              <w:ind w:left="0" w:right="0"/>
              <w:rPr>
                <w:rFonts w:hint="default"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default" w:ascii="Times New Roman" w:hAnsi="Times New Roman" w:cs="Times New Roman"/>
                <w:b w:val="0"/>
                <w:bCs/>
                <w:color w:val="000000" w:themeColor="text1"/>
                <w:sz w:val="18"/>
                <w:szCs w:val="18"/>
                <w:lang w:val="en-US" w:eastAsia="zh-CN"/>
                <w14:textFill>
                  <w14:solidFill>
                    <w14:schemeClr w14:val="tx1"/>
                  </w14:solidFill>
                </w14:textFill>
              </w:rPr>
              <w:t>59</w:t>
            </w:r>
          </w:p>
        </w:tc>
        <w:tc>
          <w:tcPr>
            <w:tcW w:w="1213" w:type="pct"/>
            <w:noWrap w:val="0"/>
            <w:vAlign w:val="center"/>
          </w:tcPr>
          <w:p w14:paraId="6C19143D">
            <w:pPr>
              <w:pStyle w:val="47"/>
              <w:keepNext w:val="0"/>
              <w:keepLines w:val="0"/>
              <w:suppressLineNumbers w:val="0"/>
              <w:tabs>
                <w:tab w:val="left" w:pos="1257"/>
              </w:tabs>
              <w:spacing w:before="24" w:beforeAutospacing="0" w:after="24" w:afterAutospacing="0" w:line="340" w:lineRule="exact"/>
              <w:ind w:left="0" w:right="0"/>
              <w:rPr>
                <w:rFonts w:hint="default"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default" w:ascii="Times New Roman" w:hAnsi="Times New Roman" w:cs="Times New Roman"/>
                <w:b w:val="0"/>
                <w:bCs/>
                <w:color w:val="000000" w:themeColor="text1"/>
                <w:sz w:val="18"/>
                <w:szCs w:val="18"/>
                <w:lang w:val="en-US" w:eastAsia="zh-CN"/>
                <w14:textFill>
                  <w14:solidFill>
                    <w14:schemeClr w14:val="tx1"/>
                  </w14:solidFill>
                </w14:textFill>
              </w:rPr>
              <w:t>57</w:t>
            </w:r>
          </w:p>
        </w:tc>
        <w:tc>
          <w:tcPr>
            <w:tcW w:w="1338" w:type="pct"/>
            <w:noWrap w:val="0"/>
            <w:vAlign w:val="center"/>
          </w:tcPr>
          <w:p w14:paraId="4EEAF668">
            <w:pPr>
              <w:pStyle w:val="47"/>
              <w:keepNext w:val="0"/>
              <w:keepLines w:val="0"/>
              <w:suppressLineNumbers w:val="0"/>
              <w:tabs>
                <w:tab w:val="left" w:pos="1257"/>
              </w:tabs>
              <w:spacing w:before="24" w:beforeAutospacing="0" w:after="24" w:afterAutospacing="0" w:line="340" w:lineRule="exact"/>
              <w:ind w:left="0" w:right="0"/>
              <w:rPr>
                <w:rFonts w:hint="default"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default" w:ascii="Times New Roman" w:hAnsi="Times New Roman" w:cs="Times New Roman"/>
                <w:b w:val="0"/>
                <w:bCs/>
                <w:color w:val="000000" w:themeColor="text1"/>
                <w:sz w:val="18"/>
                <w:szCs w:val="18"/>
                <w:lang w:val="en-US" w:eastAsia="zh-CN"/>
                <w14:textFill>
                  <w14:solidFill>
                    <w14:schemeClr w14:val="tx1"/>
                  </w14:solidFill>
                </w14:textFill>
              </w:rPr>
              <w:t>53</w:t>
            </w:r>
          </w:p>
        </w:tc>
      </w:tr>
    </w:tbl>
    <w:p w14:paraId="4B6ACAA7">
      <w:pPr>
        <w:bidi w:val="0"/>
        <w:spacing w:line="360" w:lineRule="auto"/>
        <w:jc w:val="center"/>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rPr>
        <w:drawing>
          <wp:inline distT="0" distB="0" distL="114300" distR="114300">
            <wp:extent cx="5757545" cy="3055620"/>
            <wp:effectExtent l="0" t="0" r="14605" b="1143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43"/>
                    <a:stretch>
                      <a:fillRect/>
                    </a:stretch>
                  </pic:blipFill>
                  <pic:spPr>
                    <a:xfrm>
                      <a:off x="0" y="0"/>
                      <a:ext cx="5757545" cy="3055620"/>
                    </a:xfrm>
                    <a:prstGeom prst="rect">
                      <a:avLst/>
                    </a:prstGeom>
                    <a:noFill/>
                    <a:ln>
                      <a:noFill/>
                    </a:ln>
                  </pic:spPr>
                </pic:pic>
              </a:graphicData>
            </a:graphic>
          </wp:inline>
        </w:drawing>
      </w:r>
    </w:p>
    <w:p w14:paraId="20851E3B">
      <w:pPr>
        <w:bidi w:val="0"/>
        <w:spacing w:line="360" w:lineRule="auto"/>
        <w:jc w:val="center"/>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图6.5-1等声级线图</w:t>
      </w:r>
    </w:p>
    <w:p w14:paraId="263E0C81">
      <w:pPr>
        <w:bidi w:val="0"/>
        <w:spacing w:line="360" w:lineRule="auto"/>
        <w:ind w:firstLine="490"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eastAsiaTheme="minorEastAsia"/>
          <w:sz w:val="24"/>
          <w:szCs w:val="24"/>
          <w:lang w:val="en-US" w:eastAsia="zh-CN"/>
        </w:rPr>
        <w:t>根据预测结果，项目</w:t>
      </w:r>
      <w:r>
        <w:rPr>
          <w:rFonts w:hint="default" w:ascii="Times New Roman" w:hAnsi="Times New Roman" w:cs="Times New Roman"/>
          <w:color w:val="auto"/>
          <w:kern w:val="0"/>
          <w:sz w:val="24"/>
          <w:lang w:val="en-US" w:eastAsia="zh-CN"/>
        </w:rPr>
        <w:t>东、南、西、北厂界均能满足</w:t>
      </w:r>
      <w:r>
        <w:rPr>
          <w:rFonts w:hint="default" w:ascii="Times New Roman" w:hAnsi="Times New Roman" w:eastAsia="宋体" w:cs="Times New Roman"/>
          <w:color w:val="auto"/>
          <w:kern w:val="0"/>
          <w:sz w:val="24"/>
        </w:rPr>
        <w:t>《工业企业厂界环境噪声标准》（</w:t>
      </w:r>
      <w:r>
        <w:rPr>
          <w:rFonts w:hint="default" w:ascii="Times New Roman" w:hAnsi="Times New Roman" w:eastAsia="宋体" w:cs="Times New Roman"/>
          <w:color w:val="auto"/>
          <w:kern w:val="0"/>
          <w:sz w:val="24"/>
          <w:lang w:eastAsia="zh-CN"/>
        </w:rPr>
        <w:t>GB22337</w:t>
      </w:r>
      <w:r>
        <w:rPr>
          <w:rFonts w:hint="default" w:ascii="Times New Roman" w:hAnsi="Times New Roman" w:eastAsia="宋体" w:cs="Times New Roman"/>
          <w:color w:val="auto"/>
          <w:kern w:val="0"/>
          <w:sz w:val="24"/>
        </w:rPr>
        <w:t>-2008）中的</w:t>
      </w:r>
      <w:r>
        <w:rPr>
          <w:rFonts w:hint="default"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类标准限值要求</w:t>
      </w:r>
      <w:r>
        <w:rPr>
          <w:rFonts w:hint="default" w:ascii="Times New Roman" w:hAnsi="Times New Roman" w:eastAsia="宋体" w:cs="Times New Roman"/>
          <w:color w:val="auto"/>
          <w:kern w:val="0"/>
          <w:sz w:val="24"/>
          <w:lang w:eastAsia="zh-CN"/>
        </w:rPr>
        <w:t>。</w:t>
      </w:r>
      <w:r>
        <w:rPr>
          <w:rFonts w:hint="default" w:ascii="Times New Roman" w:hAnsi="Times New Roman" w:cs="Times New Roman"/>
          <w:color w:val="auto"/>
          <w:kern w:val="0"/>
          <w:sz w:val="24"/>
          <w:lang w:val="en-US" w:eastAsia="zh-CN"/>
        </w:rPr>
        <w:t>项目最近的居住人群为西南侧距离约500米处的鲁奎山铁矿生活区，项目噪声对周边声环境影响不大。</w:t>
      </w:r>
    </w:p>
    <w:p w14:paraId="3F0FA3F1">
      <w:pPr>
        <w:pStyle w:val="6"/>
        <w:bidi w:val="0"/>
        <w:rPr>
          <w:rFonts w:hint="default" w:ascii="Times New Roman" w:hAnsi="Times New Roman" w:cs="Times New Roman"/>
          <w:lang w:val="en-US" w:eastAsia="zh-CN"/>
        </w:rPr>
      </w:pPr>
      <w:bookmarkStart w:id="523" w:name="_Toc11129"/>
      <w:bookmarkStart w:id="524" w:name="_Toc12051"/>
      <w:bookmarkStart w:id="525" w:name="_Toc8829"/>
      <w:r>
        <w:rPr>
          <w:rFonts w:hint="default" w:ascii="Times New Roman" w:hAnsi="Times New Roman" w:cs="Times New Roman"/>
          <w:lang w:val="en-US" w:eastAsia="zh-CN"/>
        </w:rPr>
        <w:t>6.5.4减缓对环境影响对策措施</w:t>
      </w:r>
      <w:bookmarkEnd w:id="523"/>
      <w:bookmarkEnd w:id="524"/>
      <w:bookmarkEnd w:id="525"/>
    </w:p>
    <w:p w14:paraId="3AE8D492">
      <w:pPr>
        <w:bidi w:val="0"/>
        <w:spacing w:line="360" w:lineRule="auto"/>
        <w:ind w:firstLine="490" w:firstLineChars="200"/>
        <w:rPr>
          <w:rFonts w:hint="default" w:ascii="Times New Roman" w:hAnsi="Times New Roman" w:eastAsia="宋体" w:cs="Times New Roman"/>
          <w:color w:val="auto"/>
          <w:kern w:val="0"/>
          <w:sz w:val="24"/>
          <w:lang w:val="en-US" w:eastAsia="zh-CN"/>
        </w:rPr>
      </w:pPr>
      <w:bookmarkStart w:id="526" w:name="_Toc11959"/>
      <w:bookmarkStart w:id="527" w:name="_Toc30568"/>
      <w:bookmarkStart w:id="528" w:name="_Toc698"/>
      <w:r>
        <w:rPr>
          <w:rFonts w:hint="default" w:ascii="Times New Roman" w:hAnsi="Times New Roman" w:eastAsia="宋体" w:cs="Times New Roman"/>
          <w:color w:val="auto"/>
          <w:kern w:val="0"/>
          <w:sz w:val="24"/>
          <w:lang w:val="en-US" w:eastAsia="zh-CN"/>
        </w:rPr>
        <w:t>（1）设备采取基座减振，</w:t>
      </w:r>
      <w:r>
        <w:rPr>
          <w:rFonts w:hint="default" w:ascii="Times New Roman" w:hAnsi="Times New Roman" w:cs="Times New Roman"/>
          <w:color w:val="auto"/>
          <w:kern w:val="0"/>
          <w:sz w:val="24"/>
          <w:lang w:val="en-US" w:eastAsia="zh-CN"/>
        </w:rPr>
        <w:t>设备</w:t>
      </w:r>
      <w:r>
        <w:rPr>
          <w:rFonts w:hint="default" w:ascii="Times New Roman" w:hAnsi="Times New Roman" w:eastAsia="宋体" w:cs="Times New Roman"/>
          <w:color w:val="auto"/>
          <w:kern w:val="0"/>
          <w:sz w:val="24"/>
          <w:lang w:val="en-US" w:eastAsia="zh-CN"/>
        </w:rPr>
        <w:t>封闭</w:t>
      </w:r>
      <w:r>
        <w:rPr>
          <w:rFonts w:hint="default" w:ascii="Times New Roman" w:hAnsi="Times New Roman" w:cs="Times New Roman"/>
          <w:color w:val="auto"/>
          <w:kern w:val="0"/>
          <w:sz w:val="24"/>
          <w:lang w:val="en-US" w:eastAsia="zh-CN"/>
        </w:rPr>
        <w:t>加装隔声材料</w:t>
      </w:r>
      <w:r>
        <w:rPr>
          <w:rFonts w:hint="default" w:ascii="Times New Roman" w:hAnsi="Times New Roman" w:eastAsia="宋体" w:cs="Times New Roman"/>
          <w:color w:val="auto"/>
          <w:kern w:val="0"/>
          <w:sz w:val="24"/>
          <w:lang w:val="en-US" w:eastAsia="zh-CN"/>
        </w:rPr>
        <w:t>，合理安排生产时间，夜间禁止运行；</w:t>
      </w:r>
    </w:p>
    <w:p w14:paraId="48BD20D5">
      <w:pPr>
        <w:bidi w:val="0"/>
        <w:spacing w:line="360" w:lineRule="auto"/>
        <w:ind w:firstLine="49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（2）风机安装消声器。</w:t>
      </w:r>
    </w:p>
    <w:p w14:paraId="07BF1D61">
      <w:pPr>
        <w:bidi w:val="0"/>
        <w:spacing w:line="360" w:lineRule="auto"/>
        <w:ind w:firstLine="49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（3）加强运输车辆的管理，合理安排运输时间，严禁车辆超速超载，在运输道路沿线居民相对集中区时，区段两端设置限速、禁鸣标志。</w:t>
      </w:r>
    </w:p>
    <w:p w14:paraId="077BBFA4">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6.5.5</w:t>
      </w:r>
      <w:bookmarkEnd w:id="526"/>
      <w:bookmarkEnd w:id="527"/>
      <w:bookmarkEnd w:id="528"/>
      <w:r>
        <w:rPr>
          <w:rFonts w:hint="default" w:ascii="Times New Roman" w:hAnsi="Times New Roman" w:cs="Times New Roman"/>
          <w:lang w:val="en-US" w:eastAsia="zh-CN"/>
        </w:rPr>
        <w:t>声环境影响评价结论</w:t>
      </w:r>
    </w:p>
    <w:p w14:paraId="61985AAA">
      <w:pPr>
        <w:spacing w:line="360" w:lineRule="auto"/>
        <w:ind w:firstLine="49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根据噪声预测，</w:t>
      </w:r>
      <w:r>
        <w:rPr>
          <w:rFonts w:hint="default" w:ascii="Times New Roman" w:hAnsi="Times New Roman" w:cs="Times New Roman" w:eastAsiaTheme="minorEastAsia"/>
          <w:sz w:val="24"/>
          <w:szCs w:val="24"/>
          <w:lang w:val="en-US" w:eastAsia="zh-CN"/>
        </w:rPr>
        <w:t>项目</w:t>
      </w:r>
      <w:r>
        <w:rPr>
          <w:rFonts w:hint="default" w:ascii="Times New Roman" w:hAnsi="Times New Roman" w:cs="Times New Roman"/>
          <w:color w:val="auto"/>
          <w:kern w:val="0"/>
          <w:sz w:val="24"/>
          <w:lang w:val="en-US" w:eastAsia="zh-CN"/>
        </w:rPr>
        <w:t>东、南、西、北厂界均能满足</w:t>
      </w:r>
      <w:r>
        <w:rPr>
          <w:rFonts w:hint="default" w:ascii="Times New Roman" w:hAnsi="Times New Roman" w:eastAsia="宋体" w:cs="Times New Roman"/>
          <w:color w:val="auto"/>
          <w:kern w:val="0"/>
          <w:sz w:val="24"/>
        </w:rPr>
        <w:t>《工业企业厂界环境噪声标准》（</w:t>
      </w:r>
      <w:r>
        <w:rPr>
          <w:rFonts w:hint="default" w:ascii="Times New Roman" w:hAnsi="Times New Roman" w:eastAsia="宋体" w:cs="Times New Roman"/>
          <w:color w:val="auto"/>
          <w:kern w:val="0"/>
          <w:sz w:val="24"/>
          <w:lang w:eastAsia="zh-CN"/>
        </w:rPr>
        <w:t>GB22337</w:t>
      </w:r>
      <w:r>
        <w:rPr>
          <w:rFonts w:hint="default" w:ascii="Times New Roman" w:hAnsi="Times New Roman" w:eastAsia="宋体" w:cs="Times New Roman"/>
          <w:color w:val="auto"/>
          <w:kern w:val="0"/>
          <w:sz w:val="24"/>
        </w:rPr>
        <w:t>-2008）中的</w:t>
      </w:r>
      <w:r>
        <w:rPr>
          <w:rFonts w:hint="default"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类标准限值要求</w:t>
      </w: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sz w:val="24"/>
        </w:rPr>
        <w:t>建设项目产生的噪声对周边环境影响较小。</w:t>
      </w:r>
    </w:p>
    <w:p w14:paraId="64F2D421">
      <w:pPr>
        <w:pStyle w:val="5"/>
        <w:bidi w:val="0"/>
        <w:rPr>
          <w:rFonts w:hint="default" w:ascii="Times New Roman" w:hAnsi="Times New Roman" w:cs="Times New Roman"/>
        </w:rPr>
      </w:pPr>
      <w:bookmarkStart w:id="529" w:name="_Toc30061"/>
      <w:bookmarkStart w:id="530" w:name="_Toc31534"/>
      <w:bookmarkStart w:id="531" w:name="_Toc13973"/>
      <w:bookmarkStart w:id="532" w:name="_Toc12363"/>
      <w:bookmarkStart w:id="533" w:name="_Toc165816785"/>
      <w:bookmarkStart w:id="534" w:name="_Toc8950"/>
      <w:r>
        <w:rPr>
          <w:rFonts w:hint="default" w:ascii="Times New Roman" w:hAnsi="Times New Roman" w:cs="Times New Roman"/>
          <w:lang w:val="en-US" w:eastAsia="zh-CN"/>
        </w:rPr>
        <w:t>6</w:t>
      </w:r>
      <w:r>
        <w:rPr>
          <w:rFonts w:hint="default" w:ascii="Times New Roman" w:hAnsi="Times New Roman" w:cs="Times New Roman"/>
        </w:rPr>
        <w:t>.6固体废物环境影响评价</w:t>
      </w:r>
      <w:bookmarkEnd w:id="529"/>
      <w:bookmarkEnd w:id="530"/>
      <w:bookmarkEnd w:id="531"/>
      <w:bookmarkEnd w:id="532"/>
      <w:bookmarkEnd w:id="533"/>
      <w:bookmarkEnd w:id="534"/>
    </w:p>
    <w:p w14:paraId="17E9E8BF">
      <w:pPr>
        <w:pStyle w:val="6"/>
        <w:bidi w:val="0"/>
        <w:rPr>
          <w:rFonts w:hint="default" w:ascii="Times New Roman" w:hAnsi="Times New Roman" w:cs="Times New Roman"/>
          <w:lang w:val="en-US" w:eastAsia="zh-CN"/>
        </w:rPr>
      </w:pPr>
      <w:bookmarkStart w:id="535" w:name="_Toc26053"/>
      <w:bookmarkStart w:id="536" w:name="_Toc18875"/>
      <w:r>
        <w:rPr>
          <w:rFonts w:hint="default" w:ascii="Times New Roman" w:hAnsi="Times New Roman" w:cs="Times New Roman"/>
          <w:lang w:val="en-US" w:eastAsia="zh-CN"/>
        </w:rPr>
        <w:t>6.6.1项目固废</w:t>
      </w:r>
      <w:bookmarkEnd w:id="535"/>
      <w:bookmarkEnd w:id="536"/>
      <w:r>
        <w:rPr>
          <w:rFonts w:hint="default" w:ascii="Times New Roman" w:hAnsi="Times New Roman" w:cs="Times New Roman"/>
          <w:lang w:val="en-US" w:eastAsia="zh-CN"/>
        </w:rPr>
        <w:t>产生情况</w:t>
      </w:r>
    </w:p>
    <w:p w14:paraId="6BADE073">
      <w:pPr>
        <w:pStyle w:val="55"/>
        <w:spacing w:line="360" w:lineRule="auto"/>
        <w:rPr>
          <w:rFonts w:hint="default" w:ascii="Times New Roman" w:hAnsi="Times New Roman" w:cs="Times New Roman" w:eastAsiaTheme="minorEastAsia"/>
          <w:sz w:val="24"/>
          <w:szCs w:val="24"/>
        </w:rPr>
      </w:pPr>
      <w:bookmarkStart w:id="537" w:name="_Toc28928"/>
      <w:bookmarkStart w:id="538" w:name="_Toc2514"/>
      <w:bookmarkStart w:id="539" w:name="_Toc22109"/>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）除尘灰</w:t>
      </w:r>
    </w:p>
    <w:p w14:paraId="19B3F7D0">
      <w:pPr>
        <w:pStyle w:val="55"/>
        <w:spacing w:line="360" w:lineRule="auto"/>
        <w:rPr>
          <w:rFonts w:hint="default" w:ascii="Times New Roman" w:hAnsi="Times New Roman" w:cs="Times New Roman" w:eastAsiaTheme="minorEastAsia"/>
          <w:color w:val="auto"/>
          <w:sz w:val="24"/>
          <w:szCs w:val="24"/>
          <w:lang w:bidi="ar"/>
        </w:rPr>
      </w:pPr>
      <w:r>
        <w:rPr>
          <w:rFonts w:hint="default" w:ascii="Times New Roman" w:hAnsi="Times New Roman" w:cs="Times New Roman" w:eastAsiaTheme="minorEastAsia"/>
          <w:color w:val="auto"/>
          <w:sz w:val="24"/>
          <w:szCs w:val="24"/>
          <w:lang w:bidi="ar"/>
        </w:rPr>
        <w:t>项目运营期除尘器收集的除尘灰约为</w:t>
      </w:r>
      <w:r>
        <w:rPr>
          <w:rFonts w:hint="default" w:ascii="Times New Roman" w:hAnsi="Times New Roman" w:cs="Times New Roman" w:eastAsiaTheme="minorEastAsia"/>
          <w:color w:val="auto"/>
          <w:sz w:val="24"/>
          <w:szCs w:val="24"/>
          <w:lang w:val="en-US" w:eastAsia="zh-CN" w:bidi="ar"/>
        </w:rPr>
        <w:t>97.30</w:t>
      </w:r>
      <w:r>
        <w:rPr>
          <w:rFonts w:hint="default" w:ascii="Times New Roman" w:hAnsi="Times New Roman" w:cs="Times New Roman" w:eastAsiaTheme="minorEastAsia"/>
          <w:color w:val="auto"/>
          <w:sz w:val="24"/>
          <w:szCs w:val="24"/>
          <w:lang w:bidi="ar"/>
        </w:rPr>
        <w:t>t/a，</w:t>
      </w:r>
      <w:r>
        <w:rPr>
          <w:rFonts w:hint="default" w:ascii="Times New Roman" w:hAnsi="Times New Roman" w:cs="Times New Roman" w:eastAsiaTheme="minorEastAsia"/>
          <w:color w:val="auto"/>
          <w:sz w:val="24"/>
          <w:szCs w:val="24"/>
          <w:lang w:val="en-US" w:eastAsia="zh-CN" w:bidi="ar"/>
        </w:rPr>
        <w:t>外售新平甬福环保有限公司用于矿渣微粉生产线使用。</w:t>
      </w:r>
    </w:p>
    <w:p w14:paraId="5CEF093A">
      <w:pPr>
        <w:pStyle w:val="55"/>
        <w:spacing w:line="360" w:lineRule="auto"/>
        <w:rPr>
          <w:rFonts w:hint="default" w:ascii="Times New Roman" w:hAnsi="Times New Roman" w:cs="Times New Roman" w:eastAsiaTheme="minorEastAsia"/>
          <w:sz w:val="24"/>
          <w:szCs w:val="24"/>
          <w:lang w:bidi="ar"/>
        </w:rPr>
      </w:pPr>
      <w:r>
        <w:rPr>
          <w:rFonts w:hint="default" w:ascii="Times New Roman" w:hAnsi="Times New Roman" w:cs="Times New Roman" w:eastAsiaTheme="minorEastAsia"/>
          <w:sz w:val="24"/>
          <w:szCs w:val="24"/>
          <w:lang w:bidi="ar"/>
        </w:rPr>
        <w:t>（</w:t>
      </w:r>
      <w:r>
        <w:rPr>
          <w:rFonts w:hint="default" w:ascii="Times New Roman" w:hAnsi="Times New Roman" w:cs="Times New Roman" w:eastAsiaTheme="minorEastAsia"/>
          <w:sz w:val="24"/>
          <w:szCs w:val="24"/>
          <w:lang w:val="en-US" w:eastAsia="zh-CN" w:bidi="ar"/>
        </w:rPr>
        <w:t>2</w:t>
      </w:r>
      <w:r>
        <w:rPr>
          <w:rFonts w:hint="default" w:ascii="Times New Roman" w:hAnsi="Times New Roman" w:cs="Times New Roman" w:eastAsiaTheme="minorEastAsia"/>
          <w:sz w:val="24"/>
          <w:szCs w:val="24"/>
          <w:lang w:bidi="ar"/>
        </w:rPr>
        <w:t>）生活垃圾</w:t>
      </w:r>
    </w:p>
    <w:p w14:paraId="56EE45C5">
      <w:pPr>
        <w:pStyle w:val="55"/>
        <w:spacing w:line="360" w:lineRule="auto"/>
        <w:rPr>
          <w:rFonts w:hint="default" w:ascii="Times New Roman" w:hAnsi="Times New Roman" w:eastAsia="宋体" w:cs="Times New Roman"/>
          <w:sz w:val="24"/>
          <w:szCs w:val="24"/>
          <w:lang w:val="en-US" w:eastAsia="zh-CN" w:bidi="ar"/>
        </w:rPr>
      </w:pPr>
      <w:r>
        <w:rPr>
          <w:rFonts w:hint="default" w:ascii="Times New Roman" w:hAnsi="Times New Roman" w:cs="Times New Roman" w:eastAsiaTheme="minorEastAsia"/>
          <w:sz w:val="24"/>
          <w:szCs w:val="24"/>
          <w:lang w:bidi="ar"/>
        </w:rPr>
        <w:t>运营期职工人数</w:t>
      </w:r>
      <w:r>
        <w:rPr>
          <w:rFonts w:hint="default" w:ascii="Times New Roman" w:hAnsi="Times New Roman" w:cs="Times New Roman" w:eastAsiaTheme="minorEastAsia"/>
          <w:sz w:val="24"/>
          <w:szCs w:val="24"/>
          <w:lang w:val="en-US" w:eastAsia="zh-CN" w:bidi="ar"/>
        </w:rPr>
        <w:t>5</w:t>
      </w:r>
      <w:r>
        <w:rPr>
          <w:rFonts w:hint="default" w:ascii="Times New Roman" w:hAnsi="Times New Roman" w:cs="Times New Roman" w:eastAsiaTheme="minorEastAsia"/>
          <w:sz w:val="24"/>
          <w:szCs w:val="24"/>
          <w:lang w:bidi="ar"/>
        </w:rPr>
        <w:t>人，生活垃圾产生量以每人每天1kg计算，则生活垃圾产生量为</w:t>
      </w:r>
      <w:r>
        <w:rPr>
          <w:rFonts w:hint="default" w:ascii="Times New Roman" w:hAnsi="Times New Roman" w:cs="Times New Roman" w:eastAsiaTheme="minorEastAsia"/>
          <w:sz w:val="24"/>
          <w:szCs w:val="24"/>
          <w:lang w:val="en-US" w:eastAsia="zh-CN" w:bidi="ar"/>
        </w:rPr>
        <w:t>5</w:t>
      </w:r>
      <w:r>
        <w:rPr>
          <w:rFonts w:hint="default" w:ascii="Times New Roman" w:hAnsi="Times New Roman" w:cs="Times New Roman" w:eastAsiaTheme="minorEastAsia"/>
          <w:sz w:val="24"/>
          <w:szCs w:val="24"/>
          <w:lang w:bidi="ar"/>
        </w:rPr>
        <w:t>kg/d、</w:t>
      </w:r>
      <w:r>
        <w:rPr>
          <w:rFonts w:hint="default" w:ascii="Times New Roman" w:hAnsi="Times New Roman" w:cs="Times New Roman" w:eastAsiaTheme="minorEastAsia"/>
          <w:sz w:val="24"/>
          <w:szCs w:val="24"/>
          <w:lang w:val="en-US" w:eastAsia="zh-CN" w:bidi="ar"/>
        </w:rPr>
        <w:t>1.5</w:t>
      </w:r>
      <w:r>
        <w:rPr>
          <w:rFonts w:hint="default" w:ascii="Times New Roman" w:hAnsi="Times New Roman" w:cs="Times New Roman" w:eastAsiaTheme="minorEastAsia"/>
          <w:sz w:val="24"/>
          <w:szCs w:val="24"/>
          <w:lang w:bidi="ar"/>
        </w:rPr>
        <w:t>t/a。项目</w:t>
      </w:r>
      <w:r>
        <w:rPr>
          <w:rFonts w:hint="default" w:ascii="Times New Roman" w:hAnsi="Times New Roman" w:eastAsia="宋体" w:cs="Times New Roman"/>
          <w:kern w:val="24"/>
          <w:sz w:val="24"/>
        </w:rPr>
        <w:t>生活垃圾依托</w:t>
      </w:r>
      <w:r>
        <w:rPr>
          <w:rFonts w:hint="default" w:ascii="Times New Roman" w:hAnsi="Times New Roman" w:cs="Times New Roman"/>
          <w:kern w:val="24"/>
          <w:sz w:val="24"/>
          <w:lang w:val="en-US" w:eastAsia="zh-CN"/>
        </w:rPr>
        <w:t>矿山</w:t>
      </w:r>
      <w:r>
        <w:rPr>
          <w:rFonts w:hint="default" w:ascii="Times New Roman" w:hAnsi="Times New Roman" w:eastAsia="宋体" w:cs="Times New Roman"/>
          <w:kern w:val="24"/>
          <w:sz w:val="24"/>
        </w:rPr>
        <w:t>垃圾</w:t>
      </w:r>
      <w:r>
        <w:rPr>
          <w:rFonts w:hint="default" w:ascii="Times New Roman" w:hAnsi="Times New Roman" w:cs="Times New Roman"/>
          <w:kern w:val="24"/>
          <w:sz w:val="24"/>
          <w:lang w:val="en-US" w:eastAsia="zh-CN"/>
        </w:rPr>
        <w:t>池暂存</w:t>
      </w:r>
      <w:r>
        <w:rPr>
          <w:rFonts w:hint="default" w:ascii="Times New Roman" w:hAnsi="Times New Roman" w:eastAsia="宋体" w:cs="Times New Roman"/>
          <w:kern w:val="24"/>
          <w:sz w:val="24"/>
        </w:rPr>
        <w:t>，</w:t>
      </w:r>
      <w:r>
        <w:rPr>
          <w:rFonts w:hint="default" w:ascii="Times New Roman" w:hAnsi="Times New Roman" w:cs="Times New Roman"/>
          <w:kern w:val="24"/>
          <w:sz w:val="24"/>
          <w:lang w:val="en-US" w:eastAsia="zh-CN"/>
        </w:rPr>
        <w:t>定期清运至扬武镇生活垃圾收集点，由环卫部门处置。</w:t>
      </w:r>
    </w:p>
    <w:p w14:paraId="1051B063">
      <w:pPr>
        <w:adjustRightInd w:val="0"/>
        <w:snapToGrid w:val="0"/>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bidi="ar"/>
        </w:rPr>
        <w:t>（</w:t>
      </w:r>
      <w:r>
        <w:rPr>
          <w:rFonts w:hint="default" w:ascii="Times New Roman" w:hAnsi="Times New Roman" w:cs="Times New Roman" w:eastAsiaTheme="minorEastAsia"/>
          <w:sz w:val="24"/>
          <w:szCs w:val="24"/>
          <w:lang w:val="en-US" w:eastAsia="zh-CN" w:bidi="ar"/>
        </w:rPr>
        <w:t>3</w:t>
      </w:r>
      <w:r>
        <w:rPr>
          <w:rFonts w:hint="default" w:ascii="Times New Roman" w:hAnsi="Times New Roman" w:cs="Times New Roman" w:eastAsiaTheme="minorEastAsia"/>
          <w:sz w:val="24"/>
          <w:szCs w:val="24"/>
          <w:lang w:bidi="ar"/>
        </w:rPr>
        <w:t xml:space="preserve">）机修废物 </w:t>
      </w:r>
    </w:p>
    <w:p w14:paraId="4F7F01C2">
      <w:pPr>
        <w:adjustRightInd w:val="0"/>
        <w:snapToGrid w:val="0"/>
        <w:spacing w:line="360" w:lineRule="auto"/>
        <w:ind w:firstLine="480"/>
        <w:rPr>
          <w:rFonts w:hint="default" w:ascii="Times New Roman" w:hAnsi="Times New Roman" w:cs="Times New Roman" w:eastAsiaTheme="minorEastAsia"/>
          <w:kern w:val="24"/>
          <w:sz w:val="24"/>
          <w:szCs w:val="24"/>
        </w:rPr>
      </w:pPr>
      <w:r>
        <w:rPr>
          <w:rFonts w:hint="default" w:ascii="Times New Roman" w:hAnsi="Times New Roman" w:cs="Times New Roman" w:eastAsiaTheme="minorEastAsia"/>
          <w:kern w:val="24"/>
          <w:sz w:val="24"/>
          <w:szCs w:val="24"/>
        </w:rPr>
        <w:t>项目机械设备需要定期更换矿物油，</w:t>
      </w:r>
      <w:r>
        <w:rPr>
          <w:rFonts w:hint="default" w:ascii="Times New Roman" w:hAnsi="Times New Roman" w:cs="Times New Roman" w:eastAsiaTheme="minorEastAsia"/>
          <w:sz w:val="24"/>
          <w:szCs w:val="24"/>
        </w:rPr>
        <w:t>更换产生的废矿物油、废矿物油桶产生量约为0.</w:t>
      </w:r>
      <w:r>
        <w:rPr>
          <w:rFonts w:hint="default" w:ascii="Times New Roman" w:hAnsi="Times New Roman" w:cs="Times New Roman" w:eastAsiaTheme="minorEastAsia"/>
          <w:sz w:val="24"/>
          <w:szCs w:val="24"/>
          <w:lang w:val="en-US" w:eastAsia="zh-CN"/>
        </w:rPr>
        <w:t>01</w:t>
      </w:r>
      <w:r>
        <w:rPr>
          <w:rFonts w:hint="default" w:ascii="Times New Roman" w:hAnsi="Times New Roman" w:cs="Times New Roman" w:eastAsiaTheme="minorEastAsia"/>
          <w:sz w:val="24"/>
          <w:szCs w:val="24"/>
        </w:rPr>
        <w:t>t/a，</w:t>
      </w:r>
      <w:r>
        <w:rPr>
          <w:rFonts w:hint="default" w:ascii="Times New Roman" w:hAnsi="Times New Roman" w:cs="Times New Roman" w:eastAsiaTheme="minorEastAsia"/>
          <w:sz w:val="24"/>
          <w:szCs w:val="24"/>
          <w:lang w:val="en-US" w:eastAsia="zh-CN"/>
        </w:rPr>
        <w:t>含油抹布及手套产生量约</w:t>
      </w:r>
      <w:r>
        <w:rPr>
          <w:rFonts w:hint="default" w:ascii="Times New Roman" w:hAnsi="Times New Roman" w:cs="Times New Roman" w:eastAsiaTheme="minorEastAsia"/>
          <w:sz w:val="24"/>
          <w:szCs w:val="24"/>
        </w:rPr>
        <w:t>0.</w:t>
      </w:r>
      <w:r>
        <w:rPr>
          <w:rFonts w:hint="default" w:ascii="Times New Roman" w:hAnsi="Times New Roman" w:cs="Times New Roman" w:eastAsiaTheme="minorEastAsia"/>
          <w:sz w:val="24"/>
          <w:szCs w:val="24"/>
          <w:lang w:val="en-US" w:eastAsia="zh-CN"/>
        </w:rPr>
        <w:t>01</w:t>
      </w:r>
      <w:r>
        <w:rPr>
          <w:rFonts w:hint="default" w:ascii="Times New Roman" w:hAnsi="Times New Roman" w:cs="Times New Roman" w:eastAsiaTheme="minorEastAsia"/>
          <w:sz w:val="24"/>
          <w:szCs w:val="24"/>
        </w:rPr>
        <w:t>t/a</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kern w:val="24"/>
          <w:sz w:val="24"/>
          <w:szCs w:val="24"/>
        </w:rPr>
        <w:t>根据《国家危险废物名录（202</w:t>
      </w:r>
      <w:r>
        <w:rPr>
          <w:rFonts w:hint="eastAsia" w:cs="Times New Roman" w:eastAsiaTheme="minorEastAsia"/>
          <w:kern w:val="24"/>
          <w:sz w:val="24"/>
          <w:szCs w:val="24"/>
          <w:lang w:val="en-US" w:eastAsia="zh-CN"/>
        </w:rPr>
        <w:t>5</w:t>
      </w:r>
      <w:r>
        <w:rPr>
          <w:rFonts w:hint="default" w:ascii="Times New Roman" w:hAnsi="Times New Roman" w:cs="Times New Roman" w:eastAsiaTheme="minorEastAsia"/>
          <w:kern w:val="24"/>
          <w:sz w:val="24"/>
          <w:szCs w:val="24"/>
        </w:rPr>
        <w:t>年版）》，</w:t>
      </w:r>
      <w:r>
        <w:rPr>
          <w:rFonts w:hint="default" w:ascii="Times New Roman" w:hAnsi="Times New Roman" w:cs="Times New Roman" w:eastAsiaTheme="minorEastAsia"/>
          <w:kern w:val="24"/>
          <w:sz w:val="24"/>
          <w:szCs w:val="24"/>
          <w:lang w:val="en-US" w:eastAsia="zh-CN"/>
        </w:rPr>
        <w:t>废矿物油</w:t>
      </w:r>
      <w:r>
        <w:rPr>
          <w:rFonts w:hint="default" w:ascii="Times New Roman" w:hAnsi="Times New Roman" w:cs="Times New Roman" w:eastAsiaTheme="minorEastAsia"/>
          <w:kern w:val="24"/>
          <w:sz w:val="24"/>
          <w:szCs w:val="24"/>
        </w:rPr>
        <w:t>属于HW08废矿物油与含矿物油废物中的“900-217-08使用工业齿轮油进行机械设备润滑过程中产生的废润滑油”</w:t>
      </w:r>
      <w:r>
        <w:rPr>
          <w:rFonts w:hint="default" w:ascii="Times New Roman" w:hAnsi="Times New Roman" w:cs="Times New Roman" w:eastAsiaTheme="minorEastAsia"/>
          <w:kern w:val="24"/>
          <w:sz w:val="24"/>
          <w:szCs w:val="24"/>
          <w:lang w:eastAsia="zh-CN"/>
        </w:rPr>
        <w:t>；</w:t>
      </w:r>
      <w:r>
        <w:rPr>
          <w:rFonts w:hint="default" w:ascii="Times New Roman" w:hAnsi="Times New Roman" w:cs="Times New Roman" w:eastAsiaTheme="minorEastAsia"/>
          <w:sz w:val="24"/>
          <w:szCs w:val="24"/>
        </w:rPr>
        <w:t>废矿物油桶</w:t>
      </w:r>
      <w:r>
        <w:rPr>
          <w:rFonts w:hint="default" w:ascii="Times New Roman" w:hAnsi="Times New Roman" w:cs="Times New Roman" w:eastAsiaTheme="minorEastAsia"/>
          <w:sz w:val="24"/>
          <w:szCs w:val="24"/>
          <w:lang w:val="en-US" w:eastAsia="zh-CN"/>
        </w:rPr>
        <w:t>属于</w:t>
      </w:r>
      <w:r>
        <w:rPr>
          <w:rFonts w:hint="default" w:ascii="Times New Roman" w:hAnsi="Times New Roman" w:cs="Times New Roman" w:eastAsiaTheme="minorEastAsia"/>
          <w:kern w:val="24"/>
          <w:sz w:val="24"/>
          <w:szCs w:val="24"/>
        </w:rPr>
        <w:t>“900-249-08其他生产、销售、使用过程中产生的废矿物油及沾染矿物油的废弃包装物</w:t>
      </w:r>
      <w:r>
        <w:rPr>
          <w:rFonts w:hint="default" w:ascii="Times New Roman" w:hAnsi="Times New Roman" w:cs="Times New Roman" w:eastAsiaTheme="minorEastAsia"/>
          <w:kern w:val="24"/>
          <w:sz w:val="24"/>
          <w:szCs w:val="24"/>
          <w:lang w:eastAsia="zh-CN"/>
        </w:rPr>
        <w:t>；</w:t>
      </w:r>
      <w:r>
        <w:rPr>
          <w:rFonts w:hint="default" w:ascii="Times New Roman" w:hAnsi="Times New Roman" w:cs="Times New Roman" w:eastAsiaTheme="minorEastAsia"/>
          <w:sz w:val="24"/>
          <w:szCs w:val="24"/>
          <w:lang w:val="en-US" w:eastAsia="zh-CN"/>
        </w:rPr>
        <w:t>含油抹布及手套</w:t>
      </w:r>
      <w:r>
        <w:rPr>
          <w:rFonts w:hint="default" w:ascii="Times New Roman" w:hAnsi="Times New Roman" w:cs="Times New Roman" w:eastAsiaTheme="minorEastAsia"/>
          <w:kern w:val="24"/>
          <w:sz w:val="24"/>
          <w:szCs w:val="24"/>
        </w:rPr>
        <w:t>属于HW49其他废物中的“900-041-49含有或沾染毒性、感染性危险废物的废弃包装物、容器、过滤吸附介质”。</w:t>
      </w:r>
    </w:p>
    <w:p w14:paraId="18C26179">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6.6.2固体废弃物环境影响分析</w:t>
      </w:r>
      <w:bookmarkEnd w:id="537"/>
      <w:bookmarkEnd w:id="538"/>
      <w:bookmarkEnd w:id="539"/>
    </w:p>
    <w:p w14:paraId="3B091EDD">
      <w:pPr>
        <w:keepNext w:val="0"/>
        <w:keepLines w:val="0"/>
        <w:pageBreakBefore w:val="0"/>
        <w:widowControl w:val="0"/>
        <w:kinsoku/>
        <w:wordWrap/>
        <w:overflowPunct/>
        <w:topLinePunct w:val="0"/>
        <w:bidi w:val="0"/>
        <w:adjustRightInd/>
        <w:snapToGrid/>
        <w:spacing w:line="360" w:lineRule="auto"/>
        <w:ind w:firstLine="490" w:firstLineChars="200"/>
        <w:jc w:val="both"/>
        <w:textAlignment w:val="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固体废弃物中有害物质通过水体、土壤和大气而进入环境中，对环境的影响程度取决于释放过程中污染的转移量及其浓度。从本项目产生的固体废物的种类及其成分来看，若不妥当处置，将有可能对土壤、水体、环境空气质量造成影响。</w:t>
      </w:r>
    </w:p>
    <w:p w14:paraId="3E5AB4C5">
      <w:pPr>
        <w:pStyle w:val="17"/>
        <w:keepNext w:val="0"/>
        <w:keepLines w:val="0"/>
        <w:pageBreakBefore w:val="0"/>
        <w:widowControl w:val="0"/>
        <w:kinsoku/>
        <w:wordWrap/>
        <w:overflowPunct/>
        <w:topLinePunct w:val="0"/>
        <w:bidi w:val="0"/>
        <w:adjustRightInd/>
        <w:snapToGrid/>
        <w:spacing w:beforeLines="0" w:line="360" w:lineRule="auto"/>
        <w:ind w:firstLine="490" w:firstLineChars="200"/>
        <w:jc w:val="both"/>
        <w:textAlignment w:val="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固体废物对土壤环境的影响分析</w:t>
      </w:r>
    </w:p>
    <w:p w14:paraId="0F26323B">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lang w:val="en-US" w:eastAsia="zh-CN"/>
        </w:rPr>
        <w:t>除尘灰</w:t>
      </w:r>
      <w:r>
        <w:rPr>
          <w:rFonts w:hint="default" w:ascii="Times New Roman" w:hAnsi="Times New Roman" w:cs="Times New Roman"/>
          <w:b w:val="0"/>
          <w:bCs w:val="0"/>
          <w:color w:val="auto"/>
          <w:kern w:val="0"/>
          <w:sz w:val="24"/>
          <w:szCs w:val="24"/>
        </w:rPr>
        <w:t>进入土壤中，其中所含有的有害物质能改变土质和土壤结构，影响土壤中微生物的活动，有碍植物的生长，而且使有毒有害物质在植物机体内积蓄。</w:t>
      </w:r>
      <w:r>
        <w:rPr>
          <w:rFonts w:hint="default" w:ascii="Times New Roman" w:hAnsi="Times New Roman" w:cs="Times New Roman"/>
          <w:b w:val="0"/>
          <w:bCs w:val="0"/>
          <w:color w:val="auto"/>
          <w:kern w:val="0"/>
          <w:sz w:val="24"/>
          <w:szCs w:val="24"/>
          <w:lang w:val="en-US" w:eastAsia="zh-CN"/>
        </w:rPr>
        <w:t>项目除尘灰外售</w:t>
      </w:r>
      <w:r>
        <w:rPr>
          <w:rFonts w:hint="default" w:ascii="Times New Roman" w:hAnsi="Times New Roman" w:eastAsia="宋体" w:cs="Times New Roman"/>
          <w:color w:val="auto"/>
          <w:kern w:val="0"/>
          <w:sz w:val="24"/>
          <w:lang w:val="en-US" w:eastAsia="zh-CN"/>
        </w:rPr>
        <w:t>新平甬福环保有限公司用于矿渣微粉生产线使用</w:t>
      </w:r>
      <w:r>
        <w:rPr>
          <w:rFonts w:hint="default" w:ascii="Times New Roman" w:hAnsi="Times New Roman"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危险废物堆放要防风、防雨、防晒。收集、贮存危险废物整个过程严格按照《危险废物收集贮存运输技术规范》（HJ2025-2012）的要求执行。采取以上有效的防治措施后可确保固体废物堆放不会对土壤产生影响。</w:t>
      </w:r>
    </w:p>
    <w:p w14:paraId="7F0C3F64">
      <w:pPr>
        <w:pStyle w:val="17"/>
        <w:keepNext w:val="0"/>
        <w:keepLines w:val="0"/>
        <w:pageBreakBefore w:val="0"/>
        <w:widowControl w:val="0"/>
        <w:kinsoku/>
        <w:wordWrap/>
        <w:overflowPunct/>
        <w:topLinePunct w:val="0"/>
        <w:bidi w:val="0"/>
        <w:adjustRightInd/>
        <w:snapToGrid/>
        <w:spacing w:beforeLines="0" w:line="360" w:lineRule="auto"/>
        <w:ind w:firstLine="490" w:firstLineChars="200"/>
        <w:jc w:val="both"/>
        <w:textAlignment w:val="auto"/>
        <w:rPr>
          <w:rFonts w:hint="default" w:ascii="Times New Roman" w:hAnsi="Times New Roman" w:cs="Times New Roman"/>
          <w:b w:val="0"/>
          <w:bCs w:val="0"/>
          <w:color w:val="auto"/>
          <w:kern w:val="2"/>
          <w:sz w:val="24"/>
          <w:szCs w:val="24"/>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2</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固体废物对水体环境的影响分析</w:t>
      </w:r>
    </w:p>
    <w:p w14:paraId="756B9896">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rPr>
        <w:t>如果直接向水域倾倒固体废物，不但容易堵塞水流，减少水域面积，而且固体废物进入水体，还会影响水生生物生存和水资源的利用。固体废物任意堆放或填埋，经雨水浸淋，其渗滤液会污染土壤、地下水等。</w:t>
      </w:r>
    </w:p>
    <w:p w14:paraId="088C9048">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lang w:val="en-US" w:eastAsia="zh-CN"/>
        </w:rPr>
        <w:t>本</w:t>
      </w:r>
      <w:r>
        <w:rPr>
          <w:rFonts w:hint="default" w:ascii="Times New Roman" w:hAnsi="Times New Roman" w:cs="Times New Roman"/>
          <w:b w:val="0"/>
          <w:bCs w:val="0"/>
          <w:color w:val="auto"/>
          <w:kern w:val="0"/>
          <w:sz w:val="24"/>
          <w:szCs w:val="24"/>
        </w:rPr>
        <w:t>项目固体废物全部综合利用和安全处置，生活垃圾</w:t>
      </w:r>
      <w:r>
        <w:rPr>
          <w:rFonts w:hint="default" w:ascii="Times New Roman" w:hAnsi="Times New Roman" w:cs="Times New Roman"/>
          <w:b w:val="0"/>
          <w:bCs w:val="0"/>
          <w:color w:val="auto"/>
          <w:kern w:val="0"/>
          <w:sz w:val="24"/>
          <w:szCs w:val="24"/>
          <w:lang w:val="en-US" w:eastAsia="zh-CN"/>
        </w:rPr>
        <w:t>依托矿山垃圾池收集后，定期清运至扬武镇生活垃圾收集点，</w:t>
      </w:r>
      <w:r>
        <w:rPr>
          <w:rFonts w:hint="default" w:ascii="Times New Roman" w:hAnsi="Times New Roman" w:eastAsia="宋体" w:cs="Times New Roman"/>
          <w:color w:val="auto"/>
          <w:sz w:val="24"/>
          <w:szCs w:val="24"/>
          <w:highlight w:val="none"/>
        </w:rPr>
        <w:t>由</w:t>
      </w:r>
      <w:r>
        <w:rPr>
          <w:rFonts w:hint="default" w:ascii="Times New Roman" w:hAnsi="Times New Roman" w:cs="Times New Roman"/>
          <w:color w:val="auto"/>
          <w:sz w:val="24"/>
          <w:szCs w:val="24"/>
          <w:highlight w:val="none"/>
          <w:lang w:val="en-US" w:eastAsia="zh-CN"/>
        </w:rPr>
        <w:t>当地</w:t>
      </w:r>
      <w:r>
        <w:rPr>
          <w:rFonts w:hint="default" w:ascii="Times New Roman" w:hAnsi="Times New Roman" w:eastAsia="宋体" w:cs="Times New Roman"/>
          <w:color w:val="auto"/>
          <w:sz w:val="24"/>
          <w:szCs w:val="24"/>
          <w:highlight w:val="none"/>
        </w:rPr>
        <w:t>环卫部门统一处置</w:t>
      </w:r>
      <w:r>
        <w:rPr>
          <w:rFonts w:hint="default" w:ascii="Times New Roman" w:hAnsi="Times New Roman"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因此，对周围地表水体影响较小。</w:t>
      </w:r>
    </w:p>
    <w:p w14:paraId="011B0FD8">
      <w:pPr>
        <w:pStyle w:val="17"/>
        <w:keepNext w:val="0"/>
        <w:keepLines w:val="0"/>
        <w:pageBreakBefore w:val="0"/>
        <w:widowControl w:val="0"/>
        <w:kinsoku/>
        <w:wordWrap/>
        <w:overflowPunct/>
        <w:topLinePunct w:val="0"/>
        <w:bidi w:val="0"/>
        <w:adjustRightInd/>
        <w:snapToGrid/>
        <w:spacing w:beforeLines="0" w:line="360" w:lineRule="auto"/>
        <w:ind w:firstLine="490" w:firstLineChars="200"/>
        <w:jc w:val="both"/>
        <w:textAlignment w:val="auto"/>
        <w:rPr>
          <w:rFonts w:hint="default" w:ascii="Times New Roman" w:hAnsi="Times New Roman" w:cs="Times New Roman"/>
          <w:b w:val="0"/>
          <w:bCs w:val="0"/>
          <w:color w:val="auto"/>
          <w:kern w:val="2"/>
          <w:sz w:val="24"/>
          <w:szCs w:val="24"/>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固体废物对环境空气质量的影响分析</w:t>
      </w:r>
    </w:p>
    <w:p w14:paraId="1529FE28">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rPr>
        <w:t>固体废物中的微细颗粒物在长期堆存时，因表面干燥会随风引起扬尘，特别是高温、湿度小且较为干燥的季节，更能产生扬尘污染，若对固体废物不进行妥善处置，长期随意堆放露开，对周围大气环境造成危害。垃圾等固体废物在长期堆放时由于其中的有机物发酵散发恶臭气体，污染大气环境。</w:t>
      </w:r>
    </w:p>
    <w:p w14:paraId="630153A4">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lang w:val="en-US" w:eastAsia="zh-CN"/>
        </w:rPr>
        <w:t>本</w:t>
      </w:r>
      <w:r>
        <w:rPr>
          <w:rFonts w:hint="default" w:ascii="Times New Roman" w:hAnsi="Times New Roman" w:cs="Times New Roman"/>
          <w:b w:val="0"/>
          <w:bCs w:val="0"/>
          <w:color w:val="auto"/>
          <w:kern w:val="0"/>
          <w:sz w:val="24"/>
          <w:szCs w:val="24"/>
        </w:rPr>
        <w:t>项目固体废物不露天堆置并及时覆盖，不会产生大风扬尘，对于一般固废只要及时清运，严格管理，并对厂区一般固废的回收情况进行监督，防止其随意倾倒，一般固废的产生和处置对周围环境不会造成很大影响。</w:t>
      </w:r>
    </w:p>
    <w:p w14:paraId="741F7CBF">
      <w:pPr>
        <w:pStyle w:val="17"/>
        <w:keepNext w:val="0"/>
        <w:keepLines w:val="0"/>
        <w:pageBreakBefore w:val="0"/>
        <w:widowControl w:val="0"/>
        <w:kinsoku/>
        <w:wordWrap/>
        <w:overflowPunct/>
        <w:topLinePunct w:val="0"/>
        <w:bidi w:val="0"/>
        <w:adjustRightInd/>
        <w:snapToGrid/>
        <w:spacing w:beforeLines="0" w:line="360" w:lineRule="auto"/>
        <w:ind w:firstLine="490" w:firstLineChars="200"/>
        <w:jc w:val="both"/>
        <w:textAlignment w:val="auto"/>
        <w:rPr>
          <w:rFonts w:hint="default" w:ascii="Times New Roman" w:hAnsi="Times New Roman" w:cs="Times New Roman"/>
          <w:b w:val="0"/>
          <w:bCs w:val="0"/>
          <w:color w:val="auto"/>
          <w:kern w:val="2"/>
          <w:sz w:val="24"/>
          <w:szCs w:val="24"/>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4</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对生态和人体健康影响分析</w:t>
      </w:r>
    </w:p>
    <w:p w14:paraId="2BF04A81">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rPr>
        <w:t>固体废物乱堆乱放会占用土地，破坏地表植被，对周围景观产生不利影响。同时固体废物中所含的有毒物质和病原体，除能通过生物传播外，还会以水、大气为媒介进行传播和扩散，危害人体健康。</w:t>
      </w:r>
    </w:p>
    <w:p w14:paraId="1E4616C2">
      <w:pPr>
        <w:pStyle w:val="6"/>
        <w:bidi w:val="0"/>
        <w:rPr>
          <w:rFonts w:hint="default" w:ascii="Times New Roman" w:hAnsi="Times New Roman" w:cs="Times New Roman"/>
          <w:lang w:val="en-US" w:eastAsia="zh-CN"/>
        </w:rPr>
      </w:pPr>
      <w:bookmarkStart w:id="540" w:name="_Toc15909"/>
      <w:bookmarkStart w:id="541" w:name="_Toc25134"/>
      <w:r>
        <w:rPr>
          <w:rFonts w:hint="default" w:ascii="Times New Roman" w:hAnsi="Times New Roman" w:cs="Times New Roman"/>
          <w:lang w:val="en-US" w:eastAsia="zh-CN"/>
        </w:rPr>
        <w:t>6.6.3固体废物贮存、处置方式可行性分析</w:t>
      </w:r>
      <w:bookmarkEnd w:id="540"/>
      <w:bookmarkEnd w:id="541"/>
    </w:p>
    <w:p w14:paraId="40497B59">
      <w:pPr>
        <w:bidi w:val="0"/>
        <w:ind w:firstLine="490" w:firstLineChars="200"/>
        <w:rPr>
          <w:rFonts w:hint="default" w:ascii="Times New Roman" w:hAnsi="Times New Roman" w:cs="Times New Roman"/>
          <w:b/>
          <w:bCs/>
          <w:lang w:val="en-US" w:eastAsia="zh-CN"/>
        </w:rPr>
      </w:pPr>
      <w:bookmarkStart w:id="542" w:name="_Toc30048"/>
      <w:r>
        <w:rPr>
          <w:rFonts w:hint="default" w:ascii="Times New Roman" w:hAnsi="Times New Roman" w:cs="Times New Roman"/>
          <w:b/>
          <w:bCs/>
          <w:lang w:val="en-US" w:eastAsia="zh-CN"/>
        </w:rPr>
        <w:t>1、除尘灰</w:t>
      </w:r>
    </w:p>
    <w:p w14:paraId="7982ACF9">
      <w:pPr>
        <w:bidi w:val="0"/>
        <w:spacing w:line="360" w:lineRule="auto"/>
        <w:ind w:firstLine="49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项目破碎系统的除尘</w:t>
      </w:r>
      <w:r>
        <w:rPr>
          <w:rFonts w:hint="default" w:ascii="Times New Roman" w:hAnsi="Times New Roman" w:cs="Times New Roman"/>
          <w:color w:val="auto"/>
          <w:kern w:val="0"/>
          <w:sz w:val="24"/>
          <w:lang w:val="en-US" w:eastAsia="zh-CN"/>
        </w:rPr>
        <w:t>灰</w:t>
      </w:r>
      <w:r>
        <w:rPr>
          <w:rFonts w:hint="default" w:ascii="Times New Roman" w:hAnsi="Times New Roman" w:eastAsia="宋体" w:cs="Times New Roman"/>
          <w:color w:val="auto"/>
          <w:kern w:val="0"/>
          <w:sz w:val="24"/>
          <w:lang w:val="en-US" w:eastAsia="zh-CN"/>
        </w:rPr>
        <w:t>经过收集后，外售新平甬福环保有限公司用于矿渣微粉生产线使用。新平甬福环保有限公司已办理过环评手续，并于2023年8月25日取得</w:t>
      </w:r>
      <w:r>
        <w:rPr>
          <w:rFonts w:hint="default" w:ascii="Times New Roman" w:hAnsi="Times New Roman" w:eastAsia="宋体" w:cs="Times New Roman"/>
          <w:color w:val="auto"/>
          <w:kern w:val="24"/>
          <w:sz w:val="24"/>
          <w:szCs w:val="24"/>
        </w:rPr>
        <w:t>《</w:t>
      </w:r>
      <w:r>
        <w:rPr>
          <w:rFonts w:hint="default" w:ascii="Times New Roman" w:hAnsi="Times New Roman" w:eastAsia="宋体" w:cs="Times New Roman"/>
          <w:color w:val="auto"/>
          <w:kern w:val="0"/>
          <w:sz w:val="24"/>
          <w:lang w:val="en-US" w:eastAsia="zh-CN"/>
        </w:rPr>
        <w:t>玉溪市生态环境局新平分局关于新平甬福环保有限责任公司150万吨固废资源化综合利用项目环境影响报告表的批复</w:t>
      </w:r>
      <w:r>
        <w:rPr>
          <w:rFonts w:hint="default" w:ascii="Times New Roman" w:hAnsi="Times New Roman" w:eastAsia="宋体" w:cs="Times New Roman"/>
          <w:color w:val="auto"/>
          <w:kern w:val="24"/>
          <w:sz w:val="24"/>
          <w:szCs w:val="24"/>
        </w:rPr>
        <w:t>》</w:t>
      </w:r>
      <w:r>
        <w:rPr>
          <w:rFonts w:hint="default" w:ascii="Times New Roman" w:hAnsi="Times New Roman" w:eastAsia="宋体" w:cs="Times New Roman"/>
          <w:color w:val="auto"/>
          <w:kern w:val="24"/>
          <w:sz w:val="24"/>
          <w:szCs w:val="24"/>
          <w:lang w:eastAsia="zh-CN"/>
        </w:rPr>
        <w:t>（</w:t>
      </w:r>
      <w:r>
        <w:rPr>
          <w:rFonts w:hint="default" w:ascii="Times New Roman" w:hAnsi="Times New Roman" w:eastAsia="宋体" w:cs="Times New Roman"/>
          <w:color w:val="auto"/>
          <w:kern w:val="24"/>
          <w:sz w:val="24"/>
          <w:szCs w:val="24"/>
        </w:rPr>
        <w:t>玉环新局审</w:t>
      </w:r>
      <w:r>
        <w:rPr>
          <w:rFonts w:hint="default" w:ascii="Times New Roman" w:hAnsi="Times New Roman" w:eastAsia="微软雅黑" w:cs="Times New Roman"/>
          <w:color w:val="auto"/>
          <w:kern w:val="24"/>
          <w:sz w:val="24"/>
          <w:szCs w:val="24"/>
        </w:rPr>
        <w:t>【</w:t>
      </w:r>
      <w:r>
        <w:rPr>
          <w:rFonts w:hint="default" w:ascii="Times New Roman" w:hAnsi="Times New Roman" w:eastAsia="宋体" w:cs="Times New Roman"/>
          <w:color w:val="auto"/>
          <w:kern w:val="24"/>
          <w:sz w:val="24"/>
          <w:szCs w:val="24"/>
        </w:rPr>
        <w:t>2023</w:t>
      </w:r>
      <w:r>
        <w:rPr>
          <w:rFonts w:hint="default" w:ascii="Times New Roman" w:hAnsi="Times New Roman" w:eastAsia="微软雅黑" w:cs="Times New Roman"/>
          <w:color w:val="auto"/>
          <w:kern w:val="24"/>
          <w:sz w:val="24"/>
          <w:szCs w:val="24"/>
        </w:rPr>
        <w:t>】</w:t>
      </w:r>
      <w:r>
        <w:rPr>
          <w:rFonts w:hint="default" w:ascii="Times New Roman" w:hAnsi="Times New Roman" w:eastAsia="宋体" w:cs="Times New Roman"/>
          <w:color w:val="auto"/>
          <w:kern w:val="24"/>
          <w:sz w:val="24"/>
          <w:szCs w:val="24"/>
        </w:rPr>
        <w:t>13号</w:t>
      </w:r>
      <w:r>
        <w:rPr>
          <w:rFonts w:hint="default" w:ascii="Times New Roman" w:hAnsi="Times New Roman" w:eastAsia="宋体" w:cs="Times New Roman"/>
          <w:color w:val="auto"/>
          <w:kern w:val="24"/>
          <w:sz w:val="24"/>
          <w:szCs w:val="24"/>
          <w:lang w:eastAsia="zh-CN"/>
        </w:rPr>
        <w:t>），</w:t>
      </w:r>
      <w:r>
        <w:rPr>
          <w:rFonts w:hint="default" w:ascii="Times New Roman" w:hAnsi="Times New Roman" w:eastAsia="宋体" w:cs="Times New Roman"/>
          <w:color w:val="auto"/>
          <w:kern w:val="24"/>
          <w:sz w:val="24"/>
          <w:szCs w:val="24"/>
          <w:lang w:val="en-US" w:eastAsia="zh-CN"/>
        </w:rPr>
        <w:t>见附件1</w:t>
      </w:r>
      <w:r>
        <w:rPr>
          <w:rFonts w:hint="default" w:ascii="Times New Roman" w:hAnsi="Times New Roman" w:cs="Times New Roman"/>
          <w:color w:val="auto"/>
          <w:kern w:val="24"/>
          <w:sz w:val="24"/>
          <w:szCs w:val="24"/>
          <w:lang w:val="en-US" w:eastAsia="zh-CN"/>
        </w:rPr>
        <w:t>3，该项目已于2024年9月完成环评验收</w:t>
      </w:r>
      <w:r>
        <w:rPr>
          <w:rFonts w:hint="default" w:ascii="Times New Roman" w:hAnsi="Times New Roman" w:eastAsia="宋体" w:cs="Times New Roman"/>
          <w:color w:val="auto"/>
          <w:kern w:val="0"/>
          <w:sz w:val="24"/>
          <w:lang w:val="en-US" w:eastAsia="zh-CN"/>
        </w:rPr>
        <w:t>。矿渣微粉生产线每年需使用26865t碎石粉磨后作为原料，该部分碎石原料为外购，本项目每年产生的97.3t除尘灰可替代部分外购碎石原料。</w:t>
      </w:r>
      <w:r>
        <w:rPr>
          <w:rFonts w:hint="default" w:ascii="Times New Roman" w:hAnsi="Times New Roman" w:eastAsia="宋体" w:cs="Times New Roman"/>
          <w:color w:val="auto"/>
          <w:kern w:val="24"/>
          <w:sz w:val="24"/>
          <w:szCs w:val="24"/>
          <w:lang w:val="en-US" w:eastAsia="zh-CN"/>
        </w:rPr>
        <w:t>除尘灰</w:t>
      </w:r>
      <w:r>
        <w:rPr>
          <w:rFonts w:hint="default" w:ascii="Times New Roman" w:hAnsi="Times New Roman" w:cs="Times New Roman"/>
          <w:color w:val="auto"/>
          <w:kern w:val="0"/>
          <w:sz w:val="24"/>
          <w:lang w:val="en-US" w:eastAsia="zh-CN"/>
        </w:rPr>
        <w:t>清理收集后暂存砂石料堆场，运至</w:t>
      </w:r>
      <w:r>
        <w:rPr>
          <w:rFonts w:hint="default" w:ascii="Times New Roman" w:hAnsi="Times New Roman" w:eastAsia="宋体" w:cs="Times New Roman"/>
          <w:color w:val="auto"/>
          <w:kern w:val="0"/>
          <w:sz w:val="24"/>
          <w:lang w:val="en-US" w:eastAsia="zh-CN"/>
        </w:rPr>
        <w:t>甬福环保有限公司</w:t>
      </w:r>
      <w:r>
        <w:rPr>
          <w:rFonts w:hint="default" w:ascii="Times New Roman" w:hAnsi="Times New Roman" w:cs="Times New Roman"/>
          <w:color w:val="auto"/>
          <w:kern w:val="0"/>
          <w:sz w:val="24"/>
          <w:lang w:val="en-US" w:eastAsia="zh-CN"/>
        </w:rPr>
        <w:t>，代替该项目原料外购的部分碎石原料，建设单位已签订除尘灰处置协议，能够得到合理处置。</w:t>
      </w:r>
    </w:p>
    <w:p w14:paraId="3D3D1CBD">
      <w:pPr>
        <w:bidi w:val="0"/>
        <w:ind w:firstLine="490" w:firstLineChars="200"/>
        <w:rPr>
          <w:rFonts w:hint="default" w:ascii="Times New Roman" w:hAnsi="Times New Roman" w:cs="Times New Roman"/>
          <w:lang w:val="en-US" w:eastAsia="zh-CN"/>
        </w:rPr>
      </w:pPr>
      <w:r>
        <w:rPr>
          <w:rFonts w:hint="default" w:ascii="Times New Roman" w:hAnsi="Times New Roman" w:cs="Times New Roman"/>
          <w:b/>
          <w:bCs/>
          <w:lang w:val="en-US" w:eastAsia="zh-CN"/>
        </w:rPr>
        <w:t>2、危险废物</w:t>
      </w:r>
      <w:bookmarkEnd w:id="542"/>
    </w:p>
    <w:p w14:paraId="5DD0ED09">
      <w:pPr>
        <w:pStyle w:val="39"/>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cs="Times New Roman"/>
          <w:b w:val="0"/>
          <w:bCs w:val="0"/>
          <w:color w:val="auto"/>
          <w:sz w:val="24"/>
          <w:szCs w:val="24"/>
          <w:lang w:val="en-US" w:eastAsia="zh-CN"/>
        </w:rPr>
        <w:t>矿山现有危废暂存间面积15㎡，暂存危险废物种类为</w:t>
      </w:r>
      <w:r>
        <w:rPr>
          <w:rFonts w:hint="default" w:ascii="Times New Roman" w:hAnsi="Times New Roman" w:cs="Times New Roman"/>
          <w:b w:val="0"/>
          <w:bCs w:val="0"/>
          <w:color w:val="auto"/>
          <w:kern w:val="24"/>
          <w:sz w:val="24"/>
          <w:szCs w:val="24"/>
          <w:lang w:val="en-US" w:eastAsia="zh-CN"/>
        </w:rPr>
        <w:t>矿山生产设备产生的废机油。</w:t>
      </w:r>
      <w:r>
        <w:rPr>
          <w:rFonts w:hint="default" w:ascii="Times New Roman" w:hAnsi="Times New Roman" w:cs="Times New Roman"/>
          <w:b w:val="0"/>
          <w:bCs w:val="0"/>
          <w:color w:val="auto"/>
          <w:sz w:val="24"/>
          <w:szCs w:val="24"/>
          <w:lang w:val="en-US" w:eastAsia="zh-CN"/>
        </w:rPr>
        <w:t>此次环评提出对矿山现有危废暂存间按照</w:t>
      </w:r>
      <w:r>
        <w:rPr>
          <w:rFonts w:hint="default" w:ascii="Times New Roman" w:hAnsi="Times New Roman" w:eastAsia="宋体" w:cs="Times New Roman"/>
          <w:color w:val="auto"/>
          <w:kern w:val="24"/>
          <w:sz w:val="24"/>
          <w:szCs w:val="24"/>
        </w:rPr>
        <w:t>《危险废物贮存污染控制标准》（GB 18597-2023）标准要求</w:t>
      </w:r>
      <w:r>
        <w:rPr>
          <w:rFonts w:hint="default" w:ascii="Times New Roman" w:hAnsi="Times New Roman" w:cs="Times New Roman"/>
          <w:color w:val="auto"/>
          <w:kern w:val="24"/>
          <w:sz w:val="24"/>
          <w:szCs w:val="24"/>
          <w:lang w:val="en-US" w:eastAsia="zh-CN"/>
        </w:rPr>
        <w:t>进行改建，达到防风、防雨、防晒、防渗、防流失及扬散要求。并</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kern w:val="0"/>
          <w:sz w:val="24"/>
          <w:szCs w:val="24"/>
          <w:lang w:bidi="ar"/>
        </w:rPr>
        <w:t>危废暂存间</w:t>
      </w:r>
      <w:r>
        <w:rPr>
          <w:rFonts w:hint="default" w:ascii="Times New Roman" w:hAnsi="Times New Roman" w:eastAsia="宋体" w:cs="Times New Roman"/>
          <w:color w:val="auto"/>
          <w:sz w:val="24"/>
          <w:szCs w:val="24"/>
        </w:rPr>
        <w:t>按《危险废物识别标志设置技术规范》（HJ 1276-2022）</w:t>
      </w:r>
      <w:r>
        <w:rPr>
          <w:rFonts w:hint="default" w:ascii="Times New Roman" w:hAnsi="Times New Roman" w:eastAsia="宋体" w:cs="Times New Roman"/>
          <w:color w:val="auto"/>
          <w:kern w:val="0"/>
          <w:sz w:val="24"/>
          <w:szCs w:val="24"/>
        </w:rPr>
        <w:t>的相关规定进行</w:t>
      </w:r>
      <w:r>
        <w:rPr>
          <w:rFonts w:hint="default" w:ascii="Times New Roman" w:hAnsi="Times New Roman" w:eastAsia="宋体" w:cs="Times New Roman"/>
          <w:color w:val="auto"/>
          <w:sz w:val="24"/>
          <w:szCs w:val="24"/>
        </w:rPr>
        <w:t>危险废物标志牌</w:t>
      </w:r>
      <w:r>
        <w:rPr>
          <w:rFonts w:hint="default" w:ascii="Times New Roman" w:hAnsi="Times New Roman" w:eastAsia="宋体" w:cs="Times New Roman"/>
          <w:color w:val="auto"/>
          <w:kern w:val="0"/>
          <w:sz w:val="24"/>
          <w:szCs w:val="24"/>
        </w:rPr>
        <w:t>更新。</w:t>
      </w:r>
    </w:p>
    <w:p w14:paraId="47375309">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根据《危险废物贮存污染控制标准》（GB18597-2023）的要求，危废贮存、危废暂存间的设置和危废管理要求如下：</w:t>
      </w:r>
    </w:p>
    <w:p w14:paraId="13078E61">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（1）废矿物油贮存容器要求</w:t>
      </w:r>
    </w:p>
    <w:p w14:paraId="430D6AF4">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①危险废物的容器必须设置危险废物标识；</w:t>
      </w:r>
    </w:p>
    <w:p w14:paraId="2DA3CE2C">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②装载危险废物的容器要完好无损，防渗漏；</w:t>
      </w:r>
    </w:p>
    <w:p w14:paraId="2FC9235A">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③盛装危险废物的容器材质和衬里要与危险废物相容（不相互反应）；</w:t>
      </w:r>
    </w:p>
    <w:p w14:paraId="17E5E0B8">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④装载危险废物的容器及材质要满足相应的强度要求。</w:t>
      </w:r>
    </w:p>
    <w:p w14:paraId="12212FB9">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（2）危险废物暂存间</w:t>
      </w:r>
      <w:r>
        <w:rPr>
          <w:rFonts w:hint="default" w:ascii="Times New Roman" w:hAnsi="Times New Roman" w:cs="Times New Roman"/>
          <w:b w:val="0"/>
          <w:bCs/>
          <w:color w:val="auto"/>
          <w:sz w:val="24"/>
          <w:szCs w:val="24"/>
          <w:lang w:val="en-US" w:eastAsia="zh-CN"/>
        </w:rPr>
        <w:t>整改</w:t>
      </w:r>
      <w:r>
        <w:rPr>
          <w:rFonts w:hint="default" w:ascii="Times New Roman" w:hAnsi="Times New Roman" w:eastAsia="宋体" w:cs="Times New Roman"/>
          <w:b w:val="0"/>
          <w:bCs/>
          <w:color w:val="auto"/>
          <w:sz w:val="24"/>
          <w:szCs w:val="24"/>
          <w:lang w:val="en-US" w:eastAsia="zh-CN"/>
        </w:rPr>
        <w:t>施工要求</w:t>
      </w:r>
    </w:p>
    <w:p w14:paraId="7241343B">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①危废暂存间</w:t>
      </w:r>
      <w:r>
        <w:rPr>
          <w:rFonts w:hint="default" w:ascii="Times New Roman" w:hAnsi="Times New Roman" w:cs="Times New Roman"/>
          <w:b w:val="0"/>
          <w:bCs/>
          <w:color w:val="auto"/>
          <w:sz w:val="24"/>
          <w:szCs w:val="24"/>
          <w:lang w:val="en-US" w:eastAsia="zh-CN"/>
        </w:rPr>
        <w:t>必须</w:t>
      </w:r>
      <w:r>
        <w:rPr>
          <w:rFonts w:hint="default" w:ascii="Times New Roman" w:hAnsi="Times New Roman" w:eastAsia="宋体" w:cs="Times New Roman"/>
          <w:b w:val="0"/>
          <w:bCs/>
          <w:color w:val="auto"/>
          <w:sz w:val="24"/>
          <w:szCs w:val="24"/>
          <w:lang w:val="en-US" w:eastAsia="zh-CN"/>
        </w:rPr>
        <w:t>密闭建设，地面做防渗、硬化措施，地面与裙脚要用坚固、防渗的材料建造，建筑材料必须与危险废物相容；</w:t>
      </w:r>
    </w:p>
    <w:p w14:paraId="7640CB06">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②危废间内必须设有收集装置，如托盘、导流沟、收集池等，用以存放装载液体、半固体危险废物容器的地方，必须有耐腐蚀的硬化地面，且表面无裂隙。</w:t>
      </w:r>
    </w:p>
    <w:p w14:paraId="3815F88E">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③危废间门口张贴危险废物标识，危废间内要有安全照明设施和观察窗口；</w:t>
      </w:r>
    </w:p>
    <w:p w14:paraId="6ACFD0BB">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④应设计堵截泄漏的裙脚，地面与裙脚所围建的容积不低于堵截最大容器的最大储量的总储量的五分之一。</w:t>
      </w:r>
    </w:p>
    <w:p w14:paraId="1F768D81">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⑤</w:t>
      </w:r>
      <w:r>
        <w:rPr>
          <w:rFonts w:hint="default" w:ascii="Times New Roman" w:hAnsi="Times New Roman" w:eastAsia="宋体" w:cs="Times New Roman"/>
          <w:b w:val="0"/>
          <w:bCs/>
          <w:color w:val="auto"/>
          <w:sz w:val="24"/>
          <w:szCs w:val="24"/>
          <w:lang w:val="en-US" w:eastAsia="zh-CN"/>
        </w:rPr>
        <w:t>危废暂存间施工中应做好施工记录，留存防渗等隐蔽工程的影像记录。</w:t>
      </w:r>
    </w:p>
    <w:p w14:paraId="2589A1B6">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（3）危险废物清运处置管理要求</w:t>
      </w:r>
    </w:p>
    <w:p w14:paraId="77D066A3">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建设单位应委托有资质的单位按危险废物转移联单管理办法，定期将废矿物油及废矿物油桶运处置。根据《危险废物管理工作手册》，危险废物清运处置应做到以下几点：</w:t>
      </w:r>
    </w:p>
    <w:p w14:paraId="22545B9B">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①建立台账，注明危险废物的名称、来源、数量、特性和包装容器的类别，入库日期、存放库位、废物出库日期及接</w:t>
      </w:r>
      <w:r>
        <w:rPr>
          <w:rFonts w:hint="default" w:ascii="Times New Roman" w:hAnsi="Times New Roman" w:cs="Times New Roman"/>
          <w:b w:val="0"/>
          <w:bCs/>
          <w:color w:val="auto"/>
          <w:sz w:val="24"/>
          <w:szCs w:val="24"/>
          <w:lang w:val="en-US" w:eastAsia="zh-CN"/>
        </w:rPr>
        <w:t>收</w:t>
      </w:r>
      <w:r>
        <w:rPr>
          <w:rFonts w:hint="default" w:ascii="Times New Roman" w:hAnsi="Times New Roman" w:eastAsia="宋体" w:cs="Times New Roman"/>
          <w:b w:val="0"/>
          <w:bCs/>
          <w:color w:val="auto"/>
          <w:sz w:val="24"/>
          <w:szCs w:val="24"/>
          <w:lang w:val="en-US" w:eastAsia="zh-CN"/>
        </w:rPr>
        <w:t>单位名称；</w:t>
      </w:r>
    </w:p>
    <w:p w14:paraId="68D0AFD3">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②按要求填写转移联单，严格执行危险废物转移联单管理办法；</w:t>
      </w:r>
    </w:p>
    <w:p w14:paraId="3CF2E7BC">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③对装有危废的容器进行定期检查，容器泄漏损坏时必须立即处理，并将危废装入完好容器内，同时危险废物储存区设置警示标牌；</w:t>
      </w:r>
    </w:p>
    <w:p w14:paraId="6E59C292">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④所有包装袋、桶必须贴上危险废物标签，危险废物标签上文字字体为黑体、底色为醒目的橘黄色，稳妥贴附在包装袋、桶适当位置，使其清晰易读。危险废物标签要提供下列说明：“危险废物”字样、危险废物产生单位名称、联系人、联系电话、主要化学成分或商品名称、危险类别、安全措施等；</w:t>
      </w:r>
    </w:p>
    <w:p w14:paraId="4DE8314E">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⑤组织危险废物的运输单位，在事先需</w:t>
      </w:r>
      <w:r>
        <w:rPr>
          <w:rFonts w:hint="default" w:ascii="Times New Roman" w:hAnsi="Times New Roman" w:cs="Times New Roman"/>
          <w:b w:val="0"/>
          <w:bCs/>
          <w:color w:val="auto"/>
          <w:sz w:val="24"/>
          <w:szCs w:val="24"/>
          <w:lang w:val="en-US" w:eastAsia="zh-CN"/>
        </w:rPr>
        <w:t>作出</w:t>
      </w:r>
      <w:r>
        <w:rPr>
          <w:rFonts w:hint="default" w:ascii="Times New Roman" w:hAnsi="Times New Roman" w:eastAsia="宋体" w:cs="Times New Roman"/>
          <w:b w:val="0"/>
          <w:bCs/>
          <w:color w:val="auto"/>
          <w:sz w:val="24"/>
          <w:szCs w:val="24"/>
          <w:lang w:val="en-US" w:eastAsia="zh-CN"/>
        </w:rPr>
        <w:t>周密的运输计划和行驶路线，其中包括有效的废物泄漏情况下的应急措施。</w:t>
      </w:r>
    </w:p>
    <w:p w14:paraId="00BFAF71">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color w:val="auto"/>
          <w:szCs w:val="20"/>
        </w:rPr>
        <w:t>废矿物油</w:t>
      </w:r>
      <w:r>
        <w:rPr>
          <w:rFonts w:hint="default" w:ascii="Times New Roman" w:hAnsi="Times New Roman" w:cs="Times New Roman"/>
          <w:color w:val="auto"/>
          <w:szCs w:val="20"/>
          <w:lang w:val="en-US" w:eastAsia="zh-CN"/>
        </w:rPr>
        <w:t>依托矿山</w:t>
      </w:r>
      <w:r>
        <w:rPr>
          <w:rFonts w:hint="default" w:ascii="Times New Roman" w:hAnsi="Times New Roman" w:cs="Times New Roman"/>
          <w:color w:val="auto"/>
          <w:szCs w:val="20"/>
        </w:rPr>
        <w:t>危废暂存间</w:t>
      </w:r>
      <w:r>
        <w:rPr>
          <w:rFonts w:hint="default" w:ascii="Times New Roman" w:hAnsi="Times New Roman" w:cs="Times New Roman"/>
          <w:color w:val="auto"/>
          <w:szCs w:val="20"/>
          <w:lang w:val="en-US" w:eastAsia="zh-CN"/>
        </w:rPr>
        <w:t>暂存</w:t>
      </w:r>
      <w:r>
        <w:rPr>
          <w:rFonts w:hint="default" w:ascii="Times New Roman" w:hAnsi="Times New Roman" w:cs="Times New Roman"/>
          <w:color w:val="auto"/>
          <w:szCs w:val="20"/>
        </w:rPr>
        <w:t>，</w:t>
      </w:r>
      <w:r>
        <w:rPr>
          <w:rFonts w:hint="default" w:ascii="Times New Roman" w:hAnsi="Times New Roman" w:cs="Times New Roman"/>
          <w:color w:val="auto"/>
          <w:szCs w:val="20"/>
          <w:lang w:val="en-US" w:eastAsia="zh-CN"/>
        </w:rPr>
        <w:t>由集团公司统一委托</w:t>
      </w:r>
      <w:r>
        <w:rPr>
          <w:rFonts w:hint="default" w:ascii="Times New Roman" w:hAnsi="Times New Roman" w:cs="Times New Roman"/>
          <w:color w:val="auto"/>
          <w:szCs w:val="20"/>
        </w:rPr>
        <w:t>云南绿力环保科技有限公司清运处置。</w:t>
      </w:r>
    </w:p>
    <w:p w14:paraId="4CD1CAA9">
      <w:pPr>
        <w:pStyle w:val="6"/>
        <w:bidi w:val="0"/>
        <w:rPr>
          <w:rFonts w:hint="default" w:ascii="Times New Roman" w:hAnsi="Times New Roman" w:eastAsia="黑体" w:cs="Times New Roman"/>
          <w:lang w:val="en-US" w:eastAsia="zh-CN"/>
        </w:rPr>
      </w:pPr>
      <w:r>
        <w:rPr>
          <w:rFonts w:hint="default" w:ascii="Times New Roman" w:hAnsi="Times New Roman" w:cs="Times New Roman"/>
          <w:lang w:val="en-US" w:eastAsia="zh-CN"/>
        </w:rPr>
        <w:t>6.6.4固体废物环境影响评价结论</w:t>
      </w:r>
    </w:p>
    <w:p w14:paraId="69B3F493">
      <w:pPr>
        <w:spacing w:line="360" w:lineRule="auto"/>
        <w:ind w:firstLine="48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项目产生的固体废物均得到合理处置，固废处置率100%，在各项措施落实到位的情况下，固体废物对周围环境的影响不大。</w:t>
      </w:r>
    </w:p>
    <w:p w14:paraId="6C4E8785">
      <w:pPr>
        <w:pStyle w:val="5"/>
        <w:bidi w:val="0"/>
        <w:rPr>
          <w:rFonts w:hint="default" w:ascii="Times New Roman" w:hAnsi="Times New Roman" w:cs="Times New Roman"/>
        </w:rPr>
      </w:pPr>
      <w:bookmarkStart w:id="543" w:name="_Toc18932"/>
      <w:bookmarkStart w:id="544" w:name="_Toc6003"/>
      <w:bookmarkStart w:id="545" w:name="_Toc165816786"/>
      <w:bookmarkStart w:id="546" w:name="_Toc11713"/>
      <w:bookmarkStart w:id="547" w:name="_Toc3212"/>
      <w:bookmarkStart w:id="548" w:name="_Toc16041"/>
      <w:r>
        <w:rPr>
          <w:rFonts w:hint="default" w:ascii="Times New Roman" w:hAnsi="Times New Roman" w:cs="Times New Roman"/>
          <w:lang w:val="en-US" w:eastAsia="zh-CN"/>
        </w:rPr>
        <w:t>6</w:t>
      </w:r>
      <w:r>
        <w:rPr>
          <w:rFonts w:hint="default" w:ascii="Times New Roman" w:hAnsi="Times New Roman" w:cs="Times New Roman"/>
        </w:rPr>
        <w:t>.7生态</w:t>
      </w:r>
      <w:r>
        <w:rPr>
          <w:rFonts w:hint="default" w:ascii="Times New Roman" w:hAnsi="Times New Roman" w:cs="Times New Roman"/>
          <w:lang w:eastAsia="zh-CN"/>
        </w:rPr>
        <w:t>环境</w:t>
      </w:r>
      <w:r>
        <w:rPr>
          <w:rFonts w:hint="default" w:ascii="Times New Roman" w:hAnsi="Times New Roman" w:cs="Times New Roman"/>
        </w:rPr>
        <w:t>影响评价</w:t>
      </w:r>
      <w:bookmarkEnd w:id="543"/>
      <w:bookmarkEnd w:id="544"/>
      <w:bookmarkEnd w:id="545"/>
      <w:bookmarkEnd w:id="546"/>
      <w:bookmarkEnd w:id="547"/>
      <w:bookmarkEnd w:id="548"/>
    </w:p>
    <w:p w14:paraId="2631393A">
      <w:pPr>
        <w:pStyle w:val="6"/>
        <w:bidi w:val="0"/>
        <w:rPr>
          <w:rFonts w:hint="default" w:ascii="Times New Roman" w:hAnsi="Times New Roman" w:cs="Times New Roman"/>
        </w:rPr>
      </w:pPr>
      <w:bookmarkStart w:id="549" w:name="_Toc9859"/>
      <w:r>
        <w:rPr>
          <w:rFonts w:hint="default" w:ascii="Times New Roman" w:hAnsi="Times New Roman" w:cs="Times New Roman"/>
          <w:lang w:val="en-US" w:eastAsia="zh-CN"/>
        </w:rPr>
        <w:t>6.7.1</w:t>
      </w:r>
      <w:r>
        <w:rPr>
          <w:rFonts w:hint="default" w:ascii="Times New Roman" w:hAnsi="Times New Roman" w:cs="Times New Roman"/>
        </w:rPr>
        <w:t>对土地利用的影响</w:t>
      </w:r>
      <w:bookmarkEnd w:id="549"/>
    </w:p>
    <w:p w14:paraId="1340E48F">
      <w:pPr>
        <w:spacing w:line="360" w:lineRule="auto"/>
        <w:ind w:firstLine="490" w:firstLineChars="200"/>
        <w:rPr>
          <w:rFonts w:hint="default" w:ascii="Times New Roman" w:hAnsi="Times New Roman" w:cs="Times New Roman"/>
          <w:color w:val="auto"/>
          <w:szCs w:val="24"/>
        </w:rPr>
      </w:pPr>
      <w:bookmarkStart w:id="550" w:name="_Hlk162511056"/>
      <w:r>
        <w:rPr>
          <w:rFonts w:hint="default" w:ascii="Times New Roman" w:hAnsi="Times New Roman" w:cs="Times New Roman"/>
          <w:color w:val="auto"/>
          <w:szCs w:val="24"/>
        </w:rPr>
        <w:t>项目位于玉溪市新平县扬武镇鲁奎山，利用</w:t>
      </w:r>
      <w:r>
        <w:rPr>
          <w:rFonts w:hint="default" w:ascii="Times New Roman" w:hAnsi="Times New Roman" w:cs="Times New Roman"/>
          <w:color w:val="auto"/>
          <w:szCs w:val="24"/>
          <w:lang w:val="en-US" w:eastAsia="zh-CN"/>
        </w:rPr>
        <w:t>鲁奎山铁矿6号料场空地</w:t>
      </w:r>
      <w:r>
        <w:rPr>
          <w:rFonts w:hint="default" w:ascii="Times New Roman" w:hAnsi="Times New Roman" w:cs="Times New Roman"/>
          <w:color w:val="auto"/>
          <w:szCs w:val="24"/>
        </w:rPr>
        <w:t>进行建设，不新增占地，厂址占地性质为</w:t>
      </w:r>
      <w:r>
        <w:rPr>
          <w:rFonts w:hint="default" w:ascii="Times New Roman" w:hAnsi="Times New Roman" w:cs="Times New Roman"/>
          <w:color w:val="auto"/>
          <w:szCs w:val="24"/>
          <w:lang w:val="en-US" w:eastAsia="zh-CN"/>
        </w:rPr>
        <w:t>采矿</w:t>
      </w:r>
      <w:r>
        <w:rPr>
          <w:rFonts w:hint="default" w:ascii="Times New Roman" w:hAnsi="Times New Roman" w:cs="Times New Roman"/>
          <w:color w:val="auto"/>
          <w:szCs w:val="24"/>
        </w:rPr>
        <w:t>用地，建设前后项目用地属性未发生变化，</w:t>
      </w:r>
      <w:r>
        <w:rPr>
          <w:rFonts w:hint="default" w:ascii="Times New Roman" w:hAnsi="Times New Roman" w:cs="Times New Roman"/>
          <w:color w:val="auto"/>
          <w:szCs w:val="24"/>
          <w:lang w:bidi="en-US"/>
        </w:rPr>
        <w:t>评价范围不涉及生态保护红线，不涉及生态环境敏感区域</w:t>
      </w:r>
      <w:r>
        <w:rPr>
          <w:rFonts w:hint="default" w:ascii="Times New Roman" w:hAnsi="Times New Roman" w:cs="Times New Roman"/>
          <w:color w:val="auto"/>
          <w:szCs w:val="24"/>
          <w:lang w:eastAsia="zh-CN" w:bidi="en-US"/>
        </w:rPr>
        <w:t>，</w:t>
      </w:r>
      <w:r>
        <w:rPr>
          <w:rFonts w:hint="default" w:ascii="Times New Roman" w:hAnsi="Times New Roman" w:cs="Times New Roman"/>
          <w:color w:val="auto"/>
          <w:szCs w:val="24"/>
        </w:rPr>
        <w:t>对现有土地利用没有大的影响。</w:t>
      </w:r>
    </w:p>
    <w:bookmarkEnd w:id="550"/>
    <w:p w14:paraId="62598706">
      <w:pPr>
        <w:pStyle w:val="6"/>
        <w:bidi w:val="0"/>
        <w:spacing w:line="360" w:lineRule="auto"/>
        <w:rPr>
          <w:rFonts w:hint="default" w:ascii="Times New Roman" w:hAnsi="Times New Roman" w:cs="Times New Roman"/>
        </w:rPr>
      </w:pPr>
      <w:bookmarkStart w:id="551" w:name="_Toc23937"/>
      <w:r>
        <w:rPr>
          <w:rFonts w:hint="default" w:ascii="Times New Roman" w:hAnsi="Times New Roman" w:cs="Times New Roman"/>
          <w:lang w:val="en-US" w:eastAsia="zh-CN"/>
        </w:rPr>
        <w:t>6.7.2</w:t>
      </w:r>
      <w:r>
        <w:rPr>
          <w:rFonts w:hint="default" w:ascii="Times New Roman" w:hAnsi="Times New Roman" w:cs="Times New Roman"/>
        </w:rPr>
        <w:t>对动植物资源的影响分析</w:t>
      </w:r>
      <w:bookmarkEnd w:id="551"/>
    </w:p>
    <w:p w14:paraId="2BAFCED0">
      <w:pPr>
        <w:spacing w:line="360" w:lineRule="auto"/>
        <w:ind w:firstLine="490" w:firstLineChars="200"/>
        <w:rPr>
          <w:rFonts w:hint="default" w:ascii="Times New Roman" w:hAnsi="Times New Roman" w:cs="Times New Roman"/>
          <w:color w:val="auto"/>
          <w:szCs w:val="24"/>
        </w:rPr>
      </w:pPr>
      <w:r>
        <w:rPr>
          <w:rFonts w:hint="default" w:ascii="Times New Roman" w:hAnsi="Times New Roman" w:cs="Times New Roman"/>
          <w:color w:val="auto"/>
          <w:szCs w:val="24"/>
        </w:rPr>
        <w:t>（1）对植被的影响分析</w:t>
      </w:r>
    </w:p>
    <w:p w14:paraId="563B6786">
      <w:pPr>
        <w:spacing w:line="360" w:lineRule="auto"/>
        <w:ind w:firstLine="490" w:firstLineChars="200"/>
        <w:rPr>
          <w:rFonts w:hint="default" w:ascii="Times New Roman" w:hAnsi="Times New Roman" w:cs="Times New Roman"/>
          <w:color w:val="auto"/>
          <w:szCs w:val="24"/>
        </w:rPr>
      </w:pPr>
      <w:r>
        <w:rPr>
          <w:rFonts w:hint="default" w:ascii="Times New Roman" w:hAnsi="Times New Roman" w:cs="Times New Roman"/>
          <w:color w:val="auto"/>
          <w:szCs w:val="24"/>
        </w:rPr>
        <w:t>项目占地为工业用地，利用</w:t>
      </w:r>
      <w:r>
        <w:rPr>
          <w:rFonts w:hint="default" w:ascii="Times New Roman" w:hAnsi="Times New Roman" w:cs="Times New Roman"/>
          <w:color w:val="auto"/>
          <w:szCs w:val="24"/>
          <w:lang w:val="en-US" w:eastAsia="zh-CN"/>
        </w:rPr>
        <w:t>鲁奎山铁矿6号料场空地</w:t>
      </w:r>
      <w:r>
        <w:rPr>
          <w:rFonts w:hint="default" w:ascii="Times New Roman" w:hAnsi="Times New Roman" w:cs="Times New Roman"/>
          <w:color w:val="auto"/>
          <w:szCs w:val="24"/>
        </w:rPr>
        <w:t>进行建设，不新增用地，因此不会使评价区植物群落的种类组成发生变化，也不会造成某一物种的消失。</w:t>
      </w:r>
    </w:p>
    <w:p w14:paraId="2207529D">
      <w:pPr>
        <w:spacing w:line="360" w:lineRule="auto"/>
        <w:ind w:firstLine="490" w:firstLineChars="200"/>
        <w:rPr>
          <w:rFonts w:hint="default" w:ascii="Times New Roman" w:hAnsi="Times New Roman" w:cs="Times New Roman"/>
          <w:color w:val="auto"/>
          <w:szCs w:val="24"/>
        </w:rPr>
      </w:pPr>
      <w:r>
        <w:rPr>
          <w:rFonts w:hint="default" w:ascii="Times New Roman" w:hAnsi="Times New Roman" w:cs="Times New Roman"/>
          <w:color w:val="auto"/>
          <w:szCs w:val="24"/>
        </w:rPr>
        <w:t>（2）对动物资源的影响分析</w:t>
      </w:r>
    </w:p>
    <w:p w14:paraId="25CD4BAF">
      <w:pPr>
        <w:spacing w:line="360" w:lineRule="auto"/>
        <w:ind w:firstLine="490" w:firstLineChars="200"/>
        <w:rPr>
          <w:rFonts w:hint="default" w:ascii="Times New Roman" w:hAnsi="Times New Roman" w:cs="Times New Roman"/>
          <w:color w:val="auto"/>
          <w:szCs w:val="24"/>
        </w:rPr>
      </w:pPr>
      <w:r>
        <w:rPr>
          <w:rFonts w:hint="default" w:ascii="Times New Roman" w:hAnsi="Times New Roman" w:cs="Times New Roman"/>
          <w:color w:val="auto"/>
          <w:szCs w:val="24"/>
        </w:rPr>
        <w:t>项目位于</w:t>
      </w:r>
      <w:r>
        <w:rPr>
          <w:rFonts w:hint="default" w:ascii="Times New Roman" w:hAnsi="Times New Roman" w:cs="Times New Roman"/>
          <w:color w:val="auto"/>
          <w:szCs w:val="24"/>
          <w:lang w:val="en-US" w:eastAsia="zh-CN"/>
        </w:rPr>
        <w:t>矿山工业场地</w:t>
      </w:r>
      <w:r>
        <w:rPr>
          <w:rFonts w:hint="default" w:ascii="Times New Roman" w:hAnsi="Times New Roman" w:cs="Times New Roman"/>
          <w:color w:val="auto"/>
          <w:szCs w:val="24"/>
        </w:rPr>
        <w:t>内，开发利用程度高，野生动物种类较贫乏，无大型野生哺乳动物，现有的野生动物多为一些常见的鸟类、啮齿类及昆虫等，没有国家和地方保护的珍稀、濒危野生动物。本项目的建设不会使评价区野生动物物种数发生变化，其种群数量也不会发生明显变化。</w:t>
      </w:r>
    </w:p>
    <w:p w14:paraId="3B4F4020">
      <w:pPr>
        <w:spacing w:line="360" w:lineRule="auto"/>
        <w:ind w:firstLine="490" w:firstLineChars="200"/>
        <w:rPr>
          <w:rFonts w:hint="default" w:ascii="Times New Roman" w:hAnsi="Times New Roman" w:eastAsia="宋体" w:cs="Times New Roman"/>
          <w:color w:val="auto"/>
          <w:szCs w:val="24"/>
          <w:lang w:val="en-US" w:eastAsia="zh-CN"/>
        </w:rPr>
      </w:pPr>
      <w:bookmarkStart w:id="552" w:name="_Toc9802"/>
      <w:bookmarkStart w:id="553" w:name="_Toc22629"/>
      <w:bookmarkStart w:id="554" w:name="_Toc31145"/>
      <w:r>
        <w:rPr>
          <w:rFonts w:hint="default" w:ascii="Times New Roman" w:hAnsi="Times New Roman" w:eastAsia="宋体" w:cs="Times New Roman"/>
          <w:color w:val="auto"/>
          <w:szCs w:val="24"/>
          <w:lang w:val="en-US" w:eastAsia="zh-CN"/>
        </w:rPr>
        <w:t>（3）粉尘大气沉降对植被的影响</w:t>
      </w:r>
      <w:bookmarkEnd w:id="552"/>
      <w:bookmarkEnd w:id="553"/>
    </w:p>
    <w:p w14:paraId="15DD1BEF">
      <w:pPr>
        <w:pageBreakBefore w:val="0"/>
        <w:kinsoku/>
        <w:wordWrap/>
        <w:overflowPunct/>
        <w:topLinePunct w:val="0"/>
        <w:bidi w:val="0"/>
        <w:adjustRightInd/>
        <w:snapToGrid/>
        <w:spacing w:line="360" w:lineRule="auto"/>
        <w:ind w:firstLine="490" w:firstLineChars="200"/>
        <w:textAlignment w:val="auto"/>
        <w:rPr>
          <w:rFonts w:hint="default" w:ascii="Times New Roman" w:hAnsi="Times New Roman" w:eastAsia="宋体" w:cs="Times New Roman"/>
          <w:bCs/>
          <w:color w:val="auto"/>
          <w:kern w:val="0"/>
          <w:sz w:val="24"/>
          <w:szCs w:val="24"/>
          <w:highlight w:val="none"/>
        </w:rPr>
      </w:pPr>
      <w:r>
        <w:rPr>
          <w:rFonts w:hint="default" w:ascii="Times New Roman" w:hAnsi="Times New Roman" w:eastAsia="宋体" w:cs="Times New Roman"/>
          <w:caps w:val="0"/>
          <w:color w:val="auto"/>
          <w:kern w:val="0"/>
          <w:sz w:val="24"/>
          <w:szCs w:val="24"/>
          <w:highlight w:val="none"/>
          <w:lang w:val="en-US" w:eastAsia="zh-CN"/>
        </w:rPr>
        <w:t>项目</w:t>
      </w:r>
      <w:r>
        <w:rPr>
          <w:rFonts w:hint="default" w:ascii="Times New Roman" w:hAnsi="Times New Roman" w:eastAsia="宋体" w:cs="Times New Roman"/>
          <w:bCs/>
          <w:color w:val="auto"/>
          <w:kern w:val="0"/>
          <w:sz w:val="24"/>
          <w:szCs w:val="24"/>
          <w:highlight w:val="none"/>
        </w:rPr>
        <w:t>评价范围内以</w:t>
      </w:r>
      <w:r>
        <w:rPr>
          <w:rFonts w:hint="default" w:ascii="Times New Roman" w:hAnsi="Times New Roman" w:eastAsia="宋体" w:cs="Times New Roman"/>
          <w:bCs/>
          <w:color w:val="auto"/>
          <w:kern w:val="0"/>
          <w:sz w:val="24"/>
          <w:szCs w:val="24"/>
          <w:highlight w:val="none"/>
          <w:lang w:val="en-US" w:eastAsia="zh-CN"/>
        </w:rPr>
        <w:t>乔木</w:t>
      </w:r>
      <w:r>
        <w:rPr>
          <w:rFonts w:hint="default" w:ascii="Times New Roman" w:hAnsi="Times New Roman" w:eastAsia="宋体" w:cs="Times New Roman"/>
          <w:bCs/>
          <w:color w:val="auto"/>
          <w:kern w:val="0"/>
          <w:sz w:val="24"/>
          <w:szCs w:val="24"/>
          <w:highlight w:val="none"/>
        </w:rPr>
        <w:t>林地</w:t>
      </w:r>
      <w:r>
        <w:rPr>
          <w:rFonts w:hint="default" w:ascii="Times New Roman" w:hAnsi="Times New Roman" w:eastAsia="宋体" w:cs="Times New Roman"/>
          <w:bCs/>
          <w:color w:val="auto"/>
          <w:kern w:val="0"/>
          <w:sz w:val="24"/>
          <w:szCs w:val="24"/>
          <w:highlight w:val="none"/>
          <w:lang w:eastAsia="zh-CN"/>
        </w:rPr>
        <w:t>、</w:t>
      </w:r>
      <w:r>
        <w:rPr>
          <w:rFonts w:hint="default" w:ascii="Times New Roman" w:hAnsi="Times New Roman" w:cs="Times New Roman"/>
          <w:bCs/>
          <w:color w:val="auto"/>
          <w:kern w:val="0"/>
          <w:sz w:val="24"/>
          <w:szCs w:val="24"/>
          <w:highlight w:val="none"/>
          <w:lang w:val="en-US" w:eastAsia="zh-CN"/>
        </w:rPr>
        <w:t>灌木草丛</w:t>
      </w:r>
      <w:r>
        <w:rPr>
          <w:rFonts w:hint="default" w:ascii="Times New Roman" w:hAnsi="Times New Roman" w:eastAsia="宋体" w:cs="Times New Roman"/>
          <w:bCs/>
          <w:color w:val="auto"/>
          <w:kern w:val="0"/>
          <w:sz w:val="24"/>
          <w:szCs w:val="24"/>
          <w:highlight w:val="none"/>
        </w:rPr>
        <w:t>为主，生长的植物都为该区域常见的植物种类。</w:t>
      </w:r>
    </w:p>
    <w:p w14:paraId="65C0EA17">
      <w:pPr>
        <w:spacing w:line="360" w:lineRule="auto"/>
        <w:ind w:firstLine="49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kern w:val="0"/>
          <w:sz w:val="24"/>
          <w:szCs w:val="24"/>
          <w:highlight w:val="none"/>
        </w:rPr>
        <w:t>项目对周边植物的影响主要为</w:t>
      </w:r>
      <w:r>
        <w:rPr>
          <w:rFonts w:hint="default" w:ascii="Times New Roman" w:hAnsi="Times New Roman" w:eastAsia="宋体" w:cs="Times New Roman"/>
          <w:bCs/>
          <w:color w:val="auto"/>
          <w:kern w:val="0"/>
          <w:sz w:val="24"/>
          <w:szCs w:val="24"/>
          <w:highlight w:val="none"/>
          <w:lang w:val="en-US" w:eastAsia="zh-CN"/>
        </w:rPr>
        <w:t>生产</w:t>
      </w:r>
      <w:r>
        <w:rPr>
          <w:rFonts w:hint="default" w:ascii="Times New Roman" w:hAnsi="Times New Roman" w:eastAsia="宋体" w:cs="Times New Roman"/>
          <w:bCs/>
          <w:color w:val="auto"/>
          <w:kern w:val="0"/>
          <w:sz w:val="24"/>
          <w:szCs w:val="24"/>
          <w:highlight w:val="none"/>
        </w:rPr>
        <w:t>过程中产生的</w:t>
      </w:r>
      <w:r>
        <w:rPr>
          <w:rFonts w:hint="default" w:ascii="Times New Roman" w:hAnsi="Times New Roman" w:eastAsia="宋体" w:cs="Times New Roman"/>
          <w:bCs/>
          <w:color w:val="auto"/>
          <w:kern w:val="0"/>
          <w:sz w:val="24"/>
          <w:szCs w:val="24"/>
          <w:highlight w:val="none"/>
          <w:lang w:val="en-US" w:eastAsia="zh-CN"/>
        </w:rPr>
        <w:t>颗粒物</w:t>
      </w:r>
      <w:r>
        <w:rPr>
          <w:rFonts w:hint="default" w:ascii="Times New Roman" w:hAnsi="Times New Roman" w:eastAsia="宋体" w:cs="Times New Roman"/>
          <w:bCs/>
          <w:color w:val="auto"/>
          <w:kern w:val="0"/>
          <w:sz w:val="24"/>
          <w:szCs w:val="24"/>
          <w:highlight w:val="none"/>
        </w:rPr>
        <w:t>污染对植物的影响，粉尘覆盖在植被叶片表面，会阻碍叶片进行光合作用、呼吸作用和蒸腾作用。</w:t>
      </w:r>
      <w:r>
        <w:rPr>
          <w:rFonts w:hint="default" w:ascii="Times New Roman" w:hAnsi="Times New Roman" w:eastAsia="宋体" w:cs="Times New Roman"/>
          <w:bCs/>
          <w:color w:val="auto"/>
          <w:kern w:val="0"/>
          <w:sz w:val="24"/>
          <w:szCs w:val="24"/>
          <w:highlight w:val="none"/>
          <w:lang w:val="en-US" w:eastAsia="zh-CN"/>
        </w:rPr>
        <w:t>项目在采取降尘措施后，可有效抑制粉尘的排放，因此对周围的植物影响较小</w:t>
      </w:r>
      <w:r>
        <w:rPr>
          <w:rFonts w:hint="default" w:ascii="Times New Roman" w:hAnsi="Times New Roman" w:eastAsia="宋体" w:cs="Times New Roman"/>
          <w:color w:val="auto"/>
          <w:sz w:val="24"/>
          <w:szCs w:val="24"/>
          <w:highlight w:val="none"/>
        </w:rPr>
        <w:t>。</w:t>
      </w:r>
    </w:p>
    <w:p w14:paraId="5F1794FD">
      <w:pPr>
        <w:pStyle w:val="6"/>
        <w:bidi w:val="0"/>
        <w:rPr>
          <w:rFonts w:hint="default" w:ascii="Times New Roman" w:hAnsi="Times New Roman" w:cs="Times New Roman"/>
        </w:rPr>
      </w:pPr>
      <w:r>
        <w:rPr>
          <w:rFonts w:hint="default" w:ascii="Times New Roman" w:hAnsi="Times New Roman" w:cs="Times New Roman"/>
          <w:lang w:val="en-US" w:eastAsia="zh-CN"/>
        </w:rPr>
        <w:t>6.7.3</w:t>
      </w:r>
      <w:r>
        <w:rPr>
          <w:rFonts w:hint="default" w:ascii="Times New Roman" w:hAnsi="Times New Roman" w:cs="Times New Roman"/>
        </w:rPr>
        <w:t>生态影响评价结论</w:t>
      </w:r>
      <w:bookmarkEnd w:id="554"/>
    </w:p>
    <w:p w14:paraId="150BE70F">
      <w:pPr>
        <w:keepNext w:val="0"/>
        <w:keepLines w:val="0"/>
        <w:pageBreakBefore w:val="0"/>
        <w:widowControl w:val="0"/>
        <w:kinsoku/>
        <w:wordWrap/>
        <w:overflowPunct/>
        <w:topLinePunct w:val="0"/>
        <w:autoSpaceDE/>
        <w:autoSpaceDN/>
        <w:bidi w:val="0"/>
        <w:adjustRightInd/>
        <w:snapToGrid/>
        <w:spacing w:line="360" w:lineRule="auto"/>
        <w:ind w:firstLine="479" w:firstLineChars="196"/>
        <w:textAlignment w:val="auto"/>
        <w:rPr>
          <w:rFonts w:hint="default" w:ascii="Times New Roman" w:hAnsi="Times New Roman" w:cs="Times New Roman"/>
          <w:color w:val="auto"/>
          <w:sz w:val="24"/>
          <w:highlight w:val="none"/>
        </w:rPr>
      </w:pPr>
      <w:bookmarkStart w:id="555" w:name="_Toc2275"/>
      <w:bookmarkStart w:id="556" w:name="_Toc18997"/>
      <w:bookmarkStart w:id="557" w:name="_Toc30244"/>
      <w:r>
        <w:rPr>
          <w:rFonts w:hint="default" w:ascii="Times New Roman" w:hAnsi="Times New Roman" w:eastAsia="宋体" w:cs="Times New Roman"/>
          <w:color w:val="auto"/>
          <w:kern w:val="2"/>
          <w:sz w:val="24"/>
          <w:szCs w:val="24"/>
          <w:highlight w:val="none"/>
          <w:lang w:val="en-US" w:eastAsia="zh-CN" w:bidi="ar-SA"/>
        </w:rPr>
        <w:t>本项目建设不会改变区域</w:t>
      </w:r>
      <w:r>
        <w:rPr>
          <w:rFonts w:hint="default" w:ascii="Times New Roman" w:hAnsi="Times New Roman" w:cs="Times New Roman"/>
          <w:color w:val="auto"/>
          <w:sz w:val="24"/>
          <w:highlight w:val="none"/>
        </w:rPr>
        <w:t>土地利用状况</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不会使评价区植物群落的物种组成发生变化。</w:t>
      </w:r>
    </w:p>
    <w:p w14:paraId="5CEC9391">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zh-CN"/>
        </w:rPr>
        <w:t>项目区内已无原生植被分布，周边动植物均为当地常见物种。项目运营过程会对周边生态环境造成一定影响，但在采取相应的污染治理措施后，其影响有限。</w:t>
      </w:r>
      <w:r>
        <w:rPr>
          <w:rFonts w:hint="default" w:ascii="Times New Roman" w:hAnsi="Times New Roman" w:eastAsia="宋体" w:cs="Times New Roman"/>
          <w:color w:val="auto"/>
          <w:sz w:val="24"/>
          <w:szCs w:val="24"/>
          <w:highlight w:val="none"/>
        </w:rPr>
        <w:t>该区域</w:t>
      </w:r>
      <w:r>
        <w:rPr>
          <w:rFonts w:hint="default" w:ascii="Times New Roman" w:hAnsi="Times New Roman" w:eastAsia="宋体" w:cs="Times New Roman"/>
          <w:color w:val="auto"/>
          <w:sz w:val="24"/>
          <w:szCs w:val="24"/>
          <w:highlight w:val="none"/>
          <w:lang w:val="en-US" w:eastAsia="zh-CN"/>
        </w:rPr>
        <w:t>未发现</w:t>
      </w:r>
      <w:r>
        <w:rPr>
          <w:rFonts w:hint="default" w:ascii="Times New Roman" w:hAnsi="Times New Roman" w:eastAsia="宋体" w:cs="Times New Roman"/>
          <w:color w:val="auto"/>
          <w:sz w:val="24"/>
          <w:szCs w:val="24"/>
          <w:highlight w:val="none"/>
        </w:rPr>
        <w:t>珍稀濒危动植物资源，没有敏感和生物多样性保护内容。项目实施对自然体系生产能力和恢复稳定性的影响可以接受。对评价区自然体系生态完整性现状的影响是可以接受的。</w:t>
      </w:r>
    </w:p>
    <w:bookmarkEnd w:id="555"/>
    <w:bookmarkEnd w:id="556"/>
    <w:bookmarkEnd w:id="557"/>
    <w:p w14:paraId="34E99C24">
      <w:pPr>
        <w:pStyle w:val="5"/>
        <w:bidi w:val="0"/>
        <w:rPr>
          <w:rFonts w:hint="default" w:ascii="Times New Roman" w:hAnsi="Times New Roman" w:cs="Times New Roman"/>
        </w:rPr>
      </w:pPr>
      <w:bookmarkStart w:id="558" w:name="_Toc30242"/>
      <w:bookmarkStart w:id="559" w:name="_Toc27672"/>
      <w:bookmarkStart w:id="560" w:name="_Toc106"/>
      <w:bookmarkStart w:id="561" w:name="_Toc5167"/>
      <w:bookmarkStart w:id="562" w:name="_Toc10788"/>
      <w:bookmarkStart w:id="563" w:name="_Toc165816787"/>
      <w:r>
        <w:rPr>
          <w:rFonts w:hint="default" w:ascii="Times New Roman" w:hAnsi="Times New Roman" w:cs="Times New Roman"/>
          <w:lang w:val="en-US" w:eastAsia="zh-CN"/>
        </w:rPr>
        <w:t>6</w:t>
      </w:r>
      <w:r>
        <w:rPr>
          <w:rFonts w:hint="default" w:ascii="Times New Roman" w:hAnsi="Times New Roman" w:cs="Times New Roman"/>
        </w:rPr>
        <w:t>.8环境风险评价</w:t>
      </w:r>
      <w:bookmarkEnd w:id="558"/>
      <w:bookmarkEnd w:id="559"/>
      <w:bookmarkEnd w:id="560"/>
      <w:bookmarkEnd w:id="561"/>
      <w:bookmarkEnd w:id="562"/>
      <w:bookmarkEnd w:id="563"/>
    </w:p>
    <w:p w14:paraId="2F997E73">
      <w:pPr>
        <w:pStyle w:val="6"/>
        <w:bidi w:val="0"/>
        <w:rPr>
          <w:rFonts w:hint="default" w:ascii="Times New Roman" w:hAnsi="Times New Roman" w:cs="Times New Roman"/>
        </w:rPr>
      </w:pPr>
      <w:bookmarkStart w:id="564" w:name="_Toc13834"/>
      <w:r>
        <w:rPr>
          <w:rFonts w:hint="default" w:ascii="Times New Roman" w:hAnsi="Times New Roman" w:cs="Times New Roman"/>
          <w:lang w:val="en-US" w:eastAsia="zh-CN"/>
        </w:rPr>
        <w:t>6</w:t>
      </w:r>
      <w:r>
        <w:rPr>
          <w:rFonts w:hint="default" w:ascii="Times New Roman" w:hAnsi="Times New Roman" w:cs="Times New Roman"/>
        </w:rPr>
        <w:t>.8.1评价依据</w:t>
      </w:r>
      <w:bookmarkEnd w:id="564"/>
    </w:p>
    <w:p w14:paraId="3A992DD1">
      <w:pPr>
        <w:pStyle w:val="7"/>
        <w:bidi w:val="0"/>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.8.1.1风险调查</w:t>
      </w:r>
    </w:p>
    <w:p w14:paraId="05487600">
      <w:pPr>
        <w:spacing w:line="360" w:lineRule="auto"/>
        <w:ind w:firstLine="480"/>
        <w:rPr>
          <w:rFonts w:hint="default" w:ascii="Times New Roman" w:hAnsi="Times New Roman" w:cs="Times New Roman"/>
        </w:rPr>
      </w:pPr>
      <w:r>
        <w:rPr>
          <w:rFonts w:hint="default" w:ascii="Times New Roman" w:hAnsi="Times New Roman" w:cs="Times New Roman"/>
        </w:rPr>
        <w:t>根据《建设项目环境风险评价技术导则》（HJ 169-2018）附录B.1突发环境事件风险物质及临界量，识别本项目运营期使用、储存的危险物质。</w:t>
      </w:r>
    </w:p>
    <w:p w14:paraId="54DE8B3E">
      <w:pPr>
        <w:spacing w:line="360" w:lineRule="auto"/>
        <w:ind w:firstLine="490" w:firstLineChars="200"/>
        <w:rPr>
          <w:rFonts w:hint="default" w:ascii="Times New Roman" w:hAnsi="Times New Roman" w:cs="Times New Roman"/>
          <w:kern w:val="24"/>
          <w:sz w:val="24"/>
          <w:lang w:val="en-US" w:eastAsia="zh-CN"/>
        </w:rPr>
      </w:pPr>
      <w:r>
        <w:rPr>
          <w:rFonts w:hint="default" w:ascii="Times New Roman" w:hAnsi="Times New Roman" w:eastAsia="宋体" w:cs="Times New Roman"/>
          <w:color w:val="auto"/>
          <w:kern w:val="2"/>
          <w:sz w:val="24"/>
          <w:szCs w:val="24"/>
          <w:lang w:val="en-US" w:eastAsia="zh-CN" w:bidi="ar"/>
        </w:rPr>
        <w:t>根据《建设项目环境风险评价技术导则》（HJ/T169-2018）附录B，项目涉及的风险物质为废机油。</w:t>
      </w:r>
      <w:r>
        <w:rPr>
          <w:rFonts w:hint="default" w:ascii="Times New Roman" w:hAnsi="Times New Roman" w:cs="Times New Roman"/>
          <w:b w:val="0"/>
          <w:bCs/>
          <w:color w:val="auto"/>
          <w:kern w:val="0"/>
          <w:sz w:val="24"/>
          <w:highlight w:val="none"/>
          <w:lang w:val="en-US" w:eastAsia="zh-CN" w:bidi="ar"/>
        </w:rPr>
        <w:t>废机油</w:t>
      </w:r>
      <w:r>
        <w:rPr>
          <w:rFonts w:hint="default" w:ascii="Times New Roman" w:hAnsi="Times New Roman" w:eastAsia="宋体" w:cs="Times New Roman"/>
          <w:b w:val="0"/>
          <w:bCs/>
          <w:color w:val="auto"/>
          <w:kern w:val="0"/>
          <w:sz w:val="24"/>
          <w:highlight w:val="none"/>
          <w:lang w:val="en-US" w:eastAsia="zh-CN"/>
        </w:rPr>
        <w:t>属于可燃物质，存在泄漏、火灾、腐蚀等风险事故。</w:t>
      </w:r>
    </w:p>
    <w:p w14:paraId="2D2884F6">
      <w:pPr>
        <w:pStyle w:val="7"/>
        <w:bidi w:val="0"/>
        <w:rPr>
          <w:rFonts w:hint="default" w:ascii="Times New Roman" w:hAnsi="Times New Roman" w:cs="Times New Roman"/>
          <w:lang w:val="en-US" w:eastAsia="zh-CN"/>
        </w:rPr>
      </w:pPr>
      <w:bookmarkStart w:id="565" w:name="_Toc6467"/>
      <w:bookmarkStart w:id="566" w:name="_Toc27539"/>
      <w:r>
        <w:rPr>
          <w:rFonts w:hint="default" w:ascii="Times New Roman" w:hAnsi="Times New Roman" w:cs="Times New Roman"/>
          <w:lang w:val="en-US" w:eastAsia="zh-CN"/>
        </w:rPr>
        <w:t>6.8.1.2环境敏感目标调查</w:t>
      </w:r>
      <w:bookmarkEnd w:id="565"/>
      <w:bookmarkEnd w:id="566"/>
    </w:p>
    <w:p w14:paraId="594ACC0A">
      <w:pPr>
        <w:spacing w:line="360" w:lineRule="auto"/>
        <w:ind w:firstLine="490" w:firstLineChars="200"/>
        <w:jc w:val="both"/>
        <w:rPr>
          <w:rFonts w:hint="default" w:ascii="Times New Roman" w:hAnsi="Times New Roman" w:eastAsia="宋体" w:cs="Times New Roman"/>
          <w:color w:val="auto"/>
          <w:spacing w:val="-2"/>
          <w:kern w:val="0"/>
          <w:sz w:val="24"/>
          <w:szCs w:val="24"/>
          <w:highlight w:val="none"/>
          <w:lang w:eastAsia="zh-CN"/>
        </w:rPr>
      </w:pPr>
      <w:r>
        <w:rPr>
          <w:rFonts w:hint="default" w:ascii="Times New Roman" w:hAnsi="Times New Roman" w:cs="Times New Roman"/>
          <w:color w:val="auto"/>
          <w:kern w:val="0"/>
          <w:sz w:val="24"/>
          <w:szCs w:val="24"/>
          <w:highlight w:val="none"/>
          <w:lang w:val="en-US" w:eastAsia="zh-CN"/>
        </w:rPr>
        <w:t>本项目</w:t>
      </w:r>
      <w:r>
        <w:rPr>
          <w:rFonts w:hint="default" w:ascii="Times New Roman" w:hAnsi="Times New Roman" w:cs="Times New Roman"/>
          <w:color w:val="auto"/>
          <w:kern w:val="0"/>
          <w:sz w:val="24"/>
          <w:szCs w:val="24"/>
          <w:highlight w:val="none"/>
        </w:rPr>
        <w:t>位于</w:t>
      </w:r>
      <w:r>
        <w:rPr>
          <w:rFonts w:hint="default" w:ascii="Times New Roman" w:hAnsi="Times New Roman" w:eastAsia="宋体" w:cs="Times New Roman"/>
          <w:color w:val="auto"/>
          <w:sz w:val="24"/>
          <w:szCs w:val="24"/>
          <w:highlight w:val="none"/>
          <w:lang w:val="en-US" w:eastAsia="zh-CN"/>
        </w:rPr>
        <w:t>云南省</w:t>
      </w:r>
      <w:r>
        <w:rPr>
          <w:rFonts w:hint="default" w:ascii="Times New Roman" w:hAnsi="Times New Roman" w:cs="Times New Roman"/>
          <w:color w:val="auto"/>
          <w:sz w:val="24"/>
          <w:szCs w:val="24"/>
          <w:highlight w:val="none"/>
          <w:lang w:val="en-US" w:eastAsia="zh-CN"/>
        </w:rPr>
        <w:t>玉溪市新平县扬武镇鲁奎山</w:t>
      </w:r>
      <w:r>
        <w:rPr>
          <w:rFonts w:hint="default" w:ascii="Times New Roman" w:hAnsi="Times New Roman" w:cs="Times New Roman"/>
          <w:color w:val="auto"/>
          <w:spacing w:val="-2"/>
          <w:kern w:val="0"/>
          <w:sz w:val="24"/>
          <w:szCs w:val="24"/>
          <w:highlight w:val="none"/>
        </w:rPr>
        <w:t>，周围</w:t>
      </w:r>
      <w:r>
        <w:rPr>
          <w:rFonts w:hint="default" w:ascii="Times New Roman" w:hAnsi="Times New Roman" w:eastAsia="宋体" w:cs="Times New Roman"/>
          <w:color w:val="auto"/>
          <w:spacing w:val="-2"/>
          <w:kern w:val="0"/>
          <w:sz w:val="24"/>
          <w:szCs w:val="24"/>
          <w:highlight w:val="none"/>
          <w:lang w:val="en-US" w:eastAsia="zh-CN"/>
        </w:rPr>
        <w:t>2.5</w:t>
      </w:r>
      <w:r>
        <w:rPr>
          <w:rFonts w:hint="default" w:ascii="Times New Roman" w:hAnsi="Times New Roman" w:eastAsia="Times New Roman" w:cs="Times New Roman"/>
          <w:color w:val="auto"/>
          <w:spacing w:val="-2"/>
          <w:kern w:val="0"/>
          <w:sz w:val="24"/>
          <w:szCs w:val="24"/>
          <w:highlight w:val="none"/>
        </w:rPr>
        <w:t>km</w:t>
      </w:r>
      <w:r>
        <w:rPr>
          <w:rFonts w:hint="default" w:ascii="Times New Roman" w:hAnsi="Times New Roman" w:cs="Times New Roman"/>
          <w:color w:val="auto"/>
          <w:spacing w:val="-2"/>
          <w:kern w:val="0"/>
          <w:sz w:val="24"/>
          <w:szCs w:val="24"/>
          <w:highlight w:val="none"/>
        </w:rPr>
        <w:t>范围内无需特殊保护的自然保护区，未发现文物古迹等敏感区域和目标，也无珍稀动、植物物种</w:t>
      </w:r>
      <w:r>
        <w:rPr>
          <w:rFonts w:hint="default" w:ascii="Times New Roman" w:hAnsi="Times New Roman" w:cs="Times New Roman"/>
          <w:color w:val="auto"/>
          <w:spacing w:val="-29"/>
          <w:kern w:val="0"/>
          <w:sz w:val="24"/>
          <w:szCs w:val="24"/>
          <w:highlight w:val="none"/>
        </w:rPr>
        <w:t>。</w:t>
      </w:r>
      <w:r>
        <w:rPr>
          <w:rFonts w:hint="default" w:ascii="Times New Roman" w:hAnsi="Times New Roman" w:cs="Times New Roman"/>
          <w:color w:val="auto"/>
          <w:spacing w:val="-2"/>
          <w:kern w:val="0"/>
          <w:sz w:val="24"/>
          <w:szCs w:val="24"/>
          <w:highlight w:val="none"/>
        </w:rPr>
        <w:t>项目敏感目标特征具体见下表</w:t>
      </w:r>
      <w:r>
        <w:rPr>
          <w:rFonts w:hint="default" w:ascii="Times New Roman" w:hAnsi="Times New Roman" w:eastAsia="宋体" w:cs="Times New Roman"/>
          <w:color w:val="auto"/>
          <w:spacing w:val="-2"/>
          <w:kern w:val="0"/>
          <w:sz w:val="24"/>
          <w:szCs w:val="24"/>
          <w:highlight w:val="none"/>
          <w:lang w:val="en-US" w:eastAsia="zh-CN"/>
        </w:rPr>
        <w:t>及附图</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6.8.1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w:t>
      </w:r>
    </w:p>
    <w:p w14:paraId="2C04BF37">
      <w:pPr>
        <w:spacing w:line="36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w:t>
      </w:r>
      <w:r>
        <w:rPr>
          <w:rFonts w:hint="default" w:ascii="Times New Roman" w:hAnsi="Times New Roman" w:eastAsia="黑体" w:cs="Times New Roman"/>
          <w:color w:val="auto"/>
          <w:sz w:val="21"/>
          <w:szCs w:val="21"/>
          <w:highlight w:val="none"/>
          <w:lang w:val="en-US" w:eastAsia="zh-CN"/>
        </w:rPr>
        <w:t>6.8.1</w:t>
      </w:r>
      <w:r>
        <w:rPr>
          <w:rFonts w:hint="default" w:ascii="Times New Roman" w:hAnsi="Times New Roman" w:eastAsia="黑体" w:cs="Times New Roman"/>
          <w:color w:val="auto"/>
          <w:sz w:val="21"/>
          <w:szCs w:val="21"/>
          <w:highlight w:val="none"/>
        </w:rPr>
        <w:t>-</w:t>
      </w:r>
      <w:r>
        <w:rPr>
          <w:rFonts w:hint="default" w:ascii="Times New Roman" w:hAnsi="Times New Roman" w:eastAsia="黑体" w:cs="Times New Roman"/>
          <w:color w:val="auto"/>
          <w:sz w:val="21"/>
          <w:szCs w:val="21"/>
          <w:highlight w:val="none"/>
          <w:lang w:val="en-US" w:eastAsia="zh-CN"/>
        </w:rPr>
        <w:t>1</w:t>
      </w:r>
      <w:r>
        <w:rPr>
          <w:rFonts w:hint="default" w:ascii="Times New Roman" w:hAnsi="Times New Roman" w:eastAsia="黑体" w:cs="Times New Roman"/>
          <w:color w:val="auto"/>
          <w:sz w:val="21"/>
          <w:szCs w:val="21"/>
          <w:highlight w:val="none"/>
        </w:rPr>
        <w:t xml:space="preserve"> </w:t>
      </w:r>
      <w:r>
        <w:rPr>
          <w:rFonts w:hint="default" w:ascii="Times New Roman" w:hAnsi="Times New Roman" w:eastAsia="黑体" w:cs="Times New Roman"/>
          <w:color w:val="auto"/>
          <w:sz w:val="21"/>
          <w:szCs w:val="21"/>
          <w:highlight w:val="none"/>
          <w:lang w:val="en-US" w:eastAsia="zh-CN"/>
        </w:rPr>
        <w:t xml:space="preserve"> </w:t>
      </w:r>
      <w:r>
        <w:rPr>
          <w:rFonts w:hint="default" w:ascii="Times New Roman" w:hAnsi="Times New Roman" w:eastAsia="黑体" w:cs="Times New Roman"/>
          <w:color w:val="auto"/>
          <w:sz w:val="21"/>
          <w:szCs w:val="21"/>
          <w:highlight w:val="none"/>
        </w:rPr>
        <w:t>环境风险</w:t>
      </w:r>
      <w:r>
        <w:rPr>
          <w:rFonts w:hint="default" w:ascii="Times New Roman" w:hAnsi="Times New Roman" w:eastAsia="黑体" w:cs="Times New Roman"/>
          <w:color w:val="auto"/>
          <w:sz w:val="21"/>
          <w:szCs w:val="21"/>
          <w:highlight w:val="none"/>
          <w:lang w:val="en-US" w:eastAsia="zh-CN"/>
        </w:rPr>
        <w:t>敏感目标调查</w:t>
      </w:r>
      <w:r>
        <w:rPr>
          <w:rFonts w:hint="default" w:ascii="Times New Roman" w:hAnsi="Times New Roman" w:eastAsia="黑体" w:cs="Times New Roman"/>
          <w:color w:val="auto"/>
          <w:sz w:val="21"/>
          <w:szCs w:val="21"/>
          <w:highlight w:val="none"/>
        </w:rPr>
        <w:t>一览表</w:t>
      </w:r>
    </w:p>
    <w:tbl>
      <w:tblPr>
        <w:tblStyle w:val="29"/>
        <w:tblW w:w="4995"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780"/>
        <w:gridCol w:w="243"/>
        <w:gridCol w:w="1452"/>
        <w:gridCol w:w="7"/>
        <w:gridCol w:w="1043"/>
        <w:gridCol w:w="483"/>
        <w:gridCol w:w="1624"/>
        <w:gridCol w:w="1611"/>
        <w:gridCol w:w="1093"/>
      </w:tblGrid>
      <w:tr w14:paraId="6C8F60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restart"/>
            <w:tcBorders>
              <w:top w:val="single" w:color="auto" w:sz="4" w:space="0"/>
              <w:left w:val="nil"/>
              <w:right w:val="single" w:color="auto" w:sz="4" w:space="0"/>
            </w:tcBorders>
            <w:noWrap w:val="0"/>
            <w:vAlign w:val="center"/>
          </w:tcPr>
          <w:p w14:paraId="6D83F0A0">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类别</w:t>
            </w:r>
          </w:p>
        </w:tc>
        <w:tc>
          <w:tcPr>
            <w:tcW w:w="4491" w:type="pct"/>
            <w:gridSpan w:val="9"/>
            <w:tcBorders>
              <w:top w:val="single" w:color="auto" w:sz="4" w:space="0"/>
              <w:left w:val="single" w:color="auto" w:sz="4" w:space="0"/>
              <w:bottom w:val="single" w:color="auto" w:sz="4" w:space="0"/>
              <w:right w:val="nil"/>
            </w:tcBorders>
            <w:noWrap w:val="0"/>
            <w:vAlign w:val="center"/>
          </w:tcPr>
          <w:p w14:paraId="763D6D9E">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环境敏感特征</w:t>
            </w:r>
          </w:p>
        </w:tc>
      </w:tr>
      <w:tr w14:paraId="2BDB0B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continue"/>
            <w:tcBorders>
              <w:left w:val="nil"/>
              <w:right w:val="single" w:color="auto" w:sz="4" w:space="0"/>
            </w:tcBorders>
            <w:noWrap w:val="0"/>
            <w:vAlign w:val="center"/>
          </w:tcPr>
          <w:p w14:paraId="592D90FE">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cs="Times New Roman"/>
                <w:color w:val="auto"/>
                <w:sz w:val="18"/>
                <w:szCs w:val="18"/>
              </w:rPr>
            </w:pPr>
          </w:p>
        </w:tc>
        <w:tc>
          <w:tcPr>
            <w:tcW w:w="4491" w:type="pct"/>
            <w:gridSpan w:val="9"/>
            <w:tcBorders>
              <w:top w:val="single" w:color="auto" w:sz="4" w:space="0"/>
              <w:left w:val="single" w:color="auto" w:sz="4" w:space="0"/>
              <w:bottom w:val="single" w:color="auto" w:sz="4" w:space="0"/>
              <w:right w:val="nil"/>
            </w:tcBorders>
            <w:noWrap w:val="0"/>
            <w:vAlign w:val="center"/>
          </w:tcPr>
          <w:p w14:paraId="1632C917">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厂址周边2.5km范围内</w:t>
            </w:r>
          </w:p>
        </w:tc>
      </w:tr>
      <w:tr w14:paraId="2E94D7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continue"/>
            <w:tcBorders>
              <w:left w:val="nil"/>
              <w:bottom w:val="single" w:color="auto" w:sz="4" w:space="0"/>
              <w:right w:val="single" w:color="auto" w:sz="4" w:space="0"/>
            </w:tcBorders>
            <w:noWrap w:val="0"/>
            <w:vAlign w:val="center"/>
          </w:tcPr>
          <w:p w14:paraId="75F052E1">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cs="Times New Roman"/>
                <w:color w:val="auto"/>
                <w:sz w:val="18"/>
                <w:szCs w:val="18"/>
              </w:rPr>
            </w:pPr>
          </w:p>
        </w:tc>
        <w:tc>
          <w:tcPr>
            <w:tcW w:w="551" w:type="pct"/>
            <w:gridSpan w:val="2"/>
            <w:tcBorders>
              <w:top w:val="single" w:color="auto" w:sz="4" w:space="0"/>
              <w:left w:val="single" w:color="auto" w:sz="4" w:space="0"/>
              <w:bottom w:val="single" w:color="auto" w:sz="4" w:space="0"/>
              <w:right w:val="single" w:color="auto" w:sz="4" w:space="0"/>
            </w:tcBorders>
            <w:noWrap w:val="0"/>
            <w:vAlign w:val="center"/>
          </w:tcPr>
          <w:p w14:paraId="2CF941FE">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序号</w:t>
            </w:r>
          </w:p>
        </w:tc>
        <w:tc>
          <w:tcPr>
            <w:tcW w:w="782" w:type="pct"/>
            <w:tcBorders>
              <w:top w:val="single" w:color="auto" w:sz="4" w:space="0"/>
              <w:left w:val="single" w:color="auto" w:sz="4" w:space="0"/>
              <w:bottom w:val="single" w:color="auto" w:sz="4" w:space="0"/>
              <w:right w:val="single" w:color="auto" w:sz="4" w:space="0"/>
            </w:tcBorders>
            <w:noWrap w:val="0"/>
            <w:vAlign w:val="center"/>
          </w:tcPr>
          <w:p w14:paraId="4C5382F0">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敏感目标名称</w:t>
            </w:r>
          </w:p>
        </w:tc>
        <w:tc>
          <w:tcPr>
            <w:tcW w:w="566" w:type="pct"/>
            <w:gridSpan w:val="2"/>
            <w:tcBorders>
              <w:top w:val="single" w:color="auto" w:sz="4" w:space="0"/>
              <w:left w:val="single" w:color="auto" w:sz="4" w:space="0"/>
              <w:bottom w:val="single" w:color="auto" w:sz="4" w:space="0"/>
              <w:right w:val="single" w:color="auto" w:sz="4" w:space="0"/>
            </w:tcBorders>
            <w:noWrap w:val="0"/>
            <w:vAlign w:val="center"/>
          </w:tcPr>
          <w:p w14:paraId="7A325C87">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相对方位</w:t>
            </w:r>
          </w:p>
        </w:tc>
        <w:tc>
          <w:tcPr>
            <w:tcW w:w="1134" w:type="pct"/>
            <w:gridSpan w:val="2"/>
            <w:tcBorders>
              <w:top w:val="single" w:color="auto" w:sz="4" w:space="0"/>
              <w:left w:val="single" w:color="auto" w:sz="4" w:space="0"/>
              <w:bottom w:val="single" w:color="auto" w:sz="4" w:space="0"/>
              <w:right w:val="single" w:color="auto" w:sz="4" w:space="0"/>
            </w:tcBorders>
            <w:noWrap w:val="0"/>
            <w:vAlign w:val="center"/>
          </w:tcPr>
          <w:p w14:paraId="083DEAFC">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相对厂界距离/m</w:t>
            </w:r>
          </w:p>
        </w:tc>
        <w:tc>
          <w:tcPr>
            <w:tcW w:w="1457" w:type="pct"/>
            <w:gridSpan w:val="2"/>
            <w:tcBorders>
              <w:top w:val="single" w:color="auto" w:sz="4" w:space="0"/>
              <w:left w:val="single" w:color="auto" w:sz="4" w:space="0"/>
              <w:bottom w:val="single" w:color="auto" w:sz="4" w:space="0"/>
              <w:right w:val="nil"/>
            </w:tcBorders>
            <w:noWrap w:val="0"/>
            <w:vAlign w:val="center"/>
          </w:tcPr>
          <w:p w14:paraId="7C6EB30F">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功能、人口</w:t>
            </w:r>
          </w:p>
        </w:tc>
      </w:tr>
      <w:tr w14:paraId="625B24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restart"/>
            <w:tcBorders>
              <w:left w:val="nil"/>
              <w:right w:val="single" w:color="auto" w:sz="4" w:space="0"/>
            </w:tcBorders>
            <w:noWrap w:val="0"/>
            <w:vAlign w:val="center"/>
          </w:tcPr>
          <w:p w14:paraId="0149B92D">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大气</w:t>
            </w:r>
          </w:p>
        </w:tc>
        <w:tc>
          <w:tcPr>
            <w:tcW w:w="551" w:type="pct"/>
            <w:gridSpan w:val="2"/>
            <w:tcBorders>
              <w:top w:val="single" w:color="auto" w:sz="4" w:space="0"/>
              <w:left w:val="single" w:color="auto" w:sz="4" w:space="0"/>
              <w:bottom w:val="single" w:color="auto" w:sz="4" w:space="0"/>
              <w:right w:val="single" w:color="auto" w:sz="4" w:space="0"/>
            </w:tcBorders>
            <w:noWrap w:val="0"/>
            <w:vAlign w:val="center"/>
          </w:tcPr>
          <w:p w14:paraId="6B7D84F9">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782" w:type="pct"/>
            <w:tcBorders>
              <w:top w:val="single" w:color="auto" w:sz="4" w:space="0"/>
              <w:left w:val="single" w:color="auto" w:sz="4" w:space="0"/>
              <w:bottom w:val="single" w:color="auto" w:sz="4" w:space="0"/>
              <w:right w:val="single" w:color="auto" w:sz="4" w:space="0"/>
            </w:tcBorders>
            <w:noWrap w:val="0"/>
            <w:vAlign w:val="center"/>
          </w:tcPr>
          <w:p w14:paraId="7C7010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rPr>
            </w:pPr>
            <w:r>
              <w:rPr>
                <w:rFonts w:hint="default" w:ascii="Times New Roman" w:hAnsi="Times New Roman" w:cs="Times New Roman"/>
                <w:i w:val="0"/>
                <w:iCs w:val="0"/>
                <w:color w:val="auto"/>
                <w:kern w:val="0"/>
                <w:sz w:val="18"/>
                <w:szCs w:val="18"/>
                <w:u w:val="none"/>
                <w:lang w:val="en-US" w:eastAsia="zh-CN" w:bidi="ar"/>
              </w:rPr>
              <w:t>放牛山</w:t>
            </w:r>
          </w:p>
        </w:tc>
        <w:tc>
          <w:tcPr>
            <w:tcW w:w="566" w:type="pct"/>
            <w:gridSpan w:val="2"/>
            <w:tcBorders>
              <w:top w:val="single" w:color="auto" w:sz="4" w:space="0"/>
              <w:left w:val="single" w:color="auto" w:sz="4" w:space="0"/>
              <w:bottom w:val="single" w:color="auto" w:sz="4" w:space="0"/>
              <w:right w:val="single" w:color="auto" w:sz="4" w:space="0"/>
            </w:tcBorders>
            <w:noWrap w:val="0"/>
            <w:vAlign w:val="center"/>
          </w:tcPr>
          <w:p w14:paraId="695CC1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rPr>
            </w:pPr>
            <w:r>
              <w:rPr>
                <w:rFonts w:hint="default" w:ascii="Times New Roman" w:hAnsi="Times New Roman" w:cs="Times New Roman"/>
                <w:i w:val="0"/>
                <w:iCs w:val="0"/>
                <w:color w:val="auto"/>
                <w:kern w:val="0"/>
                <w:sz w:val="18"/>
                <w:szCs w:val="18"/>
                <w:u w:val="none"/>
                <w:lang w:val="en-US" w:eastAsia="zh-CN" w:bidi="ar"/>
              </w:rPr>
              <w:t>西北</w:t>
            </w:r>
          </w:p>
        </w:tc>
        <w:tc>
          <w:tcPr>
            <w:tcW w:w="1134" w:type="pct"/>
            <w:gridSpan w:val="2"/>
            <w:tcBorders>
              <w:top w:val="single" w:color="auto" w:sz="4" w:space="0"/>
              <w:left w:val="single" w:color="auto" w:sz="4" w:space="0"/>
              <w:bottom w:val="single" w:color="auto" w:sz="4" w:space="0"/>
              <w:right w:val="single" w:color="auto" w:sz="4" w:space="0"/>
            </w:tcBorders>
            <w:noWrap w:val="0"/>
            <w:vAlign w:val="center"/>
          </w:tcPr>
          <w:p w14:paraId="367953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lang w:val="en-US"/>
              </w:rPr>
            </w:pPr>
            <w:r>
              <w:rPr>
                <w:rFonts w:hint="default" w:ascii="Times New Roman" w:hAnsi="Times New Roman" w:cs="Times New Roman"/>
                <w:i w:val="0"/>
                <w:iCs w:val="0"/>
                <w:color w:val="auto"/>
                <w:kern w:val="0"/>
                <w:sz w:val="18"/>
                <w:szCs w:val="18"/>
                <w:u w:val="none"/>
                <w:lang w:val="en-US" w:eastAsia="zh-CN" w:bidi="ar"/>
              </w:rPr>
              <w:t>2038</w:t>
            </w:r>
          </w:p>
        </w:tc>
        <w:tc>
          <w:tcPr>
            <w:tcW w:w="1457" w:type="pct"/>
            <w:gridSpan w:val="2"/>
            <w:tcBorders>
              <w:top w:val="single" w:color="auto" w:sz="4" w:space="0"/>
              <w:left w:val="single" w:color="auto" w:sz="4" w:space="0"/>
              <w:bottom w:val="single" w:color="auto" w:sz="4" w:space="0"/>
              <w:right w:val="nil"/>
            </w:tcBorders>
            <w:noWrap w:val="0"/>
            <w:vAlign w:val="center"/>
          </w:tcPr>
          <w:p w14:paraId="2DF8C0BF">
            <w:pPr>
              <w:spacing w:line="273"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rPr>
              <w:t>人群，</w:t>
            </w:r>
            <w:r>
              <w:rPr>
                <w:rFonts w:hint="default" w:ascii="Times New Roman" w:hAnsi="Times New Roman" w:cs="Times New Roman"/>
                <w:color w:val="auto"/>
                <w:kern w:val="0"/>
                <w:sz w:val="18"/>
                <w:szCs w:val="18"/>
                <w:highlight w:val="none"/>
                <w:lang w:val="en-US" w:eastAsia="zh-CN"/>
              </w:rPr>
              <w:t>40</w:t>
            </w:r>
            <w:r>
              <w:rPr>
                <w:rFonts w:hint="default" w:ascii="Times New Roman" w:hAnsi="Times New Roman" w:cs="Times New Roman"/>
                <w:color w:val="auto"/>
                <w:kern w:val="0"/>
                <w:sz w:val="18"/>
                <w:szCs w:val="18"/>
                <w:highlight w:val="none"/>
              </w:rPr>
              <w:t>户</w:t>
            </w:r>
            <w:r>
              <w:rPr>
                <w:rFonts w:hint="default" w:ascii="Times New Roman" w:hAnsi="Times New Roman" w:cs="Times New Roman"/>
                <w:color w:val="auto"/>
                <w:kern w:val="0"/>
                <w:sz w:val="18"/>
                <w:szCs w:val="18"/>
                <w:highlight w:val="none"/>
                <w:lang w:val="en-US" w:eastAsia="zh-CN"/>
              </w:rPr>
              <w:t>120</w:t>
            </w:r>
            <w:r>
              <w:rPr>
                <w:rFonts w:hint="default" w:ascii="Times New Roman" w:hAnsi="Times New Roman" w:cs="Times New Roman"/>
                <w:color w:val="auto"/>
                <w:kern w:val="0"/>
                <w:sz w:val="18"/>
                <w:szCs w:val="18"/>
                <w:highlight w:val="none"/>
              </w:rPr>
              <w:t>人</w:t>
            </w:r>
          </w:p>
        </w:tc>
      </w:tr>
      <w:tr w14:paraId="7493FD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508" w:type="pct"/>
            <w:vMerge w:val="continue"/>
            <w:tcBorders>
              <w:left w:val="nil"/>
              <w:right w:val="single" w:color="auto" w:sz="4" w:space="0"/>
            </w:tcBorders>
            <w:noWrap w:val="0"/>
            <w:vAlign w:val="center"/>
          </w:tcPr>
          <w:p w14:paraId="3E63E6CA">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cs="Times New Roman"/>
                <w:color w:val="auto"/>
                <w:sz w:val="18"/>
                <w:szCs w:val="18"/>
              </w:rPr>
            </w:pPr>
          </w:p>
        </w:tc>
        <w:tc>
          <w:tcPr>
            <w:tcW w:w="551" w:type="pct"/>
            <w:gridSpan w:val="2"/>
            <w:tcBorders>
              <w:top w:val="single" w:color="auto" w:sz="4" w:space="0"/>
              <w:left w:val="single" w:color="auto" w:sz="4" w:space="0"/>
              <w:bottom w:val="single" w:color="auto" w:sz="4" w:space="0"/>
              <w:right w:val="single" w:color="auto" w:sz="4" w:space="0"/>
            </w:tcBorders>
            <w:noWrap w:val="0"/>
            <w:vAlign w:val="center"/>
          </w:tcPr>
          <w:p w14:paraId="7E3ACB4E">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782" w:type="pct"/>
            <w:tcBorders>
              <w:top w:val="single" w:color="auto" w:sz="4" w:space="0"/>
              <w:left w:val="single" w:color="auto" w:sz="4" w:space="0"/>
              <w:bottom w:val="single" w:color="auto" w:sz="4" w:space="0"/>
              <w:right w:val="single" w:color="auto" w:sz="4" w:space="0"/>
            </w:tcBorders>
            <w:noWrap w:val="0"/>
            <w:vAlign w:val="center"/>
          </w:tcPr>
          <w:p w14:paraId="2BA8F8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lang w:val="en-US"/>
              </w:rPr>
            </w:pPr>
            <w:r>
              <w:rPr>
                <w:rFonts w:hint="default" w:ascii="Times New Roman" w:hAnsi="Times New Roman" w:cs="Times New Roman"/>
                <w:i w:val="0"/>
                <w:iCs w:val="0"/>
                <w:color w:val="auto"/>
                <w:kern w:val="0"/>
                <w:sz w:val="18"/>
                <w:szCs w:val="18"/>
                <w:u w:val="none"/>
                <w:lang w:val="en-US" w:eastAsia="zh-CN" w:bidi="ar"/>
              </w:rPr>
              <w:t>它底寨</w:t>
            </w:r>
          </w:p>
        </w:tc>
        <w:tc>
          <w:tcPr>
            <w:tcW w:w="566" w:type="pct"/>
            <w:gridSpan w:val="2"/>
            <w:tcBorders>
              <w:top w:val="single" w:color="auto" w:sz="4" w:space="0"/>
              <w:left w:val="single" w:color="auto" w:sz="4" w:space="0"/>
              <w:bottom w:val="single" w:color="auto" w:sz="4" w:space="0"/>
              <w:right w:val="single" w:color="auto" w:sz="4" w:space="0"/>
            </w:tcBorders>
            <w:noWrap w:val="0"/>
            <w:vAlign w:val="center"/>
          </w:tcPr>
          <w:p w14:paraId="56B614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1134" w:type="pct"/>
            <w:gridSpan w:val="2"/>
            <w:tcBorders>
              <w:top w:val="single" w:color="auto" w:sz="4" w:space="0"/>
              <w:left w:val="single" w:color="auto" w:sz="4" w:space="0"/>
              <w:bottom w:val="single" w:color="auto" w:sz="4" w:space="0"/>
              <w:right w:val="single" w:color="auto" w:sz="4" w:space="0"/>
            </w:tcBorders>
            <w:noWrap w:val="0"/>
            <w:vAlign w:val="center"/>
          </w:tcPr>
          <w:p w14:paraId="48BEEA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2446</w:t>
            </w:r>
          </w:p>
        </w:tc>
        <w:tc>
          <w:tcPr>
            <w:tcW w:w="1457" w:type="pct"/>
            <w:gridSpan w:val="2"/>
            <w:tcBorders>
              <w:top w:val="single" w:color="auto" w:sz="4" w:space="0"/>
              <w:left w:val="single" w:color="auto" w:sz="4" w:space="0"/>
              <w:bottom w:val="single" w:color="auto" w:sz="4" w:space="0"/>
              <w:right w:val="nil"/>
            </w:tcBorders>
            <w:noWrap w:val="0"/>
            <w:vAlign w:val="center"/>
          </w:tcPr>
          <w:p w14:paraId="019376A8">
            <w:pPr>
              <w:spacing w:line="273"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rPr>
              <w:t>人群，</w:t>
            </w:r>
            <w:r>
              <w:rPr>
                <w:rFonts w:hint="default" w:ascii="Times New Roman" w:hAnsi="Times New Roman" w:cs="Times New Roman"/>
                <w:color w:val="auto"/>
                <w:kern w:val="0"/>
                <w:sz w:val="18"/>
                <w:szCs w:val="18"/>
                <w:highlight w:val="none"/>
                <w:lang w:val="en-US" w:eastAsia="zh-CN"/>
              </w:rPr>
              <w:t>20</w:t>
            </w:r>
            <w:r>
              <w:rPr>
                <w:rFonts w:hint="default" w:ascii="Times New Roman" w:hAnsi="Times New Roman" w:cs="Times New Roman"/>
                <w:color w:val="auto"/>
                <w:kern w:val="0"/>
                <w:sz w:val="18"/>
                <w:szCs w:val="18"/>
                <w:highlight w:val="none"/>
              </w:rPr>
              <w:t>户</w:t>
            </w:r>
            <w:r>
              <w:rPr>
                <w:rFonts w:hint="default" w:ascii="Times New Roman" w:hAnsi="Times New Roman" w:cs="Times New Roman"/>
                <w:color w:val="auto"/>
                <w:kern w:val="0"/>
                <w:sz w:val="18"/>
                <w:szCs w:val="18"/>
                <w:highlight w:val="none"/>
                <w:lang w:val="en-US" w:eastAsia="zh-CN"/>
              </w:rPr>
              <w:t>60</w:t>
            </w:r>
            <w:r>
              <w:rPr>
                <w:rFonts w:hint="default" w:ascii="Times New Roman" w:hAnsi="Times New Roman" w:cs="Times New Roman"/>
                <w:color w:val="auto"/>
                <w:kern w:val="0"/>
                <w:sz w:val="18"/>
                <w:szCs w:val="18"/>
                <w:highlight w:val="none"/>
              </w:rPr>
              <w:t>人</w:t>
            </w:r>
          </w:p>
        </w:tc>
      </w:tr>
      <w:tr w14:paraId="053C14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continue"/>
            <w:tcBorders>
              <w:left w:val="nil"/>
              <w:right w:val="single" w:color="auto" w:sz="4" w:space="0"/>
            </w:tcBorders>
            <w:noWrap w:val="0"/>
            <w:vAlign w:val="center"/>
          </w:tcPr>
          <w:p w14:paraId="0D6EB90C">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cs="Times New Roman"/>
                <w:color w:val="auto"/>
                <w:sz w:val="18"/>
                <w:szCs w:val="18"/>
              </w:rPr>
            </w:pPr>
          </w:p>
        </w:tc>
        <w:tc>
          <w:tcPr>
            <w:tcW w:w="551" w:type="pct"/>
            <w:gridSpan w:val="2"/>
            <w:tcBorders>
              <w:top w:val="single" w:color="auto" w:sz="4" w:space="0"/>
              <w:left w:val="single" w:color="auto" w:sz="4" w:space="0"/>
              <w:bottom w:val="single" w:color="auto" w:sz="4" w:space="0"/>
              <w:right w:val="single" w:color="auto" w:sz="4" w:space="0"/>
            </w:tcBorders>
            <w:noWrap w:val="0"/>
            <w:vAlign w:val="center"/>
          </w:tcPr>
          <w:p w14:paraId="6059E3DE">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w:t>
            </w:r>
          </w:p>
        </w:tc>
        <w:tc>
          <w:tcPr>
            <w:tcW w:w="782" w:type="pct"/>
            <w:tcBorders>
              <w:top w:val="single" w:color="auto" w:sz="4" w:space="0"/>
              <w:left w:val="single" w:color="auto" w:sz="4" w:space="0"/>
              <w:bottom w:val="single" w:color="auto" w:sz="4" w:space="0"/>
              <w:right w:val="single" w:color="auto" w:sz="4" w:space="0"/>
            </w:tcBorders>
            <w:noWrap w:val="0"/>
            <w:vAlign w:val="center"/>
          </w:tcPr>
          <w:p w14:paraId="79C982C0">
            <w:pPr>
              <w:keepNext w:val="0"/>
              <w:keepLines w:val="0"/>
              <w:pageBreakBefore w:val="0"/>
              <w:widowControl/>
              <w:suppressLineNumbers w:val="0"/>
              <w:tabs>
                <w:tab w:val="left" w:pos="320"/>
                <w:tab w:val="center" w:pos="678"/>
              </w:tabs>
              <w:kinsoku/>
              <w:wordWrap/>
              <w:overflowPunct/>
              <w:topLinePunct w:val="0"/>
              <w:autoSpaceDE/>
              <w:autoSpaceDN/>
              <w:bidi w:val="0"/>
              <w:adjustRightInd/>
              <w:snapToGrid/>
              <w:jc w:val="left"/>
              <w:textAlignment w:val="center"/>
              <w:rPr>
                <w:rFonts w:hint="default" w:ascii="Times New Roman" w:hAnsi="Times New Roman" w:cs="Times New Roman"/>
                <w:color w:val="auto"/>
                <w:sz w:val="18"/>
                <w:szCs w:val="18"/>
              </w:rPr>
            </w:pPr>
            <w:r>
              <w:rPr>
                <w:rFonts w:hint="default" w:ascii="Times New Roman" w:hAnsi="Times New Roman" w:cs="Times New Roman"/>
                <w:i w:val="0"/>
                <w:iCs w:val="0"/>
                <w:color w:val="auto"/>
                <w:kern w:val="0"/>
                <w:sz w:val="18"/>
                <w:szCs w:val="18"/>
                <w:u w:val="none"/>
                <w:lang w:val="en-US" w:eastAsia="zh-CN" w:bidi="ar"/>
              </w:rPr>
              <w:tab/>
            </w:r>
            <w:r>
              <w:rPr>
                <w:rFonts w:hint="default" w:ascii="Times New Roman" w:hAnsi="Times New Roman" w:cs="Times New Roman"/>
                <w:i w:val="0"/>
                <w:iCs w:val="0"/>
                <w:color w:val="auto"/>
                <w:kern w:val="0"/>
                <w:sz w:val="18"/>
                <w:szCs w:val="18"/>
                <w:u w:val="none"/>
                <w:lang w:val="en-US" w:eastAsia="zh-CN" w:bidi="ar"/>
              </w:rPr>
              <w:t>鱼补村</w:t>
            </w:r>
          </w:p>
        </w:tc>
        <w:tc>
          <w:tcPr>
            <w:tcW w:w="566" w:type="pct"/>
            <w:gridSpan w:val="2"/>
            <w:tcBorders>
              <w:top w:val="single" w:color="auto" w:sz="4" w:space="0"/>
              <w:left w:val="single" w:color="auto" w:sz="4" w:space="0"/>
              <w:bottom w:val="single" w:color="auto" w:sz="4" w:space="0"/>
              <w:right w:val="single" w:color="auto" w:sz="4" w:space="0"/>
            </w:tcBorders>
            <w:noWrap w:val="0"/>
            <w:vAlign w:val="center"/>
          </w:tcPr>
          <w:p w14:paraId="6055CD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rPr>
            </w:pPr>
            <w:r>
              <w:rPr>
                <w:rFonts w:hint="default" w:ascii="Times New Roman" w:hAnsi="Times New Roman" w:cs="Times New Roman"/>
                <w:i w:val="0"/>
                <w:iCs w:val="0"/>
                <w:color w:val="auto"/>
                <w:kern w:val="0"/>
                <w:sz w:val="18"/>
                <w:szCs w:val="18"/>
                <w:u w:val="none"/>
                <w:lang w:val="en-US" w:eastAsia="zh-CN" w:bidi="ar"/>
              </w:rPr>
              <w:t>西北</w:t>
            </w:r>
          </w:p>
        </w:tc>
        <w:tc>
          <w:tcPr>
            <w:tcW w:w="1134" w:type="pct"/>
            <w:gridSpan w:val="2"/>
            <w:tcBorders>
              <w:top w:val="single" w:color="auto" w:sz="4" w:space="0"/>
              <w:left w:val="single" w:color="auto" w:sz="4" w:space="0"/>
              <w:bottom w:val="single" w:color="auto" w:sz="4" w:space="0"/>
              <w:right w:val="single" w:color="auto" w:sz="4" w:space="0"/>
            </w:tcBorders>
            <w:noWrap w:val="0"/>
            <w:vAlign w:val="center"/>
          </w:tcPr>
          <w:p w14:paraId="4C8D5A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2771</w:t>
            </w:r>
          </w:p>
        </w:tc>
        <w:tc>
          <w:tcPr>
            <w:tcW w:w="1457" w:type="pct"/>
            <w:gridSpan w:val="2"/>
            <w:tcBorders>
              <w:top w:val="single" w:color="auto" w:sz="4" w:space="0"/>
              <w:left w:val="single" w:color="auto" w:sz="4" w:space="0"/>
              <w:bottom w:val="single" w:color="auto" w:sz="4" w:space="0"/>
              <w:right w:val="nil"/>
            </w:tcBorders>
            <w:noWrap w:val="0"/>
            <w:vAlign w:val="center"/>
          </w:tcPr>
          <w:p w14:paraId="5CEAD4C1">
            <w:pPr>
              <w:spacing w:line="273"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rPr>
              <w:t>人群，</w:t>
            </w:r>
            <w:r>
              <w:rPr>
                <w:rFonts w:hint="default" w:ascii="Times New Roman" w:hAnsi="Times New Roman" w:cs="Times New Roman"/>
                <w:color w:val="auto"/>
                <w:kern w:val="0"/>
                <w:sz w:val="18"/>
                <w:szCs w:val="18"/>
                <w:highlight w:val="none"/>
                <w:lang w:val="en-US" w:eastAsia="zh-CN"/>
              </w:rPr>
              <w:t>80</w:t>
            </w:r>
            <w:r>
              <w:rPr>
                <w:rFonts w:hint="default" w:ascii="Times New Roman" w:hAnsi="Times New Roman" w:cs="Times New Roman"/>
                <w:color w:val="auto"/>
                <w:kern w:val="0"/>
                <w:sz w:val="18"/>
                <w:szCs w:val="18"/>
                <w:highlight w:val="none"/>
              </w:rPr>
              <w:t>户</w:t>
            </w:r>
            <w:r>
              <w:rPr>
                <w:rFonts w:hint="default" w:ascii="Times New Roman" w:hAnsi="Times New Roman" w:cs="Times New Roman"/>
                <w:color w:val="auto"/>
                <w:kern w:val="0"/>
                <w:sz w:val="18"/>
                <w:szCs w:val="18"/>
                <w:highlight w:val="none"/>
                <w:lang w:val="en-US" w:eastAsia="zh-CN"/>
              </w:rPr>
              <w:t>250</w:t>
            </w:r>
            <w:r>
              <w:rPr>
                <w:rFonts w:hint="default" w:ascii="Times New Roman" w:hAnsi="Times New Roman" w:cs="Times New Roman"/>
                <w:color w:val="auto"/>
                <w:kern w:val="0"/>
                <w:sz w:val="18"/>
                <w:szCs w:val="18"/>
                <w:highlight w:val="none"/>
              </w:rPr>
              <w:t>人</w:t>
            </w:r>
          </w:p>
        </w:tc>
      </w:tr>
      <w:tr w14:paraId="407696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continue"/>
            <w:tcBorders>
              <w:left w:val="nil"/>
              <w:right w:val="single" w:color="auto" w:sz="4" w:space="0"/>
            </w:tcBorders>
            <w:noWrap w:val="0"/>
            <w:vAlign w:val="center"/>
          </w:tcPr>
          <w:p w14:paraId="2657241A">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cs="Times New Roman"/>
                <w:color w:val="auto"/>
                <w:sz w:val="18"/>
                <w:szCs w:val="18"/>
              </w:rPr>
            </w:pPr>
          </w:p>
        </w:tc>
        <w:tc>
          <w:tcPr>
            <w:tcW w:w="3034" w:type="pct"/>
            <w:gridSpan w:val="7"/>
            <w:tcBorders>
              <w:top w:val="single" w:color="auto" w:sz="4" w:space="0"/>
              <w:left w:val="single" w:color="auto" w:sz="4" w:space="0"/>
              <w:bottom w:val="single" w:color="auto" w:sz="4" w:space="0"/>
              <w:right w:val="single" w:color="auto" w:sz="4" w:space="0"/>
            </w:tcBorders>
            <w:noWrap w:val="0"/>
            <w:vAlign w:val="center"/>
          </w:tcPr>
          <w:p w14:paraId="6DBA60F5">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厂址周边500m范围内人口小计</w:t>
            </w:r>
          </w:p>
        </w:tc>
        <w:tc>
          <w:tcPr>
            <w:tcW w:w="1457" w:type="pct"/>
            <w:gridSpan w:val="2"/>
            <w:tcBorders>
              <w:top w:val="single" w:color="auto" w:sz="4" w:space="0"/>
              <w:left w:val="single" w:color="auto" w:sz="4" w:space="0"/>
              <w:bottom w:val="single" w:color="auto" w:sz="4" w:space="0"/>
              <w:right w:val="nil"/>
            </w:tcBorders>
            <w:noWrap w:val="0"/>
            <w:vAlign w:val="center"/>
          </w:tcPr>
          <w:p w14:paraId="28338B0E">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0</w:t>
            </w:r>
          </w:p>
        </w:tc>
      </w:tr>
      <w:tr w14:paraId="41F2CC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continue"/>
            <w:tcBorders>
              <w:left w:val="nil"/>
              <w:bottom w:val="single" w:color="auto" w:sz="4" w:space="0"/>
              <w:right w:val="single" w:color="auto" w:sz="4" w:space="0"/>
            </w:tcBorders>
            <w:noWrap w:val="0"/>
            <w:vAlign w:val="center"/>
          </w:tcPr>
          <w:p w14:paraId="04F5D1E5">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cs="Times New Roman"/>
                <w:color w:val="auto"/>
                <w:sz w:val="18"/>
                <w:szCs w:val="18"/>
              </w:rPr>
            </w:pPr>
          </w:p>
        </w:tc>
        <w:tc>
          <w:tcPr>
            <w:tcW w:w="3034" w:type="pct"/>
            <w:gridSpan w:val="7"/>
            <w:tcBorders>
              <w:top w:val="single" w:color="auto" w:sz="4" w:space="0"/>
              <w:left w:val="single" w:color="auto" w:sz="4" w:space="0"/>
              <w:bottom w:val="single" w:color="auto" w:sz="4" w:space="0"/>
              <w:right w:val="single" w:color="auto" w:sz="4" w:space="0"/>
            </w:tcBorders>
            <w:noWrap w:val="0"/>
            <w:vAlign w:val="center"/>
          </w:tcPr>
          <w:p w14:paraId="6F27B8A8">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大气环境敏感程度E值</w:t>
            </w:r>
          </w:p>
        </w:tc>
        <w:tc>
          <w:tcPr>
            <w:tcW w:w="1457" w:type="pct"/>
            <w:gridSpan w:val="2"/>
            <w:tcBorders>
              <w:top w:val="single" w:color="auto" w:sz="4" w:space="0"/>
              <w:left w:val="single" w:color="auto" w:sz="4" w:space="0"/>
              <w:bottom w:val="single" w:color="auto" w:sz="4" w:space="0"/>
              <w:right w:val="nil"/>
            </w:tcBorders>
            <w:noWrap w:val="0"/>
            <w:vAlign w:val="center"/>
          </w:tcPr>
          <w:p w14:paraId="0FA967DE">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E3</w:t>
            </w:r>
          </w:p>
        </w:tc>
      </w:tr>
      <w:tr w14:paraId="1A4C8A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restart"/>
            <w:tcBorders>
              <w:top w:val="single" w:color="auto" w:sz="4" w:space="0"/>
              <w:left w:val="nil"/>
              <w:bottom w:val="single" w:color="auto" w:sz="4" w:space="0"/>
              <w:right w:val="single" w:color="auto" w:sz="4" w:space="0"/>
            </w:tcBorders>
            <w:noWrap w:val="0"/>
            <w:vAlign w:val="center"/>
          </w:tcPr>
          <w:p w14:paraId="542E5C0E">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地表水</w:t>
            </w:r>
          </w:p>
        </w:tc>
        <w:tc>
          <w:tcPr>
            <w:tcW w:w="420" w:type="pct"/>
            <w:tcBorders>
              <w:top w:val="single" w:color="auto" w:sz="4" w:space="0"/>
              <w:left w:val="single" w:color="auto" w:sz="4" w:space="0"/>
              <w:bottom w:val="single" w:color="auto" w:sz="4" w:space="0"/>
              <w:right w:val="single" w:color="auto" w:sz="4" w:space="0"/>
            </w:tcBorders>
            <w:noWrap w:val="0"/>
            <w:vAlign w:val="center"/>
          </w:tcPr>
          <w:p w14:paraId="74AF71A9">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序号</w:t>
            </w:r>
          </w:p>
        </w:tc>
        <w:tc>
          <w:tcPr>
            <w:tcW w:w="917" w:type="pct"/>
            <w:gridSpan w:val="3"/>
            <w:tcBorders>
              <w:top w:val="single" w:color="auto" w:sz="4" w:space="0"/>
              <w:left w:val="single" w:color="auto" w:sz="4" w:space="0"/>
              <w:bottom w:val="single" w:color="auto" w:sz="4" w:space="0"/>
              <w:right w:val="single" w:color="auto" w:sz="4" w:space="0"/>
            </w:tcBorders>
            <w:noWrap w:val="0"/>
            <w:vAlign w:val="center"/>
          </w:tcPr>
          <w:p w14:paraId="6FAC2110">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受纳水体名称</w:t>
            </w:r>
          </w:p>
        </w:tc>
        <w:tc>
          <w:tcPr>
            <w:tcW w:w="1697" w:type="pct"/>
            <w:gridSpan w:val="3"/>
            <w:tcBorders>
              <w:top w:val="single" w:color="auto" w:sz="4" w:space="0"/>
              <w:left w:val="single" w:color="auto" w:sz="4" w:space="0"/>
              <w:bottom w:val="single" w:color="auto" w:sz="4" w:space="0"/>
              <w:right w:val="single" w:color="auto" w:sz="4" w:space="0"/>
            </w:tcBorders>
            <w:noWrap w:val="0"/>
            <w:vAlign w:val="center"/>
          </w:tcPr>
          <w:p w14:paraId="56A1B58E">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排放点水域环境功能</w:t>
            </w:r>
          </w:p>
        </w:tc>
        <w:tc>
          <w:tcPr>
            <w:tcW w:w="1457" w:type="pct"/>
            <w:gridSpan w:val="2"/>
            <w:tcBorders>
              <w:top w:val="single" w:color="auto" w:sz="4" w:space="0"/>
              <w:left w:val="single" w:color="auto" w:sz="4" w:space="0"/>
              <w:bottom w:val="single" w:color="auto" w:sz="4" w:space="0"/>
              <w:right w:val="nil"/>
            </w:tcBorders>
            <w:noWrap w:val="0"/>
            <w:vAlign w:val="center"/>
          </w:tcPr>
          <w:p w14:paraId="30A8E24E">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24h内流经范围/km</w:t>
            </w:r>
          </w:p>
        </w:tc>
      </w:tr>
      <w:tr w14:paraId="39C6B2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508" w:type="pct"/>
            <w:vMerge w:val="continue"/>
            <w:tcBorders>
              <w:top w:val="single" w:color="auto" w:sz="4" w:space="0"/>
              <w:left w:val="nil"/>
              <w:bottom w:val="single" w:color="auto" w:sz="4" w:space="0"/>
              <w:right w:val="single" w:color="auto" w:sz="4" w:space="0"/>
            </w:tcBorders>
            <w:noWrap w:val="0"/>
            <w:vAlign w:val="center"/>
          </w:tcPr>
          <w:p w14:paraId="09A2E0CC">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cs="Times New Roman"/>
                <w:color w:val="auto"/>
                <w:sz w:val="18"/>
                <w:szCs w:val="18"/>
              </w:rPr>
            </w:pPr>
          </w:p>
        </w:tc>
        <w:tc>
          <w:tcPr>
            <w:tcW w:w="420" w:type="pct"/>
            <w:tcBorders>
              <w:top w:val="single" w:color="auto" w:sz="4" w:space="0"/>
              <w:left w:val="single" w:color="auto" w:sz="4" w:space="0"/>
              <w:right w:val="single" w:color="auto" w:sz="4" w:space="0"/>
            </w:tcBorders>
            <w:noWrap w:val="0"/>
            <w:vAlign w:val="center"/>
          </w:tcPr>
          <w:p w14:paraId="2F4BBA7D">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w:t>
            </w:r>
          </w:p>
        </w:tc>
        <w:tc>
          <w:tcPr>
            <w:tcW w:w="917" w:type="pct"/>
            <w:gridSpan w:val="3"/>
            <w:tcBorders>
              <w:top w:val="single" w:color="auto" w:sz="4" w:space="0"/>
              <w:left w:val="single" w:color="auto" w:sz="4" w:space="0"/>
              <w:bottom w:val="single" w:color="auto" w:sz="4" w:space="0"/>
              <w:right w:val="single" w:color="auto" w:sz="4" w:space="0"/>
            </w:tcBorders>
            <w:noWrap w:val="0"/>
            <w:vAlign w:val="center"/>
          </w:tcPr>
          <w:p w14:paraId="31C6FF2C">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里牌河</w:t>
            </w:r>
          </w:p>
        </w:tc>
        <w:tc>
          <w:tcPr>
            <w:tcW w:w="1697" w:type="pct"/>
            <w:gridSpan w:val="3"/>
            <w:tcBorders>
              <w:top w:val="single" w:color="auto" w:sz="4" w:space="0"/>
              <w:left w:val="single" w:color="auto" w:sz="4" w:space="0"/>
              <w:right w:val="single" w:color="auto" w:sz="4" w:space="0"/>
            </w:tcBorders>
            <w:noWrap w:val="0"/>
            <w:vAlign w:val="center"/>
          </w:tcPr>
          <w:p w14:paraId="574C506E">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《地表水环境质量标准》（GB3838-2002）III类标准</w:t>
            </w:r>
          </w:p>
        </w:tc>
        <w:tc>
          <w:tcPr>
            <w:tcW w:w="1457" w:type="pct"/>
            <w:gridSpan w:val="2"/>
            <w:tcBorders>
              <w:top w:val="single" w:color="auto" w:sz="4" w:space="0"/>
              <w:left w:val="single" w:color="auto" w:sz="4" w:space="0"/>
              <w:right w:val="nil"/>
            </w:tcBorders>
            <w:noWrap w:val="0"/>
            <w:vAlign w:val="center"/>
          </w:tcPr>
          <w:p w14:paraId="3FB578AF">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w:t>
            </w:r>
          </w:p>
        </w:tc>
      </w:tr>
      <w:tr w14:paraId="4B5512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continue"/>
            <w:tcBorders>
              <w:top w:val="single" w:color="auto" w:sz="4" w:space="0"/>
              <w:left w:val="nil"/>
              <w:bottom w:val="single" w:color="auto" w:sz="4" w:space="0"/>
              <w:right w:val="single" w:color="auto" w:sz="4" w:space="0"/>
            </w:tcBorders>
            <w:noWrap w:val="0"/>
            <w:vAlign w:val="center"/>
          </w:tcPr>
          <w:p w14:paraId="213EB9EA">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cs="Times New Roman"/>
                <w:color w:val="auto"/>
                <w:sz w:val="18"/>
                <w:szCs w:val="18"/>
              </w:rPr>
            </w:pPr>
          </w:p>
        </w:tc>
        <w:tc>
          <w:tcPr>
            <w:tcW w:w="4491" w:type="pct"/>
            <w:gridSpan w:val="9"/>
            <w:tcBorders>
              <w:top w:val="single" w:color="auto" w:sz="4" w:space="0"/>
              <w:left w:val="single" w:color="auto" w:sz="4" w:space="0"/>
              <w:bottom w:val="single" w:color="auto" w:sz="4" w:space="0"/>
              <w:right w:val="nil"/>
            </w:tcBorders>
            <w:noWrap w:val="0"/>
            <w:vAlign w:val="center"/>
          </w:tcPr>
          <w:p w14:paraId="22069173">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内陆水体排放点下游范围内敏感目标</w:t>
            </w:r>
          </w:p>
        </w:tc>
      </w:tr>
      <w:tr w14:paraId="65273A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continue"/>
            <w:tcBorders>
              <w:top w:val="single" w:color="auto" w:sz="4" w:space="0"/>
              <w:left w:val="nil"/>
              <w:bottom w:val="single" w:color="auto" w:sz="4" w:space="0"/>
              <w:right w:val="single" w:color="auto" w:sz="4" w:space="0"/>
            </w:tcBorders>
            <w:noWrap w:val="0"/>
            <w:vAlign w:val="center"/>
          </w:tcPr>
          <w:p w14:paraId="4A6311D8">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cs="Times New Roman"/>
                <w:color w:val="auto"/>
                <w:sz w:val="18"/>
                <w:szCs w:val="18"/>
              </w:rPr>
            </w:pPr>
          </w:p>
        </w:tc>
        <w:tc>
          <w:tcPr>
            <w:tcW w:w="420" w:type="pct"/>
            <w:tcBorders>
              <w:top w:val="single" w:color="auto" w:sz="4" w:space="0"/>
              <w:left w:val="single" w:color="auto" w:sz="4" w:space="0"/>
              <w:bottom w:val="single" w:color="auto" w:sz="4" w:space="0"/>
              <w:right w:val="single" w:color="auto" w:sz="4" w:space="0"/>
            </w:tcBorders>
            <w:noWrap w:val="0"/>
            <w:vAlign w:val="center"/>
          </w:tcPr>
          <w:p w14:paraId="1E6D6D81">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序号</w:t>
            </w:r>
          </w:p>
        </w:tc>
        <w:tc>
          <w:tcPr>
            <w:tcW w:w="917" w:type="pct"/>
            <w:gridSpan w:val="3"/>
            <w:tcBorders>
              <w:top w:val="single" w:color="auto" w:sz="4" w:space="0"/>
              <w:left w:val="single" w:color="auto" w:sz="4" w:space="0"/>
              <w:bottom w:val="single" w:color="auto" w:sz="4" w:space="0"/>
              <w:right w:val="single" w:color="auto" w:sz="4" w:space="0"/>
            </w:tcBorders>
            <w:noWrap w:val="0"/>
            <w:vAlign w:val="center"/>
          </w:tcPr>
          <w:p w14:paraId="4CC90BA5">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敏感目标名称</w:t>
            </w:r>
          </w:p>
        </w:tc>
        <w:tc>
          <w:tcPr>
            <w:tcW w:w="822" w:type="pct"/>
            <w:gridSpan w:val="2"/>
            <w:tcBorders>
              <w:top w:val="single" w:color="auto" w:sz="4" w:space="0"/>
              <w:left w:val="single" w:color="auto" w:sz="4" w:space="0"/>
              <w:bottom w:val="single" w:color="auto" w:sz="4" w:space="0"/>
              <w:right w:val="single" w:color="auto" w:sz="4" w:space="0"/>
            </w:tcBorders>
            <w:noWrap w:val="0"/>
            <w:vAlign w:val="center"/>
          </w:tcPr>
          <w:p w14:paraId="007386A2">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环境敏感特征</w:t>
            </w:r>
          </w:p>
        </w:tc>
        <w:tc>
          <w:tcPr>
            <w:tcW w:w="875" w:type="pct"/>
            <w:tcBorders>
              <w:top w:val="single" w:color="auto" w:sz="4" w:space="0"/>
              <w:left w:val="single" w:color="auto" w:sz="4" w:space="0"/>
              <w:bottom w:val="single" w:color="auto" w:sz="4" w:space="0"/>
              <w:right w:val="single" w:color="auto" w:sz="4" w:space="0"/>
            </w:tcBorders>
            <w:noWrap w:val="0"/>
            <w:vAlign w:val="center"/>
          </w:tcPr>
          <w:p w14:paraId="44C4112A">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水质目标</w:t>
            </w:r>
          </w:p>
        </w:tc>
        <w:tc>
          <w:tcPr>
            <w:tcW w:w="1457" w:type="pct"/>
            <w:gridSpan w:val="2"/>
            <w:tcBorders>
              <w:top w:val="single" w:color="auto" w:sz="4" w:space="0"/>
              <w:left w:val="single" w:color="auto" w:sz="4" w:space="0"/>
              <w:bottom w:val="single" w:color="auto" w:sz="4" w:space="0"/>
              <w:right w:val="nil"/>
            </w:tcBorders>
            <w:noWrap w:val="0"/>
            <w:vAlign w:val="center"/>
          </w:tcPr>
          <w:p w14:paraId="116F860F">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与排放点的距离/km</w:t>
            </w:r>
          </w:p>
        </w:tc>
      </w:tr>
      <w:tr w14:paraId="66E96F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continue"/>
            <w:tcBorders>
              <w:top w:val="single" w:color="auto" w:sz="4" w:space="0"/>
              <w:left w:val="nil"/>
              <w:bottom w:val="single" w:color="auto" w:sz="4" w:space="0"/>
              <w:right w:val="single" w:color="auto" w:sz="4" w:space="0"/>
            </w:tcBorders>
            <w:noWrap w:val="0"/>
            <w:vAlign w:val="center"/>
          </w:tcPr>
          <w:p w14:paraId="5DCD069D">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cs="Times New Roman"/>
                <w:color w:val="auto"/>
                <w:sz w:val="18"/>
                <w:szCs w:val="18"/>
              </w:rPr>
            </w:pPr>
          </w:p>
        </w:tc>
        <w:tc>
          <w:tcPr>
            <w:tcW w:w="420" w:type="pct"/>
            <w:tcBorders>
              <w:top w:val="single" w:color="auto" w:sz="4" w:space="0"/>
              <w:left w:val="single" w:color="auto" w:sz="4" w:space="0"/>
              <w:bottom w:val="single" w:color="auto" w:sz="4" w:space="0"/>
              <w:right w:val="single" w:color="auto" w:sz="4" w:space="0"/>
            </w:tcBorders>
            <w:noWrap w:val="0"/>
            <w:vAlign w:val="center"/>
          </w:tcPr>
          <w:p w14:paraId="5A9D32E8">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w:t>
            </w:r>
          </w:p>
        </w:tc>
        <w:tc>
          <w:tcPr>
            <w:tcW w:w="917" w:type="pct"/>
            <w:gridSpan w:val="3"/>
            <w:tcBorders>
              <w:top w:val="single" w:color="auto" w:sz="4" w:space="0"/>
              <w:left w:val="single" w:color="auto" w:sz="4" w:space="0"/>
              <w:bottom w:val="single" w:color="auto" w:sz="4" w:space="0"/>
              <w:right w:val="single" w:color="auto" w:sz="4" w:space="0"/>
            </w:tcBorders>
            <w:noWrap w:val="0"/>
            <w:vAlign w:val="center"/>
          </w:tcPr>
          <w:p w14:paraId="6D4F421C">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w:t>
            </w:r>
          </w:p>
        </w:tc>
        <w:tc>
          <w:tcPr>
            <w:tcW w:w="822" w:type="pct"/>
            <w:gridSpan w:val="2"/>
            <w:tcBorders>
              <w:top w:val="single" w:color="auto" w:sz="4" w:space="0"/>
              <w:left w:val="single" w:color="auto" w:sz="4" w:space="0"/>
              <w:bottom w:val="single" w:color="auto" w:sz="4" w:space="0"/>
              <w:right w:val="single" w:color="auto" w:sz="4" w:space="0"/>
            </w:tcBorders>
            <w:noWrap w:val="0"/>
            <w:vAlign w:val="center"/>
          </w:tcPr>
          <w:p w14:paraId="61FAE585">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w:t>
            </w:r>
          </w:p>
        </w:tc>
        <w:tc>
          <w:tcPr>
            <w:tcW w:w="875" w:type="pct"/>
            <w:tcBorders>
              <w:top w:val="single" w:color="auto" w:sz="4" w:space="0"/>
              <w:left w:val="single" w:color="auto" w:sz="4" w:space="0"/>
              <w:bottom w:val="single" w:color="auto" w:sz="4" w:space="0"/>
              <w:right w:val="single" w:color="auto" w:sz="4" w:space="0"/>
            </w:tcBorders>
            <w:noWrap w:val="0"/>
            <w:vAlign w:val="center"/>
          </w:tcPr>
          <w:p w14:paraId="50ECDE39">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w:t>
            </w:r>
          </w:p>
        </w:tc>
        <w:tc>
          <w:tcPr>
            <w:tcW w:w="1457" w:type="pct"/>
            <w:gridSpan w:val="2"/>
            <w:tcBorders>
              <w:top w:val="single" w:color="auto" w:sz="4" w:space="0"/>
              <w:left w:val="single" w:color="auto" w:sz="4" w:space="0"/>
              <w:bottom w:val="single" w:color="auto" w:sz="4" w:space="0"/>
              <w:right w:val="nil"/>
            </w:tcBorders>
            <w:noWrap w:val="0"/>
            <w:vAlign w:val="center"/>
          </w:tcPr>
          <w:p w14:paraId="00AE62DD">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w:t>
            </w:r>
          </w:p>
        </w:tc>
      </w:tr>
      <w:tr w14:paraId="38FFB9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continue"/>
            <w:tcBorders>
              <w:top w:val="single" w:color="auto" w:sz="4" w:space="0"/>
              <w:left w:val="nil"/>
              <w:bottom w:val="single" w:color="auto" w:sz="4" w:space="0"/>
              <w:right w:val="single" w:color="auto" w:sz="4" w:space="0"/>
            </w:tcBorders>
            <w:noWrap w:val="0"/>
            <w:vAlign w:val="center"/>
          </w:tcPr>
          <w:p w14:paraId="46F4C2D9">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cs="Times New Roman"/>
                <w:color w:val="auto"/>
                <w:sz w:val="18"/>
                <w:szCs w:val="18"/>
              </w:rPr>
            </w:pPr>
          </w:p>
        </w:tc>
        <w:tc>
          <w:tcPr>
            <w:tcW w:w="3034" w:type="pct"/>
            <w:gridSpan w:val="7"/>
            <w:tcBorders>
              <w:top w:val="single" w:color="auto" w:sz="4" w:space="0"/>
              <w:left w:val="single" w:color="auto" w:sz="4" w:space="0"/>
              <w:bottom w:val="single" w:color="auto" w:sz="4" w:space="0"/>
              <w:right w:val="single" w:color="auto" w:sz="4" w:space="0"/>
            </w:tcBorders>
            <w:noWrap w:val="0"/>
            <w:vAlign w:val="center"/>
          </w:tcPr>
          <w:p w14:paraId="338E1DC8">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地表水环境敏感程度E值</w:t>
            </w:r>
          </w:p>
        </w:tc>
        <w:tc>
          <w:tcPr>
            <w:tcW w:w="1457" w:type="pct"/>
            <w:gridSpan w:val="2"/>
            <w:tcBorders>
              <w:top w:val="single" w:color="auto" w:sz="4" w:space="0"/>
              <w:left w:val="single" w:color="auto" w:sz="4" w:space="0"/>
              <w:bottom w:val="single" w:color="auto" w:sz="4" w:space="0"/>
              <w:right w:val="nil"/>
            </w:tcBorders>
            <w:noWrap w:val="0"/>
            <w:vAlign w:val="center"/>
          </w:tcPr>
          <w:p w14:paraId="64D9A569">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sz w:val="18"/>
                <w:szCs w:val="18"/>
              </w:rPr>
              <w:t>E</w:t>
            </w:r>
            <w:r>
              <w:rPr>
                <w:rFonts w:hint="default" w:ascii="Times New Roman" w:hAnsi="Times New Roman" w:cs="Times New Roman"/>
                <w:sz w:val="18"/>
                <w:szCs w:val="18"/>
                <w:lang w:val="en-US" w:eastAsia="zh-CN"/>
              </w:rPr>
              <w:t>2</w:t>
            </w:r>
          </w:p>
        </w:tc>
      </w:tr>
      <w:tr w14:paraId="137B48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restart"/>
            <w:tcBorders>
              <w:top w:val="single" w:color="auto" w:sz="4" w:space="0"/>
              <w:left w:val="nil"/>
              <w:bottom w:val="single" w:color="auto" w:sz="4" w:space="0"/>
              <w:right w:val="single" w:color="auto" w:sz="4" w:space="0"/>
            </w:tcBorders>
            <w:noWrap w:val="0"/>
            <w:vAlign w:val="center"/>
          </w:tcPr>
          <w:p w14:paraId="5D975420">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地下水</w:t>
            </w:r>
          </w:p>
        </w:tc>
        <w:tc>
          <w:tcPr>
            <w:tcW w:w="420" w:type="pct"/>
            <w:tcBorders>
              <w:top w:val="single" w:color="auto" w:sz="4" w:space="0"/>
              <w:left w:val="single" w:color="auto" w:sz="4" w:space="0"/>
              <w:bottom w:val="single" w:color="auto" w:sz="4" w:space="0"/>
              <w:right w:val="single" w:color="auto" w:sz="4" w:space="0"/>
            </w:tcBorders>
            <w:noWrap w:val="0"/>
            <w:vAlign w:val="center"/>
          </w:tcPr>
          <w:p w14:paraId="3653CE4E">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序号</w:t>
            </w:r>
          </w:p>
        </w:tc>
        <w:tc>
          <w:tcPr>
            <w:tcW w:w="917" w:type="pct"/>
            <w:gridSpan w:val="3"/>
            <w:tcBorders>
              <w:top w:val="single" w:color="auto" w:sz="4" w:space="0"/>
              <w:left w:val="single" w:color="auto" w:sz="4" w:space="0"/>
              <w:bottom w:val="single" w:color="auto" w:sz="4" w:space="0"/>
              <w:right w:val="single" w:color="auto" w:sz="4" w:space="0"/>
            </w:tcBorders>
            <w:noWrap w:val="0"/>
            <w:vAlign w:val="center"/>
          </w:tcPr>
          <w:p w14:paraId="51AF21BB">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环境敏感区名称</w:t>
            </w:r>
          </w:p>
        </w:tc>
        <w:tc>
          <w:tcPr>
            <w:tcW w:w="822" w:type="pct"/>
            <w:gridSpan w:val="2"/>
            <w:tcBorders>
              <w:top w:val="single" w:color="auto" w:sz="4" w:space="0"/>
              <w:left w:val="single" w:color="auto" w:sz="4" w:space="0"/>
              <w:bottom w:val="single" w:color="auto" w:sz="4" w:space="0"/>
              <w:right w:val="single" w:color="auto" w:sz="4" w:space="0"/>
            </w:tcBorders>
            <w:noWrap w:val="0"/>
            <w:vAlign w:val="center"/>
          </w:tcPr>
          <w:p w14:paraId="2396E023">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环境敏感特征</w:t>
            </w:r>
          </w:p>
        </w:tc>
        <w:tc>
          <w:tcPr>
            <w:tcW w:w="875" w:type="pct"/>
            <w:tcBorders>
              <w:top w:val="single" w:color="auto" w:sz="4" w:space="0"/>
              <w:left w:val="single" w:color="auto" w:sz="4" w:space="0"/>
              <w:bottom w:val="single" w:color="auto" w:sz="4" w:space="0"/>
              <w:right w:val="single" w:color="auto" w:sz="4" w:space="0"/>
            </w:tcBorders>
            <w:noWrap w:val="0"/>
            <w:vAlign w:val="center"/>
          </w:tcPr>
          <w:p w14:paraId="03C00046">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水质目标</w:t>
            </w:r>
          </w:p>
        </w:tc>
        <w:tc>
          <w:tcPr>
            <w:tcW w:w="868" w:type="pct"/>
            <w:tcBorders>
              <w:top w:val="single" w:color="auto" w:sz="4" w:space="0"/>
              <w:left w:val="single" w:color="auto" w:sz="4" w:space="0"/>
              <w:bottom w:val="single" w:color="auto" w:sz="4" w:space="0"/>
              <w:right w:val="single" w:color="auto" w:sz="4" w:space="0"/>
            </w:tcBorders>
            <w:noWrap w:val="0"/>
            <w:vAlign w:val="center"/>
          </w:tcPr>
          <w:p w14:paraId="05BD7A0E">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包气带防污性能</w:t>
            </w:r>
          </w:p>
        </w:tc>
        <w:tc>
          <w:tcPr>
            <w:tcW w:w="588" w:type="pct"/>
            <w:tcBorders>
              <w:top w:val="single" w:color="auto" w:sz="4" w:space="0"/>
              <w:left w:val="single" w:color="auto" w:sz="4" w:space="0"/>
              <w:bottom w:val="single" w:color="auto" w:sz="4" w:space="0"/>
              <w:right w:val="nil"/>
            </w:tcBorders>
            <w:noWrap w:val="0"/>
            <w:vAlign w:val="center"/>
          </w:tcPr>
          <w:p w14:paraId="53D17BBA">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与下游厂界距离/m</w:t>
            </w:r>
          </w:p>
        </w:tc>
      </w:tr>
      <w:tr w14:paraId="7059AE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continue"/>
            <w:tcBorders>
              <w:top w:val="single" w:color="auto" w:sz="4" w:space="0"/>
              <w:left w:val="nil"/>
              <w:bottom w:val="single" w:color="auto" w:sz="4" w:space="0"/>
              <w:right w:val="single" w:color="auto" w:sz="4" w:space="0"/>
            </w:tcBorders>
            <w:noWrap w:val="0"/>
            <w:vAlign w:val="center"/>
          </w:tcPr>
          <w:p w14:paraId="4B31093A">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cs="Times New Roman"/>
                <w:color w:val="auto"/>
                <w:sz w:val="18"/>
                <w:szCs w:val="18"/>
              </w:rPr>
            </w:pPr>
          </w:p>
        </w:tc>
        <w:tc>
          <w:tcPr>
            <w:tcW w:w="420" w:type="pct"/>
            <w:tcBorders>
              <w:top w:val="single" w:color="auto" w:sz="4" w:space="0"/>
              <w:left w:val="single" w:color="auto" w:sz="4" w:space="0"/>
              <w:bottom w:val="single" w:color="auto" w:sz="4" w:space="0"/>
              <w:right w:val="single" w:color="auto" w:sz="4" w:space="0"/>
            </w:tcBorders>
            <w:noWrap w:val="0"/>
            <w:vAlign w:val="center"/>
          </w:tcPr>
          <w:p w14:paraId="31CEF3C3">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w:t>
            </w:r>
          </w:p>
        </w:tc>
        <w:tc>
          <w:tcPr>
            <w:tcW w:w="917" w:type="pct"/>
            <w:gridSpan w:val="3"/>
            <w:tcBorders>
              <w:top w:val="single" w:color="auto" w:sz="4" w:space="0"/>
              <w:left w:val="single" w:color="auto" w:sz="4" w:space="0"/>
              <w:bottom w:val="single" w:color="auto" w:sz="4" w:space="0"/>
              <w:right w:val="single" w:color="auto" w:sz="4" w:space="0"/>
            </w:tcBorders>
            <w:noWrap w:val="0"/>
            <w:vAlign w:val="center"/>
          </w:tcPr>
          <w:p w14:paraId="28202871">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w:t>
            </w:r>
          </w:p>
        </w:tc>
        <w:tc>
          <w:tcPr>
            <w:tcW w:w="822" w:type="pct"/>
            <w:gridSpan w:val="2"/>
            <w:tcBorders>
              <w:top w:val="single" w:color="auto" w:sz="4" w:space="0"/>
              <w:left w:val="single" w:color="auto" w:sz="4" w:space="0"/>
              <w:bottom w:val="single" w:color="auto" w:sz="4" w:space="0"/>
              <w:right w:val="single" w:color="auto" w:sz="4" w:space="0"/>
            </w:tcBorders>
            <w:noWrap w:val="0"/>
            <w:vAlign w:val="center"/>
          </w:tcPr>
          <w:p w14:paraId="49F7D3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w:t>
            </w:r>
          </w:p>
        </w:tc>
        <w:tc>
          <w:tcPr>
            <w:tcW w:w="875" w:type="pct"/>
            <w:tcBorders>
              <w:top w:val="single" w:color="auto" w:sz="4" w:space="0"/>
              <w:left w:val="single" w:color="auto" w:sz="4" w:space="0"/>
              <w:bottom w:val="single" w:color="auto" w:sz="4" w:space="0"/>
              <w:right w:val="single" w:color="auto" w:sz="4" w:space="0"/>
            </w:tcBorders>
            <w:noWrap w:val="0"/>
            <w:vAlign w:val="center"/>
          </w:tcPr>
          <w:p w14:paraId="4AE27A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w:t>
            </w:r>
          </w:p>
        </w:tc>
        <w:tc>
          <w:tcPr>
            <w:tcW w:w="868" w:type="pct"/>
            <w:tcBorders>
              <w:top w:val="single" w:color="auto" w:sz="4" w:space="0"/>
              <w:left w:val="single" w:color="auto" w:sz="4" w:space="0"/>
              <w:bottom w:val="single" w:color="auto" w:sz="4" w:space="0"/>
              <w:right w:val="single" w:color="auto" w:sz="4" w:space="0"/>
            </w:tcBorders>
            <w:noWrap w:val="0"/>
            <w:vAlign w:val="center"/>
          </w:tcPr>
          <w:p w14:paraId="3C8A89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w:t>
            </w:r>
          </w:p>
        </w:tc>
        <w:tc>
          <w:tcPr>
            <w:tcW w:w="588" w:type="pct"/>
            <w:tcBorders>
              <w:top w:val="single" w:color="auto" w:sz="4" w:space="0"/>
              <w:left w:val="single" w:color="auto" w:sz="4" w:space="0"/>
              <w:bottom w:val="single" w:color="auto" w:sz="4" w:space="0"/>
              <w:right w:val="nil"/>
            </w:tcBorders>
            <w:noWrap w:val="0"/>
            <w:vAlign w:val="center"/>
          </w:tcPr>
          <w:p w14:paraId="0DEBD2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w:t>
            </w:r>
          </w:p>
        </w:tc>
      </w:tr>
      <w:tr w14:paraId="66CDB0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8" w:type="pct"/>
            <w:vMerge w:val="continue"/>
            <w:tcBorders>
              <w:top w:val="single" w:color="auto" w:sz="4" w:space="0"/>
              <w:left w:val="nil"/>
              <w:bottom w:val="single" w:color="auto" w:sz="4" w:space="0"/>
              <w:right w:val="single" w:color="auto" w:sz="4" w:space="0"/>
            </w:tcBorders>
            <w:noWrap w:val="0"/>
            <w:vAlign w:val="center"/>
          </w:tcPr>
          <w:p w14:paraId="3BDBCA46">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cs="Times New Roman"/>
                <w:color w:val="auto"/>
                <w:sz w:val="18"/>
                <w:szCs w:val="18"/>
              </w:rPr>
            </w:pPr>
          </w:p>
        </w:tc>
        <w:tc>
          <w:tcPr>
            <w:tcW w:w="3902" w:type="pct"/>
            <w:gridSpan w:val="8"/>
            <w:tcBorders>
              <w:top w:val="single" w:color="auto" w:sz="4" w:space="0"/>
              <w:left w:val="single" w:color="auto" w:sz="4" w:space="0"/>
              <w:bottom w:val="single" w:color="auto" w:sz="4" w:space="0"/>
              <w:right w:val="single" w:color="auto" w:sz="4" w:space="0"/>
            </w:tcBorders>
            <w:noWrap w:val="0"/>
            <w:vAlign w:val="center"/>
          </w:tcPr>
          <w:p w14:paraId="0CC3F193">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地下水环境敏感程度E值</w:t>
            </w:r>
          </w:p>
        </w:tc>
        <w:tc>
          <w:tcPr>
            <w:tcW w:w="588" w:type="pct"/>
            <w:tcBorders>
              <w:top w:val="single" w:color="auto" w:sz="4" w:space="0"/>
              <w:left w:val="single" w:color="auto" w:sz="4" w:space="0"/>
              <w:bottom w:val="single" w:color="auto" w:sz="4" w:space="0"/>
              <w:right w:val="nil"/>
            </w:tcBorders>
            <w:noWrap w:val="0"/>
            <w:vAlign w:val="center"/>
          </w:tcPr>
          <w:p w14:paraId="69D2FE34">
            <w:pPr>
              <w:pStyle w:val="17"/>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sz w:val="18"/>
                <w:szCs w:val="18"/>
                <w:lang w:val="en-US" w:eastAsia="zh-CN"/>
              </w:rPr>
              <w:t>E3</w:t>
            </w:r>
          </w:p>
        </w:tc>
      </w:tr>
    </w:tbl>
    <w:p w14:paraId="053D51B5">
      <w:pPr>
        <w:pStyle w:val="6"/>
        <w:bidi w:val="0"/>
        <w:rPr>
          <w:rFonts w:hint="default" w:ascii="Times New Roman" w:hAnsi="Times New Roman" w:cs="Times New Roman"/>
        </w:rPr>
      </w:pPr>
      <w:bookmarkStart w:id="567" w:name="_Toc28167"/>
      <w:r>
        <w:rPr>
          <w:rFonts w:hint="default" w:ascii="Times New Roman" w:hAnsi="Times New Roman" w:cs="Times New Roman"/>
          <w:lang w:val="en-US" w:eastAsia="zh-CN"/>
        </w:rPr>
        <w:t>6.8</w:t>
      </w:r>
      <w:r>
        <w:rPr>
          <w:rFonts w:hint="default" w:ascii="Times New Roman" w:hAnsi="Times New Roman" w:cs="Times New Roman"/>
        </w:rPr>
        <w:t>.2环境风险潜势初判</w:t>
      </w:r>
      <w:bookmarkEnd w:id="567"/>
    </w:p>
    <w:p w14:paraId="066159E5">
      <w:pPr>
        <w:spacing w:line="360" w:lineRule="auto"/>
        <w:ind w:firstLine="480"/>
        <w:rPr>
          <w:rFonts w:hint="default" w:ascii="Times New Roman" w:hAnsi="Times New Roman" w:cs="Times New Roman"/>
        </w:rPr>
      </w:pPr>
      <w:r>
        <w:rPr>
          <w:rFonts w:hint="default" w:ascii="Times New Roman" w:hAnsi="Times New Roman" w:cs="Times New Roman"/>
        </w:rPr>
        <w:t>（1）危险物质数量与临界量比值（Q）</w:t>
      </w:r>
    </w:p>
    <w:p w14:paraId="2BCDC3CB">
      <w:pPr>
        <w:keepNext w:val="0"/>
        <w:keepLines w:val="0"/>
        <w:widowControl w:val="0"/>
        <w:suppressLineNumbers w:val="0"/>
        <w:snapToGrid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 xml:space="preserve">项目所涉及的每种危险物质在厂界内的最大存在总量与对应的临界量的比值为Q。本项目涉及的风险物质Q值计算公式如下： </w:t>
      </w:r>
    </w:p>
    <w:p w14:paraId="1D93C491">
      <w:pPr>
        <w:pStyle w:val="26"/>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4"/>
          <w:szCs w:val="24"/>
          <w:lang w:val="en-US"/>
        </w:rPr>
      </w:pPr>
      <w:r>
        <w:rPr>
          <w:rFonts w:hint="default" w:ascii="Times New Roman" w:hAnsi="Times New Roman" w:eastAsia="宋体" w:cs="Times New Roman"/>
          <w:color w:val="auto"/>
          <w:kern w:val="2"/>
          <w:position w:val="-30"/>
          <w:sz w:val="24"/>
          <w:szCs w:val="24"/>
          <w:lang w:val="en-US" w:eastAsia="zh-CN" w:bidi="ar"/>
        </w:rPr>
        <w:object>
          <v:shape id="_x0000_i1032" o:spt="75" type="#_x0000_t75" style="height:36.1pt;width:103.55pt;" o:ole="t" filled="f" o:preferrelative="t" stroked="f" coordsize="21600,21600">
            <v:path/>
            <v:fill on="f" focussize="0,0"/>
            <v:stroke on="f"/>
            <v:imagedata r:id="rId45" o:title=""/>
            <o:lock v:ext="edit" aspectratio="t"/>
            <w10:wrap type="none"/>
            <w10:anchorlock/>
          </v:shape>
          <o:OLEObject Type="Embed" ProgID="Equation.3" ShapeID="_x0000_i1032" DrawAspect="Content" ObjectID="_1468075732" r:id="rId44">
            <o:LockedField>false</o:LockedField>
          </o:OLEObject>
        </w:object>
      </w:r>
      <w:r>
        <w:rPr>
          <w:rFonts w:hint="default" w:ascii="Times New Roman" w:hAnsi="Times New Roman" w:eastAsia="宋体" w:cs="Times New Roman"/>
          <w:color w:val="auto"/>
          <w:kern w:val="0"/>
          <w:sz w:val="24"/>
          <w:szCs w:val="24"/>
          <w:lang w:val="en-US" w:eastAsia="zh-CN" w:bidi="ar"/>
        </w:rPr>
        <w:t xml:space="preserve"> </w:t>
      </w:r>
    </w:p>
    <w:p w14:paraId="47FBF69A">
      <w:pPr>
        <w:keepNext w:val="0"/>
        <w:keepLines w:val="0"/>
        <w:widowControl w:val="0"/>
        <w:suppressLineNumbers w:val="0"/>
        <w:snapToGrid w:val="0"/>
        <w:spacing w:before="0" w:beforeAutospacing="0" w:after="0" w:afterAutospacing="0" w:line="360" w:lineRule="auto"/>
        <w:ind w:left="0" w:right="0" w:firstLine="490" w:firstLineChars="20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式中：q</w:t>
      </w:r>
      <w:r>
        <w:rPr>
          <w:rFonts w:hint="default" w:ascii="Times New Roman" w:hAnsi="Times New Roman" w:eastAsia="宋体" w:cs="Times New Roman"/>
          <w:color w:val="auto"/>
          <w:kern w:val="2"/>
          <w:sz w:val="24"/>
          <w:szCs w:val="24"/>
          <w:vertAlign w:val="subscript"/>
          <w:lang w:val="en-US" w:eastAsia="zh-CN" w:bidi="ar"/>
        </w:rPr>
        <w:t>1</w:t>
      </w:r>
      <w:r>
        <w:rPr>
          <w:rFonts w:hint="default" w:ascii="Times New Roman" w:hAnsi="Times New Roman" w:eastAsia="宋体" w:cs="Times New Roman"/>
          <w:color w:val="auto"/>
          <w:kern w:val="2"/>
          <w:sz w:val="24"/>
          <w:szCs w:val="24"/>
          <w:lang w:val="en-US" w:eastAsia="zh-CN" w:bidi="ar"/>
        </w:rPr>
        <w:t>，q</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，....，qn——每种环境风险物质的最大存在总量，t。</w:t>
      </w:r>
    </w:p>
    <w:p w14:paraId="7BF09F42">
      <w:pPr>
        <w:keepNext w:val="0"/>
        <w:keepLines w:val="0"/>
        <w:widowControl w:val="0"/>
        <w:suppressLineNumbers w:val="0"/>
        <w:snapToGrid w:val="0"/>
        <w:spacing w:before="0" w:beforeAutospacing="0" w:after="0" w:afterAutospacing="0" w:line="360" w:lineRule="auto"/>
        <w:ind w:left="0" w:right="0" w:firstLine="1225" w:firstLineChars="500"/>
        <w:jc w:val="both"/>
        <w:rPr>
          <w:rFonts w:hint="default" w:ascii="Times New Roman" w:hAnsi="Times New Roman" w:cs="Times New Roman"/>
        </w:rPr>
      </w:pPr>
      <w:r>
        <w:rPr>
          <w:rFonts w:hint="default" w:ascii="Times New Roman" w:hAnsi="Times New Roman" w:eastAsia="宋体" w:cs="Times New Roman"/>
          <w:color w:val="auto"/>
          <w:kern w:val="2"/>
          <w:sz w:val="24"/>
          <w:szCs w:val="24"/>
          <w:lang w:val="en-US" w:eastAsia="zh-CN" w:bidi="ar"/>
        </w:rPr>
        <w:t>Q</w:t>
      </w:r>
      <w:r>
        <w:rPr>
          <w:rFonts w:hint="default" w:ascii="Times New Roman" w:hAnsi="Times New Roman" w:eastAsia="宋体" w:cs="Times New Roman"/>
          <w:color w:val="auto"/>
          <w:kern w:val="2"/>
          <w:sz w:val="24"/>
          <w:szCs w:val="24"/>
          <w:vertAlign w:val="subscript"/>
          <w:lang w:val="en-US" w:eastAsia="zh-CN" w:bidi="ar"/>
        </w:rPr>
        <w:t>1</w:t>
      </w:r>
      <w:r>
        <w:rPr>
          <w:rFonts w:hint="default" w:ascii="Times New Roman" w:hAnsi="Times New Roman" w:eastAsia="宋体" w:cs="Times New Roman"/>
          <w:color w:val="auto"/>
          <w:kern w:val="2"/>
          <w:sz w:val="24"/>
          <w:szCs w:val="24"/>
          <w:lang w:val="en-US" w:eastAsia="zh-CN" w:bidi="ar"/>
        </w:rPr>
        <w:t>，Q</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，....，Qn——每种环境风险物质相对应的临界量，t。</w:t>
      </w:r>
    </w:p>
    <w:p w14:paraId="7E0A73E5">
      <w:pPr>
        <w:spacing w:line="360" w:lineRule="auto"/>
        <w:ind w:firstLine="480"/>
        <w:rPr>
          <w:rFonts w:hint="default" w:ascii="Times New Roman" w:hAnsi="Times New Roman" w:eastAsia="宋体" w:cs="Times New Roman"/>
          <w:szCs w:val="24"/>
        </w:rPr>
      </w:pPr>
      <w:r>
        <w:rPr>
          <w:rFonts w:hint="default" w:ascii="Times New Roman" w:hAnsi="Times New Roman" w:eastAsia="宋体" w:cs="Times New Roman"/>
          <w:szCs w:val="24"/>
          <w:lang w:val="en-US" w:eastAsia="zh-CN"/>
        </w:rPr>
        <w:t>本项目产生的废机油依托矿山危险废物暂存间暂存。据调查，鲁奎山铁矿废机油产生量约为0.5t/a，废机油暂存危险废物暂存间，交由集团公司委托资质单位统一处理。</w:t>
      </w:r>
    </w:p>
    <w:p w14:paraId="4B47D8C7">
      <w:pPr>
        <w:adjustRightInd w:val="0"/>
        <w:snapToGrid w:val="0"/>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6</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8.2</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1</w:t>
      </w:r>
      <w:r>
        <w:rPr>
          <w:rFonts w:hint="default" w:ascii="Times New Roman" w:hAnsi="Times New Roman" w:eastAsia="黑体" w:cs="Times New Roman"/>
          <w:b w:val="0"/>
          <w:bCs/>
          <w:sz w:val="21"/>
          <w:szCs w:val="21"/>
        </w:rPr>
        <w:t xml:space="preserve">  建设项目Q值确定表</w:t>
      </w:r>
    </w:p>
    <w:tbl>
      <w:tblPr>
        <w:tblStyle w:val="30"/>
        <w:tblW w:w="4998"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917"/>
        <w:gridCol w:w="917"/>
        <w:gridCol w:w="1144"/>
        <w:gridCol w:w="917"/>
        <w:gridCol w:w="1687"/>
        <w:gridCol w:w="2818"/>
      </w:tblGrid>
      <w:tr w14:paraId="0B3CD0E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Align w:val="center"/>
          </w:tcPr>
          <w:p w14:paraId="3D095051">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序号</w:t>
            </w:r>
          </w:p>
        </w:tc>
        <w:tc>
          <w:tcPr>
            <w:tcW w:w="494" w:type="pct"/>
            <w:vAlign w:val="center"/>
          </w:tcPr>
          <w:p w14:paraId="2EC5EC49">
            <w:pPr>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eastAsia="宋体" w:cs="Times New Roman"/>
                <w:color w:val="auto"/>
                <w:kern w:val="24"/>
                <w:sz w:val="18"/>
                <w:szCs w:val="18"/>
                <w:lang w:val="en-US" w:eastAsia="zh-CN"/>
              </w:rPr>
              <w:t>来源</w:t>
            </w:r>
          </w:p>
        </w:tc>
        <w:tc>
          <w:tcPr>
            <w:tcW w:w="494" w:type="pct"/>
            <w:vAlign w:val="center"/>
          </w:tcPr>
          <w:p w14:paraId="361D14FF">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风险源</w:t>
            </w:r>
          </w:p>
        </w:tc>
        <w:tc>
          <w:tcPr>
            <w:tcW w:w="616" w:type="pct"/>
            <w:vAlign w:val="center"/>
          </w:tcPr>
          <w:p w14:paraId="1F33F782">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危险物质</w:t>
            </w:r>
          </w:p>
        </w:tc>
        <w:tc>
          <w:tcPr>
            <w:tcW w:w="494" w:type="pct"/>
            <w:vAlign w:val="center"/>
          </w:tcPr>
          <w:p w14:paraId="332FF0E1">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最大储存量</w:t>
            </w:r>
          </w:p>
        </w:tc>
        <w:tc>
          <w:tcPr>
            <w:tcW w:w="905" w:type="pct"/>
            <w:vAlign w:val="center"/>
          </w:tcPr>
          <w:p w14:paraId="07AE28B2">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临界量</w:t>
            </w:r>
          </w:p>
        </w:tc>
        <w:tc>
          <w:tcPr>
            <w:tcW w:w="1517" w:type="pct"/>
            <w:tcBorders>
              <w:right w:val="nil"/>
            </w:tcBorders>
            <w:vAlign w:val="center"/>
          </w:tcPr>
          <w:p w14:paraId="485392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4"/>
                <w:sz w:val="18"/>
                <w:szCs w:val="18"/>
              </w:rPr>
            </w:pPr>
            <w:r>
              <w:rPr>
                <w:rFonts w:hint="default" w:ascii="Times New Roman" w:hAnsi="Times New Roman" w:eastAsia="宋体" w:cs="Times New Roman"/>
                <w:b w:val="0"/>
                <w:bCs/>
                <w:color w:val="auto"/>
                <w:kern w:val="0"/>
                <w:sz w:val="18"/>
                <w:szCs w:val="18"/>
                <w:highlight w:val="none"/>
              </w:rPr>
              <w:t>该种危险物质Q 值</w:t>
            </w:r>
          </w:p>
        </w:tc>
      </w:tr>
      <w:tr w14:paraId="3D741BCE">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jc w:val="center"/>
        </w:trPr>
        <w:tc>
          <w:tcPr>
            <w:tcW w:w="476" w:type="pct"/>
            <w:vAlign w:val="center"/>
          </w:tcPr>
          <w:p w14:paraId="412B5A3D">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1</w:t>
            </w:r>
          </w:p>
        </w:tc>
        <w:tc>
          <w:tcPr>
            <w:tcW w:w="494" w:type="pct"/>
            <w:vAlign w:val="center"/>
          </w:tcPr>
          <w:p w14:paraId="379DC3EE">
            <w:pPr>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eastAsia="宋体" w:cs="Times New Roman"/>
                <w:color w:val="auto"/>
                <w:kern w:val="24"/>
                <w:sz w:val="18"/>
                <w:szCs w:val="18"/>
                <w:lang w:val="en-US" w:eastAsia="zh-CN"/>
              </w:rPr>
              <w:t>本项目新增</w:t>
            </w:r>
          </w:p>
        </w:tc>
        <w:tc>
          <w:tcPr>
            <w:tcW w:w="494" w:type="pct"/>
            <w:vMerge w:val="restart"/>
            <w:vAlign w:val="center"/>
          </w:tcPr>
          <w:p w14:paraId="4FC70D67">
            <w:pPr>
              <w:jc w:val="center"/>
              <w:rPr>
                <w:rFonts w:hint="default" w:ascii="Times New Roman" w:hAnsi="Times New Roman" w:eastAsia="宋体" w:cs="Times New Roman"/>
                <w:color w:val="auto"/>
                <w:kern w:val="24"/>
                <w:sz w:val="18"/>
                <w:szCs w:val="18"/>
              </w:rPr>
            </w:pPr>
            <w:r>
              <w:rPr>
                <w:rFonts w:hint="default" w:ascii="Times New Roman" w:hAnsi="Times New Roman" w:cs="Times New Roman"/>
                <w:color w:val="auto"/>
                <w:kern w:val="24"/>
                <w:sz w:val="18"/>
                <w:szCs w:val="18"/>
                <w:lang w:val="en-US" w:eastAsia="zh-CN"/>
              </w:rPr>
              <w:t>鲁奎山铁矿</w:t>
            </w:r>
            <w:r>
              <w:rPr>
                <w:rFonts w:hint="default" w:ascii="Times New Roman" w:hAnsi="Times New Roman" w:eastAsia="宋体" w:cs="Times New Roman"/>
                <w:color w:val="auto"/>
                <w:kern w:val="24"/>
                <w:sz w:val="18"/>
                <w:szCs w:val="18"/>
              </w:rPr>
              <w:t>危废暂存间</w:t>
            </w:r>
          </w:p>
        </w:tc>
        <w:tc>
          <w:tcPr>
            <w:tcW w:w="616" w:type="pct"/>
            <w:vAlign w:val="center"/>
          </w:tcPr>
          <w:p w14:paraId="4CFE1742">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sz w:val="18"/>
                <w:szCs w:val="18"/>
              </w:rPr>
              <w:t>废</w:t>
            </w:r>
            <w:r>
              <w:rPr>
                <w:rFonts w:hint="default" w:ascii="Times New Roman" w:hAnsi="Times New Roman" w:eastAsia="宋体" w:cs="Times New Roman"/>
                <w:color w:val="auto"/>
                <w:sz w:val="18"/>
                <w:szCs w:val="18"/>
                <w:lang w:val="en-US" w:eastAsia="zh-CN"/>
              </w:rPr>
              <w:t>机</w:t>
            </w:r>
            <w:r>
              <w:rPr>
                <w:rFonts w:hint="default" w:ascii="Times New Roman" w:hAnsi="Times New Roman" w:eastAsia="宋体" w:cs="Times New Roman"/>
                <w:color w:val="auto"/>
                <w:sz w:val="18"/>
                <w:szCs w:val="18"/>
              </w:rPr>
              <w:t>油</w:t>
            </w:r>
          </w:p>
        </w:tc>
        <w:tc>
          <w:tcPr>
            <w:tcW w:w="494" w:type="pct"/>
            <w:vAlign w:val="center"/>
          </w:tcPr>
          <w:p w14:paraId="784270AD">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0.</w:t>
            </w:r>
            <w:r>
              <w:rPr>
                <w:rFonts w:hint="default" w:ascii="Times New Roman" w:hAnsi="Times New Roman" w:eastAsia="宋体" w:cs="Times New Roman"/>
                <w:color w:val="auto"/>
                <w:kern w:val="24"/>
                <w:sz w:val="18"/>
                <w:szCs w:val="18"/>
                <w:lang w:val="en-US" w:eastAsia="zh-CN"/>
              </w:rPr>
              <w:t>01</w:t>
            </w:r>
            <w:r>
              <w:rPr>
                <w:rFonts w:hint="default" w:ascii="Times New Roman" w:hAnsi="Times New Roman" w:eastAsia="宋体" w:cs="Times New Roman"/>
                <w:color w:val="auto"/>
                <w:kern w:val="24"/>
                <w:sz w:val="18"/>
                <w:szCs w:val="18"/>
              </w:rPr>
              <w:t>t</w:t>
            </w:r>
          </w:p>
        </w:tc>
        <w:tc>
          <w:tcPr>
            <w:tcW w:w="905" w:type="pct"/>
            <w:vAlign w:val="center"/>
          </w:tcPr>
          <w:p w14:paraId="590AB68B">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2500t</w:t>
            </w:r>
          </w:p>
        </w:tc>
        <w:tc>
          <w:tcPr>
            <w:tcW w:w="1517" w:type="pct"/>
            <w:tcBorders>
              <w:right w:val="nil"/>
            </w:tcBorders>
            <w:vAlign w:val="center"/>
          </w:tcPr>
          <w:p w14:paraId="184E6E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0"/>
                <w:sz w:val="18"/>
                <w:szCs w:val="18"/>
                <w:highlight w:val="none"/>
                <w:lang w:val="en-US" w:eastAsia="zh-CN"/>
              </w:rPr>
              <w:t>4*10</w:t>
            </w:r>
            <w:r>
              <w:rPr>
                <w:rFonts w:hint="default" w:ascii="Times New Roman" w:hAnsi="Times New Roman" w:eastAsia="宋体" w:cs="Times New Roman"/>
                <w:color w:val="auto"/>
                <w:kern w:val="0"/>
                <w:sz w:val="18"/>
                <w:szCs w:val="18"/>
                <w:highlight w:val="none"/>
                <w:vertAlign w:val="superscript"/>
                <w:lang w:val="en-US" w:eastAsia="zh-CN"/>
              </w:rPr>
              <w:t>-6</w:t>
            </w:r>
          </w:p>
        </w:tc>
      </w:tr>
      <w:tr w14:paraId="09FCA1DA">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Align w:val="center"/>
          </w:tcPr>
          <w:p w14:paraId="41A05383">
            <w:pPr>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eastAsia="宋体" w:cs="Times New Roman"/>
                <w:color w:val="auto"/>
                <w:kern w:val="24"/>
                <w:sz w:val="18"/>
                <w:szCs w:val="18"/>
                <w:lang w:val="en-US" w:eastAsia="zh-CN"/>
              </w:rPr>
              <w:t>2</w:t>
            </w:r>
          </w:p>
        </w:tc>
        <w:tc>
          <w:tcPr>
            <w:tcW w:w="494" w:type="pct"/>
            <w:vAlign w:val="center"/>
          </w:tcPr>
          <w:p w14:paraId="03B189A0">
            <w:pPr>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cs="Times New Roman"/>
                <w:color w:val="auto"/>
                <w:kern w:val="24"/>
                <w:sz w:val="18"/>
                <w:szCs w:val="18"/>
                <w:lang w:val="en-US" w:eastAsia="zh-CN"/>
              </w:rPr>
              <w:t>鲁奎山铁矿</w:t>
            </w:r>
          </w:p>
        </w:tc>
        <w:tc>
          <w:tcPr>
            <w:tcW w:w="494" w:type="pct"/>
            <w:vMerge w:val="continue"/>
            <w:vAlign w:val="center"/>
          </w:tcPr>
          <w:p w14:paraId="13AD6B52">
            <w:pPr>
              <w:jc w:val="center"/>
              <w:rPr>
                <w:rFonts w:hint="default" w:ascii="Times New Roman" w:hAnsi="Times New Roman" w:eastAsia="宋体" w:cs="Times New Roman"/>
                <w:color w:val="auto"/>
                <w:kern w:val="24"/>
                <w:sz w:val="18"/>
                <w:szCs w:val="18"/>
              </w:rPr>
            </w:pPr>
          </w:p>
        </w:tc>
        <w:tc>
          <w:tcPr>
            <w:tcW w:w="616" w:type="pct"/>
            <w:vAlign w:val="center"/>
          </w:tcPr>
          <w:p w14:paraId="730C850E">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w:t>
            </w:r>
            <w:r>
              <w:rPr>
                <w:rFonts w:hint="default" w:ascii="Times New Roman" w:hAnsi="Times New Roman" w:eastAsia="宋体" w:cs="Times New Roman"/>
                <w:color w:val="auto"/>
                <w:sz w:val="18"/>
                <w:szCs w:val="18"/>
                <w:lang w:val="en-US" w:eastAsia="zh-CN"/>
              </w:rPr>
              <w:t>机</w:t>
            </w:r>
            <w:r>
              <w:rPr>
                <w:rFonts w:hint="default" w:ascii="Times New Roman" w:hAnsi="Times New Roman" w:eastAsia="宋体" w:cs="Times New Roman"/>
                <w:color w:val="auto"/>
                <w:sz w:val="18"/>
                <w:szCs w:val="18"/>
              </w:rPr>
              <w:t>油</w:t>
            </w:r>
          </w:p>
        </w:tc>
        <w:tc>
          <w:tcPr>
            <w:tcW w:w="494" w:type="pct"/>
            <w:vAlign w:val="center"/>
          </w:tcPr>
          <w:p w14:paraId="7BF6EC45">
            <w:pPr>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eastAsia="宋体" w:cs="Times New Roman"/>
                <w:color w:val="auto"/>
                <w:kern w:val="24"/>
                <w:sz w:val="18"/>
                <w:szCs w:val="18"/>
                <w:lang w:val="en-US" w:eastAsia="zh-CN"/>
              </w:rPr>
              <w:t>0.5</w:t>
            </w:r>
            <w:r>
              <w:rPr>
                <w:rFonts w:hint="default" w:ascii="Times New Roman" w:hAnsi="Times New Roman" w:eastAsia="宋体" w:cs="Times New Roman"/>
                <w:color w:val="auto"/>
                <w:kern w:val="24"/>
                <w:sz w:val="18"/>
                <w:szCs w:val="18"/>
              </w:rPr>
              <w:t>t</w:t>
            </w:r>
          </w:p>
        </w:tc>
        <w:tc>
          <w:tcPr>
            <w:tcW w:w="905" w:type="pct"/>
            <w:vAlign w:val="center"/>
          </w:tcPr>
          <w:p w14:paraId="6AEBF995">
            <w:pPr>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lang w:val="en-US" w:eastAsia="zh-CN"/>
              </w:rPr>
              <w:t>2500</w:t>
            </w:r>
            <w:r>
              <w:rPr>
                <w:rFonts w:hint="default" w:ascii="Times New Roman" w:hAnsi="Times New Roman" w:eastAsia="宋体" w:cs="Times New Roman"/>
                <w:color w:val="auto"/>
                <w:kern w:val="24"/>
                <w:sz w:val="18"/>
                <w:szCs w:val="18"/>
              </w:rPr>
              <w:t>t</w:t>
            </w:r>
          </w:p>
        </w:tc>
        <w:tc>
          <w:tcPr>
            <w:tcW w:w="1517" w:type="pct"/>
            <w:tcBorders>
              <w:right w:val="nil"/>
            </w:tcBorders>
            <w:vAlign w:val="center"/>
          </w:tcPr>
          <w:p w14:paraId="7C233B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4"/>
                <w:sz w:val="18"/>
                <w:szCs w:val="18"/>
                <w:lang w:val="en-US"/>
              </w:rPr>
            </w:pPr>
            <w:r>
              <w:rPr>
                <w:rFonts w:hint="default" w:ascii="Times New Roman" w:hAnsi="Times New Roman" w:eastAsia="宋体" w:cs="Times New Roman"/>
                <w:color w:val="auto"/>
                <w:kern w:val="0"/>
                <w:sz w:val="18"/>
                <w:szCs w:val="18"/>
                <w:highlight w:val="none"/>
                <w:lang w:val="en-US" w:eastAsia="zh-CN"/>
              </w:rPr>
              <w:t>2*10</w:t>
            </w:r>
            <w:r>
              <w:rPr>
                <w:rFonts w:hint="default" w:ascii="Times New Roman" w:hAnsi="Times New Roman" w:eastAsia="宋体" w:cs="Times New Roman"/>
                <w:color w:val="auto"/>
                <w:kern w:val="0"/>
                <w:sz w:val="18"/>
                <w:szCs w:val="18"/>
                <w:highlight w:val="none"/>
                <w:vertAlign w:val="superscript"/>
                <w:lang w:val="en-US" w:eastAsia="zh-CN"/>
              </w:rPr>
              <w:t>-4</w:t>
            </w:r>
          </w:p>
        </w:tc>
      </w:tr>
      <w:tr w14:paraId="0AF95C18">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2" w:type="pct"/>
            <w:gridSpan w:val="6"/>
            <w:vAlign w:val="center"/>
          </w:tcPr>
          <w:p w14:paraId="7598359E">
            <w:pPr>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eastAsia="宋体" w:cs="Times New Roman"/>
                <w:color w:val="auto"/>
                <w:kern w:val="24"/>
                <w:sz w:val="18"/>
                <w:szCs w:val="18"/>
                <w:lang w:val="en-US" w:eastAsia="zh-CN"/>
              </w:rPr>
              <w:t>合计</w:t>
            </w:r>
          </w:p>
        </w:tc>
        <w:tc>
          <w:tcPr>
            <w:tcW w:w="1517" w:type="pct"/>
            <w:tcBorders>
              <w:right w:val="nil"/>
            </w:tcBorders>
            <w:vAlign w:val="center"/>
          </w:tcPr>
          <w:p w14:paraId="3F4186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2.04*10</w:t>
            </w:r>
            <w:r>
              <w:rPr>
                <w:rFonts w:hint="default" w:ascii="Times New Roman" w:hAnsi="Times New Roman" w:eastAsia="宋体" w:cs="Times New Roman"/>
                <w:color w:val="auto"/>
                <w:kern w:val="0"/>
                <w:sz w:val="18"/>
                <w:szCs w:val="18"/>
                <w:highlight w:val="none"/>
                <w:vertAlign w:val="superscript"/>
                <w:lang w:val="en-US" w:eastAsia="zh-CN"/>
              </w:rPr>
              <w:t>-4</w:t>
            </w:r>
          </w:p>
        </w:tc>
      </w:tr>
    </w:tbl>
    <w:p w14:paraId="6B7DCCA8">
      <w:pPr>
        <w:ind w:firstLine="490" w:firstLineChars="200"/>
        <w:rPr>
          <w:rFonts w:hint="default" w:ascii="Times New Roman" w:hAnsi="Times New Roman" w:cs="Times New Roman"/>
        </w:rPr>
      </w:pPr>
      <w:r>
        <w:rPr>
          <w:rFonts w:hint="default" w:ascii="Times New Roman" w:hAnsi="Times New Roman" w:cs="Times New Roman"/>
        </w:rPr>
        <w:t>根据上表的计算结果，本项目Q值</w:t>
      </w:r>
      <w:r>
        <w:rPr>
          <w:rFonts w:hint="default" w:ascii="Times New Roman" w:hAnsi="Times New Roman" w:cs="Times New Roman"/>
          <w:sz w:val="24"/>
          <w:szCs w:val="24"/>
        </w:rPr>
        <w:t>为</w:t>
      </w:r>
      <w:r>
        <w:rPr>
          <w:rFonts w:hint="default" w:ascii="Times New Roman" w:hAnsi="Times New Roman" w:eastAsia="宋体" w:cs="Times New Roman"/>
          <w:color w:val="auto"/>
          <w:kern w:val="0"/>
          <w:sz w:val="24"/>
          <w:szCs w:val="24"/>
          <w:highlight w:val="none"/>
          <w:lang w:val="en-US" w:eastAsia="zh-CN"/>
        </w:rPr>
        <w:t>2.04*10</w:t>
      </w:r>
      <w:r>
        <w:rPr>
          <w:rFonts w:hint="default" w:ascii="Times New Roman" w:hAnsi="Times New Roman" w:eastAsia="宋体" w:cs="Times New Roman"/>
          <w:color w:val="auto"/>
          <w:kern w:val="0"/>
          <w:sz w:val="24"/>
          <w:szCs w:val="24"/>
          <w:highlight w:val="none"/>
          <w:vertAlign w:val="superscript"/>
          <w:lang w:val="en-US" w:eastAsia="zh-CN"/>
        </w:rPr>
        <w:t>-4</w:t>
      </w:r>
      <w:r>
        <w:rPr>
          <w:rFonts w:hint="default" w:ascii="Times New Roman" w:hAnsi="Times New Roman" w:cs="Times New Roman"/>
        </w:rPr>
        <w:t>（Q＜1），</w:t>
      </w:r>
      <w:r>
        <w:rPr>
          <w:rFonts w:hint="default" w:ascii="Times New Roman" w:hAnsi="Times New Roman" w:cs="Times New Roman"/>
          <w:szCs w:val="24"/>
        </w:rPr>
        <w:t>该项目环境潜势为I</w:t>
      </w:r>
      <w:r>
        <w:rPr>
          <w:rFonts w:hint="default" w:ascii="Times New Roman" w:hAnsi="Times New Roman" w:cs="Times New Roman"/>
        </w:rPr>
        <w:t>。</w:t>
      </w:r>
    </w:p>
    <w:p w14:paraId="378ABA0D">
      <w:pPr>
        <w:pStyle w:val="6"/>
        <w:bidi w:val="0"/>
        <w:rPr>
          <w:rFonts w:hint="default" w:ascii="Times New Roman" w:hAnsi="Times New Roman" w:cs="Times New Roman"/>
        </w:rPr>
      </w:pPr>
      <w:bookmarkStart w:id="568" w:name="_Toc25396"/>
      <w:r>
        <w:rPr>
          <w:rFonts w:hint="default" w:ascii="Times New Roman" w:hAnsi="Times New Roman" w:cs="Times New Roman"/>
          <w:lang w:val="en-US" w:eastAsia="zh-CN"/>
        </w:rPr>
        <w:t>6.8</w:t>
      </w:r>
      <w:r>
        <w:rPr>
          <w:rFonts w:hint="default" w:ascii="Times New Roman" w:hAnsi="Times New Roman" w:cs="Times New Roman"/>
        </w:rPr>
        <w:t>.3评价等级</w:t>
      </w:r>
      <w:bookmarkEnd w:id="568"/>
    </w:p>
    <w:p w14:paraId="1C6E4CFE">
      <w:pPr>
        <w:spacing w:line="360" w:lineRule="auto"/>
        <w:ind w:firstLine="480"/>
        <w:rPr>
          <w:rFonts w:hint="default" w:ascii="Times New Roman" w:hAnsi="Times New Roman" w:cs="Times New Roman"/>
        </w:rPr>
      </w:pPr>
      <w:r>
        <w:rPr>
          <w:rFonts w:hint="default" w:ascii="Times New Roman" w:hAnsi="Times New Roman" w:cs="Times New Roman"/>
          <w:bCs/>
        </w:rPr>
        <w:t>根据《建设项目环境风险评价技术导则》（HJ 169-2018）</w:t>
      </w:r>
      <w:r>
        <w:rPr>
          <w:rFonts w:hint="default" w:ascii="Times New Roman" w:hAnsi="Times New Roman" w:cs="Times New Roman"/>
        </w:rPr>
        <w:t>建设项目评价工作等级划分表。判定本次环境风险评价等级为简单分析。</w:t>
      </w:r>
    </w:p>
    <w:p w14:paraId="22AEE21B">
      <w:pPr>
        <w:jc w:val="center"/>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6</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8.3</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1</w:t>
      </w:r>
      <w:r>
        <w:rPr>
          <w:rFonts w:hint="default" w:ascii="Times New Roman" w:hAnsi="Times New Roman" w:eastAsia="黑体" w:cs="Times New Roman"/>
          <w:b w:val="0"/>
          <w:bCs/>
          <w:sz w:val="21"/>
          <w:szCs w:val="21"/>
        </w:rPr>
        <w:t xml:space="preserve">  环境风险评价工作级别表</w:t>
      </w:r>
    </w:p>
    <w:tbl>
      <w:tblPr>
        <w:tblStyle w:val="2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1728"/>
        <w:gridCol w:w="1943"/>
        <w:gridCol w:w="2374"/>
        <w:gridCol w:w="1728"/>
      </w:tblGrid>
      <w:tr w14:paraId="2886BD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16" w:type="pct"/>
            <w:tcBorders>
              <w:tl2br w:val="nil"/>
              <w:tr2bl w:val="nil"/>
            </w:tcBorders>
            <w:vAlign w:val="center"/>
          </w:tcPr>
          <w:p w14:paraId="6327918F">
            <w:pPr>
              <w:pStyle w:val="47"/>
              <w:snapToGrid/>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环境风险潜势</w:t>
            </w:r>
          </w:p>
        </w:tc>
        <w:tc>
          <w:tcPr>
            <w:tcW w:w="930" w:type="pct"/>
            <w:tcBorders>
              <w:tl2br w:val="nil"/>
              <w:tr2bl w:val="nil"/>
            </w:tcBorders>
            <w:vAlign w:val="center"/>
          </w:tcPr>
          <w:p w14:paraId="7C781E3F">
            <w:pPr>
              <w:pStyle w:val="47"/>
              <w:snapToGrid/>
              <w:rPr>
                <w:rFonts w:hint="default" w:ascii="Times New Roman" w:hAnsi="Times New Roman" w:cs="Times New Roman"/>
                <w:b w:val="0"/>
                <w:bCs/>
                <w:sz w:val="18"/>
                <w:szCs w:val="18"/>
              </w:rPr>
            </w:pPr>
            <w:r>
              <w:rPr>
                <w:rFonts w:hint="default" w:ascii="Times New Roman" w:hAnsi="Times New Roman" w:eastAsia="宋体" w:cs="Times New Roman"/>
                <w:b w:val="0"/>
                <w:bCs/>
                <w:sz w:val="18"/>
                <w:szCs w:val="18"/>
              </w:rPr>
              <w:fldChar w:fldCharType="begin"/>
            </w:r>
            <w:r>
              <w:rPr>
                <w:rFonts w:hint="default" w:ascii="Times New Roman" w:hAnsi="Times New Roman" w:eastAsia="宋体" w:cs="Times New Roman"/>
                <w:b w:val="0"/>
                <w:bCs/>
                <w:sz w:val="18"/>
                <w:szCs w:val="18"/>
              </w:rPr>
              <w:instrText xml:space="preserve"> = 4 \* ROMAN </w:instrText>
            </w:r>
            <w:r>
              <w:rPr>
                <w:rFonts w:hint="default" w:ascii="Times New Roman" w:hAnsi="Times New Roman" w:eastAsia="宋体" w:cs="Times New Roman"/>
                <w:b w:val="0"/>
                <w:bCs/>
                <w:sz w:val="18"/>
                <w:szCs w:val="18"/>
              </w:rPr>
              <w:fldChar w:fldCharType="separate"/>
            </w:r>
            <w:r>
              <w:rPr>
                <w:rFonts w:hint="default" w:ascii="Times New Roman" w:hAnsi="Times New Roman" w:eastAsia="宋体" w:cs="Times New Roman"/>
                <w:b w:val="0"/>
                <w:bCs/>
                <w:sz w:val="18"/>
                <w:szCs w:val="18"/>
              </w:rPr>
              <w:t>IV</w:t>
            </w:r>
            <w:r>
              <w:rPr>
                <w:rFonts w:hint="default" w:ascii="Times New Roman" w:hAnsi="Times New Roman" w:eastAsia="宋体" w:cs="Times New Roman"/>
                <w:b w:val="0"/>
                <w:bCs/>
                <w:sz w:val="18"/>
                <w:szCs w:val="18"/>
              </w:rPr>
              <w:fldChar w:fldCharType="end"/>
            </w:r>
            <w:r>
              <w:rPr>
                <w:rFonts w:hint="default" w:ascii="Times New Roman" w:hAnsi="Times New Roman" w:eastAsia="宋体" w:cs="Times New Roman"/>
                <w:b w:val="0"/>
                <w:bCs/>
                <w:sz w:val="18"/>
                <w:szCs w:val="18"/>
              </w:rPr>
              <w:t>、</w:t>
            </w:r>
            <w:r>
              <w:rPr>
                <w:rFonts w:hint="default" w:ascii="Times New Roman" w:hAnsi="Times New Roman" w:eastAsia="宋体" w:cs="Times New Roman"/>
                <w:b w:val="0"/>
                <w:bCs/>
                <w:sz w:val="18"/>
                <w:szCs w:val="18"/>
              </w:rPr>
              <w:fldChar w:fldCharType="begin"/>
            </w:r>
            <w:r>
              <w:rPr>
                <w:rFonts w:hint="default" w:ascii="Times New Roman" w:hAnsi="Times New Roman" w:eastAsia="宋体" w:cs="Times New Roman"/>
                <w:b w:val="0"/>
                <w:bCs/>
                <w:sz w:val="18"/>
                <w:szCs w:val="18"/>
              </w:rPr>
              <w:instrText xml:space="preserve"> = 4 \* ROMAN </w:instrText>
            </w:r>
            <w:r>
              <w:rPr>
                <w:rFonts w:hint="default" w:ascii="Times New Roman" w:hAnsi="Times New Roman" w:eastAsia="宋体" w:cs="Times New Roman"/>
                <w:b w:val="0"/>
                <w:bCs/>
                <w:sz w:val="18"/>
                <w:szCs w:val="18"/>
              </w:rPr>
              <w:fldChar w:fldCharType="separate"/>
            </w:r>
            <w:r>
              <w:rPr>
                <w:rFonts w:hint="default" w:ascii="Times New Roman" w:hAnsi="Times New Roman" w:eastAsia="宋体" w:cs="Times New Roman"/>
                <w:b w:val="0"/>
                <w:bCs/>
                <w:sz w:val="18"/>
                <w:szCs w:val="18"/>
              </w:rPr>
              <w:t>IV</w:t>
            </w:r>
            <w:r>
              <w:rPr>
                <w:rFonts w:hint="default" w:ascii="Times New Roman" w:hAnsi="Times New Roman" w:eastAsia="宋体" w:cs="Times New Roman"/>
                <w:b w:val="0"/>
                <w:bCs/>
                <w:sz w:val="18"/>
                <w:szCs w:val="18"/>
              </w:rPr>
              <w:fldChar w:fldCharType="end"/>
            </w:r>
            <w:r>
              <w:rPr>
                <w:rFonts w:hint="default" w:ascii="Times New Roman" w:hAnsi="Times New Roman" w:eastAsia="宋体" w:cs="Times New Roman"/>
                <w:b w:val="0"/>
                <w:bCs/>
                <w:sz w:val="18"/>
                <w:szCs w:val="18"/>
                <w:vertAlign w:val="superscript"/>
              </w:rPr>
              <w:t>+</w:t>
            </w:r>
          </w:p>
        </w:tc>
        <w:tc>
          <w:tcPr>
            <w:tcW w:w="1046" w:type="pct"/>
            <w:tcBorders>
              <w:tl2br w:val="nil"/>
              <w:tr2bl w:val="nil"/>
            </w:tcBorders>
            <w:vAlign w:val="center"/>
          </w:tcPr>
          <w:p w14:paraId="55010AC4">
            <w:pPr>
              <w:pStyle w:val="47"/>
              <w:snapToGrid/>
              <w:rPr>
                <w:rFonts w:hint="default" w:ascii="Times New Roman" w:hAnsi="Times New Roman" w:cs="Times New Roman"/>
                <w:b w:val="0"/>
                <w:bCs/>
                <w:sz w:val="18"/>
                <w:szCs w:val="18"/>
              </w:rPr>
            </w:pPr>
            <w:r>
              <w:rPr>
                <w:rFonts w:hint="default" w:ascii="Times New Roman" w:hAnsi="Times New Roman" w:cs="Times New Roman"/>
                <w:b w:val="0"/>
                <w:bCs/>
                <w:sz w:val="18"/>
                <w:szCs w:val="18"/>
              </w:rPr>
              <w:fldChar w:fldCharType="begin"/>
            </w:r>
            <w:r>
              <w:rPr>
                <w:rFonts w:hint="default" w:ascii="Times New Roman" w:hAnsi="Times New Roman" w:eastAsia="宋体" w:cs="Times New Roman"/>
                <w:b w:val="0"/>
                <w:bCs/>
                <w:sz w:val="18"/>
                <w:szCs w:val="18"/>
              </w:rPr>
              <w:instrText xml:space="preserve"> = 3 \* ROMAN </w:instrText>
            </w:r>
            <w:r>
              <w:rPr>
                <w:rFonts w:hint="default" w:ascii="Times New Roman" w:hAnsi="Times New Roman" w:cs="Times New Roman"/>
                <w:b w:val="0"/>
                <w:bCs/>
                <w:sz w:val="18"/>
                <w:szCs w:val="18"/>
              </w:rPr>
              <w:fldChar w:fldCharType="separate"/>
            </w:r>
            <w:r>
              <w:rPr>
                <w:rFonts w:hint="default" w:ascii="Times New Roman" w:hAnsi="Times New Roman" w:eastAsia="宋体" w:cs="Times New Roman"/>
                <w:b w:val="0"/>
                <w:bCs/>
                <w:sz w:val="18"/>
                <w:szCs w:val="18"/>
              </w:rPr>
              <w:t>III</w:t>
            </w:r>
            <w:r>
              <w:rPr>
                <w:rFonts w:hint="default" w:ascii="Times New Roman" w:hAnsi="Times New Roman" w:cs="Times New Roman"/>
                <w:b w:val="0"/>
                <w:bCs/>
                <w:sz w:val="18"/>
                <w:szCs w:val="18"/>
              </w:rPr>
              <w:fldChar w:fldCharType="end"/>
            </w:r>
          </w:p>
        </w:tc>
        <w:tc>
          <w:tcPr>
            <w:tcW w:w="1278" w:type="pct"/>
            <w:tcBorders>
              <w:tl2br w:val="nil"/>
              <w:tr2bl w:val="nil"/>
            </w:tcBorders>
            <w:vAlign w:val="center"/>
          </w:tcPr>
          <w:p w14:paraId="548392DB">
            <w:pPr>
              <w:pStyle w:val="47"/>
              <w:snapToGrid/>
              <w:rPr>
                <w:rFonts w:hint="default" w:ascii="Times New Roman" w:hAnsi="Times New Roman" w:cs="Times New Roman"/>
                <w:b w:val="0"/>
                <w:bCs/>
                <w:sz w:val="18"/>
                <w:szCs w:val="18"/>
              </w:rPr>
            </w:pPr>
            <w:r>
              <w:rPr>
                <w:rFonts w:hint="default" w:ascii="Times New Roman" w:hAnsi="Times New Roman" w:cs="Times New Roman"/>
                <w:b w:val="0"/>
                <w:bCs/>
                <w:sz w:val="18"/>
                <w:szCs w:val="18"/>
              </w:rPr>
              <w:fldChar w:fldCharType="begin"/>
            </w:r>
            <w:r>
              <w:rPr>
                <w:rFonts w:hint="default" w:ascii="Times New Roman" w:hAnsi="Times New Roman" w:eastAsia="宋体" w:cs="Times New Roman"/>
                <w:b w:val="0"/>
                <w:bCs/>
                <w:sz w:val="18"/>
                <w:szCs w:val="18"/>
              </w:rPr>
              <w:instrText xml:space="preserve"> = 2 \* ROMAN </w:instrText>
            </w:r>
            <w:r>
              <w:rPr>
                <w:rFonts w:hint="default" w:ascii="Times New Roman" w:hAnsi="Times New Roman" w:cs="Times New Roman"/>
                <w:b w:val="0"/>
                <w:bCs/>
                <w:sz w:val="18"/>
                <w:szCs w:val="18"/>
              </w:rPr>
              <w:fldChar w:fldCharType="separate"/>
            </w:r>
            <w:r>
              <w:rPr>
                <w:rFonts w:hint="default" w:ascii="Times New Roman" w:hAnsi="Times New Roman" w:eastAsia="宋体" w:cs="Times New Roman"/>
                <w:b w:val="0"/>
                <w:bCs/>
                <w:sz w:val="18"/>
                <w:szCs w:val="18"/>
              </w:rPr>
              <w:t>II</w:t>
            </w:r>
            <w:r>
              <w:rPr>
                <w:rFonts w:hint="default" w:ascii="Times New Roman" w:hAnsi="Times New Roman" w:cs="Times New Roman"/>
                <w:b w:val="0"/>
                <w:bCs/>
                <w:sz w:val="18"/>
                <w:szCs w:val="18"/>
              </w:rPr>
              <w:fldChar w:fldCharType="end"/>
            </w:r>
          </w:p>
        </w:tc>
        <w:tc>
          <w:tcPr>
            <w:tcW w:w="930" w:type="pct"/>
            <w:tcBorders>
              <w:tl2br w:val="nil"/>
              <w:tr2bl w:val="nil"/>
            </w:tcBorders>
            <w:vAlign w:val="center"/>
          </w:tcPr>
          <w:p w14:paraId="49C089C0">
            <w:pPr>
              <w:pStyle w:val="47"/>
              <w:snapToGrid/>
              <w:rPr>
                <w:rFonts w:hint="default" w:ascii="Times New Roman" w:hAnsi="Times New Roman" w:cs="Times New Roman"/>
                <w:b w:val="0"/>
                <w:bCs/>
                <w:sz w:val="18"/>
                <w:szCs w:val="18"/>
              </w:rPr>
            </w:pPr>
            <w:r>
              <w:rPr>
                <w:rFonts w:hint="default" w:ascii="Times New Roman" w:hAnsi="Times New Roman" w:cs="Times New Roman"/>
                <w:b w:val="0"/>
                <w:bCs/>
                <w:sz w:val="18"/>
                <w:szCs w:val="18"/>
              </w:rPr>
              <w:fldChar w:fldCharType="begin"/>
            </w:r>
            <w:r>
              <w:rPr>
                <w:rFonts w:hint="default" w:ascii="Times New Roman" w:hAnsi="Times New Roman" w:eastAsia="宋体" w:cs="Times New Roman"/>
                <w:b w:val="0"/>
                <w:bCs/>
                <w:sz w:val="18"/>
                <w:szCs w:val="18"/>
              </w:rPr>
              <w:instrText xml:space="preserve"> = 1 \* ROMAN </w:instrText>
            </w:r>
            <w:r>
              <w:rPr>
                <w:rFonts w:hint="default" w:ascii="Times New Roman" w:hAnsi="Times New Roman" w:cs="Times New Roman"/>
                <w:b w:val="0"/>
                <w:bCs/>
                <w:sz w:val="18"/>
                <w:szCs w:val="18"/>
              </w:rPr>
              <w:fldChar w:fldCharType="separate"/>
            </w:r>
            <w:r>
              <w:rPr>
                <w:rFonts w:hint="default" w:ascii="Times New Roman" w:hAnsi="Times New Roman" w:eastAsia="宋体" w:cs="Times New Roman"/>
                <w:b w:val="0"/>
                <w:bCs/>
                <w:sz w:val="18"/>
                <w:szCs w:val="18"/>
              </w:rPr>
              <w:t>I</w:t>
            </w:r>
            <w:r>
              <w:rPr>
                <w:rFonts w:hint="default" w:ascii="Times New Roman" w:hAnsi="Times New Roman" w:cs="Times New Roman"/>
                <w:b w:val="0"/>
                <w:bCs/>
                <w:sz w:val="18"/>
                <w:szCs w:val="18"/>
              </w:rPr>
              <w:fldChar w:fldCharType="end"/>
            </w:r>
          </w:p>
        </w:tc>
      </w:tr>
      <w:tr w14:paraId="447BEC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816" w:type="pct"/>
            <w:tcBorders>
              <w:tl2br w:val="nil"/>
              <w:tr2bl w:val="nil"/>
            </w:tcBorders>
            <w:vAlign w:val="center"/>
          </w:tcPr>
          <w:p w14:paraId="33F7E92E">
            <w:pPr>
              <w:pStyle w:val="47"/>
              <w:snapToGrid/>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评价工作等级</w:t>
            </w:r>
          </w:p>
        </w:tc>
        <w:tc>
          <w:tcPr>
            <w:tcW w:w="930" w:type="pct"/>
            <w:tcBorders>
              <w:tl2br w:val="nil"/>
              <w:tr2bl w:val="nil"/>
            </w:tcBorders>
            <w:vAlign w:val="center"/>
          </w:tcPr>
          <w:p w14:paraId="3BC0AA81">
            <w:pPr>
              <w:pStyle w:val="47"/>
              <w:snapToGrid/>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一</w:t>
            </w:r>
          </w:p>
        </w:tc>
        <w:tc>
          <w:tcPr>
            <w:tcW w:w="1046" w:type="pct"/>
            <w:tcBorders>
              <w:tl2br w:val="nil"/>
              <w:tr2bl w:val="nil"/>
            </w:tcBorders>
            <w:vAlign w:val="center"/>
          </w:tcPr>
          <w:p w14:paraId="730D6A68">
            <w:pPr>
              <w:pStyle w:val="47"/>
              <w:snapToGrid/>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二</w:t>
            </w:r>
          </w:p>
        </w:tc>
        <w:tc>
          <w:tcPr>
            <w:tcW w:w="1278" w:type="pct"/>
            <w:tcBorders>
              <w:tl2br w:val="nil"/>
              <w:tr2bl w:val="nil"/>
            </w:tcBorders>
            <w:vAlign w:val="center"/>
          </w:tcPr>
          <w:p w14:paraId="5FF8B50D">
            <w:pPr>
              <w:pStyle w:val="47"/>
              <w:snapToGrid/>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三</w:t>
            </w:r>
          </w:p>
        </w:tc>
        <w:tc>
          <w:tcPr>
            <w:tcW w:w="930" w:type="pct"/>
            <w:tcBorders>
              <w:tl2br w:val="nil"/>
              <w:tr2bl w:val="nil"/>
            </w:tcBorders>
            <w:shd w:val="clear" w:color="auto" w:fill="D8D8D8" w:themeFill="background1" w:themeFillShade="D9"/>
            <w:vAlign w:val="center"/>
          </w:tcPr>
          <w:p w14:paraId="6B4DA1F9">
            <w:pPr>
              <w:pStyle w:val="47"/>
              <w:snapToGrid/>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简单分析</w:t>
            </w:r>
          </w:p>
        </w:tc>
      </w:tr>
    </w:tbl>
    <w:p w14:paraId="196413C5">
      <w:pPr>
        <w:ind w:firstLine="490" w:firstLineChars="200"/>
        <w:rPr>
          <w:rFonts w:hint="default" w:ascii="Times New Roman" w:hAnsi="Times New Roman" w:cs="Times New Roman"/>
          <w:szCs w:val="24"/>
        </w:rPr>
      </w:pPr>
    </w:p>
    <w:p w14:paraId="21420AF8">
      <w:pPr>
        <w:pStyle w:val="6"/>
        <w:bidi w:val="0"/>
        <w:rPr>
          <w:rFonts w:hint="default" w:ascii="Times New Roman" w:hAnsi="Times New Roman" w:cs="Times New Roman"/>
          <w:lang w:val="en-US" w:eastAsia="zh-CN"/>
        </w:rPr>
      </w:pPr>
      <w:bookmarkStart w:id="569" w:name="_Toc15945"/>
      <w:bookmarkStart w:id="570" w:name="_Toc25475"/>
      <w:bookmarkStart w:id="571" w:name="_Toc23470"/>
      <w:r>
        <w:rPr>
          <w:rFonts w:hint="default" w:ascii="Times New Roman" w:hAnsi="Times New Roman" w:cs="Times New Roman"/>
          <w:lang w:val="en-US" w:eastAsia="zh-CN"/>
        </w:rPr>
        <w:t>6.8.4环境风险识别</w:t>
      </w:r>
      <w:bookmarkEnd w:id="569"/>
      <w:bookmarkEnd w:id="570"/>
      <w:bookmarkEnd w:id="571"/>
    </w:p>
    <w:p w14:paraId="5D3EB90E">
      <w:pPr>
        <w:pStyle w:val="7"/>
        <w:bidi w:val="0"/>
        <w:rPr>
          <w:rFonts w:hint="default" w:ascii="Times New Roman" w:hAnsi="Times New Roman" w:cs="Times New Roman"/>
        </w:rPr>
      </w:pPr>
      <w:bookmarkStart w:id="572" w:name="_Toc8001"/>
      <w:bookmarkStart w:id="573" w:name="_Toc25678"/>
      <w:r>
        <w:rPr>
          <w:rFonts w:hint="default" w:ascii="Times New Roman" w:hAnsi="Times New Roman" w:cs="Times New Roman"/>
          <w:lang w:val="en-US" w:eastAsia="zh-CN"/>
        </w:rPr>
        <w:t>6.8.4.1</w:t>
      </w:r>
      <w:r>
        <w:rPr>
          <w:rFonts w:hint="default" w:ascii="Times New Roman" w:hAnsi="Times New Roman" w:cs="Times New Roman"/>
        </w:rPr>
        <w:t>建设项目物质危险性识别</w:t>
      </w:r>
    </w:p>
    <w:p w14:paraId="172834A3">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color w:val="auto"/>
          <w:sz w:val="24"/>
          <w:szCs w:val="28"/>
          <w:lang w:val="en-US" w:eastAsia="zh-CN"/>
        </w:rPr>
      </w:pPr>
      <w:r>
        <w:rPr>
          <w:rFonts w:hint="default" w:ascii="Times New Roman" w:hAnsi="Times New Roman" w:cs="Times New Roman"/>
          <w:color w:val="auto"/>
          <w:sz w:val="24"/>
          <w:szCs w:val="28"/>
          <w:lang w:val="en-US" w:eastAsia="zh-CN"/>
        </w:rPr>
        <w:t>本项目涉及的危险物质主要为废机油，废机油泄漏</w:t>
      </w:r>
      <w:r>
        <w:rPr>
          <w:rFonts w:hint="default" w:ascii="Times New Roman" w:hAnsi="Times New Roman" w:cs="Times New Roman"/>
          <w:color w:val="auto"/>
          <w:sz w:val="24"/>
          <w:szCs w:val="28"/>
        </w:rPr>
        <w:t>后，可能渗入土壤环境、地下水环境，从而对周边的土壤及地下水环境产生一定的影响。若遇到降雨天气，将会随着雨水进入</w:t>
      </w:r>
      <w:r>
        <w:rPr>
          <w:rFonts w:hint="default" w:ascii="Times New Roman" w:hAnsi="Times New Roman" w:cs="Times New Roman"/>
          <w:color w:val="auto"/>
          <w:sz w:val="24"/>
          <w:szCs w:val="28"/>
          <w:lang w:val="en-US" w:eastAsia="zh-CN"/>
        </w:rPr>
        <w:t>河流</w:t>
      </w:r>
      <w:r>
        <w:rPr>
          <w:rFonts w:hint="default" w:ascii="Times New Roman" w:hAnsi="Times New Roman" w:cs="Times New Roman"/>
          <w:color w:val="auto"/>
          <w:sz w:val="24"/>
          <w:szCs w:val="28"/>
        </w:rPr>
        <w:t>，造成河流水质中石油类升高。但一般情况下，废矿物油发生</w:t>
      </w:r>
      <w:r>
        <w:rPr>
          <w:rFonts w:hint="default" w:ascii="Times New Roman" w:hAnsi="Times New Roman" w:cs="Times New Roman"/>
          <w:color w:val="auto"/>
          <w:sz w:val="24"/>
          <w:szCs w:val="28"/>
          <w:lang w:eastAsia="zh-CN"/>
        </w:rPr>
        <w:t>泄漏事故</w:t>
      </w:r>
      <w:r>
        <w:rPr>
          <w:rFonts w:hint="default" w:ascii="Times New Roman" w:hAnsi="Times New Roman" w:cs="Times New Roman"/>
          <w:color w:val="auto"/>
          <w:sz w:val="24"/>
          <w:szCs w:val="28"/>
        </w:rPr>
        <w:t>后油类物质泄露于地表的数量有限，如果处理及时得当，则可有效地控制对周围环境的影响</w:t>
      </w:r>
      <w:r>
        <w:rPr>
          <w:rFonts w:hint="default" w:ascii="Times New Roman" w:hAnsi="Times New Roman" w:cs="Times New Roman"/>
          <w:color w:val="auto"/>
          <w:sz w:val="24"/>
          <w:szCs w:val="28"/>
          <w:lang w:eastAsia="zh-CN"/>
        </w:rPr>
        <w:t>。</w:t>
      </w:r>
      <w:r>
        <w:rPr>
          <w:rFonts w:hint="default" w:ascii="Times New Roman" w:hAnsi="Times New Roman" w:cs="Times New Roman"/>
          <w:color w:val="auto"/>
          <w:sz w:val="24"/>
          <w:szCs w:val="28"/>
          <w:lang w:val="en-US" w:eastAsia="zh-CN"/>
        </w:rPr>
        <w:t>废机油的理化性质与危险特性见表6.8.4-1。</w:t>
      </w:r>
      <w:bookmarkEnd w:id="572"/>
      <w:bookmarkEnd w:id="573"/>
    </w:p>
    <w:p w14:paraId="3E1C5F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color w:val="auto"/>
          <w:kern w:val="0"/>
          <w:sz w:val="21"/>
          <w:szCs w:val="21"/>
          <w:highlight w:val="none"/>
          <w:lang w:val="en-US" w:eastAsia="zh-CN" w:bidi="ar"/>
        </w:rPr>
      </w:pPr>
      <w:r>
        <w:rPr>
          <w:rFonts w:hint="default" w:ascii="Times New Roman" w:hAnsi="Times New Roman" w:eastAsia="黑体" w:cs="Times New Roman"/>
          <w:b w:val="0"/>
          <w:bCs/>
          <w:color w:val="auto"/>
          <w:kern w:val="0"/>
          <w:sz w:val="21"/>
          <w:szCs w:val="21"/>
          <w:highlight w:val="none"/>
          <w:lang w:val="en-US" w:eastAsia="zh-CN" w:bidi="ar"/>
        </w:rPr>
        <w:t>表6.8.4-1  废机油理化性质一览表</w:t>
      </w:r>
    </w:p>
    <w:tbl>
      <w:tblPr>
        <w:tblStyle w:val="29"/>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53"/>
        <w:gridCol w:w="1715"/>
        <w:gridCol w:w="6102"/>
      </w:tblGrid>
      <w:tr w14:paraId="62E4BB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tcBorders>
              <w:top w:val="single" w:color="auto" w:sz="4" w:space="0"/>
              <w:bottom w:val="single" w:color="auto" w:sz="4" w:space="0"/>
              <w:right w:val="single" w:color="auto" w:sz="4" w:space="0"/>
            </w:tcBorders>
            <w:noWrap w:val="0"/>
            <w:vAlign w:val="center"/>
          </w:tcPr>
          <w:p w14:paraId="54A27DC5">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类别</w:t>
            </w:r>
          </w:p>
        </w:tc>
        <w:tc>
          <w:tcPr>
            <w:tcW w:w="945" w:type="pct"/>
            <w:tcBorders>
              <w:top w:val="single" w:color="auto" w:sz="4" w:space="0"/>
              <w:left w:val="single" w:color="auto" w:sz="4" w:space="0"/>
              <w:bottom w:val="single" w:color="auto" w:sz="4" w:space="0"/>
              <w:right w:val="single" w:color="auto" w:sz="4" w:space="0"/>
            </w:tcBorders>
            <w:noWrap w:val="0"/>
            <w:vAlign w:val="center"/>
          </w:tcPr>
          <w:p w14:paraId="13017628">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w:t>
            </w:r>
          </w:p>
        </w:tc>
        <w:tc>
          <w:tcPr>
            <w:tcW w:w="3363" w:type="pct"/>
            <w:tcBorders>
              <w:top w:val="single" w:color="auto" w:sz="4" w:space="0"/>
              <w:left w:val="single" w:color="auto" w:sz="4" w:space="0"/>
              <w:bottom w:val="single" w:color="auto" w:sz="4" w:space="0"/>
            </w:tcBorders>
            <w:noWrap w:val="0"/>
            <w:vAlign w:val="center"/>
          </w:tcPr>
          <w:p w14:paraId="03BE50AD">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废机油</w:t>
            </w:r>
          </w:p>
        </w:tc>
      </w:tr>
      <w:tr w14:paraId="196146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restart"/>
            <w:tcBorders>
              <w:top w:val="single" w:color="auto" w:sz="4" w:space="0"/>
              <w:bottom w:val="single" w:color="auto" w:sz="4" w:space="0"/>
              <w:right w:val="single" w:color="auto" w:sz="4" w:space="0"/>
            </w:tcBorders>
            <w:noWrap w:val="0"/>
            <w:vAlign w:val="center"/>
          </w:tcPr>
          <w:p w14:paraId="58114524">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理化性质</w:t>
            </w:r>
          </w:p>
        </w:tc>
        <w:tc>
          <w:tcPr>
            <w:tcW w:w="945" w:type="pct"/>
            <w:tcBorders>
              <w:top w:val="single" w:color="auto" w:sz="4" w:space="0"/>
              <w:left w:val="single" w:color="auto" w:sz="4" w:space="0"/>
              <w:bottom w:val="single" w:color="auto" w:sz="4" w:space="0"/>
              <w:right w:val="single" w:color="auto" w:sz="4" w:space="0"/>
            </w:tcBorders>
            <w:noWrap w:val="0"/>
            <w:vAlign w:val="center"/>
          </w:tcPr>
          <w:p w14:paraId="1FBCCD0A">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外观及性状</w:t>
            </w:r>
          </w:p>
        </w:tc>
        <w:tc>
          <w:tcPr>
            <w:tcW w:w="3363" w:type="pct"/>
            <w:tcBorders>
              <w:top w:val="single" w:color="auto" w:sz="4" w:space="0"/>
              <w:left w:val="single" w:color="auto" w:sz="4" w:space="0"/>
              <w:bottom w:val="single" w:color="auto" w:sz="4" w:space="0"/>
            </w:tcBorders>
            <w:noWrap w:val="0"/>
            <w:vAlign w:val="center"/>
          </w:tcPr>
          <w:p w14:paraId="48794C08">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油状液体</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淡黄色至褐色</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无气味或略带异味。</w:t>
            </w:r>
          </w:p>
        </w:tc>
      </w:tr>
      <w:tr w14:paraId="66D3F0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continue"/>
            <w:tcBorders>
              <w:top w:val="single" w:color="auto" w:sz="4" w:space="0"/>
              <w:bottom w:val="single" w:color="auto" w:sz="4" w:space="0"/>
              <w:right w:val="single" w:color="auto" w:sz="4" w:space="0"/>
            </w:tcBorders>
            <w:noWrap w:val="0"/>
            <w:vAlign w:val="center"/>
          </w:tcPr>
          <w:p w14:paraId="65A25021">
            <w:pPr>
              <w:jc w:val="center"/>
              <w:outlineLvl w:val="9"/>
              <w:rPr>
                <w:rFonts w:hint="default" w:ascii="Times New Roman" w:hAnsi="Times New Roman" w:cs="Times New Roman"/>
                <w:color w:val="auto"/>
                <w:sz w:val="18"/>
                <w:szCs w:val="18"/>
                <w:highlight w:val="none"/>
              </w:rPr>
            </w:pPr>
          </w:p>
        </w:tc>
        <w:tc>
          <w:tcPr>
            <w:tcW w:w="945" w:type="pct"/>
            <w:tcBorders>
              <w:top w:val="single" w:color="auto" w:sz="4" w:space="0"/>
              <w:left w:val="single" w:color="auto" w:sz="4" w:space="0"/>
              <w:bottom w:val="single" w:color="auto" w:sz="4" w:space="0"/>
              <w:right w:val="single" w:color="auto" w:sz="4" w:space="0"/>
            </w:tcBorders>
            <w:noWrap w:val="0"/>
            <w:vAlign w:val="center"/>
          </w:tcPr>
          <w:p w14:paraId="7098550C">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密度</w:t>
            </w:r>
          </w:p>
        </w:tc>
        <w:tc>
          <w:tcPr>
            <w:tcW w:w="3363" w:type="pct"/>
            <w:tcBorders>
              <w:top w:val="single" w:color="auto" w:sz="4" w:space="0"/>
              <w:left w:val="single" w:color="auto" w:sz="4" w:space="0"/>
              <w:bottom w:val="single" w:color="auto" w:sz="4" w:space="0"/>
            </w:tcBorders>
            <w:noWrap w:val="0"/>
            <w:vAlign w:val="center"/>
          </w:tcPr>
          <w:p w14:paraId="6435B945">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0.85g/cm</w:t>
            </w:r>
            <w:r>
              <w:rPr>
                <w:rFonts w:hint="default" w:ascii="Times New Roman" w:hAnsi="Times New Roman" w:cs="Times New Roman"/>
                <w:color w:val="auto"/>
                <w:sz w:val="18"/>
                <w:szCs w:val="18"/>
                <w:highlight w:val="none"/>
                <w:vertAlign w:val="superscript"/>
              </w:rPr>
              <w:t>3</w:t>
            </w:r>
          </w:p>
        </w:tc>
      </w:tr>
      <w:tr w14:paraId="76770D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continue"/>
            <w:tcBorders>
              <w:top w:val="single" w:color="auto" w:sz="4" w:space="0"/>
              <w:bottom w:val="single" w:color="auto" w:sz="4" w:space="0"/>
              <w:right w:val="single" w:color="auto" w:sz="4" w:space="0"/>
            </w:tcBorders>
            <w:noWrap w:val="0"/>
            <w:vAlign w:val="center"/>
          </w:tcPr>
          <w:p w14:paraId="2147B0FF">
            <w:pPr>
              <w:jc w:val="center"/>
              <w:outlineLvl w:val="9"/>
              <w:rPr>
                <w:rFonts w:hint="default" w:ascii="Times New Roman" w:hAnsi="Times New Roman" w:cs="Times New Roman"/>
                <w:color w:val="auto"/>
                <w:sz w:val="18"/>
                <w:szCs w:val="18"/>
                <w:highlight w:val="none"/>
              </w:rPr>
            </w:pPr>
          </w:p>
        </w:tc>
        <w:tc>
          <w:tcPr>
            <w:tcW w:w="945" w:type="pct"/>
            <w:tcBorders>
              <w:top w:val="single" w:color="auto" w:sz="4" w:space="0"/>
              <w:left w:val="single" w:color="auto" w:sz="4" w:space="0"/>
              <w:bottom w:val="single" w:color="auto" w:sz="4" w:space="0"/>
              <w:right w:val="single" w:color="auto" w:sz="4" w:space="0"/>
            </w:tcBorders>
            <w:noWrap w:val="0"/>
            <w:vAlign w:val="center"/>
          </w:tcPr>
          <w:p w14:paraId="5F188415">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溶解性</w:t>
            </w:r>
          </w:p>
        </w:tc>
        <w:tc>
          <w:tcPr>
            <w:tcW w:w="3363" w:type="pct"/>
            <w:tcBorders>
              <w:top w:val="single" w:color="auto" w:sz="4" w:space="0"/>
              <w:left w:val="single" w:color="auto" w:sz="4" w:space="0"/>
              <w:bottom w:val="single" w:color="auto" w:sz="4" w:space="0"/>
            </w:tcBorders>
            <w:noWrap w:val="0"/>
            <w:vAlign w:val="center"/>
          </w:tcPr>
          <w:p w14:paraId="6FA30278">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不溶于水，溶于多数有机溶剂</w:t>
            </w:r>
          </w:p>
        </w:tc>
      </w:tr>
      <w:tr w14:paraId="425C45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restart"/>
            <w:tcBorders>
              <w:top w:val="single" w:color="auto" w:sz="4" w:space="0"/>
              <w:bottom w:val="single" w:color="auto" w:sz="4" w:space="0"/>
              <w:right w:val="single" w:color="auto" w:sz="4" w:space="0"/>
            </w:tcBorders>
            <w:noWrap w:val="0"/>
            <w:vAlign w:val="center"/>
          </w:tcPr>
          <w:p w14:paraId="0541B8DE">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燃烧爆炸危险性</w:t>
            </w:r>
          </w:p>
        </w:tc>
        <w:tc>
          <w:tcPr>
            <w:tcW w:w="945" w:type="pct"/>
            <w:tcBorders>
              <w:top w:val="single" w:color="auto" w:sz="4" w:space="0"/>
              <w:left w:val="single" w:color="auto" w:sz="4" w:space="0"/>
              <w:bottom w:val="single" w:color="auto" w:sz="4" w:space="0"/>
              <w:right w:val="single" w:color="auto" w:sz="4" w:space="0"/>
            </w:tcBorders>
            <w:noWrap w:val="0"/>
            <w:vAlign w:val="center"/>
          </w:tcPr>
          <w:p w14:paraId="654D10A8">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燃烧性</w:t>
            </w:r>
          </w:p>
        </w:tc>
        <w:tc>
          <w:tcPr>
            <w:tcW w:w="3363" w:type="pct"/>
            <w:tcBorders>
              <w:top w:val="single" w:color="auto" w:sz="4" w:space="0"/>
              <w:left w:val="single" w:color="auto" w:sz="4" w:space="0"/>
              <w:bottom w:val="single" w:color="auto" w:sz="4" w:space="0"/>
            </w:tcBorders>
            <w:noWrap w:val="0"/>
            <w:vAlign w:val="center"/>
          </w:tcPr>
          <w:p w14:paraId="18C34B1F">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可燃</w:t>
            </w:r>
          </w:p>
        </w:tc>
      </w:tr>
      <w:tr w14:paraId="5F3746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continue"/>
            <w:tcBorders>
              <w:top w:val="single" w:color="auto" w:sz="4" w:space="0"/>
              <w:bottom w:val="single" w:color="auto" w:sz="4" w:space="0"/>
              <w:right w:val="single" w:color="auto" w:sz="4" w:space="0"/>
            </w:tcBorders>
            <w:noWrap w:val="0"/>
            <w:vAlign w:val="center"/>
          </w:tcPr>
          <w:p w14:paraId="06A79A7A">
            <w:pPr>
              <w:jc w:val="center"/>
              <w:outlineLvl w:val="9"/>
              <w:rPr>
                <w:rFonts w:hint="default" w:ascii="Times New Roman" w:hAnsi="Times New Roman" w:cs="Times New Roman"/>
                <w:color w:val="auto"/>
                <w:sz w:val="18"/>
                <w:szCs w:val="18"/>
                <w:highlight w:val="none"/>
              </w:rPr>
            </w:pPr>
          </w:p>
        </w:tc>
        <w:tc>
          <w:tcPr>
            <w:tcW w:w="945" w:type="pct"/>
            <w:tcBorders>
              <w:top w:val="single" w:color="auto" w:sz="4" w:space="0"/>
              <w:left w:val="single" w:color="auto" w:sz="4" w:space="0"/>
              <w:bottom w:val="single" w:color="auto" w:sz="4" w:space="0"/>
              <w:right w:val="single" w:color="auto" w:sz="4" w:space="0"/>
            </w:tcBorders>
            <w:noWrap w:val="0"/>
            <w:vAlign w:val="center"/>
          </w:tcPr>
          <w:p w14:paraId="749720D1">
            <w:pPr>
              <w:jc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闪点/引燃温</w:t>
            </w:r>
            <w:r>
              <w:rPr>
                <w:rFonts w:hint="default" w:ascii="Times New Roman" w:hAnsi="Times New Roman" w:cs="Times New Roman"/>
                <w:color w:val="auto"/>
                <w:sz w:val="18"/>
                <w:szCs w:val="18"/>
                <w:highlight w:val="none"/>
                <w:lang w:val="en-US" w:eastAsia="zh-CN"/>
              </w:rPr>
              <w:t>度</w:t>
            </w:r>
          </w:p>
        </w:tc>
        <w:tc>
          <w:tcPr>
            <w:tcW w:w="3363" w:type="pct"/>
            <w:tcBorders>
              <w:top w:val="single" w:color="auto" w:sz="4" w:space="0"/>
              <w:left w:val="single" w:color="auto" w:sz="4" w:space="0"/>
              <w:bottom w:val="single" w:color="auto" w:sz="4" w:space="0"/>
            </w:tcBorders>
            <w:noWrap w:val="0"/>
            <w:vAlign w:val="center"/>
          </w:tcPr>
          <w:p w14:paraId="3619AA3B">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75/257℃</w:t>
            </w:r>
          </w:p>
        </w:tc>
      </w:tr>
      <w:tr w14:paraId="4B08CF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continue"/>
            <w:tcBorders>
              <w:top w:val="single" w:color="auto" w:sz="4" w:space="0"/>
              <w:bottom w:val="single" w:color="auto" w:sz="4" w:space="0"/>
              <w:right w:val="single" w:color="auto" w:sz="4" w:space="0"/>
            </w:tcBorders>
            <w:noWrap w:val="0"/>
            <w:vAlign w:val="center"/>
          </w:tcPr>
          <w:p w14:paraId="5C5A473F">
            <w:pPr>
              <w:jc w:val="center"/>
              <w:outlineLvl w:val="9"/>
              <w:rPr>
                <w:rFonts w:hint="default" w:ascii="Times New Roman" w:hAnsi="Times New Roman" w:cs="Times New Roman"/>
                <w:color w:val="auto"/>
                <w:sz w:val="18"/>
                <w:szCs w:val="18"/>
                <w:highlight w:val="none"/>
              </w:rPr>
            </w:pPr>
          </w:p>
        </w:tc>
        <w:tc>
          <w:tcPr>
            <w:tcW w:w="945" w:type="pct"/>
            <w:tcBorders>
              <w:top w:val="single" w:color="auto" w:sz="4" w:space="0"/>
              <w:left w:val="single" w:color="auto" w:sz="4" w:space="0"/>
              <w:bottom w:val="single" w:color="auto" w:sz="4" w:space="0"/>
              <w:right w:val="single" w:color="auto" w:sz="4" w:space="0"/>
            </w:tcBorders>
            <w:noWrap w:val="0"/>
            <w:vAlign w:val="center"/>
          </w:tcPr>
          <w:p w14:paraId="7D84276D">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爆炸极限</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vol%）</w:t>
            </w:r>
          </w:p>
        </w:tc>
        <w:tc>
          <w:tcPr>
            <w:tcW w:w="3363" w:type="pct"/>
            <w:tcBorders>
              <w:top w:val="single" w:color="auto" w:sz="4" w:space="0"/>
              <w:left w:val="single" w:color="auto" w:sz="4" w:space="0"/>
              <w:bottom w:val="single" w:color="auto" w:sz="4" w:space="0"/>
            </w:tcBorders>
            <w:noWrap w:val="0"/>
            <w:vAlign w:val="center"/>
          </w:tcPr>
          <w:p w14:paraId="550EDA48">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无资料</w:t>
            </w:r>
          </w:p>
        </w:tc>
      </w:tr>
      <w:tr w14:paraId="24D337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continue"/>
            <w:tcBorders>
              <w:top w:val="single" w:color="auto" w:sz="4" w:space="0"/>
              <w:bottom w:val="single" w:color="auto" w:sz="4" w:space="0"/>
              <w:right w:val="single" w:color="auto" w:sz="4" w:space="0"/>
            </w:tcBorders>
            <w:noWrap w:val="0"/>
            <w:vAlign w:val="center"/>
          </w:tcPr>
          <w:p w14:paraId="444BEFDA">
            <w:pPr>
              <w:jc w:val="center"/>
              <w:outlineLvl w:val="9"/>
              <w:rPr>
                <w:rFonts w:hint="default" w:ascii="Times New Roman" w:hAnsi="Times New Roman" w:cs="Times New Roman"/>
                <w:color w:val="auto"/>
                <w:sz w:val="18"/>
                <w:szCs w:val="18"/>
                <w:highlight w:val="none"/>
              </w:rPr>
            </w:pPr>
          </w:p>
        </w:tc>
        <w:tc>
          <w:tcPr>
            <w:tcW w:w="945" w:type="pct"/>
            <w:tcBorders>
              <w:top w:val="single" w:color="auto" w:sz="4" w:space="0"/>
              <w:left w:val="single" w:color="auto" w:sz="4" w:space="0"/>
              <w:bottom w:val="single" w:color="auto" w:sz="4" w:space="0"/>
              <w:right w:val="single" w:color="auto" w:sz="4" w:space="0"/>
            </w:tcBorders>
            <w:noWrap w:val="0"/>
            <w:vAlign w:val="center"/>
          </w:tcPr>
          <w:p w14:paraId="580B886C">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危险特性</w:t>
            </w:r>
          </w:p>
        </w:tc>
        <w:tc>
          <w:tcPr>
            <w:tcW w:w="3363" w:type="pct"/>
            <w:tcBorders>
              <w:top w:val="single" w:color="auto" w:sz="4" w:space="0"/>
              <w:left w:val="single" w:color="auto" w:sz="4" w:space="0"/>
              <w:bottom w:val="single" w:color="auto" w:sz="4" w:space="0"/>
            </w:tcBorders>
            <w:noWrap w:val="0"/>
            <w:vAlign w:val="center"/>
          </w:tcPr>
          <w:p w14:paraId="2CC51E1F">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遇明火、高热或与氧化剂接触，有引起燃烧爆炸的危险；若遇高热，容器内压增大，有开裂和爆炸的危险</w:t>
            </w:r>
            <w:r>
              <w:rPr>
                <w:rFonts w:hint="default" w:ascii="Times New Roman" w:hAnsi="Times New Roman" w:cs="Times New Roman"/>
                <w:color w:val="auto"/>
                <w:sz w:val="18"/>
                <w:szCs w:val="18"/>
                <w:highlight w:val="none"/>
                <w:lang w:eastAsia="zh-CN"/>
              </w:rPr>
              <w:t>。</w:t>
            </w:r>
          </w:p>
        </w:tc>
      </w:tr>
      <w:tr w14:paraId="2C0FC6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continue"/>
            <w:tcBorders>
              <w:top w:val="single" w:color="auto" w:sz="4" w:space="0"/>
              <w:bottom w:val="single" w:color="auto" w:sz="4" w:space="0"/>
              <w:right w:val="single" w:color="auto" w:sz="4" w:space="0"/>
            </w:tcBorders>
            <w:noWrap w:val="0"/>
            <w:vAlign w:val="center"/>
          </w:tcPr>
          <w:p w14:paraId="007F1ED1">
            <w:pPr>
              <w:jc w:val="center"/>
              <w:outlineLvl w:val="9"/>
              <w:rPr>
                <w:rFonts w:hint="default" w:ascii="Times New Roman" w:hAnsi="Times New Roman" w:cs="Times New Roman"/>
                <w:color w:val="auto"/>
                <w:sz w:val="18"/>
                <w:szCs w:val="18"/>
                <w:highlight w:val="none"/>
              </w:rPr>
            </w:pPr>
          </w:p>
        </w:tc>
        <w:tc>
          <w:tcPr>
            <w:tcW w:w="945" w:type="pct"/>
            <w:tcBorders>
              <w:top w:val="single" w:color="auto" w:sz="4" w:space="0"/>
              <w:left w:val="single" w:color="auto" w:sz="4" w:space="0"/>
              <w:bottom w:val="single" w:color="auto" w:sz="4" w:space="0"/>
              <w:right w:val="single" w:color="auto" w:sz="4" w:space="0"/>
            </w:tcBorders>
            <w:noWrap w:val="0"/>
            <w:vAlign w:val="center"/>
          </w:tcPr>
          <w:p w14:paraId="49E188DB">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灭火方法</w:t>
            </w:r>
          </w:p>
        </w:tc>
        <w:tc>
          <w:tcPr>
            <w:tcW w:w="3363" w:type="pct"/>
            <w:tcBorders>
              <w:top w:val="single" w:color="auto" w:sz="4" w:space="0"/>
              <w:left w:val="single" w:color="auto" w:sz="4" w:space="0"/>
              <w:bottom w:val="single" w:color="auto" w:sz="4" w:space="0"/>
            </w:tcBorders>
            <w:noWrap w:val="0"/>
            <w:vAlign w:val="center"/>
          </w:tcPr>
          <w:p w14:paraId="635DCB70">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4B288060">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灭火剂：雾状水、泡沫、干粉、二氧化碳、砂土。</w:t>
            </w:r>
          </w:p>
        </w:tc>
      </w:tr>
      <w:tr w14:paraId="244795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continue"/>
            <w:tcBorders>
              <w:top w:val="single" w:color="auto" w:sz="4" w:space="0"/>
              <w:bottom w:val="single" w:color="auto" w:sz="4" w:space="0"/>
              <w:right w:val="single" w:color="auto" w:sz="4" w:space="0"/>
            </w:tcBorders>
            <w:noWrap w:val="0"/>
            <w:vAlign w:val="center"/>
          </w:tcPr>
          <w:p w14:paraId="6CFCE3F6">
            <w:pPr>
              <w:jc w:val="center"/>
              <w:outlineLvl w:val="9"/>
              <w:rPr>
                <w:rFonts w:hint="default" w:ascii="Times New Roman" w:hAnsi="Times New Roman" w:cs="Times New Roman"/>
                <w:color w:val="auto"/>
                <w:sz w:val="18"/>
                <w:szCs w:val="18"/>
                <w:highlight w:val="none"/>
              </w:rPr>
            </w:pPr>
          </w:p>
        </w:tc>
        <w:tc>
          <w:tcPr>
            <w:tcW w:w="945" w:type="pct"/>
            <w:tcBorders>
              <w:top w:val="single" w:color="auto" w:sz="4" w:space="0"/>
              <w:left w:val="single" w:color="auto" w:sz="4" w:space="0"/>
              <w:bottom w:val="single" w:color="auto" w:sz="4" w:space="0"/>
              <w:right w:val="single" w:color="auto" w:sz="4" w:space="0"/>
            </w:tcBorders>
            <w:noWrap w:val="0"/>
            <w:vAlign w:val="center"/>
          </w:tcPr>
          <w:p w14:paraId="23C10E14">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燃烧产物</w:t>
            </w:r>
          </w:p>
        </w:tc>
        <w:tc>
          <w:tcPr>
            <w:tcW w:w="3363" w:type="pct"/>
            <w:tcBorders>
              <w:top w:val="single" w:color="auto" w:sz="4" w:space="0"/>
              <w:left w:val="single" w:color="auto" w:sz="4" w:space="0"/>
              <w:bottom w:val="single" w:color="auto" w:sz="4" w:space="0"/>
            </w:tcBorders>
            <w:noWrap w:val="0"/>
            <w:vAlign w:val="center"/>
          </w:tcPr>
          <w:p w14:paraId="59019674">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一氧化碳、二氧化碳</w:t>
            </w:r>
          </w:p>
        </w:tc>
      </w:tr>
      <w:tr w14:paraId="0327A8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restart"/>
            <w:tcBorders>
              <w:top w:val="single" w:color="auto" w:sz="4" w:space="0"/>
              <w:bottom w:val="single" w:color="auto" w:sz="4" w:space="0"/>
              <w:right w:val="single" w:color="auto" w:sz="4" w:space="0"/>
            </w:tcBorders>
            <w:noWrap w:val="0"/>
            <w:vAlign w:val="center"/>
          </w:tcPr>
          <w:p w14:paraId="7560D6A5">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毒理性质</w:t>
            </w:r>
          </w:p>
        </w:tc>
        <w:tc>
          <w:tcPr>
            <w:tcW w:w="945" w:type="pct"/>
            <w:tcBorders>
              <w:top w:val="single" w:color="auto" w:sz="4" w:space="0"/>
              <w:left w:val="single" w:color="auto" w:sz="4" w:space="0"/>
              <w:bottom w:val="single" w:color="auto" w:sz="4" w:space="0"/>
              <w:right w:val="single" w:color="auto" w:sz="4" w:space="0"/>
            </w:tcBorders>
            <w:noWrap w:val="0"/>
            <w:vAlign w:val="center"/>
          </w:tcPr>
          <w:p w14:paraId="4587176B">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急性毒性</w:t>
            </w:r>
          </w:p>
        </w:tc>
        <w:tc>
          <w:tcPr>
            <w:tcW w:w="3363" w:type="pct"/>
            <w:tcBorders>
              <w:top w:val="single" w:color="auto" w:sz="4" w:space="0"/>
              <w:left w:val="single" w:color="auto" w:sz="4" w:space="0"/>
              <w:bottom w:val="single" w:color="auto" w:sz="4" w:space="0"/>
            </w:tcBorders>
            <w:noWrap w:val="0"/>
            <w:vAlign w:val="center"/>
          </w:tcPr>
          <w:p w14:paraId="05D9AC15">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LD50（mg/kg，大鼠经口）</w:t>
            </w:r>
          </w:p>
        </w:tc>
      </w:tr>
      <w:tr w14:paraId="76CDD5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continue"/>
            <w:tcBorders>
              <w:top w:val="single" w:color="auto" w:sz="4" w:space="0"/>
              <w:bottom w:val="single" w:color="auto" w:sz="4" w:space="0"/>
              <w:right w:val="single" w:color="auto" w:sz="4" w:space="0"/>
            </w:tcBorders>
            <w:noWrap w:val="0"/>
            <w:vAlign w:val="center"/>
          </w:tcPr>
          <w:p w14:paraId="23A88362">
            <w:pPr>
              <w:jc w:val="center"/>
              <w:outlineLvl w:val="9"/>
              <w:rPr>
                <w:rFonts w:hint="default" w:ascii="Times New Roman" w:hAnsi="Times New Roman" w:cs="Times New Roman"/>
                <w:color w:val="auto"/>
                <w:sz w:val="18"/>
                <w:szCs w:val="18"/>
                <w:highlight w:val="none"/>
              </w:rPr>
            </w:pPr>
          </w:p>
        </w:tc>
        <w:tc>
          <w:tcPr>
            <w:tcW w:w="945" w:type="pct"/>
            <w:tcBorders>
              <w:top w:val="single" w:color="auto" w:sz="4" w:space="0"/>
              <w:left w:val="single" w:color="auto" w:sz="4" w:space="0"/>
              <w:bottom w:val="single" w:color="auto" w:sz="4" w:space="0"/>
              <w:right w:val="single" w:color="auto" w:sz="4" w:space="0"/>
            </w:tcBorders>
            <w:noWrap w:val="0"/>
            <w:vAlign w:val="center"/>
          </w:tcPr>
          <w:p w14:paraId="01CD0260">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健康危害</w:t>
            </w:r>
          </w:p>
        </w:tc>
        <w:tc>
          <w:tcPr>
            <w:tcW w:w="3363" w:type="pct"/>
            <w:tcBorders>
              <w:top w:val="single" w:color="auto" w:sz="4" w:space="0"/>
              <w:left w:val="single" w:color="auto" w:sz="4" w:space="0"/>
              <w:bottom w:val="single" w:color="auto" w:sz="4" w:space="0"/>
            </w:tcBorders>
            <w:noWrap w:val="0"/>
            <w:vAlign w:val="center"/>
          </w:tcPr>
          <w:p w14:paraId="4DEA78F0">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侵入途径：吸</w:t>
            </w:r>
            <w:r>
              <w:rPr>
                <w:rFonts w:hint="default" w:ascii="Times New Roman" w:hAnsi="Times New Roman" w:cs="Times New Roman"/>
                <w:color w:val="auto"/>
                <w:sz w:val="18"/>
                <w:szCs w:val="18"/>
                <w:highlight w:val="none"/>
                <w:lang w:val="en-US" w:eastAsia="zh-CN"/>
              </w:rPr>
              <w:t>入</w:t>
            </w:r>
            <w:r>
              <w:rPr>
                <w:rFonts w:hint="default" w:ascii="Times New Roman" w:hAnsi="Times New Roman" w:cs="Times New Roman"/>
                <w:color w:val="auto"/>
                <w:sz w:val="18"/>
                <w:szCs w:val="18"/>
                <w:highlight w:val="none"/>
              </w:rPr>
              <w:t>、食入；</w:t>
            </w:r>
          </w:p>
          <w:p w14:paraId="43AE7FF0">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14:paraId="0720C3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tcBorders>
              <w:top w:val="single" w:color="auto" w:sz="4" w:space="0"/>
              <w:bottom w:val="single" w:color="auto" w:sz="4" w:space="0"/>
              <w:right w:val="single" w:color="auto" w:sz="4" w:space="0"/>
            </w:tcBorders>
            <w:noWrap w:val="0"/>
            <w:vAlign w:val="center"/>
          </w:tcPr>
          <w:p w14:paraId="0B5C78E8">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泄漏处理</w:t>
            </w:r>
          </w:p>
        </w:tc>
        <w:tc>
          <w:tcPr>
            <w:tcW w:w="4308" w:type="pct"/>
            <w:gridSpan w:val="2"/>
            <w:tcBorders>
              <w:top w:val="single" w:color="auto" w:sz="4" w:space="0"/>
              <w:left w:val="single" w:color="auto" w:sz="4" w:space="0"/>
              <w:bottom w:val="single" w:color="auto" w:sz="4" w:space="0"/>
            </w:tcBorders>
            <w:noWrap w:val="0"/>
            <w:vAlign w:val="center"/>
          </w:tcPr>
          <w:p w14:paraId="64C817B6">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迅速撤离泄漏污染区人员至安全区，并进行隔离，严格限制出入。切断火源。建议应急处理人员戴自给正压式呼吸器，穿防毒服。尽可能切断泄漏源。防止流入下水道、排洪沟等限制性空间。</w:t>
            </w:r>
          </w:p>
          <w:p w14:paraId="7A001AB6">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小量泄漏：用砂土或其它不燃材料吸附或吸收。</w:t>
            </w:r>
          </w:p>
          <w:p w14:paraId="39EF58C2">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rPr>
              <w:t>大量泄漏：构筑围堤或挖坑收容。用泵转移至槽车或专用收集器内，回收或运至废物处理场所处置</w:t>
            </w:r>
            <w:r>
              <w:rPr>
                <w:rFonts w:hint="default" w:ascii="Times New Roman" w:hAnsi="Times New Roman" w:cs="Times New Roman"/>
                <w:color w:val="auto"/>
                <w:sz w:val="18"/>
                <w:szCs w:val="18"/>
                <w:highlight w:val="none"/>
                <w:lang w:eastAsia="zh-CN"/>
              </w:rPr>
              <w:t>。</w:t>
            </w:r>
          </w:p>
        </w:tc>
      </w:tr>
      <w:tr w14:paraId="02F16B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tcBorders>
              <w:top w:val="single" w:color="auto" w:sz="4" w:space="0"/>
              <w:bottom w:val="single" w:color="auto" w:sz="4" w:space="0"/>
              <w:right w:val="single" w:color="auto" w:sz="4" w:space="0"/>
            </w:tcBorders>
            <w:noWrap w:val="0"/>
            <w:vAlign w:val="center"/>
          </w:tcPr>
          <w:p w14:paraId="3FC549C2">
            <w:pPr>
              <w:jc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储存</w:t>
            </w:r>
          </w:p>
        </w:tc>
        <w:tc>
          <w:tcPr>
            <w:tcW w:w="4308" w:type="pct"/>
            <w:gridSpan w:val="2"/>
            <w:tcBorders>
              <w:top w:val="single" w:color="auto" w:sz="4" w:space="0"/>
              <w:left w:val="single" w:color="auto" w:sz="4" w:space="0"/>
              <w:bottom w:val="single" w:color="auto" w:sz="4" w:space="0"/>
            </w:tcBorders>
            <w:noWrap w:val="0"/>
            <w:vAlign w:val="center"/>
          </w:tcPr>
          <w:p w14:paraId="257B1503">
            <w:pPr>
              <w:keepNext w:val="0"/>
              <w:keepLines w:val="0"/>
              <w:pageBreakBefore w:val="0"/>
              <w:widowControl w:val="0"/>
              <w:kinsoku/>
              <w:wordWrap/>
              <w:overflowPunct/>
              <w:topLinePunct w:val="0"/>
              <w:autoSpaceDE/>
              <w:autoSpaceDN/>
              <w:bidi w:val="0"/>
              <w:adjustRightInd/>
              <w:snapToGrid/>
              <w:ind w:firstLine="370" w:firstLineChars="200"/>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储存于阴凉、通风仓间内，远离火源、热源。保持容器密封。应与氧化剂、酸碱类、使用化工产品分开存放。搬运时要轻装轻卸，防止包装物及容器损坏。分装和搬运作业要注意个人防护。</w:t>
            </w:r>
          </w:p>
        </w:tc>
      </w:tr>
    </w:tbl>
    <w:p w14:paraId="344ED11F">
      <w:pPr>
        <w:pStyle w:val="7"/>
        <w:bidi w:val="0"/>
        <w:rPr>
          <w:rFonts w:hint="default" w:ascii="Times New Roman" w:hAnsi="Times New Roman" w:cs="Times New Roman"/>
        </w:rPr>
      </w:pPr>
      <w:r>
        <w:rPr>
          <w:rFonts w:hint="default" w:ascii="Times New Roman" w:hAnsi="Times New Roman" w:cs="Times New Roman"/>
          <w:lang w:val="en-US" w:eastAsia="zh-CN"/>
        </w:rPr>
        <w:t>6.8.4.2</w:t>
      </w:r>
      <w:r>
        <w:rPr>
          <w:rFonts w:hint="default" w:ascii="Times New Roman" w:hAnsi="Times New Roman" w:cs="Times New Roman"/>
        </w:rPr>
        <w:t>生产系统危险性识别</w:t>
      </w:r>
    </w:p>
    <w:p w14:paraId="43F41019">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本项目运营期生产过程中风险因素主要为：危废暂存间的防渗层破损或破裂，且在收集和转运过程中若管理不当，容易导致危险废物渗漏和洒落至地面，并可能进入地表及地下水体，对土壤和水环境造成污染。</w:t>
      </w:r>
    </w:p>
    <w:p w14:paraId="7A181624">
      <w:pPr>
        <w:pStyle w:val="6"/>
        <w:bidi w:val="0"/>
        <w:rPr>
          <w:rFonts w:hint="default" w:ascii="Times New Roman" w:hAnsi="Times New Roman" w:cs="Times New Roman"/>
        </w:rPr>
      </w:pPr>
      <w:bookmarkStart w:id="574" w:name="_Toc7150"/>
      <w:r>
        <w:rPr>
          <w:rFonts w:hint="default" w:ascii="Times New Roman" w:hAnsi="Times New Roman" w:cs="Times New Roman"/>
          <w:lang w:val="en-US" w:eastAsia="zh-CN"/>
        </w:rPr>
        <w:t>6.8.5</w:t>
      </w:r>
      <w:r>
        <w:rPr>
          <w:rFonts w:hint="default" w:ascii="Times New Roman" w:hAnsi="Times New Roman" w:cs="Times New Roman"/>
        </w:rPr>
        <w:t>环境风险分析</w:t>
      </w:r>
      <w:bookmarkEnd w:id="574"/>
    </w:p>
    <w:p w14:paraId="5E9D32EA">
      <w:pPr>
        <w:keepNext w:val="0"/>
        <w:keepLines w:val="0"/>
        <w:suppressLineNumbers w:val="0"/>
        <w:bidi w:val="0"/>
        <w:spacing w:before="0" w:beforeAutospacing="0" w:after="0" w:afterAutospacing="0" w:line="360" w:lineRule="auto"/>
        <w:ind w:left="0" w:right="0" w:firstLine="490" w:firstLineChars="200"/>
        <w:jc w:val="left"/>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（1）大气环境风险分析</w:t>
      </w:r>
    </w:p>
    <w:p w14:paraId="765DB50D">
      <w:pPr>
        <w:keepNext w:val="0"/>
        <w:keepLines w:val="0"/>
        <w:suppressLineNumbers w:val="0"/>
        <w:bidi w:val="0"/>
        <w:spacing w:before="0" w:beforeAutospacing="0" w:after="0" w:afterAutospacing="0" w:line="360" w:lineRule="auto"/>
        <w:ind w:left="0" w:right="0" w:firstLine="490" w:firstLineChars="200"/>
        <w:jc w:val="left"/>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当废机油泄漏时，将会挥发少量有机气体，逸散到空气中对大气环境造成影响。当泄漏后的废机油有机气体遇明火源会发生火灾，将对大气环境造成影响。同时本项目生产过程中堆放有很多可燃物，如营运期安全措施不到位，极易引发火灾事故。一般火灾事故会造成较大的人身财产安全，在物料燃烧过程中会造成大气环境污染。燃烧过程中会产生如CO、烟尘等有毒有害气体。</w:t>
      </w:r>
    </w:p>
    <w:p w14:paraId="1AAAA959">
      <w:pPr>
        <w:keepNext w:val="0"/>
        <w:keepLines w:val="0"/>
        <w:suppressLineNumbers w:val="0"/>
        <w:bidi w:val="0"/>
        <w:spacing w:before="0" w:beforeAutospacing="0" w:after="0" w:afterAutospacing="0" w:line="360" w:lineRule="auto"/>
        <w:ind w:left="0" w:right="0" w:firstLine="490" w:firstLineChars="200"/>
        <w:jc w:val="left"/>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（2）地表水环境风险分析</w:t>
      </w:r>
    </w:p>
    <w:p w14:paraId="63BF32D3">
      <w:pPr>
        <w:keepNext w:val="0"/>
        <w:keepLines w:val="0"/>
        <w:suppressLineNumbers w:val="0"/>
        <w:bidi w:val="0"/>
        <w:spacing w:before="0" w:beforeAutospacing="0" w:after="0" w:afterAutospacing="0" w:line="360" w:lineRule="auto"/>
        <w:ind w:left="0" w:right="0" w:firstLine="490" w:firstLineChars="200"/>
        <w:jc w:val="left"/>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项目危废暂存间内暂存的废机油一旦发生泄漏进入水体，将会对水质造成一定的影响，浓度较高时会导致水体中动植物死亡，造成地表水体污染。</w:t>
      </w:r>
    </w:p>
    <w:p w14:paraId="1043EE07">
      <w:pPr>
        <w:keepNext w:val="0"/>
        <w:keepLines w:val="0"/>
        <w:suppressLineNumbers w:val="0"/>
        <w:bidi w:val="0"/>
        <w:spacing w:before="0" w:beforeAutospacing="0" w:after="0" w:afterAutospacing="0" w:line="360" w:lineRule="auto"/>
        <w:ind w:left="0" w:right="0" w:firstLine="490" w:firstLineChars="200"/>
        <w:jc w:val="left"/>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（3）地下水及土壤环境风险分析</w:t>
      </w:r>
    </w:p>
    <w:p w14:paraId="55479EA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56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vertAlign w:val="baseline"/>
          <w:lang w:val="en-US" w:eastAsia="zh-CN"/>
        </w:rPr>
        <w:t>项目废机油一旦发生泄漏事故，若防渗措施不到位，有可能渗入土壤，最终会引起地下水污染。</w:t>
      </w:r>
    </w:p>
    <w:p w14:paraId="7F5F61F3">
      <w:pPr>
        <w:pStyle w:val="6"/>
        <w:bidi w:val="0"/>
        <w:rPr>
          <w:rFonts w:hint="default" w:ascii="Times New Roman" w:hAnsi="Times New Roman" w:cs="Times New Roman"/>
          <w:lang w:val="en-US" w:eastAsia="zh-CN"/>
        </w:rPr>
      </w:pPr>
      <w:bookmarkStart w:id="575" w:name="_Toc29363"/>
      <w:bookmarkStart w:id="576" w:name="_Toc28711"/>
      <w:bookmarkStart w:id="577" w:name="_Toc2326"/>
      <w:r>
        <w:rPr>
          <w:rFonts w:hint="default" w:ascii="Times New Roman" w:hAnsi="Times New Roman" w:cs="Times New Roman"/>
          <w:lang w:val="en-US" w:eastAsia="zh-CN"/>
        </w:rPr>
        <w:t>6.8.6</w:t>
      </w:r>
      <w:bookmarkEnd w:id="575"/>
      <w:bookmarkEnd w:id="576"/>
      <w:r>
        <w:rPr>
          <w:rFonts w:hint="default" w:ascii="Times New Roman" w:hAnsi="Times New Roman" w:cs="Times New Roman"/>
        </w:rPr>
        <w:t>环境风险防范措施及应急要求</w:t>
      </w:r>
      <w:bookmarkEnd w:id="577"/>
    </w:p>
    <w:p w14:paraId="5FFEB18A">
      <w:pPr>
        <w:keepNext w:val="0"/>
        <w:keepLines w:val="0"/>
        <w:suppressLineNumbers w:val="0"/>
        <w:bidi w:val="0"/>
        <w:spacing w:before="0" w:beforeAutospacing="0" w:after="0" w:afterAutospacing="0" w:line="360" w:lineRule="auto"/>
        <w:ind w:left="0" w:right="0" w:firstLine="490" w:firstLineChars="200"/>
        <w:jc w:val="left"/>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鲁奎山铁矿</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风险</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事故防范措施</w:t>
      </w:r>
    </w:p>
    <w:p w14:paraId="09A30FF2">
      <w:pPr>
        <w:keepNext w:val="0"/>
        <w:keepLines w:val="0"/>
        <w:suppressLineNumbers w:val="0"/>
        <w:bidi w:val="0"/>
        <w:spacing w:before="0" w:beforeAutospacing="0" w:after="0" w:afterAutospacing="0" w:line="360" w:lineRule="auto"/>
        <w:ind w:left="0" w:right="0" w:firstLine="49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（1）矿山建立必要的安全生产规章制度和措施，保证生产的正常、安全。严格防火制度，并配备一定数量的消防设施。制定和落实防火安全责任制及消防安全规章制度，加强对员工的消防知识培训。</w:t>
      </w:r>
    </w:p>
    <w:p w14:paraId="105859CB">
      <w:pPr>
        <w:keepNext w:val="0"/>
        <w:keepLines w:val="0"/>
        <w:suppressLineNumbers w:val="0"/>
        <w:bidi w:val="0"/>
        <w:spacing w:before="0" w:beforeAutospacing="0" w:after="0" w:afterAutospacing="0" w:line="360" w:lineRule="auto"/>
        <w:ind w:left="0" w:right="0" w:firstLine="49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（2）项目已在矿区生活区旁设置了一间危废暂存间，并建立储存规范管理台账。废机油经收集后并入集团公司统一由公司一起交给具备处理资质的单位处置。</w:t>
      </w:r>
    </w:p>
    <w:p w14:paraId="442ABE23">
      <w:pPr>
        <w:keepNext w:val="0"/>
        <w:keepLines w:val="0"/>
        <w:suppressLineNumbers w:val="0"/>
        <w:bidi w:val="0"/>
        <w:spacing w:before="0" w:beforeAutospacing="0" w:after="0" w:afterAutospacing="0" w:line="360" w:lineRule="auto"/>
        <w:ind w:left="0" w:right="0" w:firstLine="49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已编制突发环境事件应急预案，上报玉溪市生态环境局新平分局备案，备案编号：530427-2021-067-L。同时，按要求组织应急演练和制定应急报告制度，落实应急物资和经费。根据突发事故相关规定，项目应急预案纳入地方政府管理体系，形成联动机制。</w:t>
      </w:r>
    </w:p>
    <w:p w14:paraId="10CEEFD6">
      <w:pPr>
        <w:keepNext w:val="0"/>
        <w:keepLines w:val="0"/>
        <w:suppressLineNumbers w:val="0"/>
        <w:snapToGrid w:val="0"/>
        <w:spacing w:before="0" w:beforeAutospacing="0" w:after="0" w:afterAutospacing="0" w:line="360" w:lineRule="auto"/>
        <w:ind w:left="0" w:right="0" w:firstLine="490" w:firstLineChars="200"/>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本次环评提出风险事故防范措施</w:t>
      </w:r>
    </w:p>
    <w:p w14:paraId="7BF42CE5">
      <w:pPr>
        <w:keepNext w:val="0"/>
        <w:keepLines w:val="0"/>
        <w:pageBreakBefore w:val="0"/>
        <w:kinsoku/>
        <w:wordWrap/>
        <w:overflowPunct/>
        <w:topLinePunct w:val="0"/>
        <w:autoSpaceDE/>
        <w:autoSpaceDN/>
        <w:bidi w:val="0"/>
        <w:adjustRightInd/>
        <w:snapToGrid/>
        <w:spacing w:line="360" w:lineRule="auto"/>
        <w:ind w:left="0" w:leftChars="0" w:firstLine="367" w:firstLineChars="15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default" w:ascii="Times New Roman" w:hAnsi="Times New Roman" w:cs="Times New Roman"/>
          <w:color w:val="auto"/>
          <w:sz w:val="24"/>
          <w:szCs w:val="32"/>
          <w:lang w:val="en-US" w:eastAsia="zh-CN"/>
        </w:rPr>
        <w:t>危废暂存间设置应严格按照《危险废物贮存污染控制标准》（GB18597-2023）中的相关要求，做好防雨、防渗，防止二次污染，按规定设置警示标志，分类管理，分类存放。</w:t>
      </w:r>
    </w:p>
    <w:p w14:paraId="64EEDBB3">
      <w:pPr>
        <w:keepNext w:val="0"/>
        <w:keepLines w:val="0"/>
        <w:pageBreakBefore w:val="0"/>
        <w:widowControl w:val="0"/>
        <w:kinsoku/>
        <w:wordWrap/>
        <w:overflowPunct/>
        <w:topLinePunct w:val="0"/>
        <w:autoSpaceDE/>
        <w:autoSpaceDN/>
        <w:bidi w:val="0"/>
        <w:adjustRightInd/>
        <w:snapToGrid/>
        <w:spacing w:line="360" w:lineRule="auto"/>
        <w:ind w:left="0" w:leftChars="0" w:firstLine="490" w:firstLineChars="200"/>
        <w:jc w:val="both"/>
        <w:textAlignment w:val="auto"/>
        <w:outlineLvl w:val="9"/>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（2）废</w:t>
      </w:r>
      <w:r>
        <w:rPr>
          <w:rFonts w:hint="default" w:ascii="Times New Roman" w:hAnsi="Times New Roman" w:cs="Times New Roman"/>
          <w:color w:val="auto"/>
          <w:sz w:val="24"/>
          <w:highlight w:val="none"/>
          <w:lang w:val="en-US" w:eastAsia="zh-CN"/>
        </w:rPr>
        <w:t>机油</w:t>
      </w:r>
      <w:r>
        <w:rPr>
          <w:rFonts w:hint="default" w:ascii="Times New Roman" w:hAnsi="Times New Roman" w:cs="Times New Roman"/>
          <w:color w:val="auto"/>
          <w:sz w:val="24"/>
          <w:highlight w:val="none"/>
        </w:rPr>
        <w:t>收集及送至暂存间由专职人员负责，废矿物油产生及处置须记录有台账，定时进行废矿物油暂存间的检查巡视</w:t>
      </w:r>
      <w:r>
        <w:rPr>
          <w:rFonts w:hint="default" w:ascii="Times New Roman" w:hAnsi="Times New Roman" w:cs="Times New Roman"/>
          <w:color w:val="auto"/>
          <w:sz w:val="24"/>
          <w:highlight w:val="none"/>
          <w:lang w:eastAsia="zh-CN"/>
        </w:rPr>
        <w:t>。</w:t>
      </w:r>
    </w:p>
    <w:p w14:paraId="0A2C66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9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须配备有应急桶、铲子、沙子等应急物资。发现废</w:t>
      </w:r>
      <w:r>
        <w:rPr>
          <w:rFonts w:hint="default" w:ascii="Times New Roman" w:hAnsi="Times New Roman" w:cs="Times New Roman"/>
          <w:color w:val="auto"/>
          <w:sz w:val="24"/>
          <w:highlight w:val="none"/>
          <w:lang w:val="en-US" w:eastAsia="zh-CN"/>
        </w:rPr>
        <w:t>机油</w:t>
      </w:r>
      <w:r>
        <w:rPr>
          <w:rFonts w:hint="default" w:ascii="Times New Roman" w:hAnsi="Times New Roman" w:cs="Times New Roman"/>
          <w:color w:val="auto"/>
          <w:sz w:val="24"/>
          <w:highlight w:val="none"/>
        </w:rPr>
        <w:t>泄漏后先进行溢流的围堵，用沙子吸收溢出的液体，然后用铲子铲装含油沙至应急桶，妥善放置。尽快找出</w:t>
      </w:r>
      <w:r>
        <w:rPr>
          <w:rFonts w:hint="default" w:ascii="Times New Roman" w:hAnsi="Times New Roman" w:cs="Times New Roman"/>
          <w:color w:val="auto"/>
          <w:sz w:val="24"/>
          <w:highlight w:val="none"/>
          <w:lang w:eastAsia="zh-CN"/>
        </w:rPr>
        <w:t>泄漏</w:t>
      </w:r>
      <w:r>
        <w:rPr>
          <w:rFonts w:hint="default" w:ascii="Times New Roman" w:hAnsi="Times New Roman" w:cs="Times New Roman"/>
          <w:color w:val="auto"/>
          <w:sz w:val="24"/>
          <w:highlight w:val="none"/>
        </w:rPr>
        <w:t>源并进行封堵处理，避免持续泄漏。</w:t>
      </w:r>
    </w:p>
    <w:p w14:paraId="68E99682">
      <w:pPr>
        <w:pStyle w:val="6"/>
        <w:bidi w:val="0"/>
        <w:rPr>
          <w:rFonts w:hint="default" w:ascii="Times New Roman" w:hAnsi="Times New Roman" w:cs="Times New Roman"/>
        </w:rPr>
      </w:pPr>
      <w:bookmarkStart w:id="578" w:name="_Toc30491"/>
      <w:r>
        <w:rPr>
          <w:rFonts w:hint="default" w:ascii="Times New Roman" w:hAnsi="Times New Roman" w:cs="Times New Roman"/>
          <w:lang w:val="en-US" w:eastAsia="zh-CN"/>
        </w:rPr>
        <w:t>6.8.7</w:t>
      </w:r>
      <w:r>
        <w:rPr>
          <w:rFonts w:hint="default" w:ascii="Times New Roman" w:hAnsi="Times New Roman" w:cs="Times New Roman"/>
        </w:rPr>
        <w:t>分析结论</w:t>
      </w:r>
      <w:bookmarkEnd w:id="578"/>
    </w:p>
    <w:p w14:paraId="6838514C">
      <w:pPr>
        <w:spacing w:line="360" w:lineRule="auto"/>
        <w:ind w:firstLine="480"/>
        <w:rPr>
          <w:rFonts w:hint="default" w:ascii="Times New Roman" w:hAnsi="Times New Roman" w:cs="Times New Roman"/>
        </w:rPr>
      </w:pPr>
      <w:r>
        <w:rPr>
          <w:rFonts w:hint="default" w:ascii="Times New Roman" w:hAnsi="Times New Roman" w:cs="Times New Roman"/>
        </w:rPr>
        <w:t>项目存在一定环境风险，建设单位采取相应的风险防范措施和事故</w:t>
      </w:r>
      <w:r>
        <w:rPr>
          <w:rFonts w:hint="default" w:ascii="Times New Roman" w:hAnsi="Times New Roman" w:cs="Times New Roman"/>
          <w:lang w:val="en-US" w:eastAsia="zh-CN"/>
        </w:rPr>
        <w:t>应急措施</w:t>
      </w:r>
      <w:r>
        <w:rPr>
          <w:rFonts w:hint="default" w:ascii="Times New Roman" w:hAnsi="Times New Roman" w:cs="Times New Roman"/>
        </w:rPr>
        <w:t>后，环境风险处于可接受的水平，项目风险防范措施可行，本项目的环境风险是可以接受的。</w:t>
      </w:r>
    </w:p>
    <w:p w14:paraId="53269184">
      <w:pPr>
        <w:adjustRightInd w:val="0"/>
        <w:snapToGrid w:val="0"/>
        <w:jc w:val="center"/>
        <w:rPr>
          <w:rFonts w:hint="default" w:ascii="Times New Roman" w:hAnsi="Times New Roman" w:eastAsia="黑体" w:cs="Times New Roman"/>
          <w:b w:val="0"/>
          <w:bCs/>
          <w:color w:val="auto"/>
          <w:sz w:val="21"/>
          <w:szCs w:val="21"/>
          <w:lang w:val="en-US" w:eastAsia="zh-CN"/>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6</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8.7</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1</w:t>
      </w:r>
      <w:r>
        <w:rPr>
          <w:rFonts w:hint="default" w:ascii="Times New Roman" w:hAnsi="Times New Roman" w:eastAsia="黑体" w:cs="Times New Roman"/>
          <w:b w:val="0"/>
          <w:bCs/>
          <w:sz w:val="21"/>
          <w:szCs w:val="21"/>
        </w:rPr>
        <w:t xml:space="preserve">  建设项目环境风险简单分析内容表</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393"/>
        <w:gridCol w:w="1583"/>
        <w:gridCol w:w="1396"/>
        <w:gridCol w:w="2681"/>
      </w:tblGrid>
      <w:tr w14:paraId="161C6B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Borders>
              <w:tl2br w:val="nil"/>
              <w:tr2bl w:val="nil"/>
            </w:tcBorders>
            <w:vAlign w:val="center"/>
          </w:tcPr>
          <w:p w14:paraId="11FE5C66">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建设项目名称</w:t>
            </w:r>
          </w:p>
        </w:tc>
        <w:tc>
          <w:tcPr>
            <w:tcW w:w="7051" w:type="dxa"/>
            <w:gridSpan w:val="4"/>
            <w:tcBorders>
              <w:tl2br w:val="nil"/>
              <w:tr2bl w:val="nil"/>
            </w:tcBorders>
            <w:vAlign w:val="center"/>
          </w:tcPr>
          <w:p w14:paraId="16F8ADEC">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云南新平仙福矿冶有限公司废石加工资源综合利用项目</w:t>
            </w:r>
          </w:p>
        </w:tc>
      </w:tr>
      <w:tr w14:paraId="7E2CF6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Borders>
              <w:tl2br w:val="nil"/>
              <w:tr2bl w:val="nil"/>
            </w:tcBorders>
            <w:vAlign w:val="center"/>
          </w:tcPr>
          <w:p w14:paraId="1317DB42">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建设地点</w:t>
            </w:r>
          </w:p>
        </w:tc>
        <w:tc>
          <w:tcPr>
            <w:tcW w:w="1393" w:type="dxa"/>
            <w:tcBorders>
              <w:tl2br w:val="nil"/>
              <w:tr2bl w:val="nil"/>
            </w:tcBorders>
            <w:vAlign w:val="center"/>
          </w:tcPr>
          <w:p w14:paraId="047C9AB3">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云南省</w:t>
            </w:r>
          </w:p>
        </w:tc>
        <w:tc>
          <w:tcPr>
            <w:tcW w:w="1583" w:type="dxa"/>
            <w:tcBorders>
              <w:tl2br w:val="nil"/>
              <w:tr2bl w:val="nil"/>
            </w:tcBorders>
            <w:vAlign w:val="center"/>
          </w:tcPr>
          <w:p w14:paraId="65E1393A">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玉溪市</w:t>
            </w:r>
          </w:p>
        </w:tc>
        <w:tc>
          <w:tcPr>
            <w:tcW w:w="1396" w:type="dxa"/>
            <w:tcBorders>
              <w:tl2br w:val="nil"/>
              <w:tr2bl w:val="nil"/>
            </w:tcBorders>
            <w:vAlign w:val="center"/>
          </w:tcPr>
          <w:p w14:paraId="7C5D154A">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新平县</w:t>
            </w:r>
          </w:p>
        </w:tc>
        <w:tc>
          <w:tcPr>
            <w:tcW w:w="2679" w:type="dxa"/>
            <w:tcBorders>
              <w:tl2br w:val="nil"/>
              <w:tr2bl w:val="nil"/>
            </w:tcBorders>
            <w:vAlign w:val="center"/>
          </w:tcPr>
          <w:p w14:paraId="24104B4D">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扬武镇鲁奎山</w:t>
            </w:r>
          </w:p>
        </w:tc>
      </w:tr>
      <w:tr w14:paraId="7CA8DA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Borders>
              <w:tl2br w:val="nil"/>
              <w:tr2bl w:val="nil"/>
            </w:tcBorders>
            <w:vAlign w:val="center"/>
          </w:tcPr>
          <w:p w14:paraId="334F9C9B">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地理坐标</w:t>
            </w:r>
          </w:p>
        </w:tc>
        <w:tc>
          <w:tcPr>
            <w:tcW w:w="1393" w:type="dxa"/>
            <w:tcBorders>
              <w:tl2br w:val="nil"/>
              <w:tr2bl w:val="nil"/>
            </w:tcBorders>
            <w:vAlign w:val="center"/>
          </w:tcPr>
          <w:p w14:paraId="458C5EBB">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经度</w:t>
            </w:r>
          </w:p>
        </w:tc>
        <w:tc>
          <w:tcPr>
            <w:tcW w:w="1583" w:type="dxa"/>
            <w:tcBorders>
              <w:tl2br w:val="nil"/>
              <w:tr2bl w:val="nil"/>
            </w:tcBorders>
            <w:vAlign w:val="center"/>
          </w:tcPr>
          <w:p w14:paraId="7CDC90BA">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102.19614</w:t>
            </w:r>
          </w:p>
        </w:tc>
        <w:tc>
          <w:tcPr>
            <w:tcW w:w="1396" w:type="dxa"/>
            <w:tcBorders>
              <w:tl2br w:val="nil"/>
              <w:tr2bl w:val="nil"/>
            </w:tcBorders>
            <w:vAlign w:val="center"/>
          </w:tcPr>
          <w:p w14:paraId="0B3DC234">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纬度</w:t>
            </w:r>
          </w:p>
        </w:tc>
        <w:tc>
          <w:tcPr>
            <w:tcW w:w="2679" w:type="dxa"/>
            <w:tcBorders>
              <w:tl2br w:val="nil"/>
              <w:tr2bl w:val="nil"/>
            </w:tcBorders>
            <w:vAlign w:val="center"/>
          </w:tcPr>
          <w:p w14:paraId="6AF63457">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23.958024</w:t>
            </w:r>
          </w:p>
        </w:tc>
      </w:tr>
      <w:tr w14:paraId="0C4447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Borders>
              <w:tl2br w:val="nil"/>
              <w:tr2bl w:val="nil"/>
            </w:tcBorders>
            <w:vAlign w:val="center"/>
          </w:tcPr>
          <w:p w14:paraId="4E3F1B6F">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主要危害物质及分布</w:t>
            </w:r>
          </w:p>
        </w:tc>
        <w:tc>
          <w:tcPr>
            <w:tcW w:w="7051" w:type="dxa"/>
            <w:gridSpan w:val="4"/>
            <w:tcBorders>
              <w:tl2br w:val="nil"/>
              <w:tr2bl w:val="nil"/>
            </w:tcBorders>
            <w:vAlign w:val="center"/>
          </w:tcPr>
          <w:p w14:paraId="65B28028">
            <w:pPr>
              <w:adjustRightInd w:val="0"/>
              <w:spacing w:line="240" w:lineRule="auto"/>
              <w:jc w:val="left"/>
              <w:rPr>
                <w:rFonts w:hint="default" w:ascii="Times New Roman" w:hAnsi="Times New Roman" w:cs="Times New Roman"/>
                <w:sz w:val="18"/>
                <w:szCs w:val="18"/>
              </w:rPr>
            </w:pPr>
            <w:r>
              <w:rPr>
                <w:rFonts w:hint="default" w:ascii="Times New Roman" w:hAnsi="Times New Roman" w:cs="Times New Roman"/>
                <w:sz w:val="18"/>
                <w:szCs w:val="18"/>
              </w:rPr>
              <w:t>根据本项目运营期使用、储存的物质确定，本项目危险物质主要</w:t>
            </w:r>
            <w:r>
              <w:rPr>
                <w:rFonts w:hint="default" w:ascii="Times New Roman" w:hAnsi="Times New Roman" w:cs="Times New Roman" w:eastAsiaTheme="minorEastAsia"/>
                <w:sz w:val="18"/>
                <w:szCs w:val="18"/>
              </w:rPr>
              <w:t>危废暂存间的</w:t>
            </w:r>
            <w:r>
              <w:rPr>
                <w:rFonts w:hint="default" w:ascii="Times New Roman" w:hAnsi="Times New Roman" w:cs="Times New Roman"/>
                <w:sz w:val="18"/>
                <w:szCs w:val="18"/>
              </w:rPr>
              <w:t>矿物油。</w:t>
            </w:r>
          </w:p>
        </w:tc>
      </w:tr>
      <w:tr w14:paraId="69D400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Borders>
              <w:tl2br w:val="nil"/>
              <w:tr2bl w:val="nil"/>
            </w:tcBorders>
            <w:vAlign w:val="center"/>
          </w:tcPr>
          <w:p w14:paraId="48B06D3E">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环境影响途径及危害后果（大气、地表水、地下水等）</w:t>
            </w:r>
          </w:p>
        </w:tc>
        <w:tc>
          <w:tcPr>
            <w:tcW w:w="7051" w:type="dxa"/>
            <w:gridSpan w:val="4"/>
            <w:tcBorders>
              <w:tl2br w:val="nil"/>
              <w:tr2bl w:val="nil"/>
            </w:tcBorders>
            <w:vAlign w:val="center"/>
          </w:tcPr>
          <w:p w14:paraId="23FB1900">
            <w:pPr>
              <w:adjustRightInd w:val="0"/>
              <w:spacing w:line="240" w:lineRule="auto"/>
              <w:ind w:firstLine="370" w:firstLineChars="200"/>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（1）大气环境风险分析</w:t>
            </w:r>
          </w:p>
          <w:p w14:paraId="2F00AB43">
            <w:pPr>
              <w:adjustRightInd w:val="0"/>
              <w:spacing w:line="240" w:lineRule="auto"/>
              <w:ind w:firstLine="370" w:firstLineChars="200"/>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当废机油泄漏时，将会挥发少量有机气体，逸散到空气中对大气环境造成影响。当泄漏后的废机油有机气体遇明火源会发生火灾，将对大气环境造成影响。同时本项目生产过程中堆放有很多可燃物，如营运期安全措施不到位，极易引发火灾事故。一般火灾事故会造成较大的人身财产安全，在物料燃烧过程中会造成大气环境污染。燃烧过程中会产生如CO、烟尘等有毒有害气体。</w:t>
            </w:r>
          </w:p>
          <w:p w14:paraId="5FABF7D9">
            <w:pPr>
              <w:adjustRightInd w:val="0"/>
              <w:spacing w:line="240" w:lineRule="auto"/>
              <w:ind w:firstLine="370" w:firstLineChars="200"/>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（2）地表水环境风险分析</w:t>
            </w:r>
          </w:p>
          <w:p w14:paraId="4EFD2C0C">
            <w:pPr>
              <w:adjustRightInd w:val="0"/>
              <w:spacing w:line="240" w:lineRule="auto"/>
              <w:ind w:firstLine="370" w:firstLineChars="200"/>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项目危废暂存间内暂存的废机油一旦发生泄漏进入水体，将会对水质造成一定的影响，浓度较高时会导致水体中动植物死亡，造成地表水体污染。</w:t>
            </w:r>
          </w:p>
          <w:p w14:paraId="31A0D9DA">
            <w:pPr>
              <w:adjustRightInd w:val="0"/>
              <w:spacing w:line="240" w:lineRule="auto"/>
              <w:ind w:firstLine="370" w:firstLineChars="200"/>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（3）地下水及土壤环境风险分析</w:t>
            </w:r>
          </w:p>
          <w:p w14:paraId="51CDABBB">
            <w:pPr>
              <w:adjustRightInd w:val="0"/>
              <w:spacing w:line="240" w:lineRule="auto"/>
              <w:ind w:firstLine="370" w:firstLineChars="200"/>
              <w:jc w:val="left"/>
              <w:rPr>
                <w:rFonts w:hint="default" w:ascii="Times New Roman" w:hAnsi="Times New Roman" w:cs="Times New Roman"/>
                <w:sz w:val="18"/>
                <w:szCs w:val="18"/>
              </w:rPr>
            </w:pPr>
            <w:r>
              <w:rPr>
                <w:rFonts w:hint="default" w:ascii="Times New Roman" w:hAnsi="Times New Roman" w:cs="Times New Roman"/>
                <w:sz w:val="18"/>
                <w:szCs w:val="18"/>
                <w:lang w:val="en-US" w:eastAsia="zh-CN"/>
              </w:rPr>
              <w:t>项目废机油一旦发生泄漏事故，若防渗措施不到位，有可能渗入土壤，最终会引起地下水污染。</w:t>
            </w:r>
          </w:p>
        </w:tc>
      </w:tr>
      <w:tr w14:paraId="1A11CE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Borders>
              <w:tl2br w:val="nil"/>
              <w:tr2bl w:val="nil"/>
            </w:tcBorders>
            <w:vAlign w:val="center"/>
          </w:tcPr>
          <w:p w14:paraId="535ABF41">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风险防范措施要求</w:t>
            </w:r>
          </w:p>
        </w:tc>
        <w:tc>
          <w:tcPr>
            <w:tcW w:w="7051" w:type="dxa"/>
            <w:gridSpan w:val="4"/>
            <w:tcBorders>
              <w:tl2br w:val="nil"/>
              <w:tr2bl w:val="nil"/>
            </w:tcBorders>
            <w:vAlign w:val="center"/>
          </w:tcPr>
          <w:p w14:paraId="764B044A">
            <w:pPr>
              <w:keepNext w:val="0"/>
              <w:keepLines w:val="0"/>
              <w:pageBreakBefore w:val="0"/>
              <w:kinsoku/>
              <w:wordWrap/>
              <w:overflowPunct/>
              <w:topLinePunct w:val="0"/>
              <w:autoSpaceDE/>
              <w:autoSpaceDN/>
              <w:bidi w:val="0"/>
              <w:adjustRightInd/>
              <w:snapToGrid/>
              <w:spacing w:line="240" w:lineRule="auto"/>
              <w:ind w:left="0" w:leftChars="0" w:firstLine="277" w:firstLineChars="15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r>
              <w:rPr>
                <w:rFonts w:hint="default" w:ascii="Times New Roman" w:hAnsi="Times New Roman" w:cs="Times New Roman"/>
                <w:color w:val="auto"/>
                <w:sz w:val="18"/>
                <w:szCs w:val="18"/>
                <w:lang w:val="en-US" w:eastAsia="zh-CN"/>
              </w:rPr>
              <w:t>危废暂存间设置应严格按照《危险废物贮存污染控制标准》（GB18597-2023）中的相关要求，做好防雨、防渗，防止二次污染，按规定设置警示标志，分类管理，分类存放。</w:t>
            </w:r>
          </w:p>
          <w:p w14:paraId="146DDA3E">
            <w:pPr>
              <w:keepNext w:val="0"/>
              <w:keepLines w:val="0"/>
              <w:pageBreakBefore w:val="0"/>
              <w:widowControl w:val="0"/>
              <w:kinsoku/>
              <w:wordWrap/>
              <w:overflowPunct/>
              <w:topLinePunct w:val="0"/>
              <w:autoSpaceDE/>
              <w:autoSpaceDN/>
              <w:bidi w:val="0"/>
              <w:adjustRightInd/>
              <w:snapToGrid/>
              <w:spacing w:line="240" w:lineRule="auto"/>
              <w:ind w:left="0" w:leftChars="0" w:firstLine="370" w:firstLineChars="200"/>
              <w:jc w:val="both"/>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（2）废</w:t>
            </w:r>
            <w:r>
              <w:rPr>
                <w:rFonts w:hint="default" w:ascii="Times New Roman" w:hAnsi="Times New Roman" w:cs="Times New Roman"/>
                <w:color w:val="auto"/>
                <w:sz w:val="18"/>
                <w:szCs w:val="18"/>
                <w:highlight w:val="none"/>
                <w:lang w:val="en-US" w:eastAsia="zh-CN"/>
              </w:rPr>
              <w:t>机油</w:t>
            </w:r>
            <w:r>
              <w:rPr>
                <w:rFonts w:hint="default" w:ascii="Times New Roman" w:hAnsi="Times New Roman" w:cs="Times New Roman"/>
                <w:color w:val="auto"/>
                <w:sz w:val="18"/>
                <w:szCs w:val="18"/>
                <w:highlight w:val="none"/>
              </w:rPr>
              <w:t>收集及送至暂存间由专职人员负责，废矿物油产生及处置须记录有台账，定时进行废矿物油暂存间的检查巡视</w:t>
            </w:r>
            <w:r>
              <w:rPr>
                <w:rFonts w:hint="default" w:ascii="Times New Roman" w:hAnsi="Times New Roman" w:cs="Times New Roman"/>
                <w:color w:val="auto"/>
                <w:sz w:val="18"/>
                <w:szCs w:val="18"/>
                <w:highlight w:val="none"/>
                <w:lang w:eastAsia="zh-CN"/>
              </w:rPr>
              <w:t>。</w:t>
            </w:r>
          </w:p>
          <w:p w14:paraId="3E12C85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370" w:firstLineChars="200"/>
              <w:jc w:val="both"/>
              <w:textAlignment w:val="auto"/>
              <w:rPr>
                <w:rFonts w:hint="default" w:ascii="Times New Roman" w:hAnsi="Times New Roman" w:cs="Times New Roman"/>
                <w:sz w:val="18"/>
                <w:szCs w:val="18"/>
              </w:rPr>
            </w:pP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须配备有应急桶、铲子、沙子等应急物资。发现废</w:t>
            </w:r>
            <w:r>
              <w:rPr>
                <w:rFonts w:hint="default" w:ascii="Times New Roman" w:hAnsi="Times New Roman" w:cs="Times New Roman"/>
                <w:color w:val="auto"/>
                <w:sz w:val="18"/>
                <w:szCs w:val="18"/>
                <w:highlight w:val="none"/>
                <w:lang w:val="en-US" w:eastAsia="zh-CN"/>
              </w:rPr>
              <w:t>机油</w:t>
            </w:r>
            <w:r>
              <w:rPr>
                <w:rFonts w:hint="default" w:ascii="Times New Roman" w:hAnsi="Times New Roman" w:cs="Times New Roman"/>
                <w:color w:val="auto"/>
                <w:sz w:val="18"/>
                <w:szCs w:val="18"/>
                <w:highlight w:val="none"/>
              </w:rPr>
              <w:t>泄漏后先进行溢流的围堵，用沙子吸收溢出的液体，然后用铲子铲装含油沙至应急桶，妥善放置。尽快找出</w:t>
            </w:r>
            <w:r>
              <w:rPr>
                <w:rFonts w:hint="default" w:ascii="Times New Roman" w:hAnsi="Times New Roman" w:cs="Times New Roman"/>
                <w:color w:val="auto"/>
                <w:sz w:val="18"/>
                <w:szCs w:val="18"/>
                <w:highlight w:val="none"/>
                <w:lang w:eastAsia="zh-CN"/>
              </w:rPr>
              <w:t>泄漏</w:t>
            </w:r>
            <w:r>
              <w:rPr>
                <w:rFonts w:hint="default" w:ascii="Times New Roman" w:hAnsi="Times New Roman" w:cs="Times New Roman"/>
                <w:color w:val="auto"/>
                <w:sz w:val="18"/>
                <w:szCs w:val="18"/>
                <w:highlight w:val="none"/>
              </w:rPr>
              <w:t>源并进行封堵处理，避免持续泄漏。</w:t>
            </w:r>
          </w:p>
        </w:tc>
      </w:tr>
      <w:tr w14:paraId="011F71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Borders>
              <w:tl2br w:val="nil"/>
              <w:tr2bl w:val="nil"/>
            </w:tcBorders>
            <w:vAlign w:val="center"/>
          </w:tcPr>
          <w:p w14:paraId="71D97657">
            <w:pPr>
              <w:adjustRightIn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填表说明（列出项目相关信息及评价说明）</w:t>
            </w:r>
          </w:p>
        </w:tc>
        <w:tc>
          <w:tcPr>
            <w:tcW w:w="7051" w:type="dxa"/>
            <w:gridSpan w:val="4"/>
            <w:tcBorders>
              <w:tl2br w:val="nil"/>
              <w:tr2bl w:val="nil"/>
            </w:tcBorders>
            <w:vAlign w:val="center"/>
          </w:tcPr>
          <w:p w14:paraId="35639F05">
            <w:pPr>
              <w:adjustRightInd w:val="0"/>
              <w:spacing w:line="240" w:lineRule="auto"/>
              <w:ind w:firstLine="370" w:firstLineChars="200"/>
              <w:jc w:val="left"/>
              <w:rPr>
                <w:rFonts w:hint="default" w:ascii="Times New Roman" w:hAnsi="Times New Roman" w:cs="Times New Roman"/>
                <w:sz w:val="18"/>
                <w:szCs w:val="18"/>
              </w:rPr>
            </w:pPr>
            <w:r>
              <w:rPr>
                <w:rFonts w:hint="default" w:ascii="Times New Roman" w:hAnsi="Times New Roman" w:cs="Times New Roman"/>
                <w:sz w:val="18"/>
                <w:szCs w:val="18"/>
              </w:rPr>
              <w:t>项目存在一定环境风险，建设单位采取相应的风险防范措施和事故</w:t>
            </w:r>
            <w:r>
              <w:rPr>
                <w:rFonts w:hint="default" w:ascii="Times New Roman" w:hAnsi="Times New Roman" w:cs="Times New Roman"/>
                <w:sz w:val="18"/>
                <w:szCs w:val="18"/>
                <w:lang w:eastAsia="zh-CN"/>
              </w:rPr>
              <w:t>应急</w:t>
            </w:r>
            <w:r>
              <w:rPr>
                <w:rFonts w:hint="default" w:ascii="Times New Roman" w:hAnsi="Times New Roman" w:cs="Times New Roman"/>
                <w:sz w:val="18"/>
                <w:szCs w:val="18"/>
                <w:lang w:val="en-US" w:eastAsia="zh-CN"/>
              </w:rPr>
              <w:t>措施</w:t>
            </w:r>
            <w:r>
              <w:rPr>
                <w:rFonts w:hint="default" w:ascii="Times New Roman" w:hAnsi="Times New Roman" w:cs="Times New Roman"/>
                <w:sz w:val="18"/>
                <w:szCs w:val="18"/>
              </w:rPr>
              <w:t>后，环境风险处于可接受的水平，项目风险防范措施可行。</w:t>
            </w:r>
          </w:p>
        </w:tc>
      </w:tr>
    </w:tbl>
    <w:p w14:paraId="5F422544">
      <w:pPr>
        <w:bidi w:val="0"/>
        <w:rPr>
          <w:rFonts w:hint="default" w:ascii="Times New Roman" w:hAnsi="Times New Roman" w:cs="Times New Roman"/>
        </w:rPr>
      </w:pPr>
      <w:bookmarkStart w:id="579" w:name="_Toc165816788"/>
    </w:p>
    <w:p w14:paraId="7D7583D5">
      <w:pPr>
        <w:rPr>
          <w:rFonts w:hint="default" w:ascii="Times New Roman" w:hAnsi="Times New Roman" w:cs="Times New Roman"/>
          <w:lang w:val="en-US" w:eastAsia="zh-CN"/>
        </w:rPr>
      </w:pPr>
      <w:bookmarkStart w:id="580" w:name="_Toc3841"/>
      <w:bookmarkStart w:id="581" w:name="_Toc10916"/>
      <w:r>
        <w:rPr>
          <w:rFonts w:hint="default" w:ascii="Times New Roman" w:hAnsi="Times New Roman" w:cs="Times New Roman"/>
          <w:lang w:val="en-US" w:eastAsia="zh-CN"/>
        </w:rPr>
        <w:br w:type="page"/>
      </w:r>
    </w:p>
    <w:p w14:paraId="6F9BFAA3">
      <w:pPr>
        <w:pStyle w:val="4"/>
        <w:bidi w:val="0"/>
        <w:rPr>
          <w:rFonts w:hint="default" w:ascii="Times New Roman" w:hAnsi="Times New Roman" w:cs="Times New Roman"/>
        </w:rPr>
      </w:pPr>
      <w:bookmarkStart w:id="582" w:name="_Toc8828"/>
      <w:bookmarkStart w:id="583" w:name="_Toc29279"/>
      <w:bookmarkStart w:id="584" w:name="_Toc32230"/>
      <w:r>
        <w:rPr>
          <w:rFonts w:hint="default" w:ascii="Times New Roman" w:hAnsi="Times New Roman" w:cs="Times New Roman"/>
          <w:lang w:val="en-US" w:eastAsia="zh-CN"/>
        </w:rPr>
        <w:t>7</w:t>
      </w:r>
      <w:r>
        <w:rPr>
          <w:rFonts w:hint="default" w:ascii="Times New Roman" w:hAnsi="Times New Roman" w:cs="Times New Roman"/>
        </w:rPr>
        <w:t xml:space="preserve"> 环境保护措施及其可行性论证</w:t>
      </w:r>
      <w:bookmarkEnd w:id="579"/>
      <w:bookmarkEnd w:id="580"/>
      <w:bookmarkEnd w:id="581"/>
      <w:bookmarkEnd w:id="582"/>
      <w:bookmarkEnd w:id="583"/>
      <w:bookmarkEnd w:id="584"/>
    </w:p>
    <w:p w14:paraId="63A34F01">
      <w:pPr>
        <w:pStyle w:val="5"/>
        <w:bidi w:val="0"/>
        <w:rPr>
          <w:rFonts w:hint="default" w:ascii="Times New Roman" w:hAnsi="Times New Roman" w:cs="Times New Roman"/>
        </w:rPr>
      </w:pPr>
      <w:bookmarkStart w:id="585" w:name="_Toc23067"/>
      <w:bookmarkStart w:id="586" w:name="_Toc12132"/>
      <w:bookmarkStart w:id="587" w:name="_Toc4169"/>
      <w:bookmarkStart w:id="588" w:name="_Toc24906"/>
      <w:bookmarkStart w:id="589" w:name="_Toc24128"/>
      <w:bookmarkStart w:id="590" w:name="_Toc165816789"/>
      <w:r>
        <w:rPr>
          <w:rFonts w:hint="default" w:ascii="Times New Roman" w:hAnsi="Times New Roman" w:cs="Times New Roman"/>
          <w:lang w:val="en-US" w:eastAsia="zh-CN"/>
        </w:rPr>
        <w:t>7</w:t>
      </w:r>
      <w:r>
        <w:rPr>
          <w:rFonts w:hint="default" w:ascii="Times New Roman" w:hAnsi="Times New Roman" w:cs="Times New Roman"/>
        </w:rPr>
        <w:t>.1施工期污染防治措施</w:t>
      </w:r>
      <w:bookmarkEnd w:id="585"/>
      <w:bookmarkEnd w:id="586"/>
      <w:bookmarkEnd w:id="587"/>
      <w:bookmarkEnd w:id="588"/>
      <w:bookmarkEnd w:id="589"/>
      <w:bookmarkEnd w:id="590"/>
    </w:p>
    <w:p w14:paraId="366C478A">
      <w:pPr>
        <w:spacing w:line="360" w:lineRule="auto"/>
        <w:ind w:firstLine="482"/>
        <w:rPr>
          <w:rFonts w:hint="default" w:ascii="Times New Roman" w:hAnsi="Times New Roman" w:cs="Times New Roman"/>
          <w:b/>
        </w:rPr>
      </w:pPr>
      <w:r>
        <w:rPr>
          <w:rFonts w:hint="default" w:ascii="Times New Roman" w:hAnsi="Times New Roman" w:cs="Times New Roman"/>
          <w:b/>
        </w:rPr>
        <w:t>一、废气</w:t>
      </w:r>
    </w:p>
    <w:p w14:paraId="58E99529">
      <w:pPr>
        <w:spacing w:line="360" w:lineRule="auto"/>
        <w:ind w:firstLine="480"/>
        <w:rPr>
          <w:rFonts w:hint="default" w:ascii="Times New Roman" w:hAnsi="Times New Roman" w:cs="Times New Roman"/>
        </w:rPr>
      </w:pPr>
      <w:r>
        <w:rPr>
          <w:rFonts w:hint="default" w:ascii="Times New Roman" w:hAnsi="Times New Roman" w:cs="Times New Roman"/>
        </w:rPr>
        <w:t>在施工期间，应采取积极的措施来尽量减少扬尘的产生，如喷水、保持湿润、及时外运渣土等。在建设场地的四周应设有连续硬质围挡，房屋建筑应实行封闭式施工以防止扬尘的扩散。项目在施工期拟采取如下控制措施：</w:t>
      </w:r>
    </w:p>
    <w:p w14:paraId="5C8EA017">
      <w:pPr>
        <w:spacing w:line="360" w:lineRule="auto"/>
        <w:ind w:firstLine="480"/>
        <w:rPr>
          <w:rFonts w:hint="default" w:ascii="Times New Roman" w:hAnsi="Times New Roman" w:cs="Times New Roman"/>
        </w:rPr>
      </w:pPr>
      <w:r>
        <w:rPr>
          <w:rFonts w:hint="default" w:ascii="Times New Roman" w:hAnsi="Times New Roman" w:cs="Times New Roman"/>
        </w:rPr>
        <w:t>（1）在施工场地安排专门员工对施工场地洒水以减少扬尘量，洒水次数根据天气状况而定，一般每天不少于2次；若遇到大风或干燥天气适当增加洒水次数。</w:t>
      </w:r>
    </w:p>
    <w:p w14:paraId="3B237BE6">
      <w:pPr>
        <w:spacing w:line="360" w:lineRule="auto"/>
        <w:ind w:firstLine="480"/>
        <w:rPr>
          <w:rFonts w:hint="default" w:ascii="Times New Roman" w:hAnsi="Times New Roman" w:cs="Times New Roman"/>
        </w:rPr>
      </w:pPr>
      <w:r>
        <w:rPr>
          <w:rFonts w:hint="default" w:ascii="Times New Roman" w:hAnsi="Times New Roman" w:cs="Times New Roman"/>
        </w:rPr>
        <w:t>（2）对作业面和临时土堆适当洒水，保持一定的湿度，施工便道应进行夯实硬化处理，减少起尘量。</w:t>
      </w:r>
    </w:p>
    <w:p w14:paraId="5C6ACD16">
      <w:pPr>
        <w:spacing w:line="360" w:lineRule="auto"/>
        <w:ind w:firstLine="480"/>
        <w:rPr>
          <w:rFonts w:hint="default" w:ascii="Times New Roman" w:hAnsi="Times New Roman" w:cs="Times New Roman"/>
        </w:rPr>
      </w:pPr>
      <w:r>
        <w:rPr>
          <w:rFonts w:hint="default" w:ascii="Times New Roman" w:hAnsi="Times New Roman" w:cs="Times New Roman"/>
        </w:rPr>
        <w:t>（3）场地内土堆、料堆要进行遮盖，防止扬尘的扩散。建议多用商品（湿）水泥和水泥预制品，尽量少用干水泥。</w:t>
      </w:r>
    </w:p>
    <w:p w14:paraId="53EE9CC6">
      <w:pPr>
        <w:spacing w:line="360" w:lineRule="auto"/>
        <w:ind w:firstLine="480"/>
        <w:rPr>
          <w:rFonts w:hint="default" w:ascii="Times New Roman" w:hAnsi="Times New Roman" w:cs="Times New Roman"/>
        </w:rPr>
      </w:pPr>
      <w:r>
        <w:rPr>
          <w:rFonts w:hint="default" w:ascii="Times New Roman" w:hAnsi="Times New Roman" w:cs="Times New Roman"/>
        </w:rPr>
        <w:t>（4）车辆运输建筑材料及建筑垃圾时必须加盖封闭运输，减少抛洒。</w:t>
      </w:r>
    </w:p>
    <w:p w14:paraId="20765CEF">
      <w:pPr>
        <w:spacing w:line="360" w:lineRule="auto"/>
        <w:ind w:firstLine="480"/>
        <w:rPr>
          <w:rFonts w:hint="default" w:ascii="Times New Roman" w:hAnsi="Times New Roman" w:cs="Times New Roman"/>
        </w:rPr>
      </w:pPr>
      <w:r>
        <w:rPr>
          <w:rFonts w:hint="default" w:ascii="Times New Roman" w:hAnsi="Times New Roman" w:cs="Times New Roman"/>
        </w:rPr>
        <w:t>（5）尽量避免在大风天气下进行施工作业。</w:t>
      </w:r>
    </w:p>
    <w:p w14:paraId="027AEC51">
      <w:pPr>
        <w:spacing w:line="360" w:lineRule="auto"/>
        <w:ind w:firstLine="480"/>
        <w:rPr>
          <w:rFonts w:hint="default" w:ascii="Times New Roman" w:hAnsi="Times New Roman" w:cs="Times New Roman"/>
        </w:rPr>
      </w:pPr>
      <w:r>
        <w:rPr>
          <w:rFonts w:hint="default" w:ascii="Times New Roman" w:hAnsi="Times New Roman" w:cs="Times New Roman"/>
        </w:rPr>
        <w:t>（6）临时表土堆场采取拦挡、使用土工布覆盖，减少扬尘产生。</w:t>
      </w:r>
    </w:p>
    <w:p w14:paraId="4D9F0F2C">
      <w:pPr>
        <w:pStyle w:val="39"/>
        <w:spacing w:line="360" w:lineRule="auto"/>
        <w:ind w:firstLine="480"/>
        <w:rPr>
          <w:rFonts w:hint="default" w:ascii="Times New Roman" w:hAnsi="Times New Roman" w:cs="Times New Roman"/>
        </w:rPr>
      </w:pPr>
      <w:r>
        <w:rPr>
          <w:rFonts w:hint="default" w:ascii="Times New Roman" w:hAnsi="Times New Roman" w:cs="Times New Roman"/>
        </w:rPr>
        <w:t>（7）车辆进出施工场地前后必须对车轮进行冲洗。</w:t>
      </w:r>
    </w:p>
    <w:p w14:paraId="1EF8B4A5">
      <w:pPr>
        <w:pStyle w:val="39"/>
        <w:spacing w:line="360" w:lineRule="auto"/>
        <w:ind w:firstLine="480"/>
        <w:rPr>
          <w:rFonts w:hint="default" w:ascii="Times New Roman" w:hAnsi="Times New Roman" w:cs="Times New Roman"/>
        </w:rPr>
      </w:pPr>
      <w:r>
        <w:rPr>
          <w:rFonts w:hint="default" w:ascii="Times New Roman" w:hAnsi="Times New Roman" w:cs="Times New Roman"/>
          <w:kern w:val="24"/>
        </w:rPr>
        <w:t>（8）</w:t>
      </w:r>
      <w:r>
        <w:rPr>
          <w:rFonts w:hint="default" w:ascii="Times New Roman" w:hAnsi="Times New Roman" w:cs="Times New Roman"/>
        </w:rPr>
        <w:t>施工工地周边100%围挡</w:t>
      </w:r>
    </w:p>
    <w:p w14:paraId="3B8C54FA">
      <w:pPr>
        <w:spacing w:line="360" w:lineRule="auto"/>
        <w:ind w:firstLine="448" w:firstLineChars="183"/>
        <w:rPr>
          <w:rFonts w:hint="default" w:ascii="Times New Roman" w:hAnsi="Times New Roman" w:cs="Times New Roman"/>
        </w:rPr>
      </w:pPr>
      <w:r>
        <w:rPr>
          <w:rFonts w:hint="default" w:ascii="Times New Roman" w:hAnsi="Times New Roman" w:cs="Times New Roman"/>
          <w:kern w:val="24"/>
        </w:rPr>
        <w:t>（9）</w:t>
      </w:r>
      <w:r>
        <w:rPr>
          <w:rFonts w:hint="default" w:ascii="Times New Roman" w:hAnsi="Times New Roman" w:cs="Times New Roman"/>
        </w:rPr>
        <w:t>物料堆放100%覆盖</w:t>
      </w:r>
    </w:p>
    <w:p w14:paraId="6E814A24">
      <w:pPr>
        <w:spacing w:line="360" w:lineRule="auto"/>
        <w:ind w:firstLine="490" w:firstLineChars="200"/>
        <w:rPr>
          <w:rFonts w:hint="default" w:ascii="Times New Roman" w:hAnsi="Times New Roman" w:cs="Times New Roman"/>
        </w:rPr>
      </w:pPr>
      <w:r>
        <w:rPr>
          <w:rFonts w:hint="default" w:ascii="Times New Roman" w:hAnsi="Times New Roman" w:cs="Times New Roman"/>
        </w:rPr>
        <w:t>①施工现场建筑材料、构配件、施工设备等应按施工现场平面布置图确定的位置放置，对渣土、水泥等易产生扬尘的建筑材料，应严密遮盖或存放库房内；</w:t>
      </w:r>
    </w:p>
    <w:p w14:paraId="38B38C56">
      <w:pPr>
        <w:spacing w:line="360" w:lineRule="auto"/>
        <w:ind w:firstLine="490" w:firstLineChars="200"/>
        <w:rPr>
          <w:rFonts w:hint="default" w:ascii="Times New Roman" w:hAnsi="Times New Roman" w:cs="Times New Roman"/>
        </w:rPr>
      </w:pPr>
      <w:r>
        <w:rPr>
          <w:rFonts w:hint="default" w:ascii="Times New Roman" w:hAnsi="Times New Roman" w:cs="Times New Roman"/>
        </w:rPr>
        <w:t>②专门设置集中堆放建筑垃圾、渣土的场地；不能按时完成清运的，应及时覆盖；</w:t>
      </w:r>
    </w:p>
    <w:p w14:paraId="0BACB815">
      <w:pPr>
        <w:spacing w:line="360" w:lineRule="auto"/>
        <w:ind w:firstLine="490" w:firstLineChars="200"/>
        <w:rPr>
          <w:rFonts w:hint="default" w:ascii="Times New Roman" w:hAnsi="Times New Roman" w:cs="Times New Roman"/>
        </w:rPr>
      </w:pPr>
      <w:r>
        <w:rPr>
          <w:rFonts w:hint="default" w:ascii="Times New Roman" w:hAnsi="Times New Roman" w:cs="Times New Roman"/>
          <w:kern w:val="24"/>
        </w:rPr>
        <w:t>（10）</w:t>
      </w:r>
      <w:r>
        <w:rPr>
          <w:rFonts w:hint="default" w:ascii="Times New Roman" w:hAnsi="Times New Roman" w:cs="Times New Roman"/>
        </w:rPr>
        <w:t>出入车辆100%冲洗</w:t>
      </w:r>
    </w:p>
    <w:p w14:paraId="1C339501">
      <w:pPr>
        <w:spacing w:line="360" w:lineRule="auto"/>
        <w:ind w:firstLine="490" w:firstLineChars="200"/>
        <w:rPr>
          <w:rFonts w:hint="default" w:ascii="Times New Roman" w:hAnsi="Times New Roman" w:cs="Times New Roman"/>
        </w:rPr>
      </w:pPr>
      <w:r>
        <w:rPr>
          <w:rFonts w:hint="default" w:ascii="Times New Roman" w:hAnsi="Times New Roman" w:cs="Times New Roman"/>
        </w:rPr>
        <w:t>①施工现场的出入口均应设置车辆冲洗台，四周设置排水沟，上盖钢篦，设置两级沉淀池，排水沟与沉淀池相连，沉淀池大小应满足冲洗要求；</w:t>
      </w:r>
    </w:p>
    <w:p w14:paraId="0F64DE5B">
      <w:pPr>
        <w:spacing w:line="360" w:lineRule="auto"/>
        <w:ind w:firstLine="490" w:firstLineChars="200"/>
        <w:rPr>
          <w:rFonts w:hint="default" w:ascii="Times New Roman" w:hAnsi="Times New Roman" w:cs="Times New Roman"/>
        </w:rPr>
      </w:pPr>
      <w:r>
        <w:rPr>
          <w:rFonts w:hint="default" w:ascii="Times New Roman" w:hAnsi="Times New Roman" w:cs="Times New Roman"/>
        </w:rPr>
        <w:t>②配备高压冲洗设备或设置自动冲洗台；应配备保洁员负责车辆、进出道路的冲洗、清扫和保洁工作；</w:t>
      </w:r>
    </w:p>
    <w:p w14:paraId="42F7D353">
      <w:pPr>
        <w:spacing w:line="360" w:lineRule="auto"/>
        <w:ind w:firstLine="490" w:firstLineChars="200"/>
        <w:rPr>
          <w:rFonts w:hint="default" w:ascii="Times New Roman" w:hAnsi="Times New Roman" w:cs="Times New Roman"/>
        </w:rPr>
      </w:pPr>
      <w:r>
        <w:rPr>
          <w:rFonts w:hint="default" w:ascii="Times New Roman" w:hAnsi="Times New Roman" w:cs="Times New Roman"/>
        </w:rPr>
        <w:t>③运输车出场前应冲洗干净确保车轮、车身不带泥；</w:t>
      </w:r>
    </w:p>
    <w:p w14:paraId="7FE4EA95">
      <w:pPr>
        <w:spacing w:line="360" w:lineRule="auto"/>
        <w:ind w:firstLine="490" w:firstLineChars="200"/>
        <w:rPr>
          <w:rFonts w:hint="default" w:ascii="Times New Roman" w:hAnsi="Times New Roman" w:cs="Times New Roman"/>
        </w:rPr>
      </w:pPr>
      <w:r>
        <w:rPr>
          <w:rFonts w:hint="default" w:ascii="Times New Roman" w:hAnsi="Times New Roman" w:cs="Times New Roman"/>
        </w:rPr>
        <w:t>④应建立车辆冲洗台账；</w:t>
      </w:r>
    </w:p>
    <w:p w14:paraId="55E2F380">
      <w:pPr>
        <w:spacing w:line="360" w:lineRule="auto"/>
        <w:ind w:firstLine="490" w:firstLineChars="200"/>
        <w:rPr>
          <w:rFonts w:hint="default" w:ascii="Times New Roman" w:hAnsi="Times New Roman" w:cs="Times New Roman"/>
        </w:rPr>
      </w:pPr>
      <w:r>
        <w:rPr>
          <w:rFonts w:hint="default" w:ascii="Times New Roman" w:hAnsi="Times New Roman" w:cs="Times New Roman"/>
        </w:rPr>
        <w:t>⑤不具备设置冲洗台条件的，在工地出入口采取设麻袋、安排保洁人员及时清理等措施。</w:t>
      </w:r>
    </w:p>
    <w:p w14:paraId="003A85D6">
      <w:pPr>
        <w:spacing w:line="360" w:lineRule="auto"/>
        <w:ind w:firstLine="490" w:firstLineChars="200"/>
        <w:rPr>
          <w:rFonts w:hint="default" w:ascii="Times New Roman" w:hAnsi="Times New Roman" w:cs="Times New Roman"/>
        </w:rPr>
      </w:pPr>
      <w:r>
        <w:rPr>
          <w:rFonts w:hint="default" w:ascii="Times New Roman" w:hAnsi="Times New Roman" w:cs="Times New Roman"/>
          <w:kern w:val="24"/>
        </w:rPr>
        <w:t>（11）</w:t>
      </w:r>
      <w:r>
        <w:rPr>
          <w:rFonts w:hint="default" w:ascii="Times New Roman" w:hAnsi="Times New Roman" w:cs="Times New Roman"/>
        </w:rPr>
        <w:t>施工现场地面100%硬化</w:t>
      </w:r>
    </w:p>
    <w:p w14:paraId="3C5E724C">
      <w:pPr>
        <w:spacing w:line="360" w:lineRule="auto"/>
        <w:ind w:firstLine="490" w:firstLineChars="200"/>
        <w:rPr>
          <w:rFonts w:hint="default" w:ascii="Times New Roman" w:hAnsi="Times New Roman" w:cs="Times New Roman"/>
        </w:rPr>
      </w:pPr>
      <w:r>
        <w:rPr>
          <w:rFonts w:hint="default" w:ascii="Times New Roman" w:hAnsi="Times New Roman" w:cs="Times New Roman"/>
        </w:rPr>
        <w:t>施工现场出入口、操作场地、材料堆场、生活区、场内道路等应采取铺设钢板、水泥混凝土、沥青混凝土或焦渣、细石或其它功能相当的材料进行硬化，并辅以洒水、喷洒抑尘剂等其他有效的防尘措施，保证不扬尘、不泥泞；场地硬化的强度、厚度、宽度应满足安全通行卫生保洁的需要。</w:t>
      </w:r>
    </w:p>
    <w:p w14:paraId="3B54B829">
      <w:pPr>
        <w:spacing w:line="360" w:lineRule="auto"/>
        <w:ind w:firstLine="448" w:firstLineChars="183"/>
        <w:rPr>
          <w:rFonts w:hint="default" w:ascii="Times New Roman" w:hAnsi="Times New Roman" w:cs="Times New Roman"/>
        </w:rPr>
      </w:pPr>
      <w:r>
        <w:rPr>
          <w:rFonts w:hint="default" w:ascii="Times New Roman" w:hAnsi="Times New Roman" w:cs="Times New Roman"/>
          <w:kern w:val="24"/>
        </w:rPr>
        <w:t>（12）</w:t>
      </w:r>
      <w:r>
        <w:rPr>
          <w:rFonts w:hint="default" w:ascii="Times New Roman" w:hAnsi="Times New Roman" w:cs="Times New Roman"/>
        </w:rPr>
        <w:t>渣土车辆100%密闭运输。</w:t>
      </w:r>
    </w:p>
    <w:p w14:paraId="7B9CA479">
      <w:pPr>
        <w:spacing w:line="360" w:lineRule="auto"/>
        <w:ind w:firstLine="200"/>
        <w:rPr>
          <w:rFonts w:hint="default" w:ascii="Times New Roman" w:hAnsi="Times New Roman" w:cs="Times New Roman"/>
        </w:rPr>
      </w:pPr>
      <w:r>
        <w:rPr>
          <w:rFonts w:hint="default" w:ascii="Times New Roman" w:hAnsi="Times New Roman" w:cs="Times New Roman"/>
        </w:rPr>
        <w:t>根据类似工程及实践经验，施工现场进行洒水降尘、料堆渣堆进行遮盖、车辆限速行驶等防治措施可大幅度减少扬尘产生量，措施简单有效，经济可行。</w:t>
      </w:r>
    </w:p>
    <w:p w14:paraId="0ADA255C">
      <w:pPr>
        <w:ind w:firstLine="482"/>
        <w:rPr>
          <w:rFonts w:hint="default" w:ascii="Times New Roman" w:hAnsi="Times New Roman" w:cs="Times New Roman"/>
          <w:b/>
        </w:rPr>
      </w:pPr>
      <w:r>
        <w:rPr>
          <w:rFonts w:hint="default" w:ascii="Times New Roman" w:hAnsi="Times New Roman" w:cs="Times New Roman"/>
          <w:b/>
        </w:rPr>
        <w:t>二、废水</w:t>
      </w:r>
    </w:p>
    <w:p w14:paraId="3DD90656">
      <w:pPr>
        <w:spacing w:line="360" w:lineRule="auto"/>
        <w:ind w:firstLine="480"/>
        <w:rPr>
          <w:rFonts w:hint="default" w:ascii="Times New Roman" w:hAnsi="Times New Roman" w:cs="Times New Roman"/>
        </w:rPr>
      </w:pPr>
      <w:r>
        <w:rPr>
          <w:rFonts w:hint="default" w:ascii="Times New Roman" w:hAnsi="Times New Roman" w:cs="Times New Roman"/>
        </w:rPr>
        <w:t>施工期产生的废水主要是施工废水及施工人员的生活污水。</w:t>
      </w:r>
    </w:p>
    <w:p w14:paraId="3ED062E2">
      <w:pPr>
        <w:spacing w:line="360" w:lineRule="auto"/>
        <w:ind w:firstLine="480"/>
        <w:rPr>
          <w:rFonts w:hint="default" w:ascii="Times New Roman" w:hAnsi="Times New Roman" w:cs="Times New Roman"/>
        </w:rPr>
      </w:pPr>
      <w:r>
        <w:rPr>
          <w:rFonts w:hint="default" w:ascii="Times New Roman" w:hAnsi="Times New Roman" w:cs="Times New Roman"/>
        </w:rPr>
        <w:t>1、施工废水</w:t>
      </w:r>
    </w:p>
    <w:p w14:paraId="0367C41F">
      <w:pPr>
        <w:spacing w:line="360" w:lineRule="auto"/>
        <w:ind w:firstLine="480"/>
        <w:rPr>
          <w:rFonts w:hint="default" w:ascii="Times New Roman" w:hAnsi="Times New Roman" w:cs="Times New Roman"/>
        </w:rPr>
      </w:pPr>
      <w:r>
        <w:rPr>
          <w:rFonts w:hint="default" w:ascii="Times New Roman" w:hAnsi="Times New Roman" w:cs="Times New Roman"/>
        </w:rPr>
        <w:t>建筑施工废水中含有大量的泥沙。本环评要求在施工场地修建沉淀池，对施工废水进行收集，经沉淀后回用或者用于道路洒水降尘。</w:t>
      </w:r>
    </w:p>
    <w:p w14:paraId="56CE84F7">
      <w:pPr>
        <w:spacing w:line="360" w:lineRule="auto"/>
        <w:ind w:firstLine="480"/>
        <w:rPr>
          <w:rFonts w:hint="default" w:ascii="Times New Roman" w:hAnsi="Times New Roman" w:cs="Times New Roman"/>
        </w:rPr>
      </w:pPr>
      <w:r>
        <w:rPr>
          <w:rFonts w:hint="default" w:ascii="Times New Roman" w:hAnsi="Times New Roman" w:cs="Times New Roman"/>
        </w:rPr>
        <w:t>2、生活污水</w:t>
      </w:r>
    </w:p>
    <w:p w14:paraId="584E9E8C">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eastAsia="宋体" w:cs="Times New Roman"/>
          <w:kern w:val="0"/>
          <w:sz w:val="24"/>
          <w:szCs w:val="24"/>
        </w:rPr>
        <w:t>项目施工期施工人员生活污水产生量很少，</w:t>
      </w:r>
      <w:r>
        <w:rPr>
          <w:rFonts w:hint="default" w:ascii="Times New Roman" w:hAnsi="Times New Roman" w:cs="Times New Roman" w:eastAsiaTheme="minorEastAsia"/>
          <w:color w:val="000000"/>
          <w:sz w:val="24"/>
          <w:szCs w:val="24"/>
        </w:rPr>
        <w:t>施工人员</w:t>
      </w:r>
      <w:r>
        <w:rPr>
          <w:rFonts w:hint="default" w:ascii="Times New Roman" w:hAnsi="Times New Roman" w:cs="Times New Roman" w:eastAsiaTheme="minorEastAsia"/>
          <w:color w:val="000000"/>
          <w:sz w:val="24"/>
          <w:szCs w:val="24"/>
          <w:lang w:val="en-US" w:eastAsia="zh-CN"/>
        </w:rPr>
        <w:t>使用矿山废石加工场旱厕，洗手废水</w:t>
      </w:r>
      <w:r>
        <w:rPr>
          <w:rFonts w:hint="default" w:ascii="Times New Roman" w:hAnsi="Times New Roman" w:cs="Times New Roman" w:eastAsiaTheme="minorEastAsia"/>
          <w:sz w:val="24"/>
          <w:szCs w:val="24"/>
        </w:rPr>
        <w:t>经临时沉淀池处理后回用于场地洒水抑尘等，不外排。</w:t>
      </w:r>
    </w:p>
    <w:p w14:paraId="68E7C6F7">
      <w:pPr>
        <w:pStyle w:val="11"/>
        <w:spacing w:line="360" w:lineRule="auto"/>
        <w:ind w:firstLine="480"/>
        <w:rPr>
          <w:rFonts w:hint="default" w:ascii="Times New Roman" w:hAnsi="Times New Roman" w:cs="Times New Roman"/>
        </w:rPr>
      </w:pPr>
      <w:r>
        <w:rPr>
          <w:rFonts w:hint="default" w:ascii="Times New Roman" w:hAnsi="Times New Roman" w:cs="Times New Roman"/>
        </w:rPr>
        <w:t>3、暴雨径流</w:t>
      </w:r>
    </w:p>
    <w:p w14:paraId="3FD16621">
      <w:pPr>
        <w:pStyle w:val="11"/>
        <w:spacing w:line="360" w:lineRule="auto"/>
        <w:ind w:firstLine="480"/>
        <w:rPr>
          <w:rFonts w:hint="default" w:ascii="Times New Roman" w:hAnsi="Times New Roman" w:cs="Times New Roman"/>
        </w:rPr>
      </w:pPr>
      <w:r>
        <w:rPr>
          <w:rFonts w:hint="default" w:ascii="Times New Roman" w:hAnsi="Times New Roman" w:cs="Times New Roman"/>
        </w:rPr>
        <w:t>施工期雨水径流通过临时排水沟收集进入临时沉淀池沉淀后回用于非雨天的洒水降尘及施工用水，不外排。合理安排施工工期，避免在暴雨天进行作业。</w:t>
      </w:r>
    </w:p>
    <w:p w14:paraId="317CA802">
      <w:pPr>
        <w:spacing w:line="360" w:lineRule="auto"/>
        <w:ind w:firstLine="480"/>
        <w:rPr>
          <w:rFonts w:hint="default" w:ascii="Times New Roman" w:hAnsi="Times New Roman" w:cs="Times New Roman"/>
        </w:rPr>
      </w:pPr>
      <w:r>
        <w:rPr>
          <w:rFonts w:hint="default" w:ascii="Times New Roman" w:hAnsi="Times New Roman" w:cs="Times New Roman"/>
        </w:rPr>
        <w:t>以上措施简单有效，经济可行。</w:t>
      </w:r>
    </w:p>
    <w:p w14:paraId="007A939A">
      <w:pPr>
        <w:ind w:firstLine="482"/>
        <w:rPr>
          <w:rFonts w:hint="default" w:ascii="Times New Roman" w:hAnsi="Times New Roman" w:cs="Times New Roman"/>
          <w:b/>
        </w:rPr>
      </w:pPr>
      <w:r>
        <w:rPr>
          <w:rFonts w:hint="default" w:ascii="Times New Roman" w:hAnsi="Times New Roman" w:cs="Times New Roman"/>
          <w:b/>
        </w:rPr>
        <w:t>三、噪声</w:t>
      </w:r>
    </w:p>
    <w:p w14:paraId="5D2879E2">
      <w:pPr>
        <w:spacing w:line="360" w:lineRule="auto"/>
        <w:ind w:firstLine="480"/>
        <w:rPr>
          <w:rFonts w:hint="default" w:ascii="Times New Roman" w:hAnsi="Times New Roman" w:cs="Times New Roman"/>
        </w:rPr>
      </w:pPr>
      <w:r>
        <w:rPr>
          <w:rFonts w:hint="default" w:ascii="Times New Roman" w:hAnsi="Times New Roman" w:cs="Times New Roman"/>
        </w:rPr>
        <w:t>由于建筑施工是在露天作业，流动性和间歇性较强，对各施工环节中的噪声治理具有一定难度，结合施工特点，对一些重点噪声设备和声源，提出以下治理措施和建议：</w:t>
      </w:r>
    </w:p>
    <w:p w14:paraId="43A1FB33">
      <w:pPr>
        <w:spacing w:line="360" w:lineRule="auto"/>
        <w:ind w:firstLine="480"/>
        <w:rPr>
          <w:rFonts w:hint="default" w:ascii="Times New Roman" w:hAnsi="Times New Roman" w:cs="Times New Roman"/>
        </w:rPr>
      </w:pPr>
      <w:r>
        <w:rPr>
          <w:rFonts w:hint="default" w:ascii="Times New Roman" w:hAnsi="Times New Roman" w:cs="Times New Roman"/>
        </w:rPr>
        <w:t>（1）施工过程中，应根据机械设备产噪特点，合理安排施工时间；</w:t>
      </w:r>
    </w:p>
    <w:p w14:paraId="0FFA1143">
      <w:pPr>
        <w:spacing w:line="360" w:lineRule="auto"/>
        <w:ind w:firstLine="480"/>
        <w:rPr>
          <w:rFonts w:hint="default" w:ascii="Times New Roman" w:hAnsi="Times New Roman" w:cs="Times New Roman"/>
        </w:rPr>
      </w:pPr>
      <w:r>
        <w:rPr>
          <w:rFonts w:hint="default" w:ascii="Times New Roman" w:hAnsi="Times New Roman" w:cs="Times New Roman"/>
        </w:rPr>
        <w:t>（2）运输车辆在途经声环境敏感路段时要限速行驶、禁止鸣笛；</w:t>
      </w:r>
    </w:p>
    <w:p w14:paraId="00A3302D">
      <w:pPr>
        <w:spacing w:line="360" w:lineRule="auto"/>
        <w:ind w:firstLine="480"/>
        <w:rPr>
          <w:rFonts w:hint="default" w:ascii="Times New Roman" w:hAnsi="Times New Roman" w:cs="Times New Roman"/>
        </w:rPr>
      </w:pPr>
      <w:r>
        <w:rPr>
          <w:rFonts w:hint="default" w:ascii="Times New Roman" w:hAnsi="Times New Roman" w:cs="Times New Roman"/>
        </w:rPr>
        <w:t>（3）高噪声设备设置简易房隔声。</w:t>
      </w:r>
    </w:p>
    <w:p w14:paraId="323B77AA">
      <w:pPr>
        <w:autoSpaceDE w:val="0"/>
        <w:autoSpaceDN w:val="0"/>
        <w:spacing w:line="360" w:lineRule="auto"/>
        <w:ind w:firstLine="490" w:firstLineChars="200"/>
        <w:rPr>
          <w:rFonts w:hint="default" w:ascii="Times New Roman" w:hAnsi="Times New Roman" w:cs="Times New Roman"/>
          <w:snapToGrid w:val="0"/>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综上所述，项目</w:t>
      </w:r>
      <w:r>
        <w:rPr>
          <w:rFonts w:hint="default" w:ascii="Times New Roman" w:hAnsi="Times New Roman" w:eastAsia="宋体" w:cs="Times New Roman"/>
          <w:color w:val="auto"/>
          <w:sz w:val="24"/>
          <w:szCs w:val="24"/>
          <w:highlight w:val="none"/>
        </w:rPr>
        <w:t>在严格落实上述措施后，项目施工噪声对周边环境产生的影响降到最低。</w:t>
      </w:r>
      <w:r>
        <w:rPr>
          <w:rFonts w:hint="default" w:ascii="Times New Roman" w:hAnsi="Times New Roman" w:eastAsia="宋体" w:cs="Times New Roman"/>
          <w:color w:val="auto"/>
          <w:kern w:val="2"/>
          <w:sz w:val="24"/>
          <w:szCs w:val="24"/>
          <w:highlight w:val="none"/>
          <w:lang w:val="en-US" w:eastAsia="zh-CN" w:bidi="ar-SA"/>
        </w:rPr>
        <w:t>以上措施均为简单可行措施，措施可行。</w:t>
      </w:r>
    </w:p>
    <w:p w14:paraId="25E42723">
      <w:pPr>
        <w:ind w:firstLine="482"/>
        <w:rPr>
          <w:rFonts w:hint="default" w:ascii="Times New Roman" w:hAnsi="Times New Roman" w:cs="Times New Roman"/>
          <w:b/>
        </w:rPr>
      </w:pPr>
      <w:r>
        <w:rPr>
          <w:rFonts w:hint="default" w:ascii="Times New Roman" w:hAnsi="Times New Roman" w:cs="Times New Roman"/>
          <w:b/>
        </w:rPr>
        <w:t>四、固体废物</w:t>
      </w:r>
    </w:p>
    <w:p w14:paraId="7C366DE1">
      <w:pPr>
        <w:spacing w:line="360" w:lineRule="auto"/>
        <w:ind w:firstLine="480"/>
        <w:rPr>
          <w:rFonts w:hint="default" w:ascii="Times New Roman" w:hAnsi="Times New Roman" w:cs="Times New Roman"/>
        </w:rPr>
      </w:pPr>
      <w:r>
        <w:rPr>
          <w:rFonts w:hint="default" w:ascii="Times New Roman" w:hAnsi="Times New Roman" w:cs="Times New Roman"/>
        </w:rPr>
        <w:t>项目施工期固体废物主要为开挖土石方、建筑垃圾和施工人员生活垃圾。针对施工期产生的固体废物，项目在施工期拟采取如下控制措施：</w:t>
      </w:r>
    </w:p>
    <w:p w14:paraId="06CF92D2">
      <w:pPr>
        <w:spacing w:line="360" w:lineRule="auto"/>
        <w:ind w:firstLine="480"/>
        <w:rPr>
          <w:rFonts w:hint="default" w:ascii="Times New Roman" w:hAnsi="Times New Roman" w:cs="Times New Roman"/>
        </w:rPr>
      </w:pPr>
      <w:r>
        <w:rPr>
          <w:rFonts w:hint="default" w:ascii="Times New Roman" w:hAnsi="Times New Roman" w:cs="Times New Roman"/>
        </w:rPr>
        <w:t>（1）施工期基础开挖产生的土石方实现场内平衡，剥离表土临时堆存场内，用于后期绿化覆土，表土堆场采取拦挡及土工布覆盖；</w:t>
      </w:r>
    </w:p>
    <w:p w14:paraId="3636DFF9">
      <w:pPr>
        <w:spacing w:line="360" w:lineRule="auto"/>
        <w:ind w:firstLine="480"/>
        <w:rPr>
          <w:rFonts w:hint="default" w:ascii="Times New Roman" w:hAnsi="Times New Roman" w:cs="Times New Roman"/>
        </w:rPr>
      </w:pPr>
      <w:r>
        <w:rPr>
          <w:rFonts w:hint="default" w:ascii="Times New Roman" w:hAnsi="Times New Roman" w:cs="Times New Roman"/>
        </w:rPr>
        <w:t>（2）施工产生的建筑垃圾尽量回收可利用废物，不能回用的建筑垃圾用于场内道路铺设或妥善处置，严禁随意堆弃；</w:t>
      </w:r>
    </w:p>
    <w:p w14:paraId="691845D4">
      <w:pPr>
        <w:spacing w:line="360" w:lineRule="auto"/>
        <w:ind w:firstLine="480"/>
        <w:rPr>
          <w:rFonts w:hint="default" w:ascii="Times New Roman" w:hAnsi="Times New Roman" w:cs="Times New Roman"/>
        </w:rPr>
      </w:pPr>
      <w:r>
        <w:rPr>
          <w:rFonts w:hint="default" w:ascii="Times New Roman" w:hAnsi="Times New Roman" w:cs="Times New Roman"/>
        </w:rPr>
        <w:t>（3）施工期产生的生活垃圾</w:t>
      </w:r>
      <w:r>
        <w:rPr>
          <w:rFonts w:hint="default" w:ascii="Times New Roman" w:hAnsi="Times New Roman" w:cs="Times New Roman"/>
          <w:lang w:val="en-US" w:eastAsia="zh-CN"/>
        </w:rPr>
        <w:t>依托鲁奎山铁矿垃圾池收集，定期清运至扬武镇生活垃圾集中收集点，统一处置。</w:t>
      </w:r>
    </w:p>
    <w:p w14:paraId="1E711569">
      <w:pPr>
        <w:spacing w:line="360" w:lineRule="auto"/>
        <w:ind w:firstLine="480"/>
        <w:rPr>
          <w:rFonts w:hint="default" w:ascii="Times New Roman" w:hAnsi="Times New Roman" w:cs="Times New Roman"/>
        </w:rPr>
      </w:pPr>
      <w:r>
        <w:rPr>
          <w:rFonts w:hint="default" w:ascii="Times New Roman" w:hAnsi="Times New Roman" w:cs="Times New Roman"/>
        </w:rPr>
        <w:t>以上措施简单有效，经济可行。</w:t>
      </w:r>
    </w:p>
    <w:p w14:paraId="387F5B07">
      <w:pPr>
        <w:spacing w:line="360" w:lineRule="auto"/>
        <w:ind w:firstLine="482"/>
        <w:rPr>
          <w:rFonts w:hint="default" w:ascii="Times New Roman" w:hAnsi="Times New Roman" w:cs="Times New Roman"/>
          <w:b/>
        </w:rPr>
      </w:pPr>
      <w:r>
        <w:rPr>
          <w:rFonts w:hint="default" w:ascii="Times New Roman" w:hAnsi="Times New Roman" w:cs="Times New Roman"/>
          <w:b/>
        </w:rPr>
        <w:t>五、生态影响防治措施</w:t>
      </w:r>
    </w:p>
    <w:p w14:paraId="51065CCB">
      <w:pPr>
        <w:spacing w:line="360" w:lineRule="auto"/>
        <w:ind w:firstLine="480"/>
        <w:rPr>
          <w:rFonts w:hint="default" w:ascii="Times New Roman" w:hAnsi="Times New Roman" w:cs="Times New Roman"/>
        </w:rPr>
      </w:pPr>
      <w:r>
        <w:rPr>
          <w:rFonts w:hint="default" w:ascii="Times New Roman" w:hAnsi="Times New Roman" w:cs="Times New Roman"/>
        </w:rPr>
        <w:t>项目</w:t>
      </w:r>
      <w:r>
        <w:rPr>
          <w:rFonts w:hint="default" w:ascii="Times New Roman" w:hAnsi="Times New Roman" w:cs="Times New Roman"/>
          <w:lang w:val="en-US" w:eastAsia="zh-CN"/>
        </w:rPr>
        <w:t>利用鲁奎山铁矿6号料场空地进行建设，占地范围已无植被。</w:t>
      </w:r>
      <w:r>
        <w:rPr>
          <w:rFonts w:hint="default" w:ascii="Times New Roman" w:hAnsi="Times New Roman" w:cs="Times New Roman"/>
        </w:rPr>
        <w:t>施工期，基建的填筑与开挖等的施工，破坏了地形、地貌，在一定时段和一定区域将造成水土流失，土壤肥力和团粒结构发生改变</w:t>
      </w:r>
      <w:r>
        <w:rPr>
          <w:rFonts w:hint="default" w:ascii="Times New Roman" w:hAnsi="Times New Roman" w:cs="Times New Roman"/>
          <w:lang w:eastAsia="zh-CN"/>
        </w:rPr>
        <w:t>。</w:t>
      </w:r>
      <w:r>
        <w:rPr>
          <w:rFonts w:hint="default" w:ascii="Times New Roman" w:hAnsi="Times New Roman" w:cs="Times New Roman"/>
        </w:rPr>
        <w:t>水土流失具体措施如下：</w:t>
      </w:r>
    </w:p>
    <w:p w14:paraId="25D69372">
      <w:pPr>
        <w:spacing w:line="360" w:lineRule="auto"/>
        <w:ind w:firstLine="48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施工过程中，应尽量利用征地范围内的土地，工程建设活动尽量在项目区范围内解决，减少对项目周围地区的扰动、占压等影响；</w:t>
      </w:r>
    </w:p>
    <w:p w14:paraId="0D4A8C5A">
      <w:pPr>
        <w:spacing w:line="360" w:lineRule="auto"/>
        <w:ind w:firstLine="48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严格实施主体工程设计的措施，避免项目区的水土流失危害到周围的地区，从而引起项目区外新的水土流失；</w:t>
      </w:r>
    </w:p>
    <w:p w14:paraId="09917916">
      <w:pPr>
        <w:spacing w:line="360" w:lineRule="auto"/>
        <w:ind w:firstLine="48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在直接影响区产生了占压、扰动，应及时清理废弃物，修复水土保持设施；</w:t>
      </w:r>
    </w:p>
    <w:p w14:paraId="09D006B4">
      <w:pPr>
        <w:spacing w:line="360" w:lineRule="auto"/>
        <w:ind w:firstLine="48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合理选择施工工序，开挖的土石方应及时运至指定地点，尽量缩短土石方的堆放时间，避免产生新增的水土流失。</w:t>
      </w:r>
    </w:p>
    <w:p w14:paraId="3D4E00E0">
      <w:pPr>
        <w:spacing w:line="360" w:lineRule="auto"/>
        <w:ind w:firstLine="48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基础开挖应当尽量避开雨季，基坑集水应及时外排。合理安排施工程序，易造成水土流失的施工尽量避开雨季；施工结束后，应及时清理场地，采取土地整治措施和植物措施防治水土流失。</w:t>
      </w:r>
    </w:p>
    <w:p w14:paraId="1CB854D6">
      <w:pPr>
        <w:spacing w:line="360" w:lineRule="auto"/>
        <w:ind w:firstLine="480"/>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施工中经常对临时排水沟、沉砂池进行检查、清理，避免排水沟堵塞造成新增水土流失。</w:t>
      </w:r>
    </w:p>
    <w:p w14:paraId="2DEE59C9">
      <w:pPr>
        <w:pStyle w:val="5"/>
        <w:bidi w:val="0"/>
        <w:rPr>
          <w:rFonts w:hint="default" w:ascii="Times New Roman" w:hAnsi="Times New Roman" w:cs="Times New Roman"/>
          <w:lang w:val="en-US" w:eastAsia="zh-CN"/>
        </w:rPr>
      </w:pPr>
      <w:bookmarkStart w:id="591" w:name="_Toc22105"/>
      <w:bookmarkStart w:id="592" w:name="_Toc8499"/>
      <w:bookmarkStart w:id="593" w:name="_Toc18985"/>
      <w:bookmarkStart w:id="594" w:name="_Toc27701"/>
      <w:bookmarkStart w:id="595" w:name="_Toc10306"/>
      <w:bookmarkStart w:id="596" w:name="_Toc4631"/>
      <w:bookmarkStart w:id="597" w:name="_Toc23020"/>
      <w:r>
        <w:rPr>
          <w:rFonts w:hint="default" w:ascii="Times New Roman" w:hAnsi="Times New Roman" w:cs="Times New Roman"/>
          <w:lang w:val="en-US" w:eastAsia="zh-CN"/>
        </w:rPr>
        <w:t>7.2运营期污染防治措施</w:t>
      </w:r>
      <w:bookmarkEnd w:id="591"/>
      <w:bookmarkEnd w:id="592"/>
      <w:bookmarkEnd w:id="593"/>
      <w:bookmarkEnd w:id="594"/>
      <w:bookmarkEnd w:id="595"/>
      <w:bookmarkEnd w:id="596"/>
      <w:bookmarkEnd w:id="597"/>
    </w:p>
    <w:p w14:paraId="3BDE50F0">
      <w:pPr>
        <w:pStyle w:val="6"/>
        <w:bidi w:val="0"/>
        <w:rPr>
          <w:rFonts w:hint="default" w:ascii="Times New Roman" w:hAnsi="Times New Roman" w:cs="Times New Roman"/>
          <w:lang w:val="en-US" w:eastAsia="zh-CN"/>
        </w:rPr>
      </w:pPr>
      <w:bookmarkStart w:id="598" w:name="_Toc2398"/>
      <w:bookmarkStart w:id="599" w:name="_Toc26674"/>
      <w:bookmarkStart w:id="600" w:name="_Toc20296"/>
      <w:r>
        <w:rPr>
          <w:rFonts w:hint="default" w:ascii="Times New Roman" w:hAnsi="Times New Roman" w:cs="Times New Roman"/>
          <w:lang w:val="en-US" w:eastAsia="zh-CN"/>
        </w:rPr>
        <w:t>7.2.1大气环境防治对策措施</w:t>
      </w:r>
      <w:bookmarkEnd w:id="598"/>
      <w:bookmarkEnd w:id="599"/>
      <w:bookmarkEnd w:id="600"/>
      <w:r>
        <w:rPr>
          <w:rFonts w:hint="default" w:ascii="Times New Roman" w:hAnsi="Times New Roman" w:cs="Times New Roman"/>
          <w:lang w:val="en-US" w:eastAsia="zh-CN"/>
        </w:rPr>
        <w:t>及可行性分析</w:t>
      </w:r>
    </w:p>
    <w:p w14:paraId="0F0E88DE">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32"/>
          <w:szCs w:val="32"/>
          <w:highlight w:val="none"/>
          <w:lang w:val="en-US"/>
        </w:rPr>
      </w:pPr>
      <w:r>
        <w:rPr>
          <w:rFonts w:hint="default" w:ascii="Times New Roman" w:hAnsi="Times New Roman" w:eastAsia="宋体" w:cs="Times New Roman"/>
          <w:color w:val="auto"/>
          <w:sz w:val="24"/>
          <w:highlight w:val="none"/>
          <w:lang w:val="en-US" w:eastAsia="zh-CN"/>
        </w:rPr>
        <w:t>本项目废气污染物主要为</w:t>
      </w:r>
      <w:r>
        <w:rPr>
          <w:rFonts w:hint="default" w:ascii="Times New Roman" w:hAnsi="Times New Roman" w:cs="Times New Roman"/>
          <w:color w:val="auto"/>
          <w:sz w:val="24"/>
          <w:szCs w:val="24"/>
          <w:highlight w:val="none"/>
          <w:lang w:val="en-US" w:eastAsia="zh-CN"/>
        </w:rPr>
        <w:t>破碎、筛分、磁选、卸料、砂石料堆场、铁矿石堆场粉尘、</w:t>
      </w:r>
      <w:r>
        <w:rPr>
          <w:rFonts w:hint="default" w:ascii="Times New Roman" w:hAnsi="Times New Roman" w:cs="Times New Roman"/>
          <w:color w:val="auto"/>
          <w:sz w:val="24"/>
        </w:rPr>
        <w:t>车辆运输道路扬尘</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8"/>
          <w:highlight w:val="none"/>
        </w:rPr>
        <w:t>各产尘点采取的防尘措施如下：</w:t>
      </w:r>
    </w:p>
    <w:p w14:paraId="067380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b w:val="0"/>
          <w:bCs/>
          <w:color w:val="auto"/>
          <w:kern w:val="44"/>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（1）有组织废气</w:t>
      </w:r>
    </w:p>
    <w:p w14:paraId="445E59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val="0"/>
          <w:bCs/>
          <w:color w:val="auto"/>
          <w:kern w:val="44"/>
          <w:sz w:val="24"/>
          <w:szCs w:val="24"/>
          <w:highlight w:val="none"/>
          <w:lang w:val="en-US" w:eastAsia="zh-CN"/>
        </w:rPr>
        <w:t>项目建成后，</w:t>
      </w:r>
      <w:r>
        <w:rPr>
          <w:rFonts w:hint="default" w:ascii="Times New Roman" w:hAnsi="Times New Roman" w:cs="Times New Roman" w:eastAsiaTheme="minorEastAsia"/>
          <w:color w:val="auto"/>
          <w:sz w:val="24"/>
          <w:szCs w:val="24"/>
        </w:rPr>
        <w:t>每台破碎</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筛分、磁选设备</w:t>
      </w:r>
      <w:r>
        <w:rPr>
          <w:rFonts w:hint="default" w:ascii="Times New Roman" w:hAnsi="Times New Roman" w:cs="Times New Roman" w:eastAsiaTheme="minorEastAsia"/>
          <w:color w:val="auto"/>
          <w:sz w:val="24"/>
          <w:szCs w:val="24"/>
        </w:rPr>
        <w:t>上方设置集气罩和风管，各</w:t>
      </w:r>
      <w:r>
        <w:rPr>
          <w:rFonts w:hint="default" w:ascii="Times New Roman" w:hAnsi="Times New Roman" w:cs="Times New Roman" w:eastAsiaTheme="minorEastAsia"/>
          <w:color w:val="auto"/>
          <w:sz w:val="24"/>
          <w:szCs w:val="24"/>
          <w:lang w:val="en-US" w:eastAsia="zh-CN"/>
        </w:rPr>
        <w:t>工序产生粉尘经过集气罩收集</w:t>
      </w:r>
      <w:r>
        <w:rPr>
          <w:rFonts w:hint="default" w:ascii="Times New Roman" w:hAnsi="Times New Roman" w:cs="Times New Roman" w:eastAsiaTheme="minorEastAsia"/>
          <w:color w:val="auto"/>
          <w:sz w:val="24"/>
          <w:szCs w:val="24"/>
        </w:rPr>
        <w:t>后引至1套</w:t>
      </w:r>
      <w:r>
        <w:rPr>
          <w:rFonts w:hint="default" w:ascii="Times New Roman" w:hAnsi="Times New Roman" w:cs="Times New Roman"/>
          <w:b w:val="0"/>
          <w:bCs/>
          <w:color w:val="auto"/>
          <w:kern w:val="44"/>
          <w:sz w:val="24"/>
          <w:szCs w:val="24"/>
          <w:highlight w:val="none"/>
          <w:lang w:val="en-US" w:eastAsia="zh-CN"/>
        </w:rPr>
        <w:t>“布袋除尘”系统</w:t>
      </w:r>
      <w:r>
        <w:rPr>
          <w:rFonts w:hint="default" w:ascii="Times New Roman" w:hAnsi="Times New Roman" w:cs="Times New Roman" w:eastAsiaTheme="minorEastAsia"/>
          <w:color w:val="auto"/>
          <w:sz w:val="24"/>
          <w:szCs w:val="24"/>
        </w:rPr>
        <w:t>进行处理</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集气罩收集效率85%，布袋除尘处理效率99.5%，</w:t>
      </w:r>
      <w:r>
        <w:rPr>
          <w:rFonts w:hint="default" w:ascii="Times New Roman" w:hAnsi="Times New Roman" w:cs="Times New Roman" w:eastAsiaTheme="minorEastAsia"/>
          <w:color w:val="auto"/>
          <w:sz w:val="24"/>
          <w:szCs w:val="24"/>
        </w:rPr>
        <w:t>处理后通过1根15m高排气筒排放（DA001）</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color w:val="auto"/>
          <w:sz w:val="24"/>
          <w:szCs w:val="24"/>
          <w:lang w:val="en-US" w:eastAsia="zh-CN"/>
        </w:rPr>
        <w:t>排放浓度可满足</w:t>
      </w:r>
      <w:r>
        <w:rPr>
          <w:rFonts w:hint="default" w:ascii="Times New Roman" w:hAnsi="Times New Roman" w:cs="Times New Roman"/>
          <w:color w:val="auto"/>
          <w:sz w:val="24"/>
          <w:szCs w:val="24"/>
        </w:rPr>
        <w:t>《铁矿采选工业污染物排放标准》（GB28661-2012）表5新建企业大气污染物排放浓度限值</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即颗粒物≤20mg/m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w:t>
      </w:r>
    </w:p>
    <w:p w14:paraId="4248AA49">
      <w:pPr>
        <w:pStyle w:val="27"/>
        <w:spacing w:after="0" w:line="360" w:lineRule="auto"/>
        <w:ind w:firstLine="490" w:firstLineChars="200"/>
        <w:rPr>
          <w:rFonts w:hint="default" w:ascii="Times New Roman" w:hAnsi="Times New Roman" w:cs="Times New Roman"/>
          <w:color w:val="auto"/>
          <w:lang w:eastAsia="zh-CN"/>
        </w:rPr>
      </w:pPr>
      <w:r>
        <w:rPr>
          <w:rFonts w:hint="default" w:ascii="Times New Roman" w:hAnsi="Times New Roman" w:cs="Times New Roman"/>
          <w:color w:val="auto"/>
          <w:kern w:val="24"/>
          <w:lang w:eastAsia="zh-CN"/>
        </w:rPr>
        <w:t>根据《</w:t>
      </w:r>
      <w:r>
        <w:rPr>
          <w:rFonts w:hint="default" w:ascii="Times New Roman" w:hAnsi="Times New Roman" w:cs="Times New Roman" w:eastAsiaTheme="minorEastAsia"/>
          <w:color w:val="auto"/>
          <w:lang w:eastAsia="zh-CN"/>
        </w:rPr>
        <w:t>铁矿采选工业污染物排放标准</w:t>
      </w:r>
      <w:r>
        <w:rPr>
          <w:rFonts w:hint="default" w:ascii="Times New Roman" w:hAnsi="Times New Roman" w:cs="Times New Roman"/>
          <w:color w:val="auto"/>
          <w:kern w:val="24"/>
          <w:lang w:eastAsia="zh-CN"/>
        </w:rPr>
        <w:t>》（</w:t>
      </w:r>
      <w:r>
        <w:rPr>
          <w:rFonts w:hint="default" w:ascii="Times New Roman" w:hAnsi="Times New Roman" w:cs="Times New Roman" w:eastAsiaTheme="minorEastAsia"/>
          <w:color w:val="auto"/>
          <w:lang w:eastAsia="zh-CN"/>
        </w:rPr>
        <w:t>GB28661-2012</w:t>
      </w:r>
      <w:r>
        <w:rPr>
          <w:rFonts w:hint="default" w:ascii="Times New Roman" w:hAnsi="Times New Roman" w:cs="Times New Roman"/>
          <w:color w:val="auto"/>
          <w:kern w:val="24"/>
          <w:lang w:eastAsia="zh-CN"/>
        </w:rPr>
        <w:t>）</w:t>
      </w:r>
      <w:r>
        <w:rPr>
          <w:rFonts w:hint="default" w:ascii="Times New Roman" w:hAnsi="Times New Roman" w:cs="Times New Roman"/>
          <w:color w:val="auto"/>
          <w:lang w:eastAsia="zh-CN"/>
        </w:rPr>
        <w:t>4.2.7相关规定：所有排气筒高度应不低于15m，排气筒周围半径200m范围内有建筑物时，排气筒高度还应高出最高建（构）筑物3m以上。本项目排气筒周围半径200m范围内</w:t>
      </w:r>
      <w:r>
        <w:rPr>
          <w:rFonts w:hint="default" w:ascii="Times New Roman" w:hAnsi="Times New Roman" w:cs="Times New Roman"/>
          <w:color w:val="auto"/>
          <w:lang w:val="en-US" w:eastAsia="zh-CN"/>
        </w:rPr>
        <w:t>计划建设原料及成品堆棚，高度为8~10米</w:t>
      </w:r>
      <w:r>
        <w:rPr>
          <w:rFonts w:hint="default" w:ascii="Times New Roman" w:hAnsi="Times New Roman" w:cs="Times New Roman"/>
          <w:color w:val="auto"/>
          <w:lang w:eastAsia="zh-CN"/>
        </w:rPr>
        <w:t>，本项目设置的排气筒高度为15m。因此本项目排气筒高度设置合理。</w:t>
      </w:r>
    </w:p>
    <w:p w14:paraId="6633F705">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（2）无组织废气</w:t>
      </w:r>
    </w:p>
    <w:p w14:paraId="148F12CE">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①</w:t>
      </w:r>
      <w:r>
        <w:rPr>
          <w:rFonts w:hint="default" w:ascii="Times New Roman" w:hAnsi="Times New Roman" w:cs="Times New Roman"/>
          <w:color w:val="auto"/>
          <w:sz w:val="24"/>
        </w:rPr>
        <w:t>原矿料</w:t>
      </w:r>
      <w:r>
        <w:rPr>
          <w:rFonts w:hint="default" w:ascii="Times New Roman" w:hAnsi="Times New Roman" w:cs="Times New Roman"/>
          <w:color w:val="auto"/>
          <w:sz w:val="24"/>
          <w:lang w:val="en-US" w:eastAsia="zh-CN"/>
        </w:rPr>
        <w:t>斗</w:t>
      </w:r>
      <w:r>
        <w:rPr>
          <w:rFonts w:hint="default" w:ascii="Times New Roman" w:hAnsi="Times New Roman" w:cs="Times New Roman"/>
          <w:color w:val="auto"/>
          <w:sz w:val="24"/>
        </w:rPr>
        <w:t>给料粉尘</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项目原矿料</w:t>
      </w:r>
      <w:r>
        <w:rPr>
          <w:rFonts w:hint="default" w:ascii="Times New Roman" w:hAnsi="Times New Roman" w:cs="Times New Roman"/>
          <w:color w:val="auto"/>
          <w:sz w:val="24"/>
          <w:lang w:val="en-US" w:eastAsia="zh-CN"/>
        </w:rPr>
        <w:t>斗设置三面围挡</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同时</w:t>
      </w:r>
      <w:r>
        <w:rPr>
          <w:rFonts w:hint="default" w:ascii="Times New Roman" w:hAnsi="Times New Roman" w:cs="Times New Roman"/>
          <w:color w:val="auto"/>
          <w:sz w:val="24"/>
        </w:rPr>
        <w:t>喷雾除尘</w:t>
      </w:r>
      <w:r>
        <w:rPr>
          <w:rFonts w:hint="default" w:ascii="Times New Roman" w:hAnsi="Times New Roman" w:cs="Times New Roman"/>
          <w:color w:val="auto"/>
          <w:sz w:val="24"/>
          <w:lang w:eastAsia="zh-CN"/>
        </w:rPr>
        <w:t>。</w:t>
      </w:r>
    </w:p>
    <w:p w14:paraId="5701B4B2">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②生产工序</w:t>
      </w:r>
      <w:r>
        <w:rPr>
          <w:rFonts w:hint="default" w:ascii="Times New Roman" w:hAnsi="Times New Roman" w:cs="Times New Roman"/>
          <w:color w:val="auto"/>
          <w:sz w:val="24"/>
        </w:rPr>
        <w:t>无组织粉尘</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生产工序</w:t>
      </w:r>
      <w:r>
        <w:rPr>
          <w:rFonts w:hint="default" w:ascii="Times New Roman" w:hAnsi="Times New Roman" w:cs="Times New Roman"/>
          <w:color w:val="auto"/>
          <w:sz w:val="24"/>
        </w:rPr>
        <w:t>无组织粉尘主要来自各集气罩未收集的粉尘</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通过</w:t>
      </w:r>
      <w:r>
        <w:rPr>
          <w:rFonts w:hint="default" w:ascii="Times New Roman" w:hAnsi="Times New Roman" w:cs="Times New Roman"/>
          <w:color w:val="auto"/>
          <w:sz w:val="24"/>
          <w:lang w:val="en-US" w:eastAsia="zh-CN"/>
        </w:rPr>
        <w:t>采取彩钢板封闭设备</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90%</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和喷雾降尘</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74%</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措施。</w:t>
      </w:r>
    </w:p>
    <w:p w14:paraId="0F268502">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③</w:t>
      </w:r>
      <w:r>
        <w:rPr>
          <w:rFonts w:hint="default" w:ascii="Times New Roman" w:hAnsi="Times New Roman" w:cs="Times New Roman"/>
          <w:color w:val="auto"/>
          <w:sz w:val="24"/>
        </w:rPr>
        <w:t>皮带输送粉尘</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项目传送带</w:t>
      </w:r>
      <w:r>
        <w:rPr>
          <w:rFonts w:hint="default" w:ascii="Times New Roman" w:hAnsi="Times New Roman" w:cs="Times New Roman"/>
          <w:color w:val="auto"/>
          <w:sz w:val="24"/>
          <w:lang w:val="en-US" w:eastAsia="zh-CN"/>
        </w:rPr>
        <w:t>设置为</w:t>
      </w:r>
      <w:r>
        <w:rPr>
          <w:rFonts w:hint="default" w:ascii="Times New Roman" w:hAnsi="Times New Roman" w:cs="Times New Roman"/>
          <w:color w:val="auto"/>
          <w:sz w:val="24"/>
        </w:rPr>
        <w:t>封闭式廊道</w:t>
      </w:r>
      <w:r>
        <w:rPr>
          <w:rFonts w:hint="default" w:ascii="Times New Roman" w:hAnsi="Times New Roman" w:cs="Times New Roman"/>
          <w:color w:val="auto"/>
          <w:sz w:val="24"/>
          <w:lang w:eastAsia="zh-CN"/>
        </w:rPr>
        <w:t>。</w:t>
      </w:r>
    </w:p>
    <w:p w14:paraId="1AB0A74D">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④铁矿石堆场</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主要采取降尘措施为：“三面围挡+彩钢瓦顶棚”</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60%</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，设置喷雾降尘</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74%</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措施</w:t>
      </w:r>
      <w:r>
        <w:rPr>
          <w:rFonts w:hint="default" w:ascii="Times New Roman" w:hAnsi="Times New Roman" w:cs="Times New Roman"/>
          <w:color w:val="auto"/>
          <w:sz w:val="24"/>
          <w:lang w:eastAsia="zh-CN"/>
        </w:rPr>
        <w:t>同时</w:t>
      </w:r>
      <w:r>
        <w:rPr>
          <w:rFonts w:hint="default" w:ascii="Times New Roman" w:hAnsi="Times New Roman" w:cs="Times New Roman"/>
          <w:color w:val="auto"/>
          <w:sz w:val="24"/>
          <w:lang w:val="en-US" w:eastAsia="zh-CN"/>
        </w:rPr>
        <w:t>采取编织物覆盖措施</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86%</w:t>
      </w:r>
      <w:r>
        <w:rPr>
          <w:rFonts w:hint="default" w:ascii="Times New Roman" w:hAnsi="Times New Roman" w:cs="Times New Roman"/>
          <w:color w:val="auto"/>
          <w:sz w:val="24"/>
          <w:lang w:eastAsia="zh-CN"/>
        </w:rPr>
        <w:t>）。</w:t>
      </w:r>
    </w:p>
    <w:p w14:paraId="23B00AEB">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⑤砂石料</w:t>
      </w:r>
      <w:r>
        <w:rPr>
          <w:rFonts w:hint="default" w:ascii="Times New Roman" w:hAnsi="Times New Roman" w:cs="Times New Roman"/>
          <w:color w:val="auto"/>
          <w:sz w:val="24"/>
        </w:rPr>
        <w:t>堆场扬尘</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主要采取降尘措施为：“三面围挡+彩钢瓦顶棚”</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60%</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，设置喷雾降尘</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74%</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措施</w:t>
      </w:r>
      <w:r>
        <w:rPr>
          <w:rFonts w:hint="default" w:ascii="Times New Roman" w:hAnsi="Times New Roman" w:cs="Times New Roman"/>
          <w:color w:val="auto"/>
          <w:sz w:val="24"/>
          <w:lang w:val="en-US" w:eastAsia="zh-CN"/>
        </w:rPr>
        <w:t>同时采取编织物覆盖措施</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86%</w:t>
      </w:r>
      <w:r>
        <w:rPr>
          <w:rFonts w:hint="default" w:ascii="Times New Roman" w:hAnsi="Times New Roman" w:cs="Times New Roman"/>
          <w:color w:val="auto"/>
          <w:sz w:val="24"/>
          <w:lang w:eastAsia="zh-CN"/>
        </w:rPr>
        <w:t>）。</w:t>
      </w:r>
    </w:p>
    <w:p w14:paraId="08DCCE58">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⑥原料</w:t>
      </w:r>
      <w:r>
        <w:rPr>
          <w:rFonts w:hint="default" w:ascii="Times New Roman" w:hAnsi="Times New Roman" w:cs="Times New Roman"/>
          <w:color w:val="auto"/>
          <w:sz w:val="24"/>
        </w:rPr>
        <w:t>堆场扬尘</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主要采取降尘措施为：“三面围挡+彩钢瓦顶棚”</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60%</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，设置喷雾降尘</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74%</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措施</w:t>
      </w:r>
      <w:r>
        <w:rPr>
          <w:rFonts w:hint="default" w:ascii="Times New Roman" w:hAnsi="Times New Roman" w:cs="Times New Roman"/>
          <w:color w:val="auto"/>
          <w:sz w:val="24"/>
          <w:lang w:val="en-US" w:eastAsia="zh-CN"/>
        </w:rPr>
        <w:t>同时采取编织物覆盖措施</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粉尘控制效率</w:t>
      </w:r>
      <w:r>
        <w:rPr>
          <w:rFonts w:hint="default" w:ascii="Times New Roman" w:hAnsi="Times New Roman" w:cs="Times New Roman"/>
          <w:color w:val="auto"/>
          <w:sz w:val="24"/>
          <w:lang w:val="en-US" w:eastAsia="zh-CN"/>
        </w:rPr>
        <w:t>86%</w:t>
      </w:r>
      <w:r>
        <w:rPr>
          <w:rFonts w:hint="default" w:ascii="Times New Roman" w:hAnsi="Times New Roman" w:cs="Times New Roman"/>
          <w:color w:val="auto"/>
          <w:sz w:val="24"/>
          <w:lang w:eastAsia="zh-CN"/>
        </w:rPr>
        <w:t>）。</w:t>
      </w:r>
    </w:p>
    <w:p w14:paraId="2F3EACAD">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⑦</w:t>
      </w:r>
      <w:r>
        <w:rPr>
          <w:rFonts w:hint="default" w:ascii="Times New Roman" w:hAnsi="Times New Roman" w:cs="Times New Roman"/>
          <w:color w:val="auto"/>
          <w:sz w:val="24"/>
        </w:rPr>
        <w:t>车辆运输道路扬尘</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采取洒水降尘措施。</w:t>
      </w:r>
    </w:p>
    <w:p w14:paraId="55D61175">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以上措施实施难度不大，投资不大，在同类</w:t>
      </w:r>
      <w:r>
        <w:rPr>
          <w:rFonts w:hint="default" w:ascii="Times New Roman" w:hAnsi="Times New Roman" w:cs="Times New Roman"/>
          <w:color w:val="auto"/>
          <w:sz w:val="24"/>
          <w:szCs w:val="28"/>
          <w:highlight w:val="none"/>
          <w:lang w:val="en-US" w:eastAsia="zh-CN"/>
        </w:rPr>
        <w:t>选厂</w:t>
      </w:r>
      <w:r>
        <w:rPr>
          <w:rFonts w:hint="default" w:ascii="Times New Roman" w:hAnsi="Times New Roman" w:cs="Times New Roman"/>
          <w:color w:val="auto"/>
          <w:sz w:val="24"/>
          <w:szCs w:val="28"/>
          <w:highlight w:val="none"/>
        </w:rPr>
        <w:t>中具有成熟的使用经验，技术经济可行。</w:t>
      </w:r>
    </w:p>
    <w:p w14:paraId="580D0531">
      <w:pPr>
        <w:pStyle w:val="6"/>
        <w:bidi w:val="0"/>
        <w:rPr>
          <w:rFonts w:hint="default" w:ascii="Times New Roman" w:hAnsi="Times New Roman" w:cs="Times New Roman"/>
          <w:lang w:val="en-US"/>
        </w:rPr>
      </w:pPr>
      <w:bookmarkStart w:id="601" w:name="_Toc29795"/>
      <w:r>
        <w:rPr>
          <w:rFonts w:hint="default" w:ascii="Times New Roman" w:hAnsi="Times New Roman" w:cs="Times New Roman"/>
          <w:lang w:val="en-US" w:eastAsia="zh-CN"/>
        </w:rPr>
        <w:t>7.2.2废水污染防治措施</w:t>
      </w:r>
      <w:bookmarkEnd w:id="601"/>
      <w:r>
        <w:rPr>
          <w:rFonts w:hint="default" w:ascii="Times New Roman" w:hAnsi="Times New Roman" w:cs="Times New Roman"/>
          <w:lang w:val="en-US" w:eastAsia="zh-CN"/>
        </w:rPr>
        <w:t>及可行性分析</w:t>
      </w:r>
    </w:p>
    <w:p w14:paraId="101849BE">
      <w:pPr>
        <w:pStyle w:val="39"/>
        <w:adjustRightInd w:val="0"/>
        <w:spacing w:line="360" w:lineRule="auto"/>
        <w:ind w:firstLine="480"/>
        <w:rPr>
          <w:rFonts w:hint="default" w:ascii="Times New Roman" w:hAnsi="Times New Roman" w:eastAsia="宋体" w:cs="Times New Roman"/>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lang w:val="en-US" w:eastAsia="zh-CN"/>
        </w:rPr>
        <w:t>生活污水</w:t>
      </w:r>
    </w:p>
    <w:p w14:paraId="694E8014">
      <w:pPr>
        <w:pStyle w:val="39"/>
        <w:adjustRightInd w:val="0"/>
        <w:spacing w:line="360" w:lineRule="auto"/>
        <w:ind w:firstLine="480"/>
        <w:rPr>
          <w:rFonts w:hint="default" w:ascii="Times New Roman" w:hAnsi="Times New Roman" w:cs="Times New Roman"/>
          <w:kern w:val="24"/>
          <w:lang w:val="en-GB"/>
        </w:rPr>
      </w:pPr>
      <w:r>
        <w:rPr>
          <w:rFonts w:hint="default" w:ascii="Times New Roman" w:hAnsi="Times New Roman" w:cs="Times New Roman"/>
        </w:rPr>
        <w:t>本项目不产生生产废水，生活污水依托</w:t>
      </w:r>
      <w:r>
        <w:rPr>
          <w:rFonts w:hint="default" w:ascii="Times New Roman" w:hAnsi="Times New Roman" w:cs="Times New Roman"/>
          <w:lang w:val="en-US" w:eastAsia="zh-CN"/>
        </w:rPr>
        <w:t>鲁奎山铁矿</w:t>
      </w:r>
      <w:r>
        <w:rPr>
          <w:rFonts w:hint="default" w:ascii="Times New Roman" w:hAnsi="Times New Roman" w:cs="Times New Roman"/>
        </w:rPr>
        <w:t>污水处理设备处理，厨房废水先经隔油池隔油</w:t>
      </w:r>
      <w:r>
        <w:rPr>
          <w:rFonts w:hint="default" w:ascii="Times New Roman" w:hAnsi="Times New Roman" w:cs="Times New Roman"/>
          <w:lang w:val="en-US" w:eastAsia="zh-CN"/>
        </w:rPr>
        <w:t>处理后</w:t>
      </w:r>
      <w:r>
        <w:rPr>
          <w:rFonts w:hint="default" w:ascii="Times New Roman" w:hAnsi="Times New Roman" w:cs="Times New Roman"/>
        </w:rPr>
        <w:t>与生活区废水</w:t>
      </w:r>
      <w:r>
        <w:rPr>
          <w:rFonts w:hint="default" w:ascii="Times New Roman" w:hAnsi="Times New Roman" w:cs="Times New Roman"/>
          <w:lang w:val="en-US" w:eastAsia="zh-CN"/>
        </w:rPr>
        <w:t>一起经化粪池处理后排入</w:t>
      </w:r>
      <w:r>
        <w:rPr>
          <w:rFonts w:hint="default" w:ascii="Times New Roman" w:hAnsi="Times New Roman" w:cs="Times New Roman"/>
        </w:rPr>
        <w:t>一体化污水处理设备，处理达《城市污水再生利用 城市杂用水水质》(GB/T 18920-2020</w:t>
      </w:r>
      <w:r>
        <w:rPr>
          <w:rFonts w:hint="default" w:ascii="Times New Roman" w:hAnsi="Times New Roman" w:cs="Times New Roman"/>
          <w:lang w:eastAsia="zh-CN"/>
        </w:rPr>
        <w:t>）</w:t>
      </w:r>
      <w:r>
        <w:rPr>
          <w:rFonts w:hint="default" w:ascii="Times New Roman" w:hAnsi="Times New Roman" w:cs="Times New Roman"/>
        </w:rPr>
        <w:t>中表1城市杂用水水质基本控制项目及限值中的城市绿化、道路清扫标准限值后回用于</w:t>
      </w:r>
      <w:r>
        <w:rPr>
          <w:rFonts w:hint="default" w:ascii="Times New Roman" w:hAnsi="Times New Roman" w:cs="Times New Roman"/>
          <w:lang w:val="en-US" w:eastAsia="zh-CN"/>
        </w:rPr>
        <w:t>矿山</w:t>
      </w:r>
      <w:r>
        <w:rPr>
          <w:rFonts w:hint="default" w:ascii="Times New Roman" w:hAnsi="Times New Roman" w:cs="Times New Roman"/>
        </w:rPr>
        <w:t>绿化用水及洒水降尘，不外排。</w:t>
      </w:r>
    </w:p>
    <w:p w14:paraId="6964B57C">
      <w:pPr>
        <w:pStyle w:val="39"/>
        <w:spacing w:line="360" w:lineRule="auto"/>
        <w:ind w:firstLine="480"/>
        <w:rPr>
          <w:rFonts w:hint="default" w:ascii="Times New Roman" w:hAnsi="Times New Roman" w:cs="Times New Roman"/>
          <w:lang w:eastAsia="zh-CN"/>
        </w:rPr>
      </w:pPr>
      <w:r>
        <w:rPr>
          <w:rFonts w:hint="default" w:ascii="Times New Roman" w:hAnsi="Times New Roman" w:cs="Times New Roman"/>
          <w:lang w:val="en-US" w:eastAsia="zh-CN"/>
        </w:rPr>
        <w:t>矿山污水处理设施为</w:t>
      </w:r>
      <w:r>
        <w:rPr>
          <w:rFonts w:hint="default" w:ascii="Times New Roman" w:hAnsi="Times New Roman" w:cs="Times New Roman"/>
        </w:rPr>
        <w:t>1个60m³的污水收集</w:t>
      </w:r>
      <w:r>
        <w:rPr>
          <w:rFonts w:hint="default" w:ascii="Times New Roman" w:hAnsi="Times New Roman" w:cs="Times New Roman"/>
          <w:lang w:val="en-US" w:eastAsia="zh-CN"/>
        </w:rPr>
        <w:t>池，1个处理能力为20m³/d的一体化污水处理站，并建设1个25m³回水池。生活污水经隔油池、化粪池处理后通过管道引至60m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的污水收集池，再进入一体化污水处理站。</w:t>
      </w:r>
      <w:r>
        <w:rPr>
          <w:rFonts w:hint="default" w:ascii="Times New Roman" w:hAnsi="Times New Roman" w:cs="Times New Roman"/>
        </w:rPr>
        <w:t>污水处理站采用生化处理工艺，处理达到《城市污水再生利用 城市杂用水水质》（GB/T18920-20</w:t>
      </w:r>
      <w:r>
        <w:rPr>
          <w:rFonts w:hint="default" w:ascii="Times New Roman" w:hAnsi="Times New Roman" w:cs="Times New Roman"/>
          <w:lang w:val="en-US" w:eastAsia="zh-CN"/>
        </w:rPr>
        <w:t>20</w:t>
      </w:r>
      <w:r>
        <w:rPr>
          <w:rFonts w:hint="default" w:ascii="Times New Roman" w:hAnsi="Times New Roman" w:cs="Times New Roman"/>
        </w:rPr>
        <w:t>）中道路清扫、绿化用水标准后利用</w:t>
      </w:r>
      <w:r>
        <w:rPr>
          <w:rFonts w:hint="default" w:ascii="Times New Roman" w:hAnsi="Times New Roman" w:cs="Times New Roman"/>
          <w:lang w:eastAsia="zh-CN"/>
        </w:rPr>
        <w:t>。</w:t>
      </w:r>
    </w:p>
    <w:p w14:paraId="5FB625DE">
      <w:pPr>
        <w:spacing w:line="360" w:lineRule="auto"/>
        <w:ind w:firstLine="49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矿山目前</w:t>
      </w:r>
      <w:r>
        <w:rPr>
          <w:rFonts w:hint="default" w:ascii="Times New Roman" w:hAnsi="Times New Roman" w:cs="Times New Roman"/>
          <w:color w:val="auto"/>
        </w:rPr>
        <w:t>生活污水处理量为</w:t>
      </w:r>
      <w:r>
        <w:rPr>
          <w:rFonts w:hint="default" w:ascii="Times New Roman" w:hAnsi="Times New Roman" w:cs="Times New Roman"/>
          <w:color w:val="auto"/>
          <w:lang w:val="en-US" w:eastAsia="zh-CN"/>
        </w:rPr>
        <w:t>12</w:t>
      </w:r>
      <w:r>
        <w:rPr>
          <w:rFonts w:hint="default" w:ascii="Times New Roman" w:hAnsi="Times New Roman" w:cs="Times New Roman"/>
          <w:color w:val="auto"/>
        </w:rPr>
        <w:t xml:space="preserve"> m</w:t>
      </w:r>
      <w:r>
        <w:rPr>
          <w:rFonts w:hint="default" w:ascii="Times New Roman" w:hAnsi="Times New Roman" w:cs="Times New Roman"/>
          <w:color w:val="auto"/>
          <w:vertAlign w:val="superscript"/>
        </w:rPr>
        <w:t>3</w:t>
      </w:r>
      <w:r>
        <w:rPr>
          <w:rFonts w:hint="default" w:ascii="Times New Roman" w:hAnsi="Times New Roman" w:cs="Times New Roman"/>
          <w:color w:val="auto"/>
        </w:rPr>
        <w:t>/d，有1个容积为2m</w:t>
      </w:r>
      <w:r>
        <w:rPr>
          <w:rFonts w:hint="default" w:ascii="Times New Roman" w:hAnsi="Times New Roman" w:cs="Times New Roman"/>
          <w:color w:val="auto"/>
          <w:vertAlign w:val="superscript"/>
        </w:rPr>
        <w:t>3</w:t>
      </w:r>
      <w:r>
        <w:rPr>
          <w:rFonts w:hint="default" w:ascii="Times New Roman" w:hAnsi="Times New Roman" w:cs="Times New Roman"/>
          <w:color w:val="auto"/>
        </w:rPr>
        <w:t>的隔油池和</w:t>
      </w:r>
      <w:r>
        <w:rPr>
          <w:rFonts w:hint="default" w:ascii="Times New Roman" w:hAnsi="Times New Roman" w:cs="Times New Roman"/>
          <w:color w:val="auto"/>
          <w:lang w:val="en-US" w:eastAsia="zh-CN"/>
        </w:rPr>
        <w:t>3</w:t>
      </w:r>
      <w:r>
        <w:rPr>
          <w:rFonts w:hint="default" w:ascii="Times New Roman" w:hAnsi="Times New Roman" w:cs="Times New Roman"/>
          <w:color w:val="auto"/>
        </w:rPr>
        <w:t>个总容积为</w:t>
      </w:r>
      <w:r>
        <w:rPr>
          <w:rFonts w:hint="default" w:ascii="Times New Roman" w:hAnsi="Times New Roman" w:cs="Times New Roman"/>
          <w:color w:val="auto"/>
          <w:lang w:val="en-US" w:eastAsia="zh-CN"/>
        </w:rPr>
        <w:t>60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的化粪池，本项目建成后废水增加量为</w:t>
      </w:r>
      <w:r>
        <w:rPr>
          <w:rFonts w:hint="default" w:ascii="Times New Roman" w:hAnsi="Times New Roman" w:cs="Times New Roman"/>
          <w:color w:val="auto"/>
          <w:lang w:val="en-US" w:eastAsia="zh-CN"/>
        </w:rPr>
        <w:t>0.4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/d。隔油池、化粪池容量大小能够满足1.2的变化系数，</w:t>
      </w:r>
      <w:r>
        <w:rPr>
          <w:rFonts w:hint="default" w:ascii="Times New Roman" w:hAnsi="Times New Roman" w:cs="Times New Roman"/>
          <w:color w:val="auto"/>
          <w:lang w:val="en-US" w:eastAsia="zh-CN"/>
        </w:rPr>
        <w:t>并</w:t>
      </w:r>
      <w:r>
        <w:rPr>
          <w:rFonts w:hint="default" w:ascii="Times New Roman" w:hAnsi="Times New Roman" w:cs="Times New Roman"/>
          <w:color w:val="auto"/>
        </w:rPr>
        <w:t>满足24h的水力停留时间，具备依托条件。</w:t>
      </w:r>
      <w:r>
        <w:rPr>
          <w:rFonts w:hint="default" w:ascii="Times New Roman" w:hAnsi="Times New Roman" w:cs="Times New Roman"/>
          <w:color w:val="auto"/>
          <w:lang w:val="en-US" w:eastAsia="zh-CN"/>
        </w:rPr>
        <w:t>矿山</w:t>
      </w:r>
      <w:r>
        <w:rPr>
          <w:rFonts w:hint="default" w:ascii="Times New Roman" w:hAnsi="Times New Roman" w:cs="Times New Roman"/>
          <w:color w:val="auto"/>
        </w:rPr>
        <w:t>污水处理设施总处理规模为</w:t>
      </w:r>
      <w:r>
        <w:rPr>
          <w:rFonts w:hint="default" w:ascii="Times New Roman" w:hAnsi="Times New Roman" w:cs="Times New Roman"/>
          <w:color w:val="auto"/>
          <w:lang w:val="en-US" w:eastAsia="zh-CN"/>
        </w:rPr>
        <w:t>2</w:t>
      </w:r>
      <w:r>
        <w:rPr>
          <w:rFonts w:hint="default" w:ascii="Times New Roman" w:hAnsi="Times New Roman" w:cs="Times New Roman"/>
          <w:color w:val="auto"/>
        </w:rPr>
        <w:t>0m</w:t>
      </w:r>
      <w:r>
        <w:rPr>
          <w:rFonts w:hint="default" w:ascii="Times New Roman" w:hAnsi="Times New Roman" w:cs="Times New Roman"/>
          <w:color w:val="auto"/>
          <w:vertAlign w:val="superscript"/>
        </w:rPr>
        <w:t>3</w:t>
      </w:r>
      <w:r>
        <w:rPr>
          <w:rFonts w:hint="default" w:ascii="Times New Roman" w:hAnsi="Times New Roman" w:cs="Times New Roman"/>
          <w:color w:val="auto"/>
        </w:rPr>
        <w:t>/d，本项目建成后污水量为</w:t>
      </w:r>
      <w:r>
        <w:rPr>
          <w:rFonts w:hint="default" w:ascii="Times New Roman" w:hAnsi="Times New Roman" w:cs="Times New Roman"/>
          <w:color w:val="auto"/>
          <w:lang w:val="en-US" w:eastAsia="zh-CN"/>
        </w:rPr>
        <w:t>12.4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/d，因此，</w:t>
      </w:r>
      <w:r>
        <w:rPr>
          <w:rFonts w:hint="default" w:ascii="Times New Roman" w:hAnsi="Times New Roman" w:cs="Times New Roman"/>
          <w:color w:val="auto"/>
          <w:lang w:val="en-US" w:eastAsia="zh-CN"/>
        </w:rPr>
        <w:t>鲁奎山铁矿</w:t>
      </w:r>
      <w:r>
        <w:rPr>
          <w:rFonts w:hint="default" w:ascii="Times New Roman" w:hAnsi="Times New Roman" w:cs="Times New Roman"/>
          <w:color w:val="auto"/>
        </w:rPr>
        <w:t>污水处理站现有处理能力能够接纳本项目产生的生活污水</w:t>
      </w:r>
      <w:r>
        <w:rPr>
          <w:rFonts w:hint="default" w:ascii="Times New Roman" w:hAnsi="Times New Roman" w:cs="Times New Roman"/>
          <w:bCs/>
          <w:color w:val="auto"/>
        </w:rPr>
        <w:t>。</w:t>
      </w:r>
    </w:p>
    <w:p w14:paraId="5DBD3C50">
      <w:pPr>
        <w:spacing w:line="360" w:lineRule="auto"/>
        <w:ind w:firstLine="490" w:firstLineChars="200"/>
        <w:rPr>
          <w:rFonts w:hint="default" w:ascii="Times New Roman" w:hAnsi="Times New Roman" w:cs="Times New Roman"/>
        </w:rPr>
      </w:pPr>
      <w:r>
        <w:rPr>
          <w:rFonts w:hint="default" w:ascii="Times New Roman" w:hAnsi="Times New Roman" w:cs="Times New Roman"/>
          <w:color w:val="auto"/>
          <w:lang w:val="en-US" w:eastAsia="zh-CN"/>
        </w:rPr>
        <w:t>鲁奎山铁矿</w:t>
      </w:r>
      <w:r>
        <w:rPr>
          <w:rFonts w:hint="default" w:ascii="Times New Roman" w:hAnsi="Times New Roman" w:cs="Times New Roman"/>
          <w:color w:val="auto"/>
        </w:rPr>
        <w:t>污水处理设施采用“调节池+</w:t>
      </w:r>
      <w:r>
        <w:rPr>
          <w:rFonts w:hint="default" w:ascii="Times New Roman" w:hAnsi="Times New Roman" w:cs="Times New Roman"/>
          <w:color w:val="auto"/>
          <w:lang w:val="en-US" w:eastAsia="zh-CN"/>
        </w:rPr>
        <w:t>厌氧生物处理＋好氧生物处理＋沉淀池＋消毒池</w:t>
      </w:r>
      <w:r>
        <w:rPr>
          <w:rFonts w:hint="default" w:ascii="Times New Roman" w:hAnsi="Times New Roman" w:cs="Times New Roman"/>
        </w:rPr>
        <w:t>”工艺，参照《排污许可证申请与核发技术规范 水处理（试行）》</w:t>
      </w:r>
      <w:r>
        <w:rPr>
          <w:rFonts w:hint="default" w:ascii="Times New Roman" w:hAnsi="Times New Roman" w:cs="Times New Roman"/>
          <w:lang w:eastAsia="zh-CN"/>
        </w:rPr>
        <w:t>（</w:t>
      </w:r>
      <w:r>
        <w:rPr>
          <w:rFonts w:hint="default" w:ascii="Times New Roman" w:hAnsi="Times New Roman" w:cs="Times New Roman"/>
        </w:rPr>
        <w:t>HJ 978-2018</w:t>
      </w:r>
      <w:r>
        <w:rPr>
          <w:rFonts w:hint="default" w:ascii="Times New Roman" w:hAnsi="Times New Roman" w:cs="Times New Roman"/>
          <w:lang w:eastAsia="zh-CN"/>
        </w:rPr>
        <w:t>）</w:t>
      </w:r>
      <w:r>
        <w:rPr>
          <w:rFonts w:hint="default" w:ascii="Times New Roman" w:hAnsi="Times New Roman" w:cs="Times New Roman"/>
        </w:rPr>
        <w:t>中表4污水处理可行技术参照表中生活污水可行技术，污水处理工艺属于可行技术。</w:t>
      </w:r>
      <w:r>
        <w:rPr>
          <w:rFonts w:hint="default" w:ascii="Times New Roman" w:hAnsi="Times New Roman" w:cs="Times New Roman"/>
          <w:color w:val="auto"/>
          <w:lang w:val="en-US" w:eastAsia="zh-CN"/>
        </w:rPr>
        <w:t>同时</w:t>
      </w:r>
      <w:r>
        <w:rPr>
          <w:rFonts w:hint="default" w:ascii="Times New Roman" w:hAnsi="Times New Roman" w:cs="Times New Roman" w:eastAsiaTheme="minorEastAsia"/>
          <w:color w:val="auto"/>
          <w:sz w:val="24"/>
          <w:szCs w:val="24"/>
        </w:rPr>
        <w:t>根据</w:t>
      </w:r>
      <w:r>
        <w:rPr>
          <w:rFonts w:hint="default" w:ascii="Times New Roman" w:hAnsi="Times New Roman" w:cs="Times New Roman" w:eastAsiaTheme="minorEastAsia"/>
          <w:color w:val="auto"/>
          <w:sz w:val="24"/>
          <w:szCs w:val="24"/>
          <w:lang w:val="en-US" w:eastAsia="zh-CN"/>
        </w:rPr>
        <w:t>本次建设单位委托云南浩辰环保科技有限公司对矿山生活污水处理站出水采样检测</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矿山</w:t>
      </w:r>
      <w:r>
        <w:rPr>
          <w:rFonts w:hint="default" w:ascii="Times New Roman" w:hAnsi="Times New Roman" w:cs="Times New Roman" w:eastAsiaTheme="minorEastAsia"/>
          <w:color w:val="auto"/>
          <w:sz w:val="24"/>
          <w:szCs w:val="24"/>
        </w:rPr>
        <w:t>生活污水经隔油池、化粪池处理后经自建污水处理站处理后，出水水质达到《城市污水再生利用 城市杂用水水质》（GB/T18920-20</w:t>
      </w:r>
      <w:r>
        <w:rPr>
          <w:rFonts w:hint="default" w:ascii="Times New Roman" w:hAnsi="Times New Roman"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rPr>
        <w:t>）中绿化用水标准，回用于矿区绿化及道路洒水降尘。</w:t>
      </w:r>
    </w:p>
    <w:p w14:paraId="327B1982">
      <w:pPr>
        <w:spacing w:line="360" w:lineRule="auto"/>
        <w:ind w:firstLine="490" w:firstLineChars="200"/>
        <w:rPr>
          <w:rFonts w:hint="default" w:ascii="Times New Roman" w:hAnsi="Times New Roman" w:cs="Times New Roman"/>
        </w:rPr>
      </w:pPr>
      <w:r>
        <w:rPr>
          <w:rFonts w:hint="default" w:ascii="Times New Roman" w:hAnsi="Times New Roman" w:cs="Times New Roman"/>
        </w:rPr>
        <w:t>因此，本项目生活污水依托</w:t>
      </w:r>
      <w:r>
        <w:rPr>
          <w:rFonts w:hint="default" w:ascii="Times New Roman" w:hAnsi="Times New Roman" w:cs="Times New Roman"/>
          <w:lang w:val="en-US" w:eastAsia="zh-CN"/>
        </w:rPr>
        <w:t>鲁奎山铁矿</w:t>
      </w:r>
      <w:r>
        <w:rPr>
          <w:rFonts w:hint="default" w:ascii="Times New Roman" w:hAnsi="Times New Roman" w:cs="Times New Roman"/>
          <w:kern w:val="24"/>
          <w:lang w:val="en-GB"/>
        </w:rPr>
        <w:t>废（污）水处理设施</w:t>
      </w:r>
      <w:r>
        <w:rPr>
          <w:rFonts w:hint="default" w:ascii="Times New Roman" w:hAnsi="Times New Roman" w:cs="Times New Roman"/>
        </w:rPr>
        <w:t>可行。</w:t>
      </w:r>
    </w:p>
    <w:p w14:paraId="7EBFF04E">
      <w:pPr>
        <w:keepNext w:val="0"/>
        <w:keepLines w:val="0"/>
        <w:pageBreakBefore w:val="0"/>
        <w:widowControl/>
        <w:tabs>
          <w:tab w:val="center" w:pos="4153"/>
          <w:tab w:val="right" w:pos="8306"/>
        </w:tabs>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（2）初期雨水</w:t>
      </w:r>
    </w:p>
    <w:p w14:paraId="187A3FBC">
      <w:pPr>
        <w:pStyle w:val="56"/>
        <w:spacing w:line="360" w:lineRule="auto"/>
        <w:ind w:firstLine="480"/>
        <w:rPr>
          <w:rFonts w:hint="default" w:ascii="Times New Roman" w:hAnsi="Times New Roman" w:cs="Times New Roman"/>
          <w:color w:val="auto"/>
        </w:rPr>
      </w:pPr>
      <w:r>
        <w:rPr>
          <w:rFonts w:hint="default" w:ascii="Times New Roman" w:hAnsi="Times New Roman" w:eastAsia="宋体" w:cs="Times New Roman"/>
          <w:snapToGrid w:val="0"/>
          <w:color w:val="auto"/>
          <w:kern w:val="0"/>
          <w:sz w:val="24"/>
          <w:szCs w:val="24"/>
          <w:highlight w:val="none"/>
          <w:lang w:val="en-US" w:eastAsia="zh-CN"/>
        </w:rPr>
        <w:t>项目采取雨污分流制，</w:t>
      </w:r>
      <w:r>
        <w:rPr>
          <w:rFonts w:hint="default" w:ascii="Times New Roman" w:hAnsi="Times New Roman" w:cs="Times New Roman"/>
          <w:snapToGrid w:val="0"/>
          <w:color w:val="auto"/>
          <w:kern w:val="0"/>
          <w:sz w:val="24"/>
          <w:szCs w:val="24"/>
          <w:highlight w:val="none"/>
          <w:lang w:val="en-US" w:eastAsia="zh-CN"/>
        </w:rPr>
        <w:t>本项目初期雨水量为</w:t>
      </w:r>
      <w:r>
        <w:rPr>
          <w:rFonts w:hint="default" w:ascii="Times New Roman" w:hAnsi="Times New Roman" w:cs="Times New Roman"/>
          <w:color w:val="auto"/>
          <w:kern w:val="0"/>
          <w:sz w:val="24"/>
          <w:szCs w:val="24"/>
          <w:lang w:val="en-US" w:eastAsia="zh-CN" w:bidi="ar"/>
        </w:rPr>
        <w:t>45</w:t>
      </w:r>
      <w:r>
        <w:rPr>
          <w:rFonts w:hint="default" w:ascii="Times New Roman" w:hAnsi="Times New Roman" w:eastAsia="宋体" w:cs="Times New Roman"/>
          <w:color w:val="auto"/>
          <w:kern w:val="0"/>
          <w:sz w:val="24"/>
          <w:szCs w:val="24"/>
          <w:lang w:val="en-US" w:eastAsia="zh-CN" w:bidi="ar"/>
        </w:rPr>
        <w:t>m³/次。本次环评提出，建设一个</w:t>
      </w:r>
      <w:r>
        <w:rPr>
          <w:rFonts w:hint="default" w:ascii="Times New Roman" w:hAnsi="Times New Roman" w:cs="Times New Roman"/>
          <w:color w:val="auto"/>
          <w:lang w:val="en-US" w:eastAsia="zh-CN"/>
        </w:rPr>
        <w:t>325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vertAlign w:val="baseline"/>
          <w:lang w:val="en-US" w:eastAsia="zh-CN"/>
        </w:rPr>
        <w:t>初期雨水收集池，收集本项目及整个6号料场初期雨水，</w:t>
      </w:r>
      <w:r>
        <w:rPr>
          <w:rFonts w:hint="default" w:ascii="Times New Roman" w:hAnsi="Times New Roman" w:cs="Times New Roman"/>
          <w:color w:val="auto"/>
          <w:lang w:val="en-US" w:eastAsia="zh-CN"/>
        </w:rPr>
        <w:t>收集沉淀后</w:t>
      </w:r>
      <w:r>
        <w:rPr>
          <w:rFonts w:hint="default" w:ascii="Times New Roman" w:hAnsi="Times New Roman" w:cs="Times New Roman"/>
          <w:color w:val="auto"/>
        </w:rPr>
        <w:t>用于降尘，不外排。</w:t>
      </w:r>
    </w:p>
    <w:p w14:paraId="31D70179">
      <w:pPr>
        <w:keepNext w:val="0"/>
        <w:keepLines w:val="0"/>
        <w:pageBreakBefore w:val="0"/>
        <w:widowControl/>
        <w:tabs>
          <w:tab w:val="center" w:pos="4153"/>
          <w:tab w:val="right" w:pos="8306"/>
        </w:tabs>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因此，环评认为项目运营过程中采取的废水污染物防治措施可行。</w:t>
      </w:r>
    </w:p>
    <w:p w14:paraId="5B0313E1">
      <w:pPr>
        <w:pStyle w:val="6"/>
        <w:bidi w:val="0"/>
        <w:rPr>
          <w:rFonts w:hint="default" w:ascii="Times New Roman" w:hAnsi="Times New Roman" w:cs="Times New Roman"/>
          <w:lang w:val="en-US" w:eastAsia="zh-CN"/>
        </w:rPr>
      </w:pPr>
      <w:bookmarkStart w:id="602" w:name="_Toc7278"/>
      <w:bookmarkStart w:id="603" w:name="_Toc4012"/>
      <w:bookmarkStart w:id="604" w:name="_Toc25601"/>
      <w:r>
        <w:rPr>
          <w:rFonts w:hint="default" w:ascii="Times New Roman" w:hAnsi="Times New Roman" w:cs="Times New Roman"/>
          <w:lang w:val="en-US" w:eastAsia="zh-CN"/>
        </w:rPr>
        <w:t>7.2.3噪声污染防治措施</w:t>
      </w:r>
      <w:bookmarkEnd w:id="602"/>
      <w:bookmarkEnd w:id="603"/>
      <w:bookmarkEnd w:id="604"/>
      <w:r>
        <w:rPr>
          <w:rFonts w:hint="default" w:ascii="Times New Roman" w:hAnsi="Times New Roman" w:cs="Times New Roman"/>
          <w:lang w:val="en-US" w:eastAsia="zh-CN"/>
        </w:rPr>
        <w:t>及可行性分析</w:t>
      </w:r>
    </w:p>
    <w:p w14:paraId="27B527DC">
      <w:pPr>
        <w:bidi w:val="0"/>
        <w:spacing w:line="360" w:lineRule="auto"/>
        <w:ind w:firstLine="49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项目运营过程中产生连续噪声的设备较多，主要包括破碎机、</w:t>
      </w:r>
      <w:r>
        <w:rPr>
          <w:rFonts w:hint="default" w:ascii="Times New Roman" w:hAnsi="Times New Roman" w:cs="Times New Roman"/>
          <w:color w:val="auto"/>
          <w:kern w:val="0"/>
          <w:sz w:val="24"/>
          <w:lang w:val="en-US" w:eastAsia="zh-CN"/>
        </w:rPr>
        <w:t>筛分</w:t>
      </w:r>
      <w:r>
        <w:rPr>
          <w:rFonts w:hint="default" w:ascii="Times New Roman" w:hAnsi="Times New Roman" w:eastAsia="宋体" w:cs="Times New Roman"/>
          <w:color w:val="auto"/>
          <w:kern w:val="0"/>
          <w:sz w:val="24"/>
          <w:lang w:val="en-US" w:eastAsia="zh-CN"/>
        </w:rPr>
        <w:t>机、</w:t>
      </w:r>
      <w:r>
        <w:rPr>
          <w:rFonts w:hint="default" w:ascii="Times New Roman" w:hAnsi="Times New Roman" w:cs="Times New Roman"/>
          <w:color w:val="auto"/>
          <w:kern w:val="0"/>
          <w:sz w:val="24"/>
          <w:lang w:val="en-US" w:eastAsia="zh-CN"/>
        </w:rPr>
        <w:t>磁选机</w:t>
      </w:r>
      <w:r>
        <w:rPr>
          <w:rFonts w:hint="default" w:ascii="Times New Roman" w:hAnsi="Times New Roman" w:eastAsia="宋体" w:cs="Times New Roman"/>
          <w:color w:val="auto"/>
          <w:kern w:val="0"/>
          <w:sz w:val="24"/>
          <w:lang w:val="en-US" w:eastAsia="zh-CN"/>
        </w:rPr>
        <w:t>、风机等，本环评建议建设单位做到以下几点要求：</w:t>
      </w:r>
    </w:p>
    <w:p w14:paraId="3142ECB3">
      <w:pPr>
        <w:bidi w:val="0"/>
        <w:spacing w:line="360" w:lineRule="auto"/>
        <w:ind w:firstLine="49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（1）设备采取基座减振，</w:t>
      </w:r>
      <w:r>
        <w:rPr>
          <w:rFonts w:hint="default" w:ascii="Times New Roman" w:hAnsi="Times New Roman" w:cs="Times New Roman"/>
          <w:color w:val="auto"/>
          <w:kern w:val="0"/>
          <w:sz w:val="24"/>
          <w:lang w:val="en-US" w:eastAsia="zh-CN"/>
        </w:rPr>
        <w:t>设备</w:t>
      </w:r>
      <w:r>
        <w:rPr>
          <w:rFonts w:hint="default" w:ascii="Times New Roman" w:hAnsi="Times New Roman" w:eastAsia="宋体" w:cs="Times New Roman"/>
          <w:color w:val="auto"/>
          <w:kern w:val="0"/>
          <w:sz w:val="24"/>
          <w:lang w:val="en-US" w:eastAsia="zh-CN"/>
        </w:rPr>
        <w:t>封闭</w:t>
      </w:r>
      <w:r>
        <w:rPr>
          <w:rFonts w:hint="default" w:ascii="Times New Roman" w:hAnsi="Times New Roman" w:cs="Times New Roman"/>
          <w:color w:val="auto"/>
          <w:kern w:val="0"/>
          <w:sz w:val="24"/>
          <w:lang w:val="en-US" w:eastAsia="zh-CN"/>
        </w:rPr>
        <w:t>加装隔声材料</w:t>
      </w:r>
      <w:r>
        <w:rPr>
          <w:rFonts w:hint="default" w:ascii="Times New Roman" w:hAnsi="Times New Roman" w:eastAsia="宋体" w:cs="Times New Roman"/>
          <w:color w:val="auto"/>
          <w:kern w:val="0"/>
          <w:sz w:val="24"/>
          <w:lang w:val="en-US" w:eastAsia="zh-CN"/>
        </w:rPr>
        <w:t>，夜间禁止运行；</w:t>
      </w:r>
    </w:p>
    <w:p w14:paraId="0F4EB82C">
      <w:pPr>
        <w:bidi w:val="0"/>
        <w:spacing w:line="360" w:lineRule="auto"/>
        <w:ind w:firstLine="49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（2）风机安装消声器。</w:t>
      </w:r>
    </w:p>
    <w:p w14:paraId="61CD2E0F">
      <w:pPr>
        <w:bidi w:val="0"/>
        <w:spacing w:line="360" w:lineRule="auto"/>
        <w:ind w:firstLine="49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（3）加强运输车辆的管理，合理安排运输时间，严禁车辆超速超载，在运输道路沿线居民相对集中区时，区段两端设置限速、禁鸣标志。</w:t>
      </w:r>
    </w:p>
    <w:p w14:paraId="7F80A66F">
      <w:pPr>
        <w:spacing w:line="360" w:lineRule="auto"/>
        <w:ind w:firstLine="490" w:firstLineChars="200"/>
        <w:rPr>
          <w:rFonts w:hint="default" w:ascii="Times New Roman" w:hAnsi="Times New Roman" w:eastAsia="宋体" w:cs="Times New Roman"/>
          <w:szCs w:val="24"/>
          <w:lang w:val="en-US" w:eastAsia="zh-CN"/>
        </w:rPr>
      </w:pPr>
      <w:r>
        <w:rPr>
          <w:rFonts w:hint="default" w:ascii="Times New Roman" w:hAnsi="Times New Roman" w:cs="Times New Roman"/>
          <w:szCs w:val="24"/>
          <w:lang w:bidi="ar"/>
        </w:rPr>
        <w:t>上述防治措施成熟可行，被行业内普遍采用，能够</w:t>
      </w:r>
      <w:r>
        <w:rPr>
          <w:rFonts w:hint="default" w:ascii="Times New Roman" w:hAnsi="Times New Roman" w:cs="Times New Roman"/>
          <w:szCs w:val="24"/>
          <w:lang w:val="en-US" w:eastAsia="zh-CN" w:bidi="ar"/>
        </w:rPr>
        <w:t>有效降低噪声排放。</w:t>
      </w:r>
    </w:p>
    <w:p w14:paraId="309D676D">
      <w:pPr>
        <w:pStyle w:val="6"/>
        <w:bidi w:val="0"/>
        <w:rPr>
          <w:rFonts w:hint="default" w:ascii="Times New Roman" w:hAnsi="Times New Roman" w:cs="Times New Roman"/>
        </w:rPr>
      </w:pPr>
      <w:bookmarkStart w:id="605" w:name="_Toc165816793"/>
      <w:bookmarkStart w:id="606" w:name="_Toc5619"/>
      <w:r>
        <w:rPr>
          <w:rFonts w:hint="default" w:ascii="Times New Roman" w:hAnsi="Times New Roman" w:cs="Times New Roman"/>
          <w:lang w:val="en-US" w:eastAsia="zh-CN"/>
        </w:rPr>
        <w:t>7</w:t>
      </w:r>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地下水污染防治措施及可行性分析</w:t>
      </w:r>
      <w:bookmarkEnd w:id="605"/>
      <w:bookmarkEnd w:id="606"/>
    </w:p>
    <w:p w14:paraId="28AA53D2">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rPr>
        <w:t>本项目地下</w:t>
      </w:r>
      <w:r>
        <w:rPr>
          <w:rFonts w:hint="default" w:ascii="Times New Roman" w:hAnsi="Times New Roman" w:cs="Times New Roman"/>
          <w:lang w:eastAsia="zh-CN"/>
        </w:rPr>
        <w:t>水污</w:t>
      </w:r>
      <w:r>
        <w:rPr>
          <w:rFonts w:hint="default" w:ascii="Times New Roman" w:hAnsi="Times New Roman" w:cs="Times New Roman"/>
        </w:rPr>
        <w:t>染防治措施按照“源头控制、分区防治、应急响应”相结合的原则，从污染物的产生、入渗、扩散、应急响应进行控制。</w:t>
      </w:r>
    </w:p>
    <w:p w14:paraId="1D40A2C5">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1、</w:t>
      </w:r>
      <w:r>
        <w:rPr>
          <w:rFonts w:hint="default" w:ascii="Times New Roman" w:hAnsi="Times New Roman" w:cs="Times New Roman"/>
        </w:rPr>
        <w:t>源头控制措施</w:t>
      </w:r>
    </w:p>
    <w:p w14:paraId="53D919BB">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rPr>
        <w:t>污水管严格按照国家相关规范要求，使用合格的管道尽可能从源头上防止和降低污水可能发生的跑、冒、滴、漏。</w:t>
      </w:r>
    </w:p>
    <w:p w14:paraId="358A9418">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2、分区防渗措施及要求</w:t>
      </w:r>
    </w:p>
    <w:p w14:paraId="04F9614C">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依据厂区可能发生渗漏的区域的污染物性质和生产单元的构筑方式，结合厂区地质和水文地质条件，根据《环境影响评价技术导则</w:t>
      </w:r>
      <w:r>
        <w:rPr>
          <w:rFonts w:hint="default" w:ascii="Times New Roman" w:hAnsi="Times New Roman" w:cs="Times New Roman"/>
          <w:szCs w:val="24"/>
          <w:lang w:eastAsia="zh-CN"/>
        </w:rPr>
        <w:t>－</w:t>
      </w:r>
      <w:r>
        <w:rPr>
          <w:rFonts w:hint="default" w:ascii="Times New Roman" w:hAnsi="Times New Roman" w:cs="Times New Roman"/>
          <w:szCs w:val="24"/>
        </w:rPr>
        <w:t>地下水环境》（HJ610-2016），</w:t>
      </w:r>
      <w:r>
        <w:rPr>
          <w:rFonts w:hint="default" w:ascii="Times New Roman" w:hAnsi="Times New Roman" w:cs="Times New Roman"/>
        </w:rPr>
        <w:t>本项目按照分区防控的要求，将厂区分为重点防渗区、一般防渗区和简单防渗区，不同的分区采取相应的防渗措施。</w:t>
      </w:r>
    </w:p>
    <w:p w14:paraId="33C0F2B0">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lang w:val="en-US" w:eastAsia="zh-CN"/>
        </w:rPr>
        <w:t>鲁奎山铁矿</w:t>
      </w:r>
      <w:r>
        <w:rPr>
          <w:rFonts w:hint="default" w:ascii="Times New Roman" w:hAnsi="Times New Roman" w:cs="Times New Roman"/>
          <w:szCs w:val="24"/>
        </w:rPr>
        <w:t>危废暂存间划分为重点防渗区；</w:t>
      </w:r>
      <w:r>
        <w:rPr>
          <w:rFonts w:hint="default" w:ascii="Times New Roman" w:hAnsi="Times New Roman" w:cs="Times New Roman"/>
          <w:szCs w:val="24"/>
          <w:lang w:val="en-US" w:eastAsia="zh-CN"/>
        </w:rPr>
        <w:t>生产区域、原料堆场、铁矿石堆场、砂石料堆场、</w:t>
      </w:r>
      <w:r>
        <w:rPr>
          <w:rFonts w:hint="default" w:ascii="Times New Roman" w:hAnsi="Times New Roman" w:cs="Times New Roman"/>
          <w:szCs w:val="24"/>
        </w:rPr>
        <w:t>初期雨水收集池划分为一般防渗区；</w:t>
      </w:r>
      <w:r>
        <w:rPr>
          <w:rFonts w:hint="default" w:ascii="Times New Roman" w:hAnsi="Times New Roman" w:cs="Times New Roman"/>
          <w:szCs w:val="24"/>
          <w:lang w:val="en-US" w:eastAsia="zh-CN"/>
        </w:rPr>
        <w:t>办公生活区</w:t>
      </w:r>
      <w:r>
        <w:rPr>
          <w:rFonts w:hint="default" w:ascii="Times New Roman" w:hAnsi="Times New Roman" w:cs="Times New Roman"/>
          <w:szCs w:val="24"/>
        </w:rPr>
        <w:t>划分为简单防渗区。</w:t>
      </w:r>
    </w:p>
    <w:p w14:paraId="1AF0A01A">
      <w:pPr>
        <w:pStyle w:val="39"/>
        <w:spacing w:line="360" w:lineRule="auto"/>
        <w:ind w:firstLine="480"/>
        <w:rPr>
          <w:rFonts w:hint="default" w:ascii="Times New Roman" w:hAnsi="Times New Roman" w:cs="Times New Roman"/>
        </w:rPr>
      </w:pPr>
      <w:r>
        <w:rPr>
          <w:rFonts w:hint="default" w:ascii="Times New Roman" w:hAnsi="Times New Roman" w:cs="Times New Roman"/>
        </w:rPr>
        <w:t>本项目运行期分区防控措施见下表。</w:t>
      </w:r>
    </w:p>
    <w:p w14:paraId="70135CEA">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表</w:t>
      </w:r>
      <w:r>
        <w:rPr>
          <w:rFonts w:hint="default" w:ascii="Times New Roman" w:hAnsi="Times New Roman" w:eastAsia="宋体" w:cs="Times New Roman"/>
          <w:b w:val="0"/>
          <w:bCs/>
          <w:sz w:val="21"/>
          <w:szCs w:val="21"/>
          <w:lang w:val="en-US" w:eastAsia="zh-CN"/>
        </w:rPr>
        <w:t>7</w:t>
      </w:r>
      <w:r>
        <w:rPr>
          <w:rFonts w:hint="default" w:ascii="Times New Roman" w:hAnsi="Times New Roman" w:eastAsia="宋体" w:cs="Times New Roman"/>
          <w:b w:val="0"/>
          <w:bCs/>
          <w:sz w:val="21"/>
          <w:szCs w:val="21"/>
        </w:rPr>
        <w:t>.2</w:t>
      </w:r>
      <w:r>
        <w:rPr>
          <w:rFonts w:hint="default" w:ascii="Times New Roman" w:hAnsi="Times New Roman" w:eastAsia="宋体" w:cs="Times New Roman"/>
          <w:b w:val="0"/>
          <w:bCs/>
          <w:sz w:val="21"/>
          <w:szCs w:val="21"/>
          <w:lang w:val="en-US" w:eastAsia="zh-CN"/>
        </w:rPr>
        <w:t>.2</w:t>
      </w:r>
      <w:r>
        <w:rPr>
          <w:rFonts w:hint="default" w:ascii="Times New Roman" w:hAnsi="Times New Roman" w:eastAsia="宋体" w:cs="Times New Roman"/>
          <w:b w:val="0"/>
          <w:bCs/>
          <w:sz w:val="21"/>
          <w:szCs w:val="21"/>
        </w:rPr>
        <w:t>-1  本项目分区防渗内容及要求汇总表</w:t>
      </w:r>
    </w:p>
    <w:tbl>
      <w:tblPr>
        <w:tblStyle w:val="3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384"/>
        <w:gridCol w:w="2552"/>
        <w:gridCol w:w="5352"/>
      </w:tblGrid>
      <w:tr w14:paraId="29C8E9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1384" w:type="dxa"/>
            <w:tcBorders>
              <w:tl2br w:val="nil"/>
              <w:tr2bl w:val="nil"/>
            </w:tcBorders>
            <w:vAlign w:val="center"/>
          </w:tcPr>
          <w:p w14:paraId="63D778F7">
            <w:pPr>
              <w:adjustRightInd w:val="0"/>
              <w:spacing w:line="240" w:lineRule="auto"/>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防渗分区</w:t>
            </w:r>
          </w:p>
        </w:tc>
        <w:tc>
          <w:tcPr>
            <w:tcW w:w="2552" w:type="dxa"/>
            <w:tcBorders>
              <w:tl2br w:val="nil"/>
              <w:tr2bl w:val="nil"/>
            </w:tcBorders>
            <w:vAlign w:val="center"/>
          </w:tcPr>
          <w:p w14:paraId="17E77967">
            <w:pPr>
              <w:adjustRightInd w:val="0"/>
              <w:spacing w:line="240" w:lineRule="auto"/>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区域</w:t>
            </w:r>
          </w:p>
        </w:tc>
        <w:tc>
          <w:tcPr>
            <w:tcW w:w="5350" w:type="dxa"/>
            <w:tcBorders>
              <w:tl2br w:val="nil"/>
              <w:tr2bl w:val="nil"/>
            </w:tcBorders>
            <w:vAlign w:val="center"/>
          </w:tcPr>
          <w:p w14:paraId="35740B58">
            <w:pPr>
              <w:adjustRightInd w:val="0"/>
              <w:spacing w:line="240" w:lineRule="auto"/>
              <w:jc w:val="center"/>
              <w:rPr>
                <w:rFonts w:hint="default" w:ascii="Times New Roman" w:hAnsi="Times New Roman" w:eastAsia="宋体" w:cs="Times New Roman"/>
                <w:color w:val="auto"/>
                <w:kern w:val="24"/>
                <w:sz w:val="21"/>
                <w:szCs w:val="21"/>
                <w:lang w:val="en-US" w:eastAsia="zh-CN"/>
              </w:rPr>
            </w:pPr>
            <w:r>
              <w:rPr>
                <w:rFonts w:hint="default" w:ascii="Times New Roman" w:hAnsi="Times New Roman" w:cs="Times New Roman"/>
                <w:color w:val="auto"/>
                <w:kern w:val="24"/>
                <w:sz w:val="21"/>
                <w:szCs w:val="21"/>
              </w:rPr>
              <w:t>防渗</w:t>
            </w:r>
            <w:r>
              <w:rPr>
                <w:rFonts w:hint="default" w:ascii="Times New Roman" w:hAnsi="Times New Roman" w:cs="Times New Roman"/>
                <w:color w:val="auto"/>
                <w:kern w:val="24"/>
                <w:sz w:val="21"/>
                <w:szCs w:val="21"/>
                <w:lang w:val="en-US" w:eastAsia="zh-CN"/>
              </w:rPr>
              <w:t>技术要求</w:t>
            </w:r>
          </w:p>
        </w:tc>
      </w:tr>
      <w:tr w14:paraId="4DEF10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1384" w:type="dxa"/>
            <w:tcBorders>
              <w:tl2br w:val="nil"/>
              <w:tr2bl w:val="nil"/>
            </w:tcBorders>
            <w:vAlign w:val="center"/>
          </w:tcPr>
          <w:p w14:paraId="722A1810">
            <w:pPr>
              <w:adjustRightInd w:val="0"/>
              <w:spacing w:line="240" w:lineRule="auto"/>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重点防渗区</w:t>
            </w:r>
          </w:p>
        </w:tc>
        <w:tc>
          <w:tcPr>
            <w:tcW w:w="2552" w:type="dxa"/>
            <w:tcBorders>
              <w:tl2br w:val="nil"/>
              <w:tr2bl w:val="nil"/>
            </w:tcBorders>
            <w:vAlign w:val="center"/>
          </w:tcPr>
          <w:p w14:paraId="51A9672E">
            <w:pPr>
              <w:adjustRightInd w:val="0"/>
              <w:spacing w:line="240" w:lineRule="auto"/>
              <w:jc w:val="center"/>
              <w:rPr>
                <w:rFonts w:hint="default" w:ascii="Times New Roman" w:hAnsi="Times New Roman" w:cs="Times New Roman"/>
                <w:color w:val="auto"/>
                <w:kern w:val="24"/>
                <w:sz w:val="21"/>
                <w:szCs w:val="21"/>
              </w:rPr>
            </w:pPr>
            <w:r>
              <w:rPr>
                <w:rFonts w:hint="default" w:ascii="Times New Roman" w:hAnsi="Times New Roman" w:cs="Times New Roman"/>
                <w:color w:val="auto"/>
                <w:sz w:val="21"/>
                <w:szCs w:val="21"/>
                <w:lang w:val="en-US" w:eastAsia="zh-CN"/>
              </w:rPr>
              <w:t>鲁奎山铁矿</w:t>
            </w:r>
            <w:r>
              <w:rPr>
                <w:rFonts w:hint="default" w:ascii="Times New Roman" w:hAnsi="Times New Roman" w:cs="Times New Roman"/>
                <w:color w:val="auto"/>
                <w:sz w:val="21"/>
                <w:szCs w:val="21"/>
              </w:rPr>
              <w:t>危废暂存间</w:t>
            </w:r>
          </w:p>
        </w:tc>
        <w:tc>
          <w:tcPr>
            <w:tcW w:w="5350" w:type="dxa"/>
            <w:tcBorders>
              <w:tl2br w:val="nil"/>
              <w:tr2bl w:val="nil"/>
            </w:tcBorders>
            <w:vAlign w:val="center"/>
          </w:tcPr>
          <w:p w14:paraId="37C73DEE">
            <w:pPr>
              <w:adjustRightInd w:val="0"/>
              <w:spacing w:line="240" w:lineRule="auto"/>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lang w:val="en-US" w:eastAsia="zh-CN"/>
              </w:rPr>
              <w:t>表面防渗材料应与所接触的物料或污染物相容，可采用抗渗混凝土、高密度聚乙烯膜、钠基膨润土防水毯或其他防渗性能等效的材料。等效黏土防渗层 Mb≥6.0m，K≤1.0×10</w:t>
            </w:r>
            <w:r>
              <w:rPr>
                <w:rFonts w:hint="default" w:ascii="Times New Roman" w:hAnsi="Times New Roman" w:cs="Times New Roman"/>
                <w:color w:val="auto"/>
                <w:kern w:val="24"/>
                <w:sz w:val="21"/>
                <w:szCs w:val="21"/>
                <w:vertAlign w:val="superscript"/>
                <w:lang w:val="en-US" w:eastAsia="zh-CN"/>
              </w:rPr>
              <w:t>-7</w:t>
            </w:r>
            <w:r>
              <w:rPr>
                <w:rFonts w:hint="default" w:ascii="Times New Roman" w:hAnsi="Times New Roman" w:cs="Times New Roman"/>
                <w:color w:val="auto"/>
                <w:kern w:val="24"/>
                <w:sz w:val="21"/>
                <w:szCs w:val="21"/>
                <w:lang w:val="en-US" w:eastAsia="zh-CN"/>
              </w:rPr>
              <w:t xml:space="preserve"> cm/s；或参照 GB 18598 执行。</w:t>
            </w:r>
          </w:p>
        </w:tc>
      </w:tr>
      <w:tr w14:paraId="5EC41A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1384" w:type="dxa"/>
            <w:tcBorders>
              <w:tl2br w:val="nil"/>
              <w:tr2bl w:val="nil"/>
            </w:tcBorders>
            <w:vAlign w:val="center"/>
          </w:tcPr>
          <w:p w14:paraId="27626A0D">
            <w:pPr>
              <w:adjustRightInd w:val="0"/>
              <w:spacing w:line="240" w:lineRule="auto"/>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一般防渗区</w:t>
            </w:r>
          </w:p>
        </w:tc>
        <w:tc>
          <w:tcPr>
            <w:tcW w:w="2552" w:type="dxa"/>
            <w:tcBorders>
              <w:tl2br w:val="nil"/>
              <w:tr2bl w:val="nil"/>
            </w:tcBorders>
            <w:vAlign w:val="center"/>
          </w:tcPr>
          <w:p w14:paraId="467078E4">
            <w:pPr>
              <w:adjustRightInd w:val="0"/>
              <w:spacing w:line="240" w:lineRule="auto"/>
              <w:jc w:val="center"/>
              <w:rPr>
                <w:rFonts w:hint="default" w:ascii="Times New Roman" w:hAnsi="Times New Roman" w:eastAsia="宋体" w:cs="Times New Roman"/>
                <w:color w:val="auto"/>
                <w:kern w:val="24"/>
                <w:sz w:val="21"/>
                <w:szCs w:val="21"/>
                <w:lang w:eastAsia="zh-CN"/>
              </w:rPr>
            </w:pPr>
            <w:r>
              <w:rPr>
                <w:rFonts w:hint="default" w:ascii="Times New Roman" w:hAnsi="Times New Roman" w:cs="Times New Roman"/>
                <w:color w:val="auto"/>
                <w:sz w:val="21"/>
                <w:szCs w:val="21"/>
                <w:lang w:val="en-US" w:eastAsia="zh-CN"/>
              </w:rPr>
              <w:t>生产区域、原料堆场、铁矿石堆场、砂石料堆场、</w:t>
            </w:r>
            <w:r>
              <w:rPr>
                <w:rFonts w:hint="default" w:ascii="Times New Roman" w:hAnsi="Times New Roman" w:cs="Times New Roman"/>
                <w:color w:val="auto"/>
                <w:sz w:val="21"/>
                <w:szCs w:val="21"/>
              </w:rPr>
              <w:t>初期雨水收集池</w:t>
            </w:r>
          </w:p>
        </w:tc>
        <w:tc>
          <w:tcPr>
            <w:tcW w:w="5350" w:type="dxa"/>
            <w:tcBorders>
              <w:tl2br w:val="nil"/>
              <w:tr2bl w:val="nil"/>
            </w:tcBorders>
            <w:vAlign w:val="center"/>
          </w:tcPr>
          <w:p w14:paraId="3B2E548D">
            <w:pPr>
              <w:adjustRightInd w:val="0"/>
              <w:spacing w:line="240" w:lineRule="auto"/>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lang w:val="en-US" w:eastAsia="zh-CN"/>
              </w:rPr>
              <w:t>等效黏土防渗层Mb≥1.5m，K≤1.0×10</w:t>
            </w:r>
            <w:r>
              <w:rPr>
                <w:rFonts w:hint="default" w:ascii="Times New Roman" w:hAnsi="Times New Roman" w:cs="Times New Roman"/>
                <w:color w:val="auto"/>
                <w:kern w:val="24"/>
                <w:sz w:val="21"/>
                <w:szCs w:val="21"/>
                <w:vertAlign w:val="superscript"/>
                <w:lang w:val="en-US" w:eastAsia="zh-CN"/>
              </w:rPr>
              <w:t>-7</w:t>
            </w:r>
            <w:r>
              <w:rPr>
                <w:rFonts w:hint="default" w:ascii="Times New Roman" w:hAnsi="Times New Roman" w:cs="Times New Roman"/>
                <w:color w:val="auto"/>
                <w:kern w:val="24"/>
                <w:sz w:val="21"/>
                <w:szCs w:val="21"/>
                <w:lang w:val="en-US" w:eastAsia="zh-CN"/>
              </w:rPr>
              <w:t>cm/s；或参照 GB 16889执行。</w:t>
            </w:r>
          </w:p>
        </w:tc>
      </w:tr>
      <w:tr w14:paraId="48FD04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1384" w:type="dxa"/>
            <w:tcBorders>
              <w:tl2br w:val="nil"/>
              <w:tr2bl w:val="nil"/>
            </w:tcBorders>
            <w:vAlign w:val="center"/>
          </w:tcPr>
          <w:p w14:paraId="7CAA8A68">
            <w:pPr>
              <w:adjustRightInd w:val="0"/>
              <w:spacing w:line="240" w:lineRule="auto"/>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简单防渗区</w:t>
            </w:r>
          </w:p>
        </w:tc>
        <w:tc>
          <w:tcPr>
            <w:tcW w:w="2552" w:type="dxa"/>
            <w:tcBorders>
              <w:tl2br w:val="nil"/>
              <w:tr2bl w:val="nil"/>
            </w:tcBorders>
            <w:vAlign w:val="center"/>
          </w:tcPr>
          <w:p w14:paraId="265A4A56">
            <w:pPr>
              <w:adjustRightInd w:val="0"/>
              <w:spacing w:line="240" w:lineRule="auto"/>
              <w:jc w:val="center"/>
              <w:rPr>
                <w:rFonts w:hint="default" w:ascii="Times New Roman" w:hAnsi="Times New Roman" w:eastAsia="宋体" w:cs="Times New Roman"/>
                <w:color w:val="auto"/>
                <w:kern w:val="24"/>
                <w:sz w:val="21"/>
                <w:szCs w:val="21"/>
                <w:lang w:val="en-US" w:eastAsia="zh-CN"/>
              </w:rPr>
            </w:pPr>
            <w:r>
              <w:rPr>
                <w:rFonts w:hint="default" w:ascii="Times New Roman" w:hAnsi="Times New Roman" w:cs="Times New Roman"/>
                <w:color w:val="auto"/>
                <w:sz w:val="21"/>
                <w:szCs w:val="21"/>
                <w:lang w:val="en-US" w:eastAsia="zh-CN"/>
              </w:rPr>
              <w:t>办公生活区</w:t>
            </w:r>
          </w:p>
        </w:tc>
        <w:tc>
          <w:tcPr>
            <w:tcW w:w="5350" w:type="dxa"/>
            <w:tcBorders>
              <w:tl2br w:val="nil"/>
              <w:tr2bl w:val="nil"/>
            </w:tcBorders>
            <w:vAlign w:val="center"/>
          </w:tcPr>
          <w:p w14:paraId="4D2AFD93">
            <w:pPr>
              <w:adjustRightInd w:val="0"/>
              <w:spacing w:line="240" w:lineRule="auto"/>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一般地面硬化</w:t>
            </w:r>
          </w:p>
        </w:tc>
      </w:tr>
    </w:tbl>
    <w:p w14:paraId="58BD9A51">
      <w:pPr>
        <w:ind w:firstLine="490" w:firstLineChars="200"/>
        <w:rPr>
          <w:rFonts w:hint="default" w:ascii="Times New Roman" w:hAnsi="Times New Roman" w:cs="Times New Roman"/>
          <w:szCs w:val="24"/>
        </w:rPr>
      </w:pPr>
    </w:p>
    <w:p w14:paraId="1276C5A6">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3、应急响应</w:t>
      </w:r>
    </w:p>
    <w:p w14:paraId="715F334E">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本项目应制定地下水污染应急响应预案，当发生地下水污染状况时应采取停止生产、检修渗漏等控制污染源、切断污染途径的措施。</w:t>
      </w:r>
    </w:p>
    <w:p w14:paraId="571EC9A3">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4、地下水污染监控措施</w:t>
      </w:r>
    </w:p>
    <w:p w14:paraId="5863A3D0">
      <w:pPr>
        <w:spacing w:line="360" w:lineRule="auto"/>
        <w:ind w:firstLine="490" w:firstLineChars="200"/>
        <w:rPr>
          <w:rFonts w:hint="default" w:ascii="Times New Roman" w:hAnsi="Times New Roman" w:cs="Times New Roman"/>
          <w:color w:val="auto"/>
          <w:szCs w:val="24"/>
        </w:rPr>
      </w:pPr>
      <w:r>
        <w:rPr>
          <w:rFonts w:hint="default" w:ascii="Times New Roman" w:hAnsi="Times New Roman" w:eastAsia="宋体" w:cs="Times New Roman"/>
          <w:color w:val="auto"/>
          <w:szCs w:val="24"/>
          <w:lang w:val="en-US" w:eastAsia="zh-CN"/>
        </w:rPr>
        <w:t>环评参照</w:t>
      </w:r>
      <w:r>
        <w:rPr>
          <w:rFonts w:hint="default" w:ascii="Times New Roman" w:hAnsi="Times New Roman" w:eastAsia="宋体" w:cs="Times New Roman"/>
          <w:color w:val="auto"/>
          <w:szCs w:val="24"/>
          <w:lang w:val="zh-CN" w:eastAsia="zh-CN"/>
        </w:rPr>
        <w:t>《环境影响评价技术导则</w:t>
      </w:r>
      <w:r>
        <w:rPr>
          <w:rFonts w:hint="default" w:ascii="Times New Roman" w:hAnsi="Times New Roman" w:eastAsia="宋体" w:cs="Times New Roman"/>
          <w:color w:val="auto"/>
          <w:szCs w:val="24"/>
          <w:lang w:val="en-US" w:eastAsia="zh-CN"/>
        </w:rPr>
        <w:t xml:space="preserve">  </w:t>
      </w:r>
      <w:r>
        <w:rPr>
          <w:rFonts w:hint="default" w:ascii="Times New Roman" w:hAnsi="Times New Roman" w:eastAsia="宋体" w:cs="Times New Roman"/>
          <w:color w:val="auto"/>
          <w:szCs w:val="24"/>
          <w:lang w:val="zh-CN" w:eastAsia="zh-CN"/>
        </w:rPr>
        <w:t>地下水环境》（HJ610-2016）</w:t>
      </w:r>
      <w:r>
        <w:rPr>
          <w:rFonts w:hint="default" w:ascii="Times New Roman" w:hAnsi="Times New Roman" w:eastAsia="宋体" w:cs="Times New Roman"/>
          <w:color w:val="auto"/>
          <w:szCs w:val="24"/>
          <w:lang w:val="en-US" w:eastAsia="zh-CN"/>
        </w:rPr>
        <w:t>、《地下水环境监测技术规范》（HJ164-2020）的要求，结合本项目实际情况，</w:t>
      </w:r>
      <w:r>
        <w:rPr>
          <w:rFonts w:hint="default" w:ascii="Times New Roman" w:hAnsi="Times New Roman" w:cs="Times New Roman"/>
          <w:color w:val="auto"/>
          <w:szCs w:val="24"/>
          <w:lang w:val="en-US" w:eastAsia="zh-CN"/>
        </w:rPr>
        <w:t>本项目将地下水上游项目北侧600m泉水点设置为对照点，</w:t>
      </w:r>
      <w:r>
        <w:rPr>
          <w:rFonts w:hint="default" w:ascii="Times New Roman" w:hAnsi="Times New Roman" w:cs="Times New Roman"/>
          <w:color w:val="auto"/>
          <w:szCs w:val="24"/>
        </w:rPr>
        <w:t>在项目区</w:t>
      </w:r>
      <w:r>
        <w:rPr>
          <w:rFonts w:hint="default" w:ascii="Times New Roman" w:hAnsi="Times New Roman" w:cs="Times New Roman"/>
          <w:color w:val="auto"/>
          <w:szCs w:val="24"/>
          <w:lang w:val="en-US" w:eastAsia="zh-CN"/>
        </w:rPr>
        <w:t>初期雨水收集池</w:t>
      </w:r>
      <w:r>
        <w:rPr>
          <w:rFonts w:hint="default" w:ascii="Times New Roman" w:hAnsi="Times New Roman" w:cs="Times New Roman"/>
          <w:color w:val="auto"/>
          <w:szCs w:val="24"/>
        </w:rPr>
        <w:t>下游</w:t>
      </w:r>
      <w:r>
        <w:rPr>
          <w:rFonts w:hint="default" w:ascii="Times New Roman" w:hAnsi="Times New Roman" w:cs="Times New Roman"/>
          <w:color w:val="auto"/>
          <w:szCs w:val="24"/>
          <w:lang w:val="en-US" w:eastAsia="zh-CN"/>
        </w:rPr>
        <w:t>10m</w:t>
      </w:r>
      <w:r>
        <w:rPr>
          <w:rFonts w:hint="default" w:ascii="Times New Roman" w:hAnsi="Times New Roman" w:cs="Times New Roman"/>
          <w:color w:val="auto"/>
          <w:szCs w:val="24"/>
        </w:rPr>
        <w:t>设置</w:t>
      </w:r>
      <w:r>
        <w:rPr>
          <w:rFonts w:hint="default" w:ascii="Times New Roman" w:hAnsi="Times New Roman" w:cs="Times New Roman"/>
          <w:color w:val="auto"/>
          <w:szCs w:val="24"/>
          <w:lang w:val="en-US" w:eastAsia="zh-CN"/>
        </w:rPr>
        <w:t>为</w:t>
      </w:r>
      <w:r>
        <w:rPr>
          <w:rFonts w:hint="default" w:ascii="Times New Roman" w:hAnsi="Times New Roman" w:cs="Times New Roman"/>
          <w:color w:val="auto"/>
          <w:szCs w:val="24"/>
        </w:rPr>
        <w:t>地下水跟踪监测点，</w:t>
      </w:r>
      <w:r>
        <w:rPr>
          <w:rFonts w:hint="default" w:ascii="Times New Roman" w:hAnsi="Times New Roman" w:cs="Times New Roman"/>
          <w:color w:val="auto"/>
          <w:sz w:val="24"/>
          <w:highlight w:val="none"/>
        </w:rPr>
        <w:t>鲁奎山铁矿1580m中段坑道地下水出水点</w:t>
      </w:r>
      <w:r>
        <w:rPr>
          <w:rFonts w:hint="default" w:ascii="Times New Roman" w:hAnsi="Times New Roman" w:cs="Times New Roman"/>
          <w:color w:val="auto"/>
          <w:sz w:val="24"/>
          <w:highlight w:val="none"/>
          <w:lang w:val="en-US" w:eastAsia="zh-CN"/>
        </w:rPr>
        <w:t>作为项目的污染扩散监测点，</w:t>
      </w:r>
      <w:r>
        <w:rPr>
          <w:rFonts w:hint="default" w:ascii="Times New Roman" w:hAnsi="Times New Roman" w:cs="Times New Roman"/>
          <w:color w:val="auto"/>
          <w:szCs w:val="24"/>
        </w:rPr>
        <w:t>每年监测一次。</w:t>
      </w:r>
    </w:p>
    <w:p w14:paraId="753B47A8">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本项目监测井设置应符合《地下水环境监测技术规范》（HJ164-2020）中5.1节环境监测井建设相关要求；可以选用已有的民井和生产井或泉点作为地下水监测点，但须满足《地下水环境监测技术规范》（HJ164-2020）中5.2节现有地下水井的筛选要求。</w:t>
      </w:r>
    </w:p>
    <w:p w14:paraId="7C2F3E9E">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项目区地下水下游跟踪监测点设置相关参数如下表所示。</w:t>
      </w:r>
    </w:p>
    <w:p w14:paraId="4F5BA272">
      <w:pPr>
        <w:jc w:val="center"/>
        <w:rPr>
          <w:rFonts w:hint="default" w:ascii="Times New Roman" w:hAnsi="Times New Roman" w:cs="Times New Roman"/>
          <w:b/>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7</w:t>
      </w:r>
      <w:r>
        <w:rPr>
          <w:rFonts w:hint="default" w:ascii="Times New Roman" w:hAnsi="Times New Roman" w:eastAsia="黑体" w:cs="Times New Roman"/>
          <w:b w:val="0"/>
          <w:bCs/>
          <w:sz w:val="21"/>
          <w:szCs w:val="21"/>
        </w:rPr>
        <w:t>.2</w:t>
      </w:r>
      <w:r>
        <w:rPr>
          <w:rFonts w:hint="default" w:ascii="Times New Roman" w:hAnsi="Times New Roman" w:eastAsia="黑体" w:cs="Times New Roman"/>
          <w:b w:val="0"/>
          <w:bCs/>
          <w:sz w:val="21"/>
          <w:szCs w:val="21"/>
          <w:lang w:val="en-US" w:eastAsia="zh-CN"/>
        </w:rPr>
        <w:t>.4</w:t>
      </w:r>
      <w:r>
        <w:rPr>
          <w:rFonts w:hint="default" w:ascii="Times New Roman" w:hAnsi="Times New Roman" w:eastAsia="黑体" w:cs="Times New Roman"/>
          <w:b w:val="0"/>
          <w:bCs/>
          <w:sz w:val="21"/>
          <w:szCs w:val="21"/>
        </w:rPr>
        <w:t>-</w:t>
      </w:r>
      <w:r>
        <w:rPr>
          <w:rFonts w:hint="default" w:ascii="Times New Roman" w:hAnsi="Times New Roman" w:eastAsia="黑体" w:cs="Times New Roman"/>
          <w:b w:val="0"/>
          <w:bCs/>
          <w:sz w:val="21"/>
          <w:szCs w:val="21"/>
          <w:lang w:val="en-US" w:eastAsia="zh-CN"/>
        </w:rPr>
        <w:t>1</w:t>
      </w:r>
      <w:r>
        <w:rPr>
          <w:rFonts w:hint="default" w:ascii="Times New Roman" w:hAnsi="Times New Roman" w:eastAsia="黑体" w:cs="Times New Roman"/>
          <w:b w:val="0"/>
          <w:bCs/>
          <w:sz w:val="21"/>
          <w:szCs w:val="21"/>
        </w:rPr>
        <w:t xml:space="preserve">  本项目地下水跟踪监测点设置相关参数</w:t>
      </w:r>
    </w:p>
    <w:tbl>
      <w:tblPr>
        <w:tblStyle w:val="30"/>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1281"/>
        <w:gridCol w:w="2901"/>
        <w:gridCol w:w="2626"/>
        <w:gridCol w:w="1281"/>
        <w:gridCol w:w="1192"/>
      </w:tblGrid>
      <w:tr w14:paraId="203113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690" w:type="pct"/>
            <w:tcBorders>
              <w:tl2br w:val="nil"/>
              <w:tr2bl w:val="nil"/>
            </w:tcBorders>
            <w:vAlign w:val="center"/>
          </w:tcPr>
          <w:p w14:paraId="324A02AF">
            <w:pPr>
              <w:adjustRightInd w:val="0"/>
              <w:spacing w:line="240" w:lineRule="auto"/>
              <w:jc w:val="center"/>
              <w:rPr>
                <w:rFonts w:hint="default" w:ascii="Times New Roman" w:hAnsi="Times New Roman" w:cs="Times New Roman"/>
                <w:kern w:val="24"/>
                <w:sz w:val="18"/>
                <w:szCs w:val="18"/>
              </w:rPr>
            </w:pPr>
            <w:r>
              <w:rPr>
                <w:rFonts w:hint="default" w:ascii="Times New Roman" w:hAnsi="Times New Roman" w:cs="Times New Roman"/>
                <w:kern w:val="24"/>
                <w:sz w:val="18"/>
                <w:szCs w:val="18"/>
              </w:rPr>
              <w:t>点位</w:t>
            </w:r>
          </w:p>
        </w:tc>
        <w:tc>
          <w:tcPr>
            <w:tcW w:w="1562" w:type="pct"/>
            <w:tcBorders>
              <w:tl2br w:val="nil"/>
              <w:tr2bl w:val="nil"/>
            </w:tcBorders>
            <w:vAlign w:val="center"/>
          </w:tcPr>
          <w:p w14:paraId="58DA62AA">
            <w:pPr>
              <w:adjustRightInd w:val="0"/>
              <w:spacing w:line="240" w:lineRule="auto"/>
              <w:jc w:val="center"/>
              <w:rPr>
                <w:rFonts w:hint="default" w:ascii="Times New Roman" w:hAnsi="Times New Roman" w:cs="Times New Roman"/>
                <w:kern w:val="24"/>
                <w:sz w:val="18"/>
                <w:szCs w:val="18"/>
              </w:rPr>
            </w:pPr>
            <w:r>
              <w:rPr>
                <w:rFonts w:hint="default" w:ascii="Times New Roman" w:hAnsi="Times New Roman" w:cs="Times New Roman"/>
                <w:kern w:val="24"/>
                <w:sz w:val="18"/>
                <w:szCs w:val="18"/>
              </w:rPr>
              <w:t>与建设项目的位置关系</w:t>
            </w:r>
          </w:p>
        </w:tc>
        <w:tc>
          <w:tcPr>
            <w:tcW w:w="1414" w:type="pct"/>
            <w:tcBorders>
              <w:tl2br w:val="nil"/>
              <w:tr2bl w:val="nil"/>
            </w:tcBorders>
            <w:vAlign w:val="center"/>
          </w:tcPr>
          <w:p w14:paraId="5D0E6F1C">
            <w:pPr>
              <w:adjustRightInd w:val="0"/>
              <w:spacing w:line="240" w:lineRule="auto"/>
              <w:jc w:val="center"/>
              <w:rPr>
                <w:rFonts w:hint="default" w:ascii="Times New Roman" w:hAnsi="Times New Roman" w:cs="Times New Roman"/>
                <w:kern w:val="24"/>
                <w:sz w:val="18"/>
                <w:szCs w:val="18"/>
              </w:rPr>
            </w:pPr>
            <w:r>
              <w:rPr>
                <w:rFonts w:hint="default" w:ascii="Times New Roman" w:hAnsi="Times New Roman" w:cs="Times New Roman"/>
                <w:kern w:val="24"/>
                <w:sz w:val="18"/>
                <w:szCs w:val="18"/>
              </w:rPr>
              <w:t>坐标</w:t>
            </w:r>
          </w:p>
        </w:tc>
        <w:tc>
          <w:tcPr>
            <w:tcW w:w="690" w:type="pct"/>
            <w:tcBorders>
              <w:tl2br w:val="nil"/>
              <w:tr2bl w:val="nil"/>
            </w:tcBorders>
            <w:vAlign w:val="center"/>
          </w:tcPr>
          <w:p w14:paraId="0C297F86">
            <w:pPr>
              <w:adjustRightInd w:val="0"/>
              <w:spacing w:line="240" w:lineRule="auto"/>
              <w:jc w:val="center"/>
              <w:rPr>
                <w:rFonts w:hint="default" w:ascii="Times New Roman" w:hAnsi="Times New Roman" w:cs="Times New Roman"/>
                <w:kern w:val="24"/>
                <w:sz w:val="18"/>
                <w:szCs w:val="18"/>
              </w:rPr>
            </w:pPr>
            <w:r>
              <w:rPr>
                <w:rFonts w:hint="default" w:ascii="Times New Roman" w:hAnsi="Times New Roman" w:cs="Times New Roman"/>
                <w:kern w:val="24"/>
                <w:sz w:val="18"/>
                <w:szCs w:val="18"/>
              </w:rPr>
              <w:t>监测因子</w:t>
            </w:r>
          </w:p>
        </w:tc>
        <w:tc>
          <w:tcPr>
            <w:tcW w:w="642" w:type="pct"/>
            <w:tcBorders>
              <w:tl2br w:val="nil"/>
              <w:tr2bl w:val="nil"/>
            </w:tcBorders>
            <w:vAlign w:val="center"/>
          </w:tcPr>
          <w:p w14:paraId="273E9797">
            <w:pPr>
              <w:adjustRightInd w:val="0"/>
              <w:spacing w:line="240" w:lineRule="auto"/>
              <w:jc w:val="center"/>
              <w:rPr>
                <w:rFonts w:hint="default" w:ascii="Times New Roman" w:hAnsi="Times New Roman" w:cs="Times New Roman"/>
                <w:kern w:val="24"/>
                <w:sz w:val="18"/>
                <w:szCs w:val="18"/>
              </w:rPr>
            </w:pPr>
            <w:r>
              <w:rPr>
                <w:rFonts w:hint="default" w:ascii="Times New Roman" w:hAnsi="Times New Roman" w:cs="Times New Roman"/>
                <w:kern w:val="24"/>
                <w:sz w:val="18"/>
                <w:szCs w:val="18"/>
              </w:rPr>
              <w:t>监测频率</w:t>
            </w:r>
          </w:p>
        </w:tc>
      </w:tr>
      <w:tr w14:paraId="10DC7F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690" w:type="pct"/>
            <w:tcBorders>
              <w:tl2br w:val="nil"/>
              <w:tr2bl w:val="nil"/>
            </w:tcBorders>
            <w:vAlign w:val="center"/>
          </w:tcPr>
          <w:p w14:paraId="2B3251F1">
            <w:pPr>
              <w:adjustRightInd w:val="0"/>
              <w:spacing w:line="240" w:lineRule="auto"/>
              <w:jc w:val="center"/>
              <w:rPr>
                <w:rFonts w:hint="default" w:ascii="Times New Roman" w:hAnsi="Times New Roman" w:cs="Times New Roman"/>
                <w:color w:val="auto"/>
                <w:kern w:val="24"/>
                <w:sz w:val="18"/>
                <w:szCs w:val="18"/>
              </w:rPr>
            </w:pPr>
            <w:r>
              <w:rPr>
                <w:rFonts w:hint="default" w:ascii="Times New Roman" w:hAnsi="Times New Roman" w:cs="Times New Roman"/>
                <w:color w:val="auto"/>
                <w:kern w:val="24"/>
                <w:sz w:val="18"/>
                <w:szCs w:val="18"/>
              </w:rPr>
              <w:t>地下水跟踪监测点</w:t>
            </w:r>
          </w:p>
        </w:tc>
        <w:tc>
          <w:tcPr>
            <w:tcW w:w="1562" w:type="pct"/>
            <w:tcBorders>
              <w:tl2br w:val="nil"/>
              <w:tr2bl w:val="nil"/>
            </w:tcBorders>
            <w:vAlign w:val="center"/>
          </w:tcPr>
          <w:p w14:paraId="6613116B">
            <w:pPr>
              <w:adjustRightInd w:val="0"/>
              <w:spacing w:line="240" w:lineRule="auto"/>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cs="Times New Roman"/>
                <w:color w:val="auto"/>
                <w:kern w:val="24"/>
                <w:sz w:val="18"/>
                <w:szCs w:val="18"/>
              </w:rPr>
              <w:t>项目区</w:t>
            </w:r>
            <w:r>
              <w:rPr>
                <w:rFonts w:hint="default" w:ascii="Times New Roman" w:hAnsi="Times New Roman" w:cs="Times New Roman"/>
                <w:color w:val="auto"/>
                <w:kern w:val="24"/>
                <w:sz w:val="18"/>
                <w:szCs w:val="18"/>
                <w:lang w:val="en-US" w:eastAsia="zh-CN"/>
              </w:rPr>
              <w:t>初期雨水收集池</w:t>
            </w:r>
            <w:r>
              <w:rPr>
                <w:rFonts w:hint="default" w:ascii="Times New Roman" w:hAnsi="Times New Roman" w:cs="Times New Roman"/>
                <w:color w:val="auto"/>
                <w:kern w:val="24"/>
                <w:sz w:val="18"/>
                <w:szCs w:val="18"/>
              </w:rPr>
              <w:t>下游</w:t>
            </w:r>
            <w:r>
              <w:rPr>
                <w:rFonts w:hint="default" w:ascii="Times New Roman" w:hAnsi="Times New Roman" w:cs="Times New Roman"/>
                <w:color w:val="auto"/>
                <w:kern w:val="24"/>
                <w:sz w:val="18"/>
                <w:szCs w:val="18"/>
                <w:lang w:val="en-US" w:eastAsia="zh-CN"/>
              </w:rPr>
              <w:t>10m</w:t>
            </w:r>
          </w:p>
        </w:tc>
        <w:tc>
          <w:tcPr>
            <w:tcW w:w="1414" w:type="pct"/>
            <w:tcBorders>
              <w:tl2br w:val="nil"/>
              <w:tr2bl w:val="nil"/>
            </w:tcBorders>
            <w:vAlign w:val="center"/>
          </w:tcPr>
          <w:p w14:paraId="67C89898">
            <w:pPr>
              <w:adjustRightInd w:val="0"/>
              <w:spacing w:line="240" w:lineRule="auto"/>
              <w:jc w:val="center"/>
              <w:rPr>
                <w:rFonts w:hint="default" w:ascii="Times New Roman" w:hAnsi="Times New Roman" w:cs="Times New Roman"/>
                <w:color w:val="auto"/>
                <w:kern w:val="24"/>
                <w:sz w:val="18"/>
                <w:szCs w:val="18"/>
              </w:rPr>
            </w:pPr>
            <w:r>
              <w:rPr>
                <w:rFonts w:hint="default" w:ascii="Times New Roman" w:hAnsi="Times New Roman" w:cs="Times New Roman"/>
                <w:color w:val="auto"/>
                <w:kern w:val="24"/>
                <w:sz w:val="18"/>
                <w:szCs w:val="18"/>
              </w:rPr>
              <w:t>102.196607,23.958296</w:t>
            </w:r>
          </w:p>
        </w:tc>
        <w:tc>
          <w:tcPr>
            <w:tcW w:w="690" w:type="pct"/>
            <w:vMerge w:val="restart"/>
            <w:tcBorders>
              <w:tl2br w:val="nil"/>
              <w:tr2bl w:val="nil"/>
            </w:tcBorders>
            <w:vAlign w:val="center"/>
          </w:tcPr>
          <w:p w14:paraId="26280081">
            <w:pPr>
              <w:adjustRightInd w:val="0"/>
              <w:spacing w:line="240" w:lineRule="auto"/>
              <w:jc w:val="center"/>
              <w:rPr>
                <w:rFonts w:hint="default" w:ascii="Times New Roman" w:hAnsi="Times New Roman" w:eastAsia="宋体" w:cs="Times New Roman"/>
                <w:kern w:val="24"/>
                <w:sz w:val="18"/>
                <w:szCs w:val="18"/>
                <w:lang w:val="en-US" w:eastAsia="zh-CN"/>
              </w:rPr>
            </w:pPr>
            <w:r>
              <w:rPr>
                <w:rFonts w:hint="default" w:ascii="Times New Roman" w:hAnsi="Times New Roman" w:cs="Times New Roman"/>
                <w:color w:val="auto"/>
                <w:kern w:val="24"/>
                <w:sz w:val="18"/>
                <w:szCs w:val="18"/>
                <w:lang w:val="en-US" w:eastAsia="zh-CN"/>
              </w:rPr>
              <w:t>Fe、Mn、Pb、Zn、Cu、As、耗氧量</w:t>
            </w:r>
          </w:p>
        </w:tc>
        <w:tc>
          <w:tcPr>
            <w:tcW w:w="642" w:type="pct"/>
            <w:vMerge w:val="restart"/>
            <w:tcBorders>
              <w:tl2br w:val="nil"/>
              <w:tr2bl w:val="nil"/>
            </w:tcBorders>
            <w:vAlign w:val="center"/>
          </w:tcPr>
          <w:p w14:paraId="2BAB716D">
            <w:pPr>
              <w:adjustRightInd w:val="0"/>
              <w:spacing w:line="240" w:lineRule="auto"/>
              <w:jc w:val="center"/>
              <w:rPr>
                <w:rFonts w:hint="default" w:ascii="Times New Roman" w:hAnsi="Times New Roman" w:cs="Times New Roman"/>
                <w:kern w:val="24"/>
                <w:sz w:val="18"/>
                <w:szCs w:val="18"/>
              </w:rPr>
            </w:pPr>
            <w:r>
              <w:rPr>
                <w:rFonts w:hint="default" w:ascii="Times New Roman" w:hAnsi="Times New Roman" w:cs="Times New Roman"/>
                <w:kern w:val="24"/>
                <w:sz w:val="18"/>
                <w:szCs w:val="18"/>
              </w:rPr>
              <w:t>1次/年</w:t>
            </w:r>
          </w:p>
        </w:tc>
      </w:tr>
      <w:tr w14:paraId="44C5CB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690" w:type="pct"/>
            <w:tcBorders>
              <w:tl2br w:val="nil"/>
              <w:tr2bl w:val="nil"/>
            </w:tcBorders>
            <w:vAlign w:val="center"/>
          </w:tcPr>
          <w:p w14:paraId="11D45AD3">
            <w:pPr>
              <w:adjustRightInd w:val="0"/>
              <w:spacing w:line="240" w:lineRule="auto"/>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cs="Times New Roman"/>
                <w:color w:val="auto"/>
                <w:kern w:val="24"/>
                <w:sz w:val="18"/>
                <w:szCs w:val="18"/>
                <w:lang w:val="en-US" w:eastAsia="zh-CN"/>
              </w:rPr>
              <w:t>地下水上游对照点</w:t>
            </w:r>
          </w:p>
        </w:tc>
        <w:tc>
          <w:tcPr>
            <w:tcW w:w="1562" w:type="pct"/>
            <w:tcBorders>
              <w:tl2br w:val="nil"/>
              <w:tr2bl w:val="nil"/>
            </w:tcBorders>
            <w:vAlign w:val="center"/>
          </w:tcPr>
          <w:p w14:paraId="73BE4F06">
            <w:pPr>
              <w:adjustRightInd w:val="0"/>
              <w:spacing w:line="240" w:lineRule="auto"/>
              <w:jc w:val="center"/>
              <w:rPr>
                <w:rFonts w:hint="default" w:ascii="Times New Roman" w:hAnsi="Times New Roman" w:cs="Times New Roman"/>
                <w:color w:val="auto"/>
                <w:kern w:val="24"/>
                <w:sz w:val="18"/>
                <w:szCs w:val="18"/>
              </w:rPr>
            </w:pPr>
            <w:r>
              <w:rPr>
                <w:rFonts w:hint="default" w:ascii="Times New Roman" w:hAnsi="Times New Roman" w:cs="Times New Roman" w:eastAsiaTheme="minorEastAsia"/>
                <w:color w:val="auto"/>
                <w:sz w:val="18"/>
                <w:szCs w:val="18"/>
                <w:lang w:val="en-US" w:eastAsia="zh-CN"/>
              </w:rPr>
              <w:t>地下水上游</w:t>
            </w:r>
            <w:r>
              <w:rPr>
                <w:rFonts w:hint="default" w:ascii="Times New Roman" w:hAnsi="Times New Roman" w:cs="Times New Roman" w:eastAsiaTheme="minorEastAsia"/>
                <w:color w:val="auto"/>
                <w:sz w:val="18"/>
                <w:szCs w:val="18"/>
              </w:rPr>
              <w:t>项目北侧</w:t>
            </w:r>
            <w:r>
              <w:rPr>
                <w:rFonts w:hint="default" w:ascii="Times New Roman" w:hAnsi="Times New Roman" w:cs="Times New Roman" w:eastAsiaTheme="minorEastAsia"/>
                <w:color w:val="auto"/>
                <w:sz w:val="18"/>
                <w:szCs w:val="18"/>
                <w:lang w:val="en-US" w:eastAsia="zh-CN"/>
              </w:rPr>
              <w:t>600</w:t>
            </w:r>
            <w:r>
              <w:rPr>
                <w:rFonts w:hint="default" w:ascii="Times New Roman" w:hAnsi="Times New Roman" w:cs="Times New Roman" w:eastAsiaTheme="minorEastAsia"/>
                <w:color w:val="auto"/>
                <w:sz w:val="18"/>
                <w:szCs w:val="18"/>
              </w:rPr>
              <w:t>m</w:t>
            </w:r>
          </w:p>
        </w:tc>
        <w:tc>
          <w:tcPr>
            <w:tcW w:w="1414" w:type="pct"/>
            <w:tcBorders>
              <w:tl2br w:val="nil"/>
              <w:tr2bl w:val="nil"/>
            </w:tcBorders>
            <w:vAlign w:val="center"/>
          </w:tcPr>
          <w:p w14:paraId="40C2E441">
            <w:pPr>
              <w:pStyle w:val="61"/>
              <w:snapToGrid/>
              <w:spacing w:beforeLines="0" w:afterLines="0" w:line="240" w:lineRule="auto"/>
              <w:ind w:left="0" w:leftChars="0" w:firstLine="0" w:firstLineChars="0"/>
              <w:jc w:val="center"/>
              <w:rPr>
                <w:rFonts w:hint="default" w:ascii="Times New Roman" w:hAnsi="Times New Roman" w:eastAsia="仿宋_GB2312" w:cs="Times New Roman"/>
                <w:color w:val="auto"/>
                <w:kern w:val="24"/>
                <w:sz w:val="18"/>
                <w:szCs w:val="18"/>
                <w:lang w:eastAsia="zh-CN"/>
              </w:rPr>
            </w:pPr>
            <w:r>
              <w:rPr>
                <w:rFonts w:hint="default" w:ascii="Times New Roman" w:hAnsi="Times New Roman" w:eastAsia="宋体" w:cs="Times New Roman"/>
                <w:b w:val="0"/>
                <w:bCs/>
                <w:iCs/>
                <w:color w:val="auto"/>
                <w:kern w:val="2"/>
                <w:sz w:val="18"/>
                <w:szCs w:val="18"/>
                <w:lang w:eastAsia="zh-CN"/>
              </w:rPr>
              <w:t>102.195176</w:t>
            </w:r>
            <w:r>
              <w:rPr>
                <w:rFonts w:hint="default" w:ascii="Times New Roman" w:hAnsi="Times New Roman" w:cs="Times New Roman" w:eastAsiaTheme="minorEastAsia"/>
                <w:b w:val="0"/>
                <w:color w:val="auto"/>
                <w:kern w:val="2"/>
                <w:sz w:val="18"/>
                <w:szCs w:val="18"/>
                <w:lang w:val="en-US" w:eastAsia="zh-CN" w:bidi="ar-SA"/>
              </w:rPr>
              <w:t>；</w:t>
            </w:r>
            <w:r>
              <w:rPr>
                <w:rFonts w:hint="default" w:ascii="Times New Roman" w:hAnsi="Times New Roman" w:cs="Times New Roman" w:eastAsiaTheme="minorEastAsia"/>
                <w:b w:val="0"/>
                <w:bCs/>
                <w:iCs/>
                <w:color w:val="auto"/>
                <w:kern w:val="2"/>
                <w:sz w:val="18"/>
                <w:szCs w:val="18"/>
              </w:rPr>
              <w:t>23.963806</w:t>
            </w:r>
          </w:p>
        </w:tc>
        <w:tc>
          <w:tcPr>
            <w:tcW w:w="690" w:type="pct"/>
            <w:vMerge w:val="continue"/>
            <w:tcBorders>
              <w:tl2br w:val="nil"/>
              <w:tr2bl w:val="nil"/>
            </w:tcBorders>
            <w:vAlign w:val="center"/>
          </w:tcPr>
          <w:p w14:paraId="4D3CDC23">
            <w:pPr>
              <w:adjustRightInd w:val="0"/>
              <w:spacing w:line="240" w:lineRule="auto"/>
              <w:jc w:val="center"/>
              <w:rPr>
                <w:rFonts w:hint="default" w:ascii="Times New Roman" w:hAnsi="Times New Roman" w:cs="Times New Roman"/>
                <w:kern w:val="24"/>
                <w:sz w:val="18"/>
                <w:szCs w:val="18"/>
              </w:rPr>
            </w:pPr>
          </w:p>
        </w:tc>
        <w:tc>
          <w:tcPr>
            <w:tcW w:w="642" w:type="pct"/>
            <w:vMerge w:val="continue"/>
            <w:tcBorders>
              <w:tl2br w:val="nil"/>
              <w:tr2bl w:val="nil"/>
            </w:tcBorders>
            <w:vAlign w:val="center"/>
          </w:tcPr>
          <w:p w14:paraId="78C6702C">
            <w:pPr>
              <w:adjustRightInd w:val="0"/>
              <w:spacing w:line="240" w:lineRule="auto"/>
              <w:jc w:val="center"/>
              <w:rPr>
                <w:rFonts w:hint="default" w:ascii="Times New Roman" w:hAnsi="Times New Roman" w:cs="Times New Roman"/>
                <w:kern w:val="24"/>
                <w:sz w:val="18"/>
                <w:szCs w:val="18"/>
              </w:rPr>
            </w:pPr>
          </w:p>
        </w:tc>
      </w:tr>
      <w:tr w14:paraId="63B921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690" w:type="pct"/>
            <w:tcBorders>
              <w:tl2br w:val="nil"/>
              <w:tr2bl w:val="nil"/>
            </w:tcBorders>
            <w:vAlign w:val="center"/>
          </w:tcPr>
          <w:p w14:paraId="228976DA">
            <w:pPr>
              <w:adjustRightInd w:val="0"/>
              <w:spacing w:line="240" w:lineRule="auto"/>
              <w:jc w:val="center"/>
              <w:rPr>
                <w:rFonts w:hint="default" w:ascii="Times New Roman" w:hAnsi="Times New Roman" w:cs="Times New Roman"/>
                <w:color w:val="auto"/>
                <w:kern w:val="24"/>
                <w:sz w:val="18"/>
                <w:szCs w:val="18"/>
                <w:lang w:val="en-US" w:eastAsia="zh-CN"/>
              </w:rPr>
            </w:pPr>
            <w:r>
              <w:rPr>
                <w:rFonts w:hint="default" w:ascii="Times New Roman" w:hAnsi="Times New Roman" w:cs="Times New Roman"/>
                <w:color w:val="auto"/>
                <w:kern w:val="24"/>
                <w:sz w:val="18"/>
                <w:szCs w:val="18"/>
                <w:lang w:val="en-US" w:eastAsia="zh-CN"/>
              </w:rPr>
              <w:t>地下水污染扩散监测点</w:t>
            </w:r>
          </w:p>
        </w:tc>
        <w:tc>
          <w:tcPr>
            <w:tcW w:w="1562" w:type="pct"/>
            <w:tcBorders>
              <w:tl2br w:val="nil"/>
              <w:tr2bl w:val="nil"/>
            </w:tcBorders>
            <w:vAlign w:val="center"/>
          </w:tcPr>
          <w:p w14:paraId="7020FB51">
            <w:pPr>
              <w:adjustRightInd w:val="0"/>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eastAsia="宋体" w:cs="Times New Roman"/>
                <w:b w:val="0"/>
                <w:bCs/>
                <w:color w:val="auto"/>
                <w:sz w:val="18"/>
                <w:szCs w:val="18"/>
              </w:rPr>
              <w:t>项目</w:t>
            </w:r>
            <w:r>
              <w:rPr>
                <w:rFonts w:hint="default" w:ascii="Times New Roman" w:hAnsi="Times New Roman" w:eastAsia="宋体" w:cs="Times New Roman"/>
                <w:b w:val="0"/>
                <w:bCs/>
                <w:color w:val="auto"/>
                <w:sz w:val="18"/>
                <w:szCs w:val="18"/>
                <w:lang w:val="en-US" w:eastAsia="zh-CN"/>
              </w:rPr>
              <w:t>东</w:t>
            </w:r>
            <w:r>
              <w:rPr>
                <w:rFonts w:hint="default" w:ascii="Times New Roman" w:hAnsi="Times New Roman" w:eastAsia="宋体" w:cs="Times New Roman"/>
                <w:b w:val="0"/>
                <w:bCs/>
                <w:color w:val="auto"/>
                <w:sz w:val="18"/>
                <w:szCs w:val="18"/>
              </w:rPr>
              <w:t>南侧</w:t>
            </w:r>
            <w:r>
              <w:rPr>
                <w:rFonts w:hint="default" w:ascii="Times New Roman" w:hAnsi="Times New Roman" w:eastAsia="宋体" w:cs="Times New Roman"/>
                <w:b w:val="0"/>
                <w:bCs/>
                <w:color w:val="auto"/>
                <w:sz w:val="18"/>
                <w:szCs w:val="18"/>
                <w:lang w:val="en-US" w:eastAsia="zh-CN"/>
              </w:rPr>
              <w:t>700</w:t>
            </w:r>
            <w:r>
              <w:rPr>
                <w:rFonts w:hint="default" w:ascii="Times New Roman" w:hAnsi="Times New Roman" w:eastAsia="宋体" w:cs="Times New Roman"/>
                <w:b w:val="0"/>
                <w:bCs/>
                <w:color w:val="auto"/>
                <w:sz w:val="18"/>
                <w:szCs w:val="18"/>
              </w:rPr>
              <w:t>m</w:t>
            </w:r>
          </w:p>
        </w:tc>
        <w:tc>
          <w:tcPr>
            <w:tcW w:w="1414" w:type="pct"/>
            <w:tcBorders>
              <w:tl2br w:val="nil"/>
              <w:tr2bl w:val="nil"/>
            </w:tcBorders>
            <w:vAlign w:val="center"/>
          </w:tcPr>
          <w:p w14:paraId="6FA8406B">
            <w:pPr>
              <w:pStyle w:val="61"/>
              <w:snapToGrid/>
              <w:spacing w:beforeLines="0" w:afterLines="0" w:line="240" w:lineRule="auto"/>
              <w:ind w:left="0" w:leftChars="0" w:firstLine="0" w:firstLineChars="0"/>
              <w:jc w:val="center"/>
              <w:rPr>
                <w:rFonts w:hint="default" w:ascii="Times New Roman" w:hAnsi="Times New Roman" w:eastAsia="宋体" w:cs="Times New Roman"/>
                <w:b w:val="0"/>
                <w:bCs/>
                <w:iCs/>
                <w:color w:val="auto"/>
                <w:kern w:val="2"/>
                <w:sz w:val="18"/>
                <w:szCs w:val="18"/>
                <w:lang w:eastAsia="zh-CN"/>
              </w:rPr>
            </w:pPr>
            <w:r>
              <w:rPr>
                <w:rFonts w:hint="default" w:ascii="Times New Roman" w:hAnsi="Times New Roman" w:eastAsia="宋体" w:cs="Times New Roman"/>
                <w:b w:val="0"/>
                <w:bCs/>
                <w:iCs/>
                <w:color w:val="auto"/>
                <w:kern w:val="2"/>
                <w:sz w:val="18"/>
                <w:szCs w:val="18"/>
              </w:rPr>
              <w:t>102.202848</w:t>
            </w:r>
            <w:r>
              <w:rPr>
                <w:rFonts w:hint="default" w:ascii="Times New Roman" w:hAnsi="Times New Roman" w:eastAsia="宋体" w:cs="Times New Roman"/>
                <w:b w:val="0"/>
                <w:bCs/>
                <w:iCs/>
                <w:color w:val="auto"/>
                <w:kern w:val="2"/>
                <w:sz w:val="18"/>
                <w:szCs w:val="18"/>
                <w:lang w:eastAsia="zh-CN"/>
              </w:rPr>
              <w:t>；</w:t>
            </w:r>
            <w:r>
              <w:rPr>
                <w:rFonts w:hint="default" w:ascii="Times New Roman" w:hAnsi="Times New Roman" w:eastAsia="宋体" w:cs="Times New Roman"/>
                <w:b w:val="0"/>
                <w:bCs/>
                <w:iCs/>
                <w:color w:val="auto"/>
                <w:kern w:val="2"/>
                <w:sz w:val="18"/>
                <w:szCs w:val="18"/>
              </w:rPr>
              <w:t>23.953516</w:t>
            </w:r>
          </w:p>
        </w:tc>
        <w:tc>
          <w:tcPr>
            <w:tcW w:w="690" w:type="pct"/>
            <w:vMerge w:val="continue"/>
            <w:tcBorders>
              <w:tl2br w:val="nil"/>
              <w:tr2bl w:val="nil"/>
            </w:tcBorders>
            <w:vAlign w:val="center"/>
          </w:tcPr>
          <w:p w14:paraId="3759E0C2">
            <w:pPr>
              <w:pStyle w:val="61"/>
              <w:snapToGrid/>
              <w:spacing w:beforeLines="0" w:afterLines="0" w:line="240" w:lineRule="auto"/>
              <w:ind w:left="0" w:leftChars="0" w:firstLine="0" w:firstLineChars="0"/>
              <w:jc w:val="both"/>
              <w:rPr>
                <w:rFonts w:hint="default" w:ascii="Times New Roman" w:hAnsi="Times New Roman" w:cs="Times New Roman"/>
                <w:kern w:val="24"/>
                <w:sz w:val="18"/>
                <w:szCs w:val="18"/>
              </w:rPr>
            </w:pPr>
          </w:p>
        </w:tc>
        <w:tc>
          <w:tcPr>
            <w:tcW w:w="642" w:type="pct"/>
            <w:vMerge w:val="continue"/>
            <w:tcBorders>
              <w:tl2br w:val="nil"/>
              <w:tr2bl w:val="nil"/>
            </w:tcBorders>
            <w:vAlign w:val="center"/>
          </w:tcPr>
          <w:p w14:paraId="119EBE66">
            <w:pPr>
              <w:adjustRightInd w:val="0"/>
              <w:spacing w:line="240" w:lineRule="auto"/>
              <w:jc w:val="center"/>
              <w:rPr>
                <w:rFonts w:hint="default" w:ascii="Times New Roman" w:hAnsi="Times New Roman" w:cs="Times New Roman"/>
                <w:kern w:val="24"/>
                <w:sz w:val="18"/>
                <w:szCs w:val="18"/>
              </w:rPr>
            </w:pPr>
          </w:p>
        </w:tc>
      </w:tr>
    </w:tbl>
    <w:p w14:paraId="0AEE7F93">
      <w:pPr>
        <w:ind w:firstLine="490" w:firstLineChars="200"/>
        <w:rPr>
          <w:rFonts w:hint="default" w:ascii="Times New Roman" w:hAnsi="Times New Roman" w:cs="Times New Roman"/>
          <w:szCs w:val="24"/>
        </w:rPr>
      </w:pPr>
    </w:p>
    <w:p w14:paraId="65BB520D">
      <w:pPr>
        <w:spacing w:line="360" w:lineRule="auto"/>
        <w:ind w:firstLine="490" w:firstLineChars="200"/>
        <w:rPr>
          <w:rFonts w:hint="default" w:ascii="Times New Roman" w:hAnsi="Times New Roman" w:cs="Times New Roman"/>
        </w:rPr>
      </w:pPr>
      <w:r>
        <w:rPr>
          <w:rFonts w:hint="default" w:ascii="Times New Roman" w:hAnsi="Times New Roman" w:cs="Times New Roman"/>
          <w:szCs w:val="24"/>
        </w:rPr>
        <w:t>在采取以上措施后，可达到《环境影响评价技术导则 地下水环境》（HJ610-2016）分区防渗的基本要求，并能较好地防止本项目对地下水环境产生较大影响，措施合理可行。</w:t>
      </w:r>
    </w:p>
    <w:p w14:paraId="2145D39A">
      <w:pPr>
        <w:pStyle w:val="6"/>
        <w:bidi w:val="0"/>
        <w:rPr>
          <w:rFonts w:hint="default" w:ascii="Times New Roman" w:hAnsi="Times New Roman" w:cs="Times New Roman"/>
        </w:rPr>
      </w:pPr>
      <w:bookmarkStart w:id="607" w:name="_Toc29477"/>
      <w:bookmarkStart w:id="608" w:name="_Toc165816794"/>
      <w:r>
        <w:rPr>
          <w:rFonts w:hint="default" w:ascii="Times New Roman" w:hAnsi="Times New Roman" w:cs="Times New Roman"/>
          <w:lang w:val="en-US" w:eastAsia="zh-CN"/>
        </w:rPr>
        <w:t>7</w:t>
      </w:r>
      <w:r>
        <w:rPr>
          <w:rFonts w:hint="default" w:ascii="Times New Roman" w:hAnsi="Times New Roman" w:cs="Times New Roman"/>
        </w:rPr>
        <w:t>.2.</w:t>
      </w:r>
      <w:r>
        <w:rPr>
          <w:rFonts w:hint="default" w:ascii="Times New Roman" w:hAnsi="Times New Roman" w:cs="Times New Roman"/>
          <w:lang w:val="en-US" w:eastAsia="zh-CN"/>
        </w:rPr>
        <w:t>5</w:t>
      </w:r>
      <w:r>
        <w:rPr>
          <w:rFonts w:hint="default" w:ascii="Times New Roman" w:hAnsi="Times New Roman" w:cs="Times New Roman"/>
        </w:rPr>
        <w:t>土壤污染防治措施及可行性分析</w:t>
      </w:r>
      <w:bookmarkEnd w:id="607"/>
      <w:bookmarkEnd w:id="608"/>
    </w:p>
    <w:p w14:paraId="69ED2ACB">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根据按照《环境影响评价技术导则  土壤环境（试行）》(HJ964-2018)，土壤污染防治措施分为源头控制和过程控制及跟踪监测。</w:t>
      </w:r>
    </w:p>
    <w:p w14:paraId="24A58707">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1、</w:t>
      </w:r>
      <w:r>
        <w:rPr>
          <w:rFonts w:hint="default" w:ascii="Times New Roman" w:hAnsi="Times New Roman" w:cs="Times New Roman"/>
        </w:rPr>
        <w:t>源头控制措施</w:t>
      </w:r>
    </w:p>
    <w:p w14:paraId="3B47C04A">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项目属于污染影响型建设项目，污染物可能通过废污水或有毒有害液体泄漏进入土壤、大气污染物通过大气沉降进入土壤，因此，为避免土壤污染，严格控制土壤污染源头，具体如下：</w:t>
      </w:r>
    </w:p>
    <w:p w14:paraId="2D8CFA5A">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（1）泄漏污染土壤的源头控制措施</w:t>
      </w:r>
    </w:p>
    <w:p w14:paraId="13F9983B">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依据厂区可能发生渗漏的区域的污染物性质和生产单元的构筑方式，结合厂区地质和水文地质条件，根据《环境影响评价技术导则-地下水环境》（HJ610-2016），</w:t>
      </w:r>
      <w:r>
        <w:rPr>
          <w:rFonts w:hint="default" w:ascii="Times New Roman" w:hAnsi="Times New Roman" w:cs="Times New Roman"/>
        </w:rPr>
        <w:t>本项目按照分区防控的要求，将厂区分为重点防渗区、一般防渗区和简单防渗区，不同的分区采取相应的防渗措施。</w:t>
      </w:r>
      <w:r>
        <w:rPr>
          <w:rFonts w:hint="default" w:ascii="Times New Roman" w:hAnsi="Times New Roman" w:cs="Times New Roman"/>
          <w:szCs w:val="24"/>
        </w:rPr>
        <w:t>危废暂存间划分为重点防渗区；</w:t>
      </w:r>
      <w:r>
        <w:rPr>
          <w:rFonts w:hint="default" w:ascii="Times New Roman" w:hAnsi="Times New Roman" w:cs="Times New Roman"/>
          <w:szCs w:val="24"/>
          <w:lang w:val="en-US" w:eastAsia="zh-CN"/>
        </w:rPr>
        <w:t>生产区域、原料及成品堆场、</w:t>
      </w:r>
      <w:r>
        <w:rPr>
          <w:rFonts w:hint="default" w:ascii="Times New Roman" w:hAnsi="Times New Roman" w:cs="Times New Roman"/>
          <w:szCs w:val="21"/>
        </w:rPr>
        <w:t>初期雨水收集池</w:t>
      </w:r>
      <w:r>
        <w:rPr>
          <w:rFonts w:hint="default" w:ascii="Times New Roman" w:hAnsi="Times New Roman" w:cs="Times New Roman"/>
          <w:szCs w:val="24"/>
        </w:rPr>
        <w:t>划分为一般防渗区；</w:t>
      </w:r>
      <w:r>
        <w:rPr>
          <w:rFonts w:hint="default" w:ascii="Times New Roman" w:hAnsi="Times New Roman" w:cs="Times New Roman"/>
          <w:szCs w:val="24"/>
          <w:lang w:val="en-US" w:eastAsia="zh-CN"/>
        </w:rPr>
        <w:t>办公生活区</w:t>
      </w:r>
      <w:r>
        <w:rPr>
          <w:rFonts w:hint="default" w:ascii="Times New Roman" w:hAnsi="Times New Roman" w:cs="Times New Roman"/>
          <w:szCs w:val="24"/>
        </w:rPr>
        <w:t>划分为简单防渗区。从源头控制正常生产过程中废污水跑冒滴漏对土壤的污染。</w:t>
      </w:r>
    </w:p>
    <w:p w14:paraId="36A83A46">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（2）大气沉降污染土壤的源头控制措施</w:t>
      </w:r>
    </w:p>
    <w:p w14:paraId="1DEFE972">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本项目废气污染物主要包括</w:t>
      </w:r>
      <w:r>
        <w:rPr>
          <w:rFonts w:hint="default" w:ascii="Times New Roman" w:hAnsi="Times New Roman" w:cs="Times New Roman" w:eastAsiaTheme="minorEastAsia"/>
          <w:szCs w:val="24"/>
        </w:rPr>
        <w:t>颗粒物</w:t>
      </w:r>
      <w:r>
        <w:rPr>
          <w:rFonts w:hint="default" w:ascii="Times New Roman" w:hAnsi="Times New Roman" w:cs="Times New Roman"/>
          <w:szCs w:val="24"/>
        </w:rPr>
        <w:t>，要求采取严格的废气治理措施，确保废气中污染物达标排放，减少大气沉降进入土壤中的污染物贡献量，从源头控制土壤污染源。</w:t>
      </w:r>
    </w:p>
    <w:p w14:paraId="38C830B8">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2、过程防控措施</w:t>
      </w:r>
    </w:p>
    <w:p w14:paraId="709C31F0">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lang w:val="en-US" w:eastAsia="zh-CN"/>
        </w:rPr>
        <w:t>本</w:t>
      </w:r>
      <w:r>
        <w:rPr>
          <w:rFonts w:hint="default" w:ascii="Times New Roman" w:hAnsi="Times New Roman" w:cs="Times New Roman"/>
          <w:szCs w:val="24"/>
        </w:rPr>
        <w:t>项目属于土壤污染影响型项目，可能的污染途径为大气沉降、</w:t>
      </w:r>
      <w:r>
        <w:rPr>
          <w:rFonts w:hint="default" w:ascii="Times New Roman" w:hAnsi="Times New Roman" w:cs="Times New Roman"/>
          <w:szCs w:val="24"/>
          <w:lang w:val="en-US" w:eastAsia="zh-CN"/>
        </w:rPr>
        <w:t>地表漫流、</w:t>
      </w:r>
      <w:r>
        <w:rPr>
          <w:rFonts w:hint="default" w:ascii="Times New Roman" w:hAnsi="Times New Roman" w:cs="Times New Roman"/>
          <w:szCs w:val="24"/>
        </w:rPr>
        <w:t>垂直入渗。</w:t>
      </w:r>
    </w:p>
    <w:p w14:paraId="3AA97BA8">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（1）大气沉降过程防控</w:t>
      </w:r>
    </w:p>
    <w:p w14:paraId="3F5319DB">
      <w:pPr>
        <w:spacing w:line="360" w:lineRule="auto"/>
        <w:ind w:firstLine="480"/>
        <w:rPr>
          <w:rFonts w:hint="default" w:ascii="Times New Roman" w:hAnsi="Times New Roman" w:cs="Times New Roman"/>
          <w:szCs w:val="24"/>
          <w:lang w:bidi="ar"/>
        </w:rPr>
      </w:pPr>
      <w:r>
        <w:rPr>
          <w:rFonts w:hint="default" w:ascii="Times New Roman" w:hAnsi="Times New Roman" w:cs="Times New Roman"/>
          <w:szCs w:val="24"/>
        </w:rPr>
        <w:t>本项目废气中含有</w:t>
      </w:r>
      <w:r>
        <w:rPr>
          <w:rFonts w:hint="default" w:ascii="Times New Roman" w:hAnsi="Times New Roman" w:cs="Times New Roman" w:eastAsiaTheme="minorEastAsia"/>
          <w:szCs w:val="24"/>
        </w:rPr>
        <w:t>颗粒物</w:t>
      </w:r>
      <w:r>
        <w:rPr>
          <w:rFonts w:hint="default" w:ascii="Times New Roman" w:hAnsi="Times New Roman" w:cs="Times New Roman"/>
          <w:szCs w:val="24"/>
        </w:rPr>
        <w:t>，存在大气沉降污染，</w:t>
      </w:r>
      <w:r>
        <w:rPr>
          <w:rFonts w:hint="default" w:ascii="Times New Roman" w:hAnsi="Times New Roman" w:cs="Times New Roman"/>
          <w:szCs w:val="24"/>
          <w:lang w:bidi="ar"/>
        </w:rPr>
        <w:t>加强废气处理设备维护，保证废气处理设备正常运行。</w:t>
      </w:r>
    </w:p>
    <w:p w14:paraId="3C092C81">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lang w:eastAsia="zh-CN"/>
        </w:rPr>
        <w:t>（</w:t>
      </w:r>
      <w:r>
        <w:rPr>
          <w:rFonts w:hint="default" w:ascii="Times New Roman" w:hAnsi="Times New Roman" w:cs="Times New Roman"/>
          <w:szCs w:val="24"/>
          <w:lang w:val="en-US" w:eastAsia="zh-CN"/>
        </w:rPr>
        <w:t>2</w:t>
      </w:r>
      <w:r>
        <w:rPr>
          <w:rFonts w:hint="default" w:ascii="Times New Roman" w:hAnsi="Times New Roman" w:cs="Times New Roman"/>
          <w:szCs w:val="24"/>
          <w:lang w:eastAsia="zh-CN"/>
        </w:rPr>
        <w:t>）</w:t>
      </w:r>
      <w:r>
        <w:rPr>
          <w:rFonts w:hint="default" w:ascii="Times New Roman" w:hAnsi="Times New Roman" w:cs="Times New Roman"/>
          <w:szCs w:val="24"/>
          <w:lang w:val="en-US" w:eastAsia="zh-CN"/>
        </w:rPr>
        <w:t>地表漫流</w:t>
      </w:r>
      <w:r>
        <w:rPr>
          <w:rFonts w:hint="default" w:ascii="Times New Roman" w:hAnsi="Times New Roman" w:cs="Times New Roman"/>
          <w:szCs w:val="24"/>
        </w:rPr>
        <w:t>途径过程防控</w:t>
      </w:r>
    </w:p>
    <w:p w14:paraId="4A9C5EF2">
      <w:pPr>
        <w:spacing w:line="360" w:lineRule="auto"/>
        <w:ind w:firstLine="490" w:firstLineChars="200"/>
        <w:jc w:val="both"/>
        <w:rPr>
          <w:rFonts w:hint="default" w:ascii="Times New Roman" w:hAnsi="Times New Roman" w:eastAsia="宋体" w:cs="Times New Roman"/>
          <w:szCs w:val="24"/>
          <w:lang w:val="en-US" w:eastAsia="zh-CN"/>
        </w:rPr>
      </w:pPr>
      <w:r>
        <w:rPr>
          <w:rFonts w:hint="default" w:ascii="Times New Roman" w:hAnsi="Times New Roman" w:cs="Times New Roman"/>
          <w:szCs w:val="24"/>
          <w:lang w:val="en-US" w:eastAsia="zh-CN"/>
        </w:rPr>
        <w:t>通过建设截排水沟，初期雨水收集池，初期雨水沉淀后回用于洒水降尘。</w:t>
      </w:r>
    </w:p>
    <w:p w14:paraId="357A1FD8">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w:t>
      </w:r>
      <w:r>
        <w:rPr>
          <w:rFonts w:hint="default" w:ascii="Times New Roman" w:hAnsi="Times New Roman" w:cs="Times New Roman"/>
          <w:szCs w:val="24"/>
          <w:lang w:val="en-US" w:eastAsia="zh-CN"/>
        </w:rPr>
        <w:t>3</w:t>
      </w:r>
      <w:r>
        <w:rPr>
          <w:rFonts w:hint="default" w:ascii="Times New Roman" w:hAnsi="Times New Roman" w:cs="Times New Roman"/>
          <w:szCs w:val="24"/>
        </w:rPr>
        <w:t>）垂直入渗途径过程防控</w:t>
      </w:r>
    </w:p>
    <w:p w14:paraId="5ECCA971">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lang w:bidi="ar"/>
        </w:rPr>
        <w:t>严格做好</w:t>
      </w:r>
      <w:r>
        <w:rPr>
          <w:rFonts w:hint="default" w:ascii="Times New Roman" w:hAnsi="Times New Roman" w:cs="Times New Roman"/>
          <w:szCs w:val="24"/>
          <w:lang w:val="en-US" w:eastAsia="zh-CN" w:bidi="ar"/>
        </w:rPr>
        <w:t>各区域</w:t>
      </w:r>
      <w:r>
        <w:rPr>
          <w:rFonts w:hint="default" w:ascii="Times New Roman" w:hAnsi="Times New Roman" w:cs="Times New Roman"/>
          <w:szCs w:val="24"/>
          <w:lang w:bidi="ar"/>
        </w:rPr>
        <w:t>防渗措施，定期检查，一旦发现发生泄漏情况，</w:t>
      </w:r>
      <w:r>
        <w:rPr>
          <w:rFonts w:hint="default" w:ascii="Times New Roman" w:hAnsi="Times New Roman" w:cs="Times New Roman"/>
          <w:szCs w:val="24"/>
          <w:lang w:eastAsia="zh-CN" w:bidi="ar"/>
        </w:rPr>
        <w:t>应立即</w:t>
      </w:r>
      <w:r>
        <w:rPr>
          <w:rFonts w:hint="default" w:ascii="Times New Roman" w:hAnsi="Times New Roman" w:cs="Times New Roman"/>
          <w:szCs w:val="24"/>
          <w:lang w:bidi="ar"/>
        </w:rPr>
        <w:t>对设施进行检修。</w:t>
      </w:r>
    </w:p>
    <w:p w14:paraId="42B2114D">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3、跟踪监测措施</w:t>
      </w:r>
    </w:p>
    <w:p w14:paraId="09FBDCFD">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土壤环境跟踪监测措施包括制定跟踪监测计划、建立跟踪监测制度，以便及时发现问题，采取措施。</w:t>
      </w:r>
    </w:p>
    <w:p w14:paraId="6AD204A8">
      <w:pPr>
        <w:spacing w:line="360" w:lineRule="auto"/>
        <w:ind w:firstLine="490" w:firstLineChars="200"/>
        <w:rPr>
          <w:rFonts w:hint="default" w:ascii="Times New Roman" w:hAnsi="Times New Roman" w:cs="Times New Roman"/>
          <w:color w:val="auto"/>
        </w:rPr>
      </w:pPr>
      <w:r>
        <w:rPr>
          <w:rFonts w:hint="default" w:ascii="Times New Roman" w:hAnsi="Times New Roman" w:cs="Times New Roman"/>
          <w:color w:val="auto"/>
          <w:szCs w:val="24"/>
        </w:rPr>
        <w:t>本项目厂址主导风下风向</w:t>
      </w:r>
      <w:r>
        <w:rPr>
          <w:rFonts w:hint="default" w:ascii="Times New Roman" w:hAnsi="Times New Roman" w:cs="Times New Roman"/>
          <w:color w:val="auto"/>
          <w:szCs w:val="24"/>
          <w:lang w:val="en-US" w:eastAsia="zh-CN"/>
        </w:rPr>
        <w:t>约20米建设用地及下风向约250米农用地各</w:t>
      </w:r>
      <w:r>
        <w:rPr>
          <w:rFonts w:hint="default" w:ascii="Times New Roman" w:hAnsi="Times New Roman" w:cs="Times New Roman"/>
          <w:color w:val="auto"/>
          <w:szCs w:val="24"/>
        </w:rPr>
        <w:t>设1个表层样（0-0.5m）进行监测，监测频次为1次/每</w:t>
      </w:r>
      <w:r>
        <w:rPr>
          <w:rFonts w:hint="default" w:ascii="Times New Roman" w:hAnsi="Times New Roman" w:cs="Times New Roman"/>
          <w:color w:val="auto"/>
          <w:szCs w:val="24"/>
          <w:lang w:val="en-US" w:eastAsia="zh-CN"/>
        </w:rPr>
        <w:t>3</w:t>
      </w:r>
      <w:r>
        <w:rPr>
          <w:rFonts w:hint="default" w:ascii="Times New Roman" w:hAnsi="Times New Roman" w:cs="Times New Roman"/>
          <w:color w:val="auto"/>
          <w:szCs w:val="24"/>
        </w:rPr>
        <w:t>年，监测指标为</w:t>
      </w:r>
      <w:r>
        <w:rPr>
          <w:rFonts w:hint="default" w:ascii="Times New Roman" w:hAnsi="Times New Roman" w:cs="Times New Roman"/>
          <w:color w:val="auto"/>
          <w:szCs w:val="24"/>
          <w:lang w:val="en-US" w:eastAsia="zh-CN"/>
        </w:rPr>
        <w:t>Fe、Mn、Pb、Zn、Cu、As</w:t>
      </w:r>
      <w:r>
        <w:rPr>
          <w:rFonts w:hint="default" w:ascii="Times New Roman" w:hAnsi="Times New Roman" w:cs="Times New Roman"/>
          <w:color w:val="auto"/>
          <w:szCs w:val="24"/>
        </w:rPr>
        <w:t>。</w:t>
      </w:r>
    </w:p>
    <w:p w14:paraId="4A94180E">
      <w:pPr>
        <w:pStyle w:val="6"/>
        <w:bidi w:val="0"/>
        <w:rPr>
          <w:rFonts w:hint="default" w:ascii="Times New Roman" w:hAnsi="Times New Roman" w:cs="Times New Roman"/>
          <w:lang w:val="en-US" w:eastAsia="zh-CN"/>
        </w:rPr>
      </w:pPr>
      <w:bookmarkStart w:id="609" w:name="_Toc19745"/>
      <w:bookmarkStart w:id="610" w:name="_Toc25133"/>
      <w:bookmarkStart w:id="611" w:name="_Toc16062"/>
      <w:r>
        <w:rPr>
          <w:rFonts w:hint="default" w:ascii="Times New Roman" w:hAnsi="Times New Roman" w:cs="Times New Roman"/>
          <w:lang w:val="en-US" w:eastAsia="zh-CN"/>
        </w:rPr>
        <w:t>7.2.6固体废物污染防治措施</w:t>
      </w:r>
      <w:bookmarkEnd w:id="609"/>
      <w:bookmarkEnd w:id="610"/>
      <w:bookmarkEnd w:id="611"/>
      <w:r>
        <w:rPr>
          <w:rFonts w:hint="default" w:ascii="Times New Roman" w:hAnsi="Times New Roman" w:cs="Times New Roman"/>
          <w:lang w:val="en-US" w:eastAsia="zh-CN"/>
        </w:rPr>
        <w:t>及可行性</w:t>
      </w:r>
    </w:p>
    <w:p w14:paraId="429462C8">
      <w:pPr>
        <w:keepNext w:val="0"/>
        <w:keepLines w:val="0"/>
        <w:pageBreakBefore w:val="0"/>
        <w:widowControl w:val="0"/>
        <w:kinsoku/>
        <w:wordWrap/>
        <w:overflowPunct/>
        <w:topLinePunct w:val="0"/>
        <w:autoSpaceDE/>
        <w:autoSpaceDN/>
        <w:bidi w:val="0"/>
        <w:adjustRightInd/>
        <w:snapToGrid/>
        <w:spacing w:line="360" w:lineRule="auto"/>
        <w:ind w:leftChars="0" w:firstLine="490" w:firstLineChars="200"/>
        <w:textAlignment w:val="auto"/>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本项目固体废物主要为</w:t>
      </w:r>
      <w:r>
        <w:rPr>
          <w:rFonts w:hint="default" w:ascii="Times New Roman" w:hAnsi="Times New Roman" w:eastAsia="宋体" w:cs="Times New Roman"/>
          <w:snapToGrid w:val="0"/>
          <w:color w:val="auto"/>
          <w:kern w:val="0"/>
          <w:sz w:val="24"/>
          <w:szCs w:val="24"/>
          <w:highlight w:val="none"/>
          <w:lang w:val="en-US" w:eastAsia="zh-CN"/>
        </w:rPr>
        <w:t>除尘灰</w:t>
      </w:r>
      <w:r>
        <w:rPr>
          <w:rFonts w:hint="default" w:ascii="Times New Roman" w:hAnsi="Times New Roman" w:cs="Times New Roman"/>
          <w:snapToGrid w:val="0"/>
          <w:color w:val="auto"/>
          <w:kern w:val="0"/>
          <w:sz w:val="24"/>
          <w:szCs w:val="24"/>
          <w:highlight w:val="none"/>
          <w:lang w:val="en-US" w:eastAsia="zh-CN"/>
        </w:rPr>
        <w:t>、</w:t>
      </w:r>
      <w:r>
        <w:rPr>
          <w:rFonts w:hint="default" w:ascii="Times New Roman" w:hAnsi="Times New Roman" w:eastAsia="宋体" w:cs="Times New Roman"/>
          <w:snapToGrid w:val="0"/>
          <w:color w:val="auto"/>
          <w:kern w:val="0"/>
          <w:sz w:val="24"/>
          <w:szCs w:val="24"/>
          <w:highlight w:val="none"/>
          <w:lang w:val="en-US" w:eastAsia="zh-CN"/>
        </w:rPr>
        <w:t>废</w:t>
      </w:r>
      <w:r>
        <w:rPr>
          <w:rFonts w:hint="default" w:ascii="Times New Roman" w:hAnsi="Times New Roman" w:cs="Times New Roman"/>
          <w:snapToGrid w:val="0"/>
          <w:color w:val="auto"/>
          <w:kern w:val="0"/>
          <w:sz w:val="24"/>
          <w:szCs w:val="24"/>
          <w:highlight w:val="none"/>
          <w:lang w:val="en-US" w:eastAsia="zh-CN"/>
        </w:rPr>
        <w:t>机</w:t>
      </w:r>
      <w:r>
        <w:rPr>
          <w:rFonts w:hint="default" w:ascii="Times New Roman" w:hAnsi="Times New Roman" w:eastAsia="宋体" w:cs="Times New Roman"/>
          <w:snapToGrid w:val="0"/>
          <w:color w:val="auto"/>
          <w:kern w:val="0"/>
          <w:sz w:val="24"/>
          <w:szCs w:val="24"/>
          <w:highlight w:val="none"/>
          <w:lang w:val="en-US" w:eastAsia="zh-CN"/>
        </w:rPr>
        <w:t>油</w:t>
      </w:r>
      <w:r>
        <w:rPr>
          <w:rFonts w:hint="default" w:ascii="Times New Roman" w:hAnsi="Times New Roman" w:eastAsia="宋体" w:cs="Times New Roman"/>
          <w:snapToGrid w:val="0"/>
          <w:color w:val="auto"/>
          <w:kern w:val="0"/>
          <w:sz w:val="24"/>
          <w:szCs w:val="24"/>
          <w:highlight w:val="none"/>
        </w:rPr>
        <w:t>及生活垃圾。</w:t>
      </w:r>
    </w:p>
    <w:p w14:paraId="2543342E">
      <w:pPr>
        <w:bidi w:val="0"/>
        <w:spacing w:line="360" w:lineRule="auto"/>
        <w:ind w:firstLine="49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（1）除尘灰</w:t>
      </w:r>
    </w:p>
    <w:p w14:paraId="262BF9F8">
      <w:pPr>
        <w:bidi w:val="0"/>
        <w:spacing w:line="360" w:lineRule="auto"/>
        <w:ind w:firstLine="49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项目破碎系统的除尘</w:t>
      </w:r>
      <w:r>
        <w:rPr>
          <w:rFonts w:hint="default" w:ascii="Times New Roman" w:hAnsi="Times New Roman" w:cs="Times New Roman"/>
          <w:color w:val="auto"/>
          <w:kern w:val="0"/>
          <w:sz w:val="24"/>
          <w:lang w:val="en-US" w:eastAsia="zh-CN"/>
        </w:rPr>
        <w:t>灰</w:t>
      </w:r>
      <w:r>
        <w:rPr>
          <w:rFonts w:hint="default" w:ascii="Times New Roman" w:hAnsi="Times New Roman" w:eastAsia="宋体" w:cs="Times New Roman"/>
          <w:color w:val="auto"/>
          <w:kern w:val="0"/>
          <w:sz w:val="24"/>
          <w:lang w:val="en-US" w:eastAsia="zh-CN"/>
        </w:rPr>
        <w:t>经过收集后，外售新平甬福环保有限公司用于矿渣微粉生产线使用。清理收集后暂存砂石料堆场，及时清运出厂。</w:t>
      </w:r>
    </w:p>
    <w:p w14:paraId="5AAA9E1A">
      <w:pPr>
        <w:bidi w:val="0"/>
        <w:spacing w:line="360" w:lineRule="auto"/>
        <w:ind w:firstLine="49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（2）废机油</w:t>
      </w:r>
    </w:p>
    <w:p w14:paraId="14CA2814">
      <w:pPr>
        <w:numPr>
          <w:ilvl w:val="0"/>
          <w:numId w:val="0"/>
        </w:numPr>
        <w:bidi w:val="0"/>
        <w:spacing w:line="360" w:lineRule="auto"/>
        <w:ind w:firstLine="49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本项目在机械设备维修过程中会产生少量的废矿物油</w:t>
      </w:r>
      <w:r>
        <w:rPr>
          <w:rFonts w:hint="default" w:ascii="Times New Roman" w:hAnsi="Times New Roman" w:cs="Times New Roman"/>
          <w:color w:val="auto"/>
          <w:kern w:val="0"/>
          <w:sz w:val="24"/>
          <w:lang w:val="en-US" w:eastAsia="zh-CN"/>
        </w:rPr>
        <w:t>及含矿物油废物</w:t>
      </w:r>
      <w:r>
        <w:rPr>
          <w:rFonts w:hint="default" w:ascii="Times New Roman" w:hAnsi="Times New Roman" w:eastAsia="宋体" w:cs="Times New Roman"/>
          <w:color w:val="auto"/>
          <w:kern w:val="0"/>
          <w:sz w:val="24"/>
          <w:lang w:val="en-US" w:eastAsia="zh-CN"/>
        </w:rPr>
        <w:t>，</w:t>
      </w:r>
      <w:r>
        <w:rPr>
          <w:rFonts w:hint="default" w:ascii="Times New Roman" w:hAnsi="Times New Roman" w:cs="Times New Roman"/>
          <w:color w:val="auto"/>
          <w:kern w:val="0"/>
          <w:sz w:val="24"/>
          <w:lang w:val="en-US" w:eastAsia="zh-CN"/>
        </w:rPr>
        <w:t>含油抹布、手套，分类</w:t>
      </w:r>
      <w:r>
        <w:rPr>
          <w:rFonts w:hint="default" w:ascii="Times New Roman" w:hAnsi="Times New Roman" w:eastAsia="宋体" w:cs="Times New Roman"/>
          <w:color w:val="auto"/>
          <w:kern w:val="0"/>
          <w:sz w:val="24"/>
          <w:lang w:val="en-US" w:eastAsia="zh-CN"/>
        </w:rPr>
        <w:t>收集后暂存于矿山危废暂存间，由集团公司统一</w:t>
      </w:r>
      <w:r>
        <w:rPr>
          <w:rFonts w:hint="default" w:ascii="Times New Roman" w:hAnsi="Times New Roman" w:cs="Times New Roman"/>
          <w:color w:val="auto"/>
          <w:kern w:val="0"/>
          <w:sz w:val="24"/>
          <w:lang w:val="en-US" w:eastAsia="zh-CN"/>
        </w:rPr>
        <w:t>委托</w:t>
      </w:r>
      <w:r>
        <w:rPr>
          <w:rFonts w:hint="default" w:ascii="Times New Roman" w:hAnsi="Times New Roman" w:cs="Times New Roman"/>
          <w:color w:val="auto"/>
          <w:szCs w:val="20"/>
        </w:rPr>
        <w:t>云南绿力环保科技有限公司清运处置</w:t>
      </w:r>
      <w:r>
        <w:rPr>
          <w:rFonts w:hint="default" w:ascii="Times New Roman" w:hAnsi="Times New Roman" w:cs="Times New Roman"/>
          <w:color w:val="auto"/>
          <w:szCs w:val="20"/>
          <w:lang w:eastAsia="zh-CN"/>
        </w:rPr>
        <w:t>。</w:t>
      </w:r>
      <w:r>
        <w:rPr>
          <w:rFonts w:hint="default" w:ascii="Times New Roman" w:hAnsi="Times New Roman" w:eastAsia="宋体" w:cs="Times New Roman"/>
          <w:color w:val="auto"/>
          <w:kern w:val="0"/>
          <w:sz w:val="24"/>
          <w:lang w:val="en-US" w:eastAsia="zh-CN"/>
        </w:rPr>
        <w:t>本次评价提出：矿山危废暂存间按《危险废物贮存污染控制标准》（GB18597-2023）的要求</w:t>
      </w:r>
      <w:r>
        <w:rPr>
          <w:rFonts w:hint="default" w:ascii="Times New Roman" w:hAnsi="Times New Roman" w:cs="Times New Roman"/>
          <w:color w:val="auto"/>
          <w:kern w:val="0"/>
          <w:sz w:val="24"/>
          <w:lang w:val="en-US" w:eastAsia="zh-CN"/>
        </w:rPr>
        <w:t>进行改建</w:t>
      </w:r>
      <w:r>
        <w:rPr>
          <w:rFonts w:hint="default" w:ascii="Times New Roman" w:hAnsi="Times New Roman" w:eastAsia="宋体" w:cs="Times New Roman"/>
          <w:color w:val="auto"/>
          <w:kern w:val="0"/>
          <w:sz w:val="24"/>
          <w:lang w:val="en-US" w:eastAsia="zh-CN"/>
        </w:rPr>
        <w:t>，</w:t>
      </w:r>
      <w:r>
        <w:rPr>
          <w:rFonts w:hint="default" w:ascii="Times New Roman" w:hAnsi="Times New Roman" w:eastAsia="宋体" w:cs="Times New Roman"/>
          <w:b w:val="0"/>
          <w:bCs w:val="0"/>
          <w:color w:val="auto"/>
          <w:kern w:val="2"/>
          <w:sz w:val="24"/>
          <w:szCs w:val="24"/>
          <w:vertAlign w:val="baseline"/>
          <w:lang w:val="en-US" w:eastAsia="zh-CN" w:bidi="ar"/>
        </w:rPr>
        <w:t>墙体等应采用坚固的材料建造，表面无裂缝。</w:t>
      </w:r>
      <w:r>
        <w:rPr>
          <w:rFonts w:hint="default" w:ascii="Times New Roman" w:hAnsi="Times New Roman" w:cs="Times New Roman"/>
          <w:b w:val="0"/>
          <w:bCs w:val="0"/>
          <w:color w:val="auto"/>
          <w:kern w:val="2"/>
          <w:sz w:val="24"/>
          <w:szCs w:val="24"/>
          <w:vertAlign w:val="baseline"/>
          <w:lang w:val="en-US" w:eastAsia="zh-CN" w:bidi="ar"/>
        </w:rPr>
        <w:t>达到防风、防雨、防晒、防渗、防流失及扬散要求。</w:t>
      </w:r>
      <w:r>
        <w:rPr>
          <w:rFonts w:hint="default" w:ascii="Times New Roman" w:hAnsi="Times New Roman" w:eastAsia="宋体" w:cs="Times New Roman"/>
          <w:color w:val="auto"/>
          <w:kern w:val="0"/>
          <w:sz w:val="24"/>
          <w:lang w:val="en-US" w:eastAsia="zh-CN"/>
        </w:rPr>
        <w:t>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kern w:val="0"/>
          <w:sz w:val="24"/>
          <w:vertAlign w:val="superscript"/>
          <w:lang w:val="en-US" w:eastAsia="zh-CN"/>
        </w:rPr>
        <w:t>-7</w:t>
      </w:r>
      <w:r>
        <w:rPr>
          <w:rFonts w:hint="default" w:ascii="Times New Roman" w:hAnsi="Times New Roman" w:eastAsia="宋体" w:cs="Times New Roman"/>
          <w:color w:val="auto"/>
          <w:kern w:val="0"/>
          <w:sz w:val="24"/>
          <w:lang w:val="en-US" w:eastAsia="zh-CN"/>
        </w:rPr>
        <w:t>cm/s），或至少2mm厚高密度聚乙烯膜等人工防渗材料（渗透系数不大于10</w:t>
      </w:r>
      <w:r>
        <w:rPr>
          <w:rFonts w:hint="default" w:ascii="Times New Roman" w:hAnsi="Times New Roman" w:eastAsia="宋体" w:cs="Times New Roman"/>
          <w:color w:val="auto"/>
          <w:kern w:val="0"/>
          <w:sz w:val="24"/>
          <w:vertAlign w:val="superscript"/>
          <w:lang w:val="en-US" w:eastAsia="zh-CN"/>
        </w:rPr>
        <w:t>-10</w:t>
      </w:r>
      <w:r>
        <w:rPr>
          <w:rFonts w:hint="default" w:ascii="Times New Roman" w:hAnsi="Times New Roman" w:eastAsia="宋体" w:cs="Times New Roman"/>
          <w:color w:val="auto"/>
          <w:kern w:val="0"/>
          <w:sz w:val="24"/>
          <w:lang w:val="en-US" w:eastAsia="zh-CN"/>
        </w:rPr>
        <w:t xml:space="preserve"> cm/s），或其他防渗性能等效的材料。危险废物的收集、暂存过程中的管理应严格按照《危险废物贮存污染控制标准》（GB18597-2023）执行。</w:t>
      </w:r>
    </w:p>
    <w:p w14:paraId="69105C9D">
      <w:pPr>
        <w:numPr>
          <w:ilvl w:val="0"/>
          <w:numId w:val="0"/>
        </w:numPr>
        <w:bidi w:val="0"/>
        <w:spacing w:line="360" w:lineRule="auto"/>
        <w:ind w:firstLine="49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（3）生活垃圾</w:t>
      </w:r>
    </w:p>
    <w:p w14:paraId="39677C9E">
      <w:pPr>
        <w:adjustRightInd w:val="0"/>
        <w:snapToGrid w:val="0"/>
        <w:spacing w:line="360" w:lineRule="auto"/>
        <w:ind w:firstLine="490" w:firstLineChars="200"/>
        <w:rPr>
          <w:rFonts w:hint="default" w:ascii="Times New Roman" w:hAnsi="Times New Roman" w:cs="Times New Roman"/>
          <w:szCs w:val="20"/>
        </w:rPr>
      </w:pPr>
      <w:r>
        <w:rPr>
          <w:rFonts w:hint="default" w:ascii="Times New Roman" w:hAnsi="Times New Roman" w:cs="Times New Roman"/>
          <w:szCs w:val="20"/>
          <w:lang w:val="en-US" w:eastAsia="zh-CN"/>
        </w:rPr>
        <w:t>依托鲁奎山铁矿</w:t>
      </w:r>
      <w:r>
        <w:rPr>
          <w:rFonts w:hint="default" w:ascii="Times New Roman" w:hAnsi="Times New Roman" w:cs="Times New Roman"/>
          <w:szCs w:val="20"/>
        </w:rPr>
        <w:t>垃圾收集</w:t>
      </w:r>
      <w:r>
        <w:rPr>
          <w:rFonts w:hint="default" w:ascii="Times New Roman" w:hAnsi="Times New Roman" w:cs="Times New Roman"/>
          <w:szCs w:val="20"/>
          <w:lang w:val="en-US" w:eastAsia="zh-CN"/>
        </w:rPr>
        <w:t>池</w:t>
      </w:r>
      <w:r>
        <w:rPr>
          <w:rFonts w:hint="default" w:ascii="Times New Roman" w:hAnsi="Times New Roman" w:cs="Times New Roman"/>
          <w:szCs w:val="20"/>
        </w:rPr>
        <w:t>集中收集后，</w:t>
      </w:r>
      <w:r>
        <w:rPr>
          <w:rFonts w:hint="default" w:ascii="Times New Roman" w:hAnsi="Times New Roman" w:cs="Times New Roman"/>
          <w:szCs w:val="20"/>
          <w:lang w:val="en-US" w:eastAsia="zh-CN"/>
        </w:rPr>
        <w:t>定期清运至扬武镇生活垃圾集中收集点，统一处置。</w:t>
      </w:r>
    </w:p>
    <w:p w14:paraId="7E4EA513">
      <w:pPr>
        <w:adjustRightInd w:val="0"/>
        <w:snapToGrid w:val="0"/>
        <w:spacing w:line="360" w:lineRule="auto"/>
        <w:ind w:firstLine="490" w:firstLineChars="200"/>
        <w:rPr>
          <w:rFonts w:hint="default" w:ascii="Times New Roman" w:hAnsi="Times New Roman" w:cs="Times New Roman"/>
          <w:szCs w:val="20"/>
          <w:lang w:val="en-US" w:eastAsia="zh-CN"/>
        </w:rPr>
      </w:pPr>
      <w:r>
        <w:rPr>
          <w:rFonts w:hint="default" w:ascii="Times New Roman" w:hAnsi="Times New Roman" w:cs="Times New Roman"/>
          <w:szCs w:val="20"/>
          <w:lang w:val="en-US" w:eastAsia="zh-CN"/>
        </w:rPr>
        <w:t>综上所述，项目运营期固废均得到合理处置，以上措施可行。</w:t>
      </w:r>
    </w:p>
    <w:p w14:paraId="4CC20C8B">
      <w:pPr>
        <w:pStyle w:val="6"/>
        <w:bidi w:val="0"/>
        <w:rPr>
          <w:rFonts w:hint="default" w:ascii="Times New Roman" w:hAnsi="Times New Roman" w:cs="Times New Roman"/>
          <w:color w:val="auto"/>
          <w:lang w:val="en-US" w:eastAsia="zh-CN"/>
        </w:rPr>
      </w:pPr>
      <w:bookmarkStart w:id="612" w:name="_Toc477467866"/>
      <w:bookmarkStart w:id="613" w:name="_Toc439776969"/>
      <w:bookmarkStart w:id="614" w:name="_Toc444789352"/>
      <w:bookmarkStart w:id="615" w:name="_Toc28748"/>
      <w:bookmarkStart w:id="616" w:name="_Toc12035"/>
      <w:bookmarkStart w:id="617" w:name="_Toc29860"/>
      <w:r>
        <w:rPr>
          <w:rFonts w:hint="default" w:ascii="Times New Roman" w:hAnsi="Times New Roman" w:cs="Times New Roman"/>
          <w:color w:val="auto"/>
          <w:lang w:val="en-US" w:eastAsia="zh-CN"/>
        </w:rPr>
        <w:t>7.2.7环境风险防范措施及可行性分析</w:t>
      </w:r>
    </w:p>
    <w:p w14:paraId="3AFC5462">
      <w:pPr>
        <w:keepNext w:val="0"/>
        <w:keepLines w:val="0"/>
        <w:pageBreakBefore w:val="0"/>
        <w:kinsoku/>
        <w:wordWrap/>
        <w:overflowPunct/>
        <w:topLinePunct w:val="0"/>
        <w:autoSpaceDE/>
        <w:autoSpaceDN/>
        <w:bidi w:val="0"/>
        <w:adjustRightInd/>
        <w:snapToGrid/>
        <w:spacing w:line="360" w:lineRule="auto"/>
        <w:ind w:left="0" w:leftChars="0" w:firstLine="367" w:firstLineChars="15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default" w:ascii="Times New Roman" w:hAnsi="Times New Roman" w:cs="Times New Roman"/>
          <w:color w:val="auto"/>
          <w:sz w:val="24"/>
          <w:szCs w:val="32"/>
          <w:lang w:val="en-US" w:eastAsia="zh-CN"/>
        </w:rPr>
        <w:t>危废暂存间设置应严格按照《危险废物贮存污染控制标准》（GB18597-2023）中的相关要求，做好防雨、防渗，防止二次污染，按规定设置警示标志，分类管理，分类存放。</w:t>
      </w:r>
    </w:p>
    <w:p w14:paraId="499F5488">
      <w:pPr>
        <w:keepNext w:val="0"/>
        <w:keepLines w:val="0"/>
        <w:pageBreakBefore w:val="0"/>
        <w:widowControl w:val="0"/>
        <w:kinsoku/>
        <w:wordWrap/>
        <w:overflowPunct/>
        <w:topLinePunct w:val="0"/>
        <w:autoSpaceDE/>
        <w:autoSpaceDN/>
        <w:bidi w:val="0"/>
        <w:adjustRightInd/>
        <w:snapToGrid/>
        <w:spacing w:line="360" w:lineRule="auto"/>
        <w:ind w:left="0" w:leftChars="0" w:firstLine="490" w:firstLineChars="200"/>
        <w:jc w:val="both"/>
        <w:textAlignment w:val="auto"/>
        <w:outlineLvl w:val="9"/>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（2）废</w:t>
      </w:r>
      <w:r>
        <w:rPr>
          <w:rFonts w:hint="default" w:ascii="Times New Roman" w:hAnsi="Times New Roman" w:cs="Times New Roman"/>
          <w:color w:val="auto"/>
          <w:sz w:val="24"/>
          <w:highlight w:val="none"/>
          <w:lang w:val="en-US" w:eastAsia="zh-CN"/>
        </w:rPr>
        <w:t>机油</w:t>
      </w:r>
      <w:r>
        <w:rPr>
          <w:rFonts w:hint="default" w:ascii="Times New Roman" w:hAnsi="Times New Roman" w:cs="Times New Roman"/>
          <w:color w:val="auto"/>
          <w:sz w:val="24"/>
          <w:highlight w:val="none"/>
        </w:rPr>
        <w:t>收集及送至暂存间由专职人员负责，废矿物油产生及处置须记录有台账，定时进行废矿物油暂存间的检查巡视</w:t>
      </w:r>
      <w:r>
        <w:rPr>
          <w:rFonts w:hint="default" w:ascii="Times New Roman" w:hAnsi="Times New Roman" w:cs="Times New Roman"/>
          <w:color w:val="auto"/>
          <w:sz w:val="24"/>
          <w:highlight w:val="none"/>
          <w:lang w:eastAsia="zh-CN"/>
        </w:rPr>
        <w:t>。</w:t>
      </w:r>
    </w:p>
    <w:p w14:paraId="20191D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9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须配备有应急桶、铲子、沙子等应急物资。发现废</w:t>
      </w:r>
      <w:r>
        <w:rPr>
          <w:rFonts w:hint="default" w:ascii="Times New Roman" w:hAnsi="Times New Roman" w:cs="Times New Roman"/>
          <w:color w:val="auto"/>
          <w:sz w:val="24"/>
          <w:highlight w:val="none"/>
          <w:lang w:val="en-US" w:eastAsia="zh-CN"/>
        </w:rPr>
        <w:t>机油</w:t>
      </w:r>
      <w:r>
        <w:rPr>
          <w:rFonts w:hint="default" w:ascii="Times New Roman" w:hAnsi="Times New Roman" w:cs="Times New Roman"/>
          <w:color w:val="auto"/>
          <w:sz w:val="24"/>
          <w:highlight w:val="none"/>
        </w:rPr>
        <w:t>泄漏后先进行溢流的围堵，用沙子吸收溢出的液体，然后用铲子铲装含油沙至应急桶，妥善放置。尽快找出</w:t>
      </w:r>
      <w:r>
        <w:rPr>
          <w:rFonts w:hint="default" w:ascii="Times New Roman" w:hAnsi="Times New Roman" w:cs="Times New Roman"/>
          <w:color w:val="auto"/>
          <w:sz w:val="24"/>
          <w:highlight w:val="none"/>
          <w:lang w:eastAsia="zh-CN"/>
        </w:rPr>
        <w:t>泄漏</w:t>
      </w:r>
      <w:r>
        <w:rPr>
          <w:rFonts w:hint="default" w:ascii="Times New Roman" w:hAnsi="Times New Roman" w:cs="Times New Roman"/>
          <w:color w:val="auto"/>
          <w:sz w:val="24"/>
          <w:highlight w:val="none"/>
        </w:rPr>
        <w:t>源并进行封堵处理，避免持续泄漏。</w:t>
      </w:r>
    </w:p>
    <w:p w14:paraId="1E3B46EE">
      <w:pPr>
        <w:pStyle w:val="75"/>
        <w:adjustRightInd w:val="0"/>
        <w:snapToGrid w:val="0"/>
        <w:spacing w:line="360" w:lineRule="auto"/>
        <w:ind w:firstLine="480"/>
        <w:rPr>
          <w:rFonts w:hint="default" w:ascii="Times New Roman" w:hAnsi="Times New Roman" w:cs="Times New Roman"/>
          <w:color w:val="auto"/>
        </w:rPr>
      </w:pPr>
      <w:r>
        <w:rPr>
          <w:rFonts w:hint="default" w:ascii="Times New Roman" w:hAnsi="Times New Roman" w:cs="Times New Roman" w:eastAsiaTheme="minorEastAsia"/>
          <w:color w:val="auto"/>
          <w:szCs w:val="24"/>
        </w:rPr>
        <w:t>以上风险防范措施主要针对预防厂区内环境风险事故，措施均较简单，易于操作，有一定的针对性，投资较少，比较合理可行。</w:t>
      </w:r>
    </w:p>
    <w:p w14:paraId="223EC906">
      <w:pPr>
        <w:pStyle w:val="5"/>
        <w:spacing w:before="0" w:after="0" w:line="360" w:lineRule="auto"/>
        <w:rPr>
          <w:rFonts w:hint="default" w:ascii="Times New Roman" w:hAnsi="Times New Roman" w:eastAsia="宋体" w:cs="Times New Roman"/>
          <w:color w:val="auto"/>
          <w:sz w:val="28"/>
          <w:szCs w:val="28"/>
        </w:rPr>
      </w:pPr>
      <w:bookmarkStart w:id="618" w:name="_Toc11162"/>
      <w:r>
        <w:rPr>
          <w:rFonts w:hint="default" w:ascii="Times New Roman" w:hAnsi="Times New Roman" w:eastAsia="宋体" w:cs="Times New Roman"/>
          <w:color w:val="auto"/>
          <w:sz w:val="28"/>
          <w:szCs w:val="28"/>
          <w:lang w:val="en-US" w:eastAsia="zh-CN"/>
        </w:rPr>
        <w:t>7.3</w:t>
      </w:r>
      <w:r>
        <w:rPr>
          <w:rFonts w:hint="default" w:ascii="Times New Roman" w:hAnsi="Times New Roman" w:eastAsia="宋体" w:cs="Times New Roman"/>
          <w:color w:val="auto"/>
          <w:sz w:val="28"/>
          <w:szCs w:val="28"/>
        </w:rPr>
        <w:t>工程环保对策措施</w:t>
      </w:r>
      <w:bookmarkEnd w:id="612"/>
      <w:bookmarkEnd w:id="613"/>
      <w:bookmarkEnd w:id="614"/>
      <w:r>
        <w:rPr>
          <w:rFonts w:hint="default" w:ascii="Times New Roman" w:hAnsi="Times New Roman" w:eastAsia="宋体" w:cs="Times New Roman"/>
          <w:color w:val="auto"/>
          <w:sz w:val="28"/>
          <w:szCs w:val="28"/>
        </w:rPr>
        <w:t>汇总</w:t>
      </w:r>
      <w:bookmarkEnd w:id="615"/>
      <w:bookmarkEnd w:id="618"/>
    </w:p>
    <w:p w14:paraId="64E56719">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为便于环保施工监理及竣工验收，特归纳工程环保对策措施如表</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.3-1。</w:t>
      </w:r>
    </w:p>
    <w:p w14:paraId="1BBD20DC">
      <w:pPr>
        <w:adjustRightInd w:val="0"/>
        <w:snapToGrid w:val="0"/>
        <w:spacing w:line="360" w:lineRule="auto"/>
        <w:ind w:firstLine="482" w:firstLineChars="200"/>
        <w:jc w:val="center"/>
        <w:rPr>
          <w:rFonts w:hint="default" w:ascii="Times New Roman" w:hAnsi="Times New Roman" w:eastAsia="黑体" w:cs="Times New Roman"/>
          <w:color w:val="auto"/>
          <w:spacing w:val="-2"/>
          <w:szCs w:val="22"/>
        </w:rPr>
      </w:pPr>
      <w:r>
        <w:rPr>
          <w:rFonts w:hint="default" w:ascii="Times New Roman" w:hAnsi="Times New Roman" w:eastAsia="黑体" w:cs="Times New Roman"/>
          <w:color w:val="auto"/>
          <w:spacing w:val="-2"/>
          <w:szCs w:val="22"/>
        </w:rPr>
        <w:t>表</w:t>
      </w:r>
      <w:r>
        <w:rPr>
          <w:rFonts w:hint="default" w:ascii="Times New Roman" w:hAnsi="Times New Roman" w:eastAsia="黑体" w:cs="Times New Roman"/>
          <w:color w:val="auto"/>
          <w:spacing w:val="-2"/>
          <w:szCs w:val="22"/>
          <w:lang w:val="en-US" w:eastAsia="zh-CN"/>
        </w:rPr>
        <w:t>7</w:t>
      </w:r>
      <w:r>
        <w:rPr>
          <w:rFonts w:hint="default" w:ascii="Times New Roman" w:hAnsi="Times New Roman" w:eastAsia="黑体" w:cs="Times New Roman"/>
          <w:color w:val="auto"/>
          <w:spacing w:val="-2"/>
          <w:szCs w:val="22"/>
        </w:rPr>
        <w:t>.3-1    项目工程环保对策措施一览表</w:t>
      </w:r>
    </w:p>
    <w:tbl>
      <w:tblPr>
        <w:tblStyle w:val="29"/>
        <w:tblW w:w="4999"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01"/>
        <w:gridCol w:w="8425"/>
      </w:tblGrid>
      <w:tr w14:paraId="10803DE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4" w:type="pct"/>
            <w:noWrap w:val="0"/>
            <w:tcMar>
              <w:left w:w="28" w:type="dxa"/>
              <w:right w:w="28" w:type="dxa"/>
            </w:tcMar>
            <w:vAlign w:val="center"/>
          </w:tcPr>
          <w:p w14:paraId="0AA09BDD">
            <w:pPr>
              <w:tabs>
                <w:tab w:val="left" w:pos="360"/>
              </w:tabs>
              <w:jc w:val="center"/>
              <w:rPr>
                <w:rFonts w:hint="default" w:ascii="Times New Roman" w:hAnsi="Times New Roman" w:cs="Times New Roman"/>
                <w:color w:val="auto"/>
                <w:sz w:val="18"/>
                <w:szCs w:val="18"/>
              </w:rPr>
            </w:pPr>
            <w:bookmarkStart w:id="619" w:name="_Toc148008535"/>
            <w:bookmarkStart w:id="620" w:name="_Toc165433921"/>
            <w:bookmarkStart w:id="621" w:name="_Toc166333107"/>
            <w:bookmarkStart w:id="622" w:name="_Toc165188232"/>
            <w:bookmarkStart w:id="623" w:name="_Toc90962170"/>
            <w:bookmarkStart w:id="624" w:name="_Toc165188553"/>
            <w:r>
              <w:rPr>
                <w:rFonts w:hint="default" w:ascii="Times New Roman" w:hAnsi="Times New Roman" w:cs="Times New Roman"/>
                <w:color w:val="auto"/>
                <w:sz w:val="18"/>
                <w:szCs w:val="18"/>
              </w:rPr>
              <w:t>项目</w:t>
            </w:r>
          </w:p>
        </w:tc>
        <w:tc>
          <w:tcPr>
            <w:tcW w:w="4615" w:type="pct"/>
            <w:noWrap w:val="0"/>
            <w:tcMar>
              <w:left w:w="28" w:type="dxa"/>
              <w:right w:w="28" w:type="dxa"/>
            </w:tcMar>
            <w:vAlign w:val="center"/>
          </w:tcPr>
          <w:p w14:paraId="288AEF28">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具体环保措施</w:t>
            </w:r>
          </w:p>
        </w:tc>
      </w:tr>
      <w:tr w14:paraId="44F97EA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2"/>
            <w:noWrap w:val="0"/>
            <w:tcMar>
              <w:left w:w="28" w:type="dxa"/>
              <w:right w:w="28" w:type="dxa"/>
            </w:tcMar>
            <w:vAlign w:val="center"/>
          </w:tcPr>
          <w:p w14:paraId="58790DDC">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施工期</w:t>
            </w:r>
          </w:p>
        </w:tc>
      </w:tr>
      <w:tr w14:paraId="45B25AF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4" w:type="pct"/>
            <w:noWrap w:val="0"/>
            <w:tcMar>
              <w:left w:w="28" w:type="dxa"/>
              <w:right w:w="28" w:type="dxa"/>
            </w:tcMar>
            <w:vAlign w:val="center"/>
          </w:tcPr>
          <w:p w14:paraId="4FDAC97A">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施工期大气</w:t>
            </w:r>
          </w:p>
        </w:tc>
        <w:tc>
          <w:tcPr>
            <w:tcW w:w="4615" w:type="pct"/>
            <w:noWrap w:val="0"/>
            <w:tcMar>
              <w:left w:w="28" w:type="dxa"/>
              <w:right w:w="28" w:type="dxa"/>
            </w:tcMar>
            <w:vAlign w:val="top"/>
          </w:tcPr>
          <w:p w14:paraId="010FB69D">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（1）在施工场地安排专门员工对施工场地洒水以减少扬尘量，洒水次数根据天气状况而定，一般每天不少于2次；若遇到大风或干燥天气适当增加洒水次数。</w:t>
            </w:r>
          </w:p>
          <w:p w14:paraId="032B0376">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（2）对作业面和临时土堆适当洒水，保持一定的湿度，施工便道应进行夯实硬化处理，减少起尘量。</w:t>
            </w:r>
          </w:p>
          <w:p w14:paraId="60B2C105">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（3）场地内土堆、料堆要进行遮盖，防止扬尘的扩散。建议多用商品（湿）水泥和水泥预制品，尽量少用干水泥。</w:t>
            </w:r>
          </w:p>
          <w:p w14:paraId="2FD26C18">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（4）车辆运输建筑材料及建筑垃圾时必须加盖封闭运输，减少抛洒。</w:t>
            </w:r>
          </w:p>
          <w:p w14:paraId="4DBBF49C">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（5）尽量避免在大风天气下进行施工作业。</w:t>
            </w:r>
          </w:p>
          <w:p w14:paraId="61DC5F2D">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（6）临时表土堆场采取拦挡、使用土工布覆盖，减少扬尘产生。</w:t>
            </w:r>
          </w:p>
          <w:p w14:paraId="0F881568">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（7）车辆进出施工场地前后必须对车轮进行冲洗。</w:t>
            </w:r>
          </w:p>
          <w:p w14:paraId="14956857">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（8）施工工地周边100%围挡</w:t>
            </w:r>
          </w:p>
          <w:p w14:paraId="101F6864">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（9）物料堆放100%覆盖</w:t>
            </w:r>
          </w:p>
          <w:p w14:paraId="7196F90D">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①施工现场建筑材料、构配件、施工设备等应按施工现场平面布置图确定的位置放置，对渣土、水泥等易产生扬尘的建筑材料，应严密遮盖或存放库房内；</w:t>
            </w:r>
          </w:p>
          <w:p w14:paraId="2806391B">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②专门设置集中堆放建筑垃圾、渣土的场地；不能按时完成清运的，应及时覆盖；</w:t>
            </w:r>
          </w:p>
          <w:p w14:paraId="3E98BD0B">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（10）出入车辆100%冲洗</w:t>
            </w:r>
          </w:p>
          <w:p w14:paraId="4974E313">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①施工现场的出入口均应设置车辆冲洗台，四周设置排水沟，上盖钢篦，设置两级沉淀池，排水沟与沉淀池相连，沉淀池大小应满足冲洗要求；</w:t>
            </w:r>
          </w:p>
          <w:p w14:paraId="55F4D525">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②配备高压冲洗设备或设置自动冲洗台；应配备保洁员负责车辆、进出道路的冲洗、清扫和保洁工作；</w:t>
            </w:r>
          </w:p>
          <w:p w14:paraId="164F7ED2">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③运输车出场前应冲洗干净确保车轮、车身不带泥；</w:t>
            </w:r>
          </w:p>
          <w:p w14:paraId="62216799">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④应建立车辆冲洗台账；</w:t>
            </w:r>
          </w:p>
          <w:p w14:paraId="655B03A5">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⑤不具备设置冲洗台条件的，在工地出入口采取设麻袋、安排保洁人员及时清理等措施。</w:t>
            </w:r>
          </w:p>
          <w:p w14:paraId="276628DC">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（11）施工现场地面100%硬化</w:t>
            </w:r>
          </w:p>
          <w:p w14:paraId="57AD2211">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现场出入口、操作场地、材料堆场、生活区、场内道路等应采取铺设钢板、水泥混凝土、沥青混凝土或焦渣、细石或其它功能相当的材料进行硬化，并辅以洒水、喷洒抑尘剂等其他有效的防尘措施，保证不扬尘、不泥泞；场地硬化的强度、厚度、宽度应满足安全通行卫生保洁的需要。</w:t>
            </w:r>
          </w:p>
          <w:p w14:paraId="3E1D7288">
            <w:pPr>
              <w:ind w:firstLine="277" w:firstLineChars="1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（12）渣土车辆100%密闭运输。</w:t>
            </w:r>
          </w:p>
        </w:tc>
      </w:tr>
      <w:tr w14:paraId="7D524E8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4" w:type="pct"/>
            <w:noWrap w:val="0"/>
            <w:tcMar>
              <w:left w:w="28" w:type="dxa"/>
              <w:right w:w="28" w:type="dxa"/>
            </w:tcMar>
            <w:vAlign w:val="center"/>
          </w:tcPr>
          <w:p w14:paraId="65B1FF72">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施工期噪声</w:t>
            </w:r>
          </w:p>
        </w:tc>
        <w:tc>
          <w:tcPr>
            <w:tcW w:w="4615" w:type="pct"/>
            <w:noWrap w:val="0"/>
            <w:tcMar>
              <w:left w:w="28" w:type="dxa"/>
              <w:right w:w="28" w:type="dxa"/>
            </w:tcMar>
            <w:vAlign w:val="center"/>
          </w:tcPr>
          <w:p w14:paraId="29E40B5A">
            <w:pPr>
              <w:ind w:firstLine="277" w:firstLineChars="150"/>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（1）施工过程中，应根据机械设备产噪特点，合理安排施工时间；</w:t>
            </w:r>
          </w:p>
          <w:p w14:paraId="22185B8A">
            <w:pPr>
              <w:ind w:firstLine="277" w:firstLineChars="150"/>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（2）运输车辆在途经声环境敏感路段时要限速行驶、禁止鸣笛；</w:t>
            </w:r>
          </w:p>
          <w:p w14:paraId="0E807087">
            <w:pPr>
              <w:ind w:firstLine="277" w:firstLineChars="150"/>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（3）高噪声设备设置简易房隔声。</w:t>
            </w:r>
          </w:p>
        </w:tc>
      </w:tr>
      <w:tr w14:paraId="107C7D5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4" w:type="pct"/>
            <w:noWrap w:val="0"/>
            <w:tcMar>
              <w:left w:w="28" w:type="dxa"/>
              <w:right w:w="28" w:type="dxa"/>
            </w:tcMar>
            <w:vAlign w:val="center"/>
          </w:tcPr>
          <w:p w14:paraId="6A82AD1F">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施工期废水</w:t>
            </w:r>
          </w:p>
        </w:tc>
        <w:tc>
          <w:tcPr>
            <w:tcW w:w="4615" w:type="pct"/>
            <w:noWrap w:val="0"/>
            <w:tcMar>
              <w:left w:w="28" w:type="dxa"/>
              <w:right w:w="28" w:type="dxa"/>
            </w:tcMar>
            <w:vAlign w:val="center"/>
          </w:tcPr>
          <w:p w14:paraId="6FE3B4EB">
            <w:pPr>
              <w:ind w:firstLine="277" w:firstLineChars="150"/>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（1）生活污水</w:t>
            </w:r>
          </w:p>
          <w:p w14:paraId="4316B2EB">
            <w:pPr>
              <w:ind w:firstLine="277" w:firstLineChars="150"/>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项目施工期施工人员生活污水产生量很少，施工人员</w:t>
            </w:r>
            <w:r>
              <w:rPr>
                <w:rFonts w:hint="default" w:ascii="Times New Roman" w:hAnsi="Times New Roman" w:cs="Times New Roman"/>
                <w:color w:val="auto"/>
                <w:kern w:val="0"/>
                <w:sz w:val="18"/>
                <w:szCs w:val="18"/>
                <w:lang w:val="en-US" w:eastAsia="zh-CN"/>
              </w:rPr>
              <w:t>使用矿山废石加工场旱厕，洗手废水</w:t>
            </w:r>
            <w:r>
              <w:rPr>
                <w:rFonts w:hint="default" w:ascii="Times New Roman" w:hAnsi="Times New Roman" w:cs="Times New Roman"/>
                <w:color w:val="auto"/>
                <w:kern w:val="0"/>
                <w:sz w:val="18"/>
                <w:szCs w:val="18"/>
              </w:rPr>
              <w:t>经临时沉淀池处理后回用于场地洒水抑尘等，不外排。</w:t>
            </w:r>
          </w:p>
          <w:p w14:paraId="682B1D49">
            <w:pPr>
              <w:ind w:firstLine="277" w:firstLineChars="150"/>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rPr>
              <w:t>（2）</w:t>
            </w:r>
            <w:r>
              <w:rPr>
                <w:rFonts w:hint="default" w:ascii="Times New Roman" w:hAnsi="Times New Roman" w:cs="Times New Roman"/>
                <w:color w:val="auto"/>
                <w:kern w:val="0"/>
                <w:sz w:val="18"/>
                <w:szCs w:val="18"/>
                <w:lang w:val="en-US" w:eastAsia="zh-CN"/>
              </w:rPr>
              <w:t>施工废水</w:t>
            </w:r>
          </w:p>
          <w:p w14:paraId="35E6E09C">
            <w:pPr>
              <w:ind w:firstLine="277" w:firstLineChars="150"/>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建筑施工废水中含有大量的泥沙。本环评要求在施工场地修建沉淀池，对施工废水进行收集，经沉淀后回用或者用于道路洒水降尘。</w:t>
            </w:r>
          </w:p>
        </w:tc>
      </w:tr>
      <w:tr w14:paraId="0C28FF5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4" w:type="pct"/>
            <w:noWrap w:val="0"/>
            <w:tcMar>
              <w:left w:w="28" w:type="dxa"/>
              <w:right w:w="28" w:type="dxa"/>
            </w:tcMar>
            <w:vAlign w:val="center"/>
          </w:tcPr>
          <w:p w14:paraId="0E0D3988">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施工期固体废弃物</w:t>
            </w:r>
          </w:p>
        </w:tc>
        <w:tc>
          <w:tcPr>
            <w:tcW w:w="4615" w:type="pct"/>
            <w:noWrap w:val="0"/>
            <w:tcMar>
              <w:left w:w="28" w:type="dxa"/>
              <w:right w:w="28" w:type="dxa"/>
            </w:tcMar>
            <w:vAlign w:val="center"/>
          </w:tcPr>
          <w:p w14:paraId="33FC28D6">
            <w:pPr>
              <w:ind w:firstLine="37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（1）施工期基础开挖产生的土石方实现场内平衡，剥离表土临时堆存场内，用于后期绿化覆土，表土堆场采取拦挡及土工布覆盖；</w:t>
            </w:r>
          </w:p>
          <w:p w14:paraId="1827A463">
            <w:pPr>
              <w:ind w:firstLine="37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（2）施工产生的建筑垃圾尽量回收可利用废物，不能回用的建筑垃圾用于场内道路铺设或妥善处置，严禁随意堆弃；</w:t>
            </w:r>
          </w:p>
          <w:p w14:paraId="1C27AD8C">
            <w:pPr>
              <w:ind w:firstLine="37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（3）施工期产生的生活垃圾</w:t>
            </w:r>
            <w:r>
              <w:rPr>
                <w:rFonts w:hint="default" w:ascii="Times New Roman" w:hAnsi="Times New Roman" w:cs="Times New Roman"/>
                <w:color w:val="auto"/>
                <w:sz w:val="18"/>
                <w:szCs w:val="18"/>
                <w:lang w:val="en-US" w:eastAsia="zh-CN"/>
              </w:rPr>
              <w:t>依托鲁奎山铁矿垃圾池收集，定期清运至扬武镇生活垃圾集中收集点，统一处置。</w:t>
            </w:r>
          </w:p>
        </w:tc>
      </w:tr>
      <w:tr w14:paraId="14A3985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4" w:type="pct"/>
            <w:noWrap w:val="0"/>
            <w:tcMar>
              <w:left w:w="28" w:type="dxa"/>
              <w:right w:w="28" w:type="dxa"/>
            </w:tcMar>
            <w:vAlign w:val="center"/>
          </w:tcPr>
          <w:p w14:paraId="1D885611">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施工期生态环境</w:t>
            </w:r>
          </w:p>
        </w:tc>
        <w:tc>
          <w:tcPr>
            <w:tcW w:w="4615" w:type="pct"/>
            <w:noWrap w:val="0"/>
            <w:tcMar>
              <w:left w:w="28" w:type="dxa"/>
              <w:right w:w="28" w:type="dxa"/>
            </w:tcMar>
            <w:vAlign w:val="top"/>
          </w:tcPr>
          <w:p w14:paraId="580DEEDB">
            <w:pPr>
              <w:ind w:firstLine="37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施工过程中，应尽量利用征地范围内的土地，工程建设活动尽量在项目区范围内解决，减少对项目周围地区的扰动、占压等影响；</w:t>
            </w:r>
          </w:p>
          <w:p w14:paraId="20D8E078">
            <w:pPr>
              <w:ind w:firstLine="37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严格实施主体工程设计的措施，避免项目区的水土流失危害到周围的地区，从而引起项目区外新的水土流失；</w:t>
            </w:r>
          </w:p>
          <w:p w14:paraId="06643C5C">
            <w:pPr>
              <w:ind w:firstLine="37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在直接影响区产生了占压、扰动，应及时清理废弃物，修复水土保持设施；</w:t>
            </w:r>
          </w:p>
          <w:p w14:paraId="37A83C00">
            <w:pPr>
              <w:ind w:firstLine="37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合理选择施工工序，开挖的土石方应及时运至指定地点，尽量缩短土石方的堆放时间，避免产生新增的水土流失。</w:t>
            </w:r>
          </w:p>
          <w:p w14:paraId="5FCAF28C">
            <w:pPr>
              <w:ind w:firstLine="37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基础开挖应当尽量避开雨季，基坑集水应及时外排。合理安排施工程序，易造成水土流失的施工尽量避开雨季；施工结束后，应及时清理场地，采取土地整治措施和植物措施防治水土流失。</w:t>
            </w:r>
          </w:p>
          <w:p w14:paraId="02AF815C">
            <w:pPr>
              <w:ind w:firstLine="37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（6）</w:t>
            </w:r>
            <w:r>
              <w:rPr>
                <w:rFonts w:hint="default" w:ascii="Times New Roman" w:hAnsi="Times New Roman" w:cs="Times New Roman"/>
                <w:color w:val="auto"/>
                <w:sz w:val="18"/>
                <w:szCs w:val="18"/>
              </w:rPr>
              <w:t>施工中经常对临时排水沟、沉砂池进行检查、清理，避免排水沟堵塞造成新增水土流失。</w:t>
            </w:r>
          </w:p>
        </w:tc>
      </w:tr>
      <w:tr w14:paraId="73F71BD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2"/>
            <w:noWrap w:val="0"/>
            <w:tcMar>
              <w:left w:w="28" w:type="dxa"/>
              <w:right w:w="28" w:type="dxa"/>
            </w:tcMar>
            <w:vAlign w:val="center"/>
          </w:tcPr>
          <w:p w14:paraId="4F2EF999">
            <w:pPr>
              <w:ind w:firstLine="370" w:firstLineChars="20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运营期</w:t>
            </w:r>
          </w:p>
        </w:tc>
      </w:tr>
      <w:tr w14:paraId="0585A44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4" w:type="pct"/>
            <w:noWrap w:val="0"/>
            <w:tcMar>
              <w:left w:w="28" w:type="dxa"/>
              <w:right w:w="28" w:type="dxa"/>
            </w:tcMar>
            <w:vAlign w:val="center"/>
          </w:tcPr>
          <w:p w14:paraId="4E9F1057">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环境空气保护措施</w:t>
            </w:r>
          </w:p>
        </w:tc>
        <w:tc>
          <w:tcPr>
            <w:tcW w:w="4615" w:type="pct"/>
            <w:noWrap w:val="0"/>
            <w:tcMar>
              <w:left w:w="28" w:type="dxa"/>
              <w:right w:w="28" w:type="dxa"/>
            </w:tcMar>
            <w:vAlign w:val="center"/>
          </w:tcPr>
          <w:p w14:paraId="212B792E">
            <w:pPr>
              <w:ind w:firstLine="37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（1）有组织废气</w:t>
            </w:r>
          </w:p>
          <w:p w14:paraId="12D48B37">
            <w:pPr>
              <w:ind w:firstLine="37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项目建成后，</w:t>
            </w:r>
            <w:r>
              <w:rPr>
                <w:rFonts w:hint="default" w:ascii="Times New Roman" w:hAnsi="Times New Roman" w:cs="Times New Roman"/>
                <w:color w:val="auto"/>
                <w:sz w:val="18"/>
                <w:szCs w:val="18"/>
              </w:rPr>
              <w:t>每台破碎</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筛分、磁选设备</w:t>
            </w:r>
            <w:r>
              <w:rPr>
                <w:rFonts w:hint="default" w:ascii="Times New Roman" w:hAnsi="Times New Roman" w:cs="Times New Roman"/>
                <w:color w:val="auto"/>
                <w:sz w:val="18"/>
                <w:szCs w:val="18"/>
              </w:rPr>
              <w:t>上方设置集气罩和风管，各</w:t>
            </w:r>
            <w:r>
              <w:rPr>
                <w:rFonts w:hint="default" w:ascii="Times New Roman" w:hAnsi="Times New Roman" w:cs="Times New Roman"/>
                <w:color w:val="auto"/>
                <w:sz w:val="18"/>
                <w:szCs w:val="18"/>
                <w:lang w:val="en-US" w:eastAsia="zh-CN"/>
              </w:rPr>
              <w:t>工序产生粉尘经过集气罩收集</w:t>
            </w:r>
            <w:r>
              <w:rPr>
                <w:rFonts w:hint="default" w:ascii="Times New Roman" w:hAnsi="Times New Roman" w:cs="Times New Roman"/>
                <w:color w:val="auto"/>
                <w:sz w:val="18"/>
                <w:szCs w:val="18"/>
              </w:rPr>
              <w:t>后引至1套</w:t>
            </w:r>
            <w:r>
              <w:rPr>
                <w:rFonts w:hint="default" w:ascii="Times New Roman" w:hAnsi="Times New Roman" w:cs="Times New Roman"/>
                <w:color w:val="auto"/>
                <w:sz w:val="18"/>
                <w:szCs w:val="18"/>
                <w:lang w:val="en-US" w:eastAsia="zh-CN"/>
              </w:rPr>
              <w:t>“布袋除尘”系统</w:t>
            </w:r>
            <w:r>
              <w:rPr>
                <w:rFonts w:hint="default" w:ascii="Times New Roman" w:hAnsi="Times New Roman" w:cs="Times New Roman"/>
                <w:color w:val="auto"/>
                <w:sz w:val="18"/>
                <w:szCs w:val="18"/>
              </w:rPr>
              <w:t>进行处理</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集气罩收集效率85%，布袋除尘处理效率99.5%，</w:t>
            </w:r>
            <w:r>
              <w:rPr>
                <w:rFonts w:hint="default" w:ascii="Times New Roman" w:hAnsi="Times New Roman" w:cs="Times New Roman"/>
                <w:color w:val="auto"/>
                <w:sz w:val="18"/>
                <w:szCs w:val="18"/>
              </w:rPr>
              <w:t>处理后通过1根15m高排气筒排放（DA001）</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排放浓度可满足</w:t>
            </w:r>
            <w:r>
              <w:rPr>
                <w:rFonts w:hint="default" w:ascii="Times New Roman" w:hAnsi="Times New Roman" w:cs="Times New Roman"/>
                <w:color w:val="auto"/>
                <w:sz w:val="18"/>
                <w:szCs w:val="18"/>
              </w:rPr>
              <w:t>《铁矿采选工业污染物排放标准》（GB28661-2012）表5新建企业大气污染物排放浓度限值</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即颗粒物≤20mg/m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w:t>
            </w:r>
          </w:p>
          <w:p w14:paraId="0AF83EC5">
            <w:pPr>
              <w:ind w:firstLine="37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（2）无组织废气</w:t>
            </w:r>
          </w:p>
          <w:p w14:paraId="6859313D">
            <w:pPr>
              <w:ind w:firstLine="370" w:firstLineChars="200"/>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①</w:t>
            </w:r>
            <w:r>
              <w:rPr>
                <w:rFonts w:hint="default" w:ascii="Times New Roman" w:hAnsi="Times New Roman" w:cs="Times New Roman"/>
                <w:color w:val="auto"/>
                <w:sz w:val="18"/>
                <w:szCs w:val="18"/>
              </w:rPr>
              <w:t>原矿料</w:t>
            </w:r>
            <w:r>
              <w:rPr>
                <w:rFonts w:hint="default" w:ascii="Times New Roman" w:hAnsi="Times New Roman" w:cs="Times New Roman"/>
                <w:color w:val="auto"/>
                <w:sz w:val="18"/>
                <w:szCs w:val="18"/>
                <w:lang w:val="en-US" w:eastAsia="zh-CN"/>
              </w:rPr>
              <w:t>斗</w:t>
            </w:r>
            <w:r>
              <w:rPr>
                <w:rFonts w:hint="default" w:ascii="Times New Roman" w:hAnsi="Times New Roman" w:cs="Times New Roman"/>
                <w:color w:val="auto"/>
                <w:sz w:val="18"/>
                <w:szCs w:val="18"/>
              </w:rPr>
              <w:t>给料粉尘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项目原矿料</w:t>
            </w:r>
            <w:r>
              <w:rPr>
                <w:rFonts w:hint="default" w:ascii="Times New Roman" w:hAnsi="Times New Roman" w:cs="Times New Roman"/>
                <w:color w:val="auto"/>
                <w:sz w:val="18"/>
                <w:szCs w:val="18"/>
                <w:lang w:val="en-US" w:eastAsia="zh-CN"/>
              </w:rPr>
              <w:t>斗设置三面围挡</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同时</w:t>
            </w:r>
            <w:r>
              <w:rPr>
                <w:rFonts w:hint="default" w:ascii="Times New Roman" w:hAnsi="Times New Roman" w:cs="Times New Roman"/>
                <w:color w:val="auto"/>
                <w:sz w:val="18"/>
                <w:szCs w:val="18"/>
              </w:rPr>
              <w:t>喷雾除尘</w:t>
            </w:r>
            <w:r>
              <w:rPr>
                <w:rFonts w:hint="default" w:ascii="Times New Roman" w:hAnsi="Times New Roman" w:cs="Times New Roman"/>
                <w:color w:val="auto"/>
                <w:sz w:val="18"/>
                <w:szCs w:val="18"/>
                <w:lang w:eastAsia="zh-CN"/>
              </w:rPr>
              <w:t>。</w:t>
            </w:r>
          </w:p>
          <w:p w14:paraId="59B626D7">
            <w:pPr>
              <w:ind w:firstLine="37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②生产工序</w:t>
            </w:r>
            <w:r>
              <w:rPr>
                <w:rFonts w:hint="default" w:ascii="Times New Roman" w:hAnsi="Times New Roman" w:cs="Times New Roman"/>
                <w:color w:val="auto"/>
                <w:sz w:val="18"/>
                <w:szCs w:val="18"/>
              </w:rPr>
              <w:t>无组织粉尘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生产工序</w:t>
            </w:r>
            <w:r>
              <w:rPr>
                <w:rFonts w:hint="default" w:ascii="Times New Roman" w:hAnsi="Times New Roman" w:cs="Times New Roman"/>
                <w:color w:val="auto"/>
                <w:sz w:val="18"/>
                <w:szCs w:val="18"/>
              </w:rPr>
              <w:t>无组织粉尘主要来自各集气罩未收集的粉尘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通过</w:t>
            </w:r>
            <w:r>
              <w:rPr>
                <w:rFonts w:hint="default" w:ascii="Times New Roman" w:hAnsi="Times New Roman" w:cs="Times New Roman"/>
                <w:color w:val="auto"/>
                <w:sz w:val="18"/>
                <w:szCs w:val="18"/>
                <w:lang w:val="en-US" w:eastAsia="zh-CN"/>
              </w:rPr>
              <w:t>采取彩钢板封闭设备</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粉尘控制效率</w:t>
            </w:r>
            <w:r>
              <w:rPr>
                <w:rFonts w:hint="default" w:ascii="Times New Roman" w:hAnsi="Times New Roman" w:cs="Times New Roman"/>
                <w:color w:val="auto"/>
                <w:sz w:val="18"/>
                <w:szCs w:val="18"/>
                <w:lang w:val="en-US" w:eastAsia="zh-CN"/>
              </w:rPr>
              <w:t>90%</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和喷雾降尘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粉尘控制效率</w:t>
            </w:r>
            <w:r>
              <w:rPr>
                <w:rFonts w:hint="default" w:ascii="Times New Roman" w:hAnsi="Times New Roman" w:cs="Times New Roman"/>
                <w:color w:val="auto"/>
                <w:sz w:val="18"/>
                <w:szCs w:val="18"/>
                <w:lang w:val="en-US" w:eastAsia="zh-CN"/>
              </w:rPr>
              <w:t>74%</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措施。</w:t>
            </w:r>
          </w:p>
          <w:p w14:paraId="4FAD3413">
            <w:pPr>
              <w:ind w:firstLine="370" w:firstLineChars="200"/>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③</w:t>
            </w:r>
            <w:r>
              <w:rPr>
                <w:rFonts w:hint="default" w:ascii="Times New Roman" w:hAnsi="Times New Roman" w:cs="Times New Roman"/>
                <w:color w:val="auto"/>
                <w:sz w:val="18"/>
                <w:szCs w:val="18"/>
              </w:rPr>
              <w:t>皮带输送粉尘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项目传送带</w:t>
            </w:r>
            <w:r>
              <w:rPr>
                <w:rFonts w:hint="default" w:ascii="Times New Roman" w:hAnsi="Times New Roman" w:cs="Times New Roman"/>
                <w:color w:val="auto"/>
                <w:sz w:val="18"/>
                <w:szCs w:val="18"/>
                <w:lang w:val="en-US" w:eastAsia="zh-CN"/>
              </w:rPr>
              <w:t>设置为</w:t>
            </w:r>
            <w:r>
              <w:rPr>
                <w:rFonts w:hint="default" w:ascii="Times New Roman" w:hAnsi="Times New Roman" w:cs="Times New Roman"/>
                <w:color w:val="auto"/>
                <w:sz w:val="18"/>
                <w:szCs w:val="18"/>
              </w:rPr>
              <w:t>封闭式廊道</w:t>
            </w:r>
            <w:r>
              <w:rPr>
                <w:rFonts w:hint="default" w:ascii="Times New Roman" w:hAnsi="Times New Roman" w:cs="Times New Roman"/>
                <w:color w:val="auto"/>
                <w:sz w:val="18"/>
                <w:szCs w:val="18"/>
                <w:lang w:eastAsia="zh-CN"/>
              </w:rPr>
              <w:t>。</w:t>
            </w:r>
          </w:p>
          <w:p w14:paraId="450AE80F">
            <w:pPr>
              <w:ind w:firstLine="370" w:firstLineChars="200"/>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④铁矿石堆场</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主要采取降尘措施为：“三面围挡+彩钢瓦顶棚”</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粉尘控制效率</w:t>
            </w:r>
            <w:r>
              <w:rPr>
                <w:rFonts w:hint="default" w:ascii="Times New Roman" w:hAnsi="Times New Roman" w:cs="Times New Roman"/>
                <w:color w:val="auto"/>
                <w:sz w:val="18"/>
                <w:szCs w:val="18"/>
                <w:lang w:val="en-US" w:eastAsia="zh-CN"/>
              </w:rPr>
              <w:t>60%</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，设置喷雾降尘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粉尘控制效率</w:t>
            </w:r>
            <w:r>
              <w:rPr>
                <w:rFonts w:hint="default" w:ascii="Times New Roman" w:hAnsi="Times New Roman" w:cs="Times New Roman"/>
                <w:color w:val="auto"/>
                <w:sz w:val="18"/>
                <w:szCs w:val="18"/>
                <w:lang w:val="en-US" w:eastAsia="zh-CN"/>
              </w:rPr>
              <w:t>74%</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措施</w:t>
            </w:r>
            <w:r>
              <w:rPr>
                <w:rFonts w:hint="default" w:ascii="Times New Roman" w:hAnsi="Times New Roman" w:cs="Times New Roman"/>
                <w:color w:val="auto"/>
                <w:sz w:val="18"/>
                <w:szCs w:val="18"/>
                <w:lang w:eastAsia="zh-CN"/>
              </w:rPr>
              <w:t>同时</w:t>
            </w:r>
            <w:r>
              <w:rPr>
                <w:rFonts w:hint="default" w:ascii="Times New Roman" w:hAnsi="Times New Roman" w:cs="Times New Roman"/>
                <w:color w:val="auto"/>
                <w:sz w:val="18"/>
                <w:szCs w:val="18"/>
                <w:lang w:val="en-US" w:eastAsia="zh-CN"/>
              </w:rPr>
              <w:t>采取编织物覆盖措施</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粉尘控制效率</w:t>
            </w:r>
            <w:r>
              <w:rPr>
                <w:rFonts w:hint="default" w:ascii="Times New Roman" w:hAnsi="Times New Roman" w:cs="Times New Roman"/>
                <w:color w:val="auto"/>
                <w:sz w:val="18"/>
                <w:szCs w:val="18"/>
                <w:lang w:val="en-US" w:eastAsia="zh-CN"/>
              </w:rPr>
              <w:t>86%</w:t>
            </w:r>
            <w:r>
              <w:rPr>
                <w:rFonts w:hint="default" w:ascii="Times New Roman" w:hAnsi="Times New Roman" w:cs="Times New Roman"/>
                <w:color w:val="auto"/>
                <w:sz w:val="18"/>
                <w:szCs w:val="18"/>
                <w:lang w:eastAsia="zh-CN"/>
              </w:rPr>
              <w:t>）。</w:t>
            </w:r>
          </w:p>
          <w:p w14:paraId="63798F7D">
            <w:pPr>
              <w:ind w:firstLine="370" w:firstLineChars="200"/>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⑤砂石料</w:t>
            </w:r>
            <w:r>
              <w:rPr>
                <w:rFonts w:hint="default" w:ascii="Times New Roman" w:hAnsi="Times New Roman" w:cs="Times New Roman"/>
                <w:color w:val="auto"/>
                <w:sz w:val="18"/>
                <w:szCs w:val="18"/>
              </w:rPr>
              <w:t>堆场扬尘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主要采取降尘措施为：“三面围挡+彩钢瓦顶棚”</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粉尘控制效率</w:t>
            </w:r>
            <w:r>
              <w:rPr>
                <w:rFonts w:hint="default" w:ascii="Times New Roman" w:hAnsi="Times New Roman" w:cs="Times New Roman"/>
                <w:color w:val="auto"/>
                <w:sz w:val="18"/>
                <w:szCs w:val="18"/>
                <w:lang w:val="en-US" w:eastAsia="zh-CN"/>
              </w:rPr>
              <w:t>60%</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，设置喷雾降尘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粉尘控制效率</w:t>
            </w:r>
            <w:r>
              <w:rPr>
                <w:rFonts w:hint="default" w:ascii="Times New Roman" w:hAnsi="Times New Roman" w:cs="Times New Roman"/>
                <w:color w:val="auto"/>
                <w:sz w:val="18"/>
                <w:szCs w:val="18"/>
                <w:lang w:val="en-US" w:eastAsia="zh-CN"/>
              </w:rPr>
              <w:t>74%</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措施</w:t>
            </w:r>
            <w:r>
              <w:rPr>
                <w:rFonts w:hint="default" w:ascii="Times New Roman" w:hAnsi="Times New Roman" w:cs="Times New Roman"/>
                <w:color w:val="auto"/>
                <w:sz w:val="18"/>
                <w:szCs w:val="18"/>
                <w:lang w:val="en-US" w:eastAsia="zh-CN"/>
              </w:rPr>
              <w:t>同时采取编织物覆盖措施</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粉尘控制效率</w:t>
            </w:r>
            <w:r>
              <w:rPr>
                <w:rFonts w:hint="default" w:ascii="Times New Roman" w:hAnsi="Times New Roman" w:cs="Times New Roman"/>
                <w:color w:val="auto"/>
                <w:sz w:val="18"/>
                <w:szCs w:val="18"/>
                <w:lang w:val="en-US" w:eastAsia="zh-CN"/>
              </w:rPr>
              <w:t>86%</w:t>
            </w:r>
            <w:r>
              <w:rPr>
                <w:rFonts w:hint="default" w:ascii="Times New Roman" w:hAnsi="Times New Roman" w:cs="Times New Roman"/>
                <w:color w:val="auto"/>
                <w:sz w:val="18"/>
                <w:szCs w:val="18"/>
                <w:lang w:eastAsia="zh-CN"/>
              </w:rPr>
              <w:t>）。</w:t>
            </w:r>
          </w:p>
          <w:p w14:paraId="650F9B66">
            <w:pPr>
              <w:ind w:firstLine="37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⑥原料堆场：主要采取降尘措施为：“三面围挡+彩钢瓦顶棚”（粉尘控制效率60%），设置喷雾降尘（粉尘控制效率74%）措施同时采取编织物覆盖措施（粉尘控制效率86%）。</w:t>
            </w:r>
          </w:p>
          <w:p w14:paraId="3272618C">
            <w:pPr>
              <w:ind w:firstLine="37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⑦</w:t>
            </w:r>
            <w:r>
              <w:rPr>
                <w:rFonts w:hint="default" w:ascii="Times New Roman" w:hAnsi="Times New Roman" w:cs="Times New Roman"/>
                <w:color w:val="auto"/>
                <w:sz w:val="18"/>
                <w:szCs w:val="18"/>
              </w:rPr>
              <w:t>车辆运输道路扬尘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采取洒水降尘措施。</w:t>
            </w:r>
          </w:p>
        </w:tc>
      </w:tr>
      <w:tr w14:paraId="49FDB5B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3" w:hRule="atLeast"/>
          <w:jc w:val="center"/>
        </w:trPr>
        <w:tc>
          <w:tcPr>
            <w:tcW w:w="384" w:type="pct"/>
            <w:noWrap w:val="0"/>
            <w:tcMar>
              <w:left w:w="28" w:type="dxa"/>
              <w:right w:w="28" w:type="dxa"/>
            </w:tcMar>
            <w:vAlign w:val="center"/>
          </w:tcPr>
          <w:p w14:paraId="611FE34A">
            <w:pPr>
              <w:tabs>
                <w:tab w:val="left" w:pos="360"/>
              </w:tabs>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水环境保护措施</w:t>
            </w:r>
          </w:p>
        </w:tc>
        <w:tc>
          <w:tcPr>
            <w:tcW w:w="4615" w:type="pct"/>
            <w:noWrap w:val="0"/>
            <w:tcMar>
              <w:left w:w="28" w:type="dxa"/>
              <w:right w:w="28" w:type="dxa"/>
            </w:tcMar>
            <w:vAlign w:val="top"/>
          </w:tcPr>
          <w:p w14:paraId="461731DD">
            <w:pPr>
              <w:ind w:firstLine="370" w:firstLineChars="200"/>
              <w:rPr>
                <w:rFonts w:hint="default" w:ascii="Times New Roman" w:hAnsi="Times New Roman" w:eastAsia="宋体" w:cs="Times New Roman"/>
                <w:b w:val="0"/>
                <w:bCs/>
                <w:color w:val="auto"/>
                <w:sz w:val="18"/>
                <w:szCs w:val="18"/>
                <w:lang w:val="en-GB"/>
              </w:rPr>
            </w:pPr>
            <w:r>
              <w:rPr>
                <w:rFonts w:hint="default" w:ascii="Times New Roman" w:hAnsi="Times New Roman" w:eastAsia="宋体" w:cs="Times New Roman"/>
                <w:b w:val="0"/>
                <w:bCs/>
                <w:color w:val="auto"/>
                <w:sz w:val="18"/>
                <w:szCs w:val="18"/>
                <w:lang w:eastAsia="zh-CN"/>
              </w:rPr>
              <w:t>（</w:t>
            </w:r>
            <w:r>
              <w:rPr>
                <w:rFonts w:hint="default" w:ascii="Times New Roman" w:hAnsi="Times New Roman" w:eastAsia="宋体" w:cs="Times New Roman"/>
                <w:b w:val="0"/>
                <w:bCs/>
                <w:color w:val="auto"/>
                <w:sz w:val="18"/>
                <w:szCs w:val="18"/>
                <w:lang w:val="en-US" w:eastAsia="zh-CN"/>
              </w:rPr>
              <w:t>1</w:t>
            </w:r>
            <w:r>
              <w:rPr>
                <w:rFonts w:hint="default" w:ascii="Times New Roman" w:hAnsi="Times New Roman" w:eastAsia="宋体" w:cs="Times New Roman"/>
                <w:b w:val="0"/>
                <w:bCs/>
                <w:color w:val="auto"/>
                <w:sz w:val="18"/>
                <w:szCs w:val="18"/>
                <w:lang w:eastAsia="zh-CN"/>
              </w:rPr>
              <w:t>）</w:t>
            </w:r>
            <w:r>
              <w:rPr>
                <w:rFonts w:hint="default" w:ascii="Times New Roman" w:hAnsi="Times New Roman" w:eastAsia="宋体" w:cs="Times New Roman"/>
                <w:b w:val="0"/>
                <w:bCs/>
                <w:color w:val="auto"/>
                <w:sz w:val="18"/>
                <w:szCs w:val="18"/>
              </w:rPr>
              <w:t>本项目不产生生产废水，生活污水依托</w:t>
            </w:r>
            <w:r>
              <w:rPr>
                <w:rFonts w:hint="default" w:ascii="Times New Roman" w:hAnsi="Times New Roman" w:cs="Times New Roman"/>
                <w:b w:val="0"/>
                <w:bCs/>
                <w:color w:val="auto"/>
                <w:sz w:val="18"/>
                <w:szCs w:val="18"/>
                <w:lang w:val="en-US" w:eastAsia="zh-CN"/>
              </w:rPr>
              <w:t>鲁奎山铁矿</w:t>
            </w:r>
            <w:r>
              <w:rPr>
                <w:rFonts w:hint="default" w:ascii="Times New Roman" w:hAnsi="Times New Roman" w:eastAsia="宋体" w:cs="Times New Roman"/>
                <w:b w:val="0"/>
                <w:bCs/>
                <w:color w:val="auto"/>
                <w:sz w:val="18"/>
                <w:szCs w:val="18"/>
              </w:rPr>
              <w:t>污水处理设备处理，厨房废水先经隔油池隔油</w:t>
            </w:r>
            <w:r>
              <w:rPr>
                <w:rFonts w:hint="default" w:ascii="Times New Roman" w:hAnsi="Times New Roman" w:cs="Times New Roman"/>
                <w:b w:val="0"/>
                <w:bCs/>
                <w:color w:val="auto"/>
                <w:sz w:val="18"/>
                <w:szCs w:val="18"/>
                <w:lang w:val="en-US" w:eastAsia="zh-CN"/>
              </w:rPr>
              <w:t>处理后</w:t>
            </w:r>
            <w:r>
              <w:rPr>
                <w:rFonts w:hint="default" w:ascii="Times New Roman" w:hAnsi="Times New Roman" w:eastAsia="宋体" w:cs="Times New Roman"/>
                <w:b w:val="0"/>
                <w:bCs/>
                <w:color w:val="auto"/>
                <w:sz w:val="18"/>
                <w:szCs w:val="18"/>
              </w:rPr>
              <w:t>与生活区废水</w:t>
            </w:r>
            <w:r>
              <w:rPr>
                <w:rFonts w:hint="default" w:ascii="Times New Roman" w:hAnsi="Times New Roman" w:eastAsia="宋体" w:cs="Times New Roman"/>
                <w:b w:val="0"/>
                <w:bCs/>
                <w:color w:val="auto"/>
                <w:sz w:val="18"/>
                <w:szCs w:val="18"/>
                <w:lang w:val="en-US" w:eastAsia="zh-CN"/>
              </w:rPr>
              <w:t>一起经化粪池处理后排入</w:t>
            </w:r>
            <w:r>
              <w:rPr>
                <w:rFonts w:hint="default" w:ascii="Times New Roman" w:hAnsi="Times New Roman" w:eastAsia="宋体" w:cs="Times New Roman"/>
                <w:b w:val="0"/>
                <w:bCs/>
                <w:color w:val="auto"/>
                <w:sz w:val="18"/>
                <w:szCs w:val="18"/>
              </w:rPr>
              <w:t>一体化污水处理设备，处理达《城市污水再生利用 城市杂用水水质》(GB/T 18920-2020</w:t>
            </w:r>
            <w:r>
              <w:rPr>
                <w:rFonts w:hint="default" w:ascii="Times New Roman" w:hAnsi="Times New Roman" w:eastAsia="宋体" w:cs="Times New Roman"/>
                <w:b w:val="0"/>
                <w:bCs/>
                <w:color w:val="auto"/>
                <w:sz w:val="18"/>
                <w:szCs w:val="18"/>
                <w:lang w:eastAsia="zh-CN"/>
              </w:rPr>
              <w:t>）</w:t>
            </w:r>
            <w:r>
              <w:rPr>
                <w:rFonts w:hint="default" w:ascii="Times New Roman" w:hAnsi="Times New Roman" w:eastAsia="宋体" w:cs="Times New Roman"/>
                <w:b w:val="0"/>
                <w:bCs/>
                <w:color w:val="auto"/>
                <w:sz w:val="18"/>
                <w:szCs w:val="18"/>
              </w:rPr>
              <w:t>中表1城市杂用水水质基本控制项目及限值中的城市绿化、道路清扫标准限值后回用于</w:t>
            </w:r>
            <w:r>
              <w:rPr>
                <w:rFonts w:hint="default" w:ascii="Times New Roman" w:hAnsi="Times New Roman" w:eastAsia="宋体" w:cs="Times New Roman"/>
                <w:b w:val="0"/>
                <w:bCs/>
                <w:color w:val="auto"/>
                <w:sz w:val="18"/>
                <w:szCs w:val="18"/>
                <w:lang w:val="en-US" w:eastAsia="zh-CN"/>
              </w:rPr>
              <w:t>矿山</w:t>
            </w:r>
            <w:r>
              <w:rPr>
                <w:rFonts w:hint="default" w:ascii="Times New Roman" w:hAnsi="Times New Roman" w:eastAsia="宋体" w:cs="Times New Roman"/>
                <w:b w:val="0"/>
                <w:bCs/>
                <w:color w:val="auto"/>
                <w:sz w:val="18"/>
                <w:szCs w:val="18"/>
              </w:rPr>
              <w:t>绿化用水及洒水降尘，不外排。</w:t>
            </w:r>
          </w:p>
          <w:p w14:paraId="02BE3C32">
            <w:pPr>
              <w:pStyle w:val="2"/>
              <w:spacing w:after="0"/>
              <w:ind w:firstLine="37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（2）初期雨水</w:t>
            </w:r>
          </w:p>
          <w:p w14:paraId="1FE380BA">
            <w:pPr>
              <w:pStyle w:val="2"/>
              <w:spacing w:after="0"/>
              <w:ind w:firstLine="37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项目采取雨污分流制，本项目初期雨水量为45m³/次。本次环评提出，建设一个325</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lang w:val="en-US" w:eastAsia="zh-CN"/>
              </w:rPr>
              <w:t>初期雨水收集池，收集本项目及整个6号料场初期雨水，收集沉淀后</w:t>
            </w:r>
            <w:r>
              <w:rPr>
                <w:rFonts w:hint="default" w:ascii="Times New Roman" w:hAnsi="Times New Roman" w:cs="Times New Roman"/>
                <w:color w:val="auto"/>
                <w:sz w:val="18"/>
                <w:szCs w:val="18"/>
              </w:rPr>
              <w:t>用于降尘，不外排。</w:t>
            </w:r>
          </w:p>
        </w:tc>
      </w:tr>
      <w:tr w14:paraId="010FCC5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4" w:type="pct"/>
            <w:noWrap w:val="0"/>
            <w:tcMar>
              <w:left w:w="28" w:type="dxa"/>
              <w:right w:w="28" w:type="dxa"/>
            </w:tcMar>
            <w:vAlign w:val="center"/>
          </w:tcPr>
          <w:p w14:paraId="7FA68B1A">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地下水环境保护措施</w:t>
            </w:r>
          </w:p>
        </w:tc>
        <w:tc>
          <w:tcPr>
            <w:tcW w:w="4615" w:type="pct"/>
            <w:noWrap w:val="0"/>
            <w:tcMar>
              <w:left w:w="28" w:type="dxa"/>
              <w:right w:w="28" w:type="dxa"/>
            </w:tcMar>
            <w:vAlign w:val="center"/>
          </w:tcPr>
          <w:p w14:paraId="2722EF9C">
            <w:pPr>
              <w:ind w:firstLine="370" w:firstLineChars="200"/>
              <w:rPr>
                <w:rFonts w:hint="default" w:ascii="Times New Roman" w:hAnsi="Times New Roman" w:eastAsia="宋体" w:cs="Times New Roman"/>
                <w:b w:val="0"/>
                <w:bCs/>
                <w:color w:val="auto"/>
                <w:sz w:val="18"/>
                <w:szCs w:val="18"/>
                <w:lang w:eastAsia="zh-CN"/>
              </w:rPr>
            </w:pPr>
            <w:r>
              <w:rPr>
                <w:rFonts w:hint="default" w:ascii="Times New Roman" w:hAnsi="Times New Roman" w:eastAsia="宋体" w:cs="Times New Roman"/>
                <w:b w:val="0"/>
                <w:bCs/>
                <w:color w:val="auto"/>
                <w:sz w:val="18"/>
                <w:szCs w:val="18"/>
                <w:lang w:eastAsia="zh-CN"/>
              </w:rPr>
              <w:t>1、源头控制措施</w:t>
            </w:r>
          </w:p>
          <w:p w14:paraId="0F517AFF">
            <w:pPr>
              <w:ind w:firstLine="370" w:firstLineChars="200"/>
              <w:rPr>
                <w:rFonts w:hint="default" w:ascii="Times New Roman" w:hAnsi="Times New Roman" w:eastAsia="宋体" w:cs="Times New Roman"/>
                <w:b w:val="0"/>
                <w:bCs/>
                <w:color w:val="auto"/>
                <w:sz w:val="18"/>
                <w:szCs w:val="18"/>
                <w:lang w:eastAsia="zh-CN"/>
              </w:rPr>
            </w:pPr>
            <w:r>
              <w:rPr>
                <w:rFonts w:hint="default" w:ascii="Times New Roman" w:hAnsi="Times New Roman" w:eastAsia="宋体" w:cs="Times New Roman"/>
                <w:b w:val="0"/>
                <w:bCs/>
                <w:color w:val="auto"/>
                <w:sz w:val="18"/>
                <w:szCs w:val="18"/>
                <w:lang w:eastAsia="zh-CN"/>
              </w:rPr>
              <w:t>污水管严格按照国家相关规范要求，使用合格的管道尽可能从源头上防止和降低污水可能发生的跑、冒、滴、漏。</w:t>
            </w:r>
          </w:p>
          <w:p w14:paraId="207094BA">
            <w:pPr>
              <w:ind w:firstLine="370" w:firstLineChars="200"/>
              <w:rPr>
                <w:rFonts w:hint="default" w:ascii="Times New Roman" w:hAnsi="Times New Roman" w:eastAsia="宋体" w:cs="Times New Roman"/>
                <w:b w:val="0"/>
                <w:bCs/>
                <w:color w:val="auto"/>
                <w:sz w:val="18"/>
                <w:szCs w:val="18"/>
                <w:lang w:eastAsia="zh-CN"/>
              </w:rPr>
            </w:pPr>
            <w:r>
              <w:rPr>
                <w:rFonts w:hint="default" w:ascii="Times New Roman" w:hAnsi="Times New Roman" w:eastAsia="宋体" w:cs="Times New Roman"/>
                <w:b w:val="0"/>
                <w:bCs/>
                <w:color w:val="auto"/>
                <w:sz w:val="18"/>
                <w:szCs w:val="18"/>
                <w:lang w:eastAsia="zh-CN"/>
              </w:rPr>
              <w:t>2、分区防渗措施及要求</w:t>
            </w:r>
          </w:p>
          <w:p w14:paraId="65CF84B1">
            <w:pPr>
              <w:ind w:firstLine="370" w:firstLineChars="200"/>
              <w:rPr>
                <w:rFonts w:hint="default" w:ascii="Times New Roman" w:hAnsi="Times New Roman" w:eastAsia="宋体" w:cs="Times New Roman"/>
                <w:b w:val="0"/>
                <w:bCs/>
                <w:color w:val="auto"/>
                <w:sz w:val="18"/>
                <w:szCs w:val="18"/>
                <w:lang w:eastAsia="zh-CN"/>
              </w:rPr>
            </w:pPr>
            <w:r>
              <w:rPr>
                <w:rFonts w:hint="default" w:ascii="Times New Roman" w:hAnsi="Times New Roman" w:eastAsia="宋体" w:cs="Times New Roman"/>
                <w:b w:val="0"/>
                <w:bCs/>
                <w:color w:val="auto"/>
                <w:sz w:val="18"/>
                <w:szCs w:val="18"/>
                <w:lang w:eastAsia="zh-CN"/>
              </w:rPr>
              <w:t>依据厂区可能发生渗漏的区域的污染物性质和生产单元的构筑方式，结合厂区地质和水文地质条件，根据《环境影响评价技术导则－地下水环境》（HJ610-2016），本项目按照分区防控的要求，将厂区分为重点防渗区、一般防渗区和简单防渗区，不同的分区采取相应的防渗措施。</w:t>
            </w:r>
          </w:p>
          <w:p w14:paraId="6FAD2D05">
            <w:pPr>
              <w:ind w:firstLine="370" w:firstLineChars="200"/>
              <w:rPr>
                <w:rFonts w:hint="default" w:ascii="Times New Roman" w:hAnsi="Times New Roman" w:eastAsia="宋体" w:cs="Times New Roman"/>
                <w:b w:val="0"/>
                <w:bCs/>
                <w:color w:val="auto"/>
                <w:sz w:val="18"/>
                <w:szCs w:val="18"/>
                <w:lang w:eastAsia="zh-CN"/>
              </w:rPr>
            </w:pPr>
            <w:r>
              <w:rPr>
                <w:rFonts w:hint="default" w:ascii="Times New Roman" w:hAnsi="Times New Roman" w:eastAsia="宋体" w:cs="Times New Roman"/>
                <w:b w:val="0"/>
                <w:bCs/>
                <w:color w:val="auto"/>
                <w:sz w:val="18"/>
                <w:szCs w:val="18"/>
                <w:lang w:val="en-US" w:eastAsia="zh-CN"/>
              </w:rPr>
              <w:t>鲁奎山铁矿</w:t>
            </w:r>
            <w:r>
              <w:rPr>
                <w:rFonts w:hint="default" w:ascii="Times New Roman" w:hAnsi="Times New Roman" w:eastAsia="宋体" w:cs="Times New Roman"/>
                <w:b w:val="0"/>
                <w:bCs/>
                <w:color w:val="auto"/>
                <w:sz w:val="18"/>
                <w:szCs w:val="18"/>
                <w:lang w:eastAsia="zh-CN"/>
              </w:rPr>
              <w:t>危废暂存间划分为重点防渗区；</w:t>
            </w:r>
            <w:r>
              <w:rPr>
                <w:rFonts w:hint="default" w:ascii="Times New Roman" w:hAnsi="Times New Roman" w:eastAsia="宋体" w:cs="Times New Roman"/>
                <w:b w:val="0"/>
                <w:bCs/>
                <w:color w:val="auto"/>
                <w:sz w:val="18"/>
                <w:szCs w:val="18"/>
                <w:lang w:val="en-US" w:eastAsia="zh-CN"/>
              </w:rPr>
              <w:t>生产区域、原料堆场、铁矿石堆场、砂石料堆场、</w:t>
            </w:r>
            <w:r>
              <w:rPr>
                <w:rFonts w:hint="default" w:ascii="Times New Roman" w:hAnsi="Times New Roman" w:eastAsia="宋体" w:cs="Times New Roman"/>
                <w:b w:val="0"/>
                <w:bCs/>
                <w:color w:val="auto"/>
                <w:sz w:val="18"/>
                <w:szCs w:val="18"/>
                <w:lang w:eastAsia="zh-CN"/>
              </w:rPr>
              <w:t>初期雨水收集池划分为一般防渗区；</w:t>
            </w:r>
            <w:r>
              <w:rPr>
                <w:rFonts w:hint="default" w:ascii="Times New Roman" w:hAnsi="Times New Roman" w:eastAsia="宋体" w:cs="Times New Roman"/>
                <w:b w:val="0"/>
                <w:bCs/>
                <w:color w:val="auto"/>
                <w:sz w:val="18"/>
                <w:szCs w:val="18"/>
                <w:lang w:val="en-US" w:eastAsia="zh-CN"/>
              </w:rPr>
              <w:t>办公生活区</w:t>
            </w:r>
            <w:r>
              <w:rPr>
                <w:rFonts w:hint="default" w:ascii="Times New Roman" w:hAnsi="Times New Roman" w:eastAsia="宋体" w:cs="Times New Roman"/>
                <w:b w:val="0"/>
                <w:bCs/>
                <w:color w:val="auto"/>
                <w:sz w:val="18"/>
                <w:szCs w:val="18"/>
                <w:lang w:eastAsia="zh-CN"/>
              </w:rPr>
              <w:t>划分为简单防渗区。</w:t>
            </w:r>
          </w:p>
          <w:p w14:paraId="61FAAB37">
            <w:pPr>
              <w:ind w:firstLine="370" w:firstLineChars="200"/>
              <w:rPr>
                <w:rFonts w:hint="default" w:ascii="Times New Roman" w:hAnsi="Times New Roman" w:eastAsia="宋体" w:cs="Times New Roman"/>
                <w:b w:val="0"/>
                <w:bCs/>
                <w:color w:val="auto"/>
                <w:sz w:val="18"/>
                <w:szCs w:val="18"/>
                <w:lang w:eastAsia="zh-CN"/>
              </w:rPr>
            </w:pPr>
            <w:r>
              <w:rPr>
                <w:rFonts w:hint="default" w:ascii="Times New Roman" w:hAnsi="Times New Roman" w:eastAsia="宋体" w:cs="Times New Roman"/>
                <w:b w:val="0"/>
                <w:bCs/>
                <w:color w:val="auto"/>
                <w:sz w:val="18"/>
                <w:szCs w:val="18"/>
                <w:lang w:eastAsia="zh-CN"/>
              </w:rPr>
              <w:t>3、应急响应</w:t>
            </w:r>
          </w:p>
          <w:p w14:paraId="679102BF">
            <w:pPr>
              <w:ind w:firstLine="370" w:firstLineChars="200"/>
              <w:rPr>
                <w:rFonts w:hint="default" w:ascii="Times New Roman" w:hAnsi="Times New Roman" w:eastAsia="宋体" w:cs="Times New Roman"/>
                <w:b w:val="0"/>
                <w:bCs/>
                <w:color w:val="auto"/>
                <w:sz w:val="18"/>
                <w:szCs w:val="18"/>
                <w:lang w:eastAsia="zh-CN"/>
              </w:rPr>
            </w:pPr>
            <w:r>
              <w:rPr>
                <w:rFonts w:hint="default" w:ascii="Times New Roman" w:hAnsi="Times New Roman" w:eastAsia="宋体" w:cs="Times New Roman"/>
                <w:b w:val="0"/>
                <w:bCs/>
                <w:color w:val="auto"/>
                <w:sz w:val="18"/>
                <w:szCs w:val="18"/>
                <w:lang w:eastAsia="zh-CN"/>
              </w:rPr>
              <w:t>本项目应制定地下水污染应急响应预案，当发生地下水污染状况时应采取停止生产、检修渗漏等控制污染源、切断污染途径的措施。</w:t>
            </w:r>
          </w:p>
          <w:p w14:paraId="1E6E13E4">
            <w:pPr>
              <w:ind w:firstLine="370" w:firstLineChars="200"/>
              <w:rPr>
                <w:rFonts w:hint="default" w:ascii="Times New Roman" w:hAnsi="Times New Roman" w:eastAsia="宋体" w:cs="Times New Roman"/>
                <w:b w:val="0"/>
                <w:bCs/>
                <w:color w:val="auto"/>
                <w:sz w:val="18"/>
                <w:szCs w:val="18"/>
                <w:lang w:eastAsia="zh-CN"/>
              </w:rPr>
            </w:pPr>
            <w:r>
              <w:rPr>
                <w:rFonts w:hint="default" w:ascii="Times New Roman" w:hAnsi="Times New Roman" w:eastAsia="宋体" w:cs="Times New Roman"/>
                <w:b w:val="0"/>
                <w:bCs/>
                <w:color w:val="auto"/>
                <w:sz w:val="18"/>
                <w:szCs w:val="18"/>
                <w:lang w:eastAsia="zh-CN"/>
              </w:rPr>
              <w:t>4、地下水污染监控措施</w:t>
            </w:r>
          </w:p>
          <w:p w14:paraId="2010ED22">
            <w:pPr>
              <w:ind w:firstLine="370" w:firstLineChars="200"/>
              <w:rPr>
                <w:rFonts w:hint="default" w:ascii="Times New Roman" w:hAnsi="Times New Roman" w:cs="Times New Roman"/>
                <w:color w:val="auto"/>
                <w:sz w:val="18"/>
                <w:szCs w:val="18"/>
              </w:rPr>
            </w:pPr>
            <w:r>
              <w:rPr>
                <w:rFonts w:hint="default" w:ascii="Times New Roman" w:hAnsi="Times New Roman" w:eastAsia="宋体" w:cs="Times New Roman"/>
                <w:b w:val="0"/>
                <w:bCs/>
                <w:color w:val="auto"/>
                <w:sz w:val="18"/>
                <w:szCs w:val="18"/>
                <w:lang w:val="en-US" w:eastAsia="zh-CN"/>
              </w:rPr>
              <w:t>环评参照</w:t>
            </w:r>
            <w:r>
              <w:rPr>
                <w:rFonts w:hint="default" w:ascii="Times New Roman" w:hAnsi="Times New Roman" w:eastAsia="宋体" w:cs="Times New Roman"/>
                <w:b w:val="0"/>
                <w:bCs/>
                <w:color w:val="auto"/>
                <w:sz w:val="18"/>
                <w:szCs w:val="18"/>
                <w:lang w:val="zh-CN" w:eastAsia="zh-CN"/>
              </w:rPr>
              <w:t>《环境影响评价技术导则</w:t>
            </w:r>
            <w:r>
              <w:rPr>
                <w:rFonts w:hint="default" w:ascii="Times New Roman" w:hAnsi="Times New Roman" w:eastAsia="宋体" w:cs="Times New Roman"/>
                <w:b w:val="0"/>
                <w:bCs/>
                <w:color w:val="auto"/>
                <w:sz w:val="18"/>
                <w:szCs w:val="18"/>
                <w:lang w:val="en-US" w:eastAsia="zh-CN"/>
              </w:rPr>
              <w:t xml:space="preserve">  </w:t>
            </w:r>
            <w:r>
              <w:rPr>
                <w:rFonts w:hint="default" w:ascii="Times New Roman" w:hAnsi="Times New Roman" w:eastAsia="宋体" w:cs="Times New Roman"/>
                <w:b w:val="0"/>
                <w:bCs/>
                <w:color w:val="auto"/>
                <w:sz w:val="18"/>
                <w:szCs w:val="18"/>
                <w:lang w:val="zh-CN" w:eastAsia="zh-CN"/>
              </w:rPr>
              <w:t>地下水环境》（HJ610-2016）</w:t>
            </w:r>
            <w:r>
              <w:rPr>
                <w:rFonts w:hint="default" w:ascii="Times New Roman" w:hAnsi="Times New Roman" w:eastAsia="宋体" w:cs="Times New Roman"/>
                <w:b w:val="0"/>
                <w:bCs/>
                <w:color w:val="auto"/>
                <w:sz w:val="18"/>
                <w:szCs w:val="18"/>
                <w:lang w:val="en-US" w:eastAsia="zh-CN"/>
              </w:rPr>
              <w:t>、《地下水环境监测技术规范》（HJ164-2020）的要求，结合本项目实际情况，本项目将地下水上游项目北侧600m泉水点设置为对照点，</w:t>
            </w:r>
            <w:r>
              <w:rPr>
                <w:rFonts w:hint="default" w:ascii="Times New Roman" w:hAnsi="Times New Roman" w:eastAsia="宋体" w:cs="Times New Roman"/>
                <w:b w:val="0"/>
                <w:bCs/>
                <w:color w:val="auto"/>
                <w:sz w:val="18"/>
                <w:szCs w:val="18"/>
                <w:lang w:eastAsia="zh-CN"/>
              </w:rPr>
              <w:t>在项目区</w:t>
            </w:r>
            <w:r>
              <w:rPr>
                <w:rFonts w:hint="default" w:ascii="Times New Roman" w:hAnsi="Times New Roman" w:eastAsia="宋体" w:cs="Times New Roman"/>
                <w:b w:val="0"/>
                <w:bCs/>
                <w:color w:val="auto"/>
                <w:sz w:val="18"/>
                <w:szCs w:val="18"/>
                <w:lang w:val="en-US" w:eastAsia="zh-CN"/>
              </w:rPr>
              <w:t>初期雨水收集池</w:t>
            </w:r>
            <w:r>
              <w:rPr>
                <w:rFonts w:hint="default" w:ascii="Times New Roman" w:hAnsi="Times New Roman" w:eastAsia="宋体" w:cs="Times New Roman"/>
                <w:b w:val="0"/>
                <w:bCs/>
                <w:color w:val="auto"/>
                <w:sz w:val="18"/>
                <w:szCs w:val="18"/>
                <w:lang w:eastAsia="zh-CN"/>
              </w:rPr>
              <w:t>下游</w:t>
            </w:r>
            <w:r>
              <w:rPr>
                <w:rFonts w:hint="default" w:ascii="Times New Roman" w:hAnsi="Times New Roman" w:eastAsia="宋体" w:cs="Times New Roman"/>
                <w:b w:val="0"/>
                <w:bCs/>
                <w:color w:val="auto"/>
                <w:sz w:val="18"/>
                <w:szCs w:val="18"/>
                <w:lang w:val="en-US" w:eastAsia="zh-CN"/>
              </w:rPr>
              <w:t>10m</w:t>
            </w:r>
            <w:r>
              <w:rPr>
                <w:rFonts w:hint="default" w:ascii="Times New Roman" w:hAnsi="Times New Roman" w:eastAsia="宋体" w:cs="Times New Roman"/>
                <w:b w:val="0"/>
                <w:bCs/>
                <w:color w:val="auto"/>
                <w:sz w:val="18"/>
                <w:szCs w:val="18"/>
                <w:lang w:eastAsia="zh-CN"/>
              </w:rPr>
              <w:t>设置</w:t>
            </w:r>
            <w:r>
              <w:rPr>
                <w:rFonts w:hint="default" w:ascii="Times New Roman" w:hAnsi="Times New Roman" w:eastAsia="宋体" w:cs="Times New Roman"/>
                <w:b w:val="0"/>
                <w:bCs/>
                <w:color w:val="auto"/>
                <w:sz w:val="18"/>
                <w:szCs w:val="18"/>
                <w:lang w:val="en-US" w:eastAsia="zh-CN"/>
              </w:rPr>
              <w:t>为</w:t>
            </w:r>
            <w:r>
              <w:rPr>
                <w:rFonts w:hint="default" w:ascii="Times New Roman" w:hAnsi="Times New Roman" w:eastAsia="宋体" w:cs="Times New Roman"/>
                <w:b w:val="0"/>
                <w:bCs/>
                <w:color w:val="auto"/>
                <w:sz w:val="18"/>
                <w:szCs w:val="18"/>
                <w:lang w:eastAsia="zh-CN"/>
              </w:rPr>
              <w:t>地下水跟踪监测点，鲁奎山铁矿1580m中段坑道地下水出水点</w:t>
            </w:r>
            <w:r>
              <w:rPr>
                <w:rFonts w:hint="default" w:ascii="Times New Roman" w:hAnsi="Times New Roman" w:eastAsia="宋体" w:cs="Times New Roman"/>
                <w:b w:val="0"/>
                <w:bCs/>
                <w:color w:val="auto"/>
                <w:sz w:val="18"/>
                <w:szCs w:val="18"/>
                <w:lang w:val="en-US" w:eastAsia="zh-CN"/>
              </w:rPr>
              <w:t>作为项目的污染扩散监测点，</w:t>
            </w:r>
            <w:r>
              <w:rPr>
                <w:rFonts w:hint="default" w:ascii="Times New Roman" w:hAnsi="Times New Roman" w:eastAsia="宋体" w:cs="Times New Roman"/>
                <w:b w:val="0"/>
                <w:bCs/>
                <w:color w:val="auto"/>
                <w:sz w:val="18"/>
                <w:szCs w:val="18"/>
                <w:lang w:eastAsia="zh-CN"/>
              </w:rPr>
              <w:t>每年监测一次。</w:t>
            </w:r>
          </w:p>
        </w:tc>
      </w:tr>
      <w:tr w14:paraId="42AEB9D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4" w:type="pct"/>
            <w:noWrap w:val="0"/>
            <w:tcMar>
              <w:left w:w="28" w:type="dxa"/>
              <w:right w:w="28" w:type="dxa"/>
            </w:tcMar>
            <w:vAlign w:val="center"/>
          </w:tcPr>
          <w:p w14:paraId="306E8A40">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声环</w:t>
            </w:r>
          </w:p>
          <w:p w14:paraId="18F276B7">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境保</w:t>
            </w:r>
          </w:p>
          <w:p w14:paraId="05CBB35A">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护措施</w:t>
            </w:r>
          </w:p>
        </w:tc>
        <w:tc>
          <w:tcPr>
            <w:tcW w:w="4615" w:type="pct"/>
            <w:noWrap w:val="0"/>
            <w:tcMar>
              <w:left w:w="28" w:type="dxa"/>
              <w:right w:w="28" w:type="dxa"/>
            </w:tcMar>
            <w:vAlign w:val="top"/>
          </w:tcPr>
          <w:p w14:paraId="3A6F7ABF">
            <w:pPr>
              <w:ind w:firstLine="37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（1）设备采取基座减振，设备封闭加装隔声材料，夜间禁止运行；</w:t>
            </w:r>
          </w:p>
          <w:p w14:paraId="2EB79F36">
            <w:pPr>
              <w:ind w:firstLine="37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（2）风机安装消声器。</w:t>
            </w:r>
          </w:p>
          <w:p w14:paraId="134FD753">
            <w:pPr>
              <w:ind w:firstLine="37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（3）加强运输车辆的管理，合理安排运输时间，严禁车辆超速超载，在运输道路沿线居民相对集中区时，区段两端设置限速、禁鸣标志。</w:t>
            </w:r>
          </w:p>
        </w:tc>
      </w:tr>
      <w:tr w14:paraId="5715422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4" w:type="pct"/>
            <w:noWrap w:val="0"/>
            <w:tcMar>
              <w:left w:w="28" w:type="dxa"/>
              <w:right w:w="28" w:type="dxa"/>
            </w:tcMar>
            <w:vAlign w:val="center"/>
          </w:tcPr>
          <w:p w14:paraId="5CA0F228">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固体</w:t>
            </w:r>
          </w:p>
          <w:p w14:paraId="4E2BE988">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废物</w:t>
            </w:r>
          </w:p>
          <w:p w14:paraId="67434335">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处置</w:t>
            </w:r>
          </w:p>
        </w:tc>
        <w:tc>
          <w:tcPr>
            <w:tcW w:w="4615" w:type="pct"/>
            <w:noWrap w:val="0"/>
            <w:tcMar>
              <w:left w:w="28" w:type="dxa"/>
              <w:right w:w="28" w:type="dxa"/>
            </w:tcMar>
            <w:vAlign w:val="center"/>
          </w:tcPr>
          <w:p w14:paraId="43E3E88B">
            <w:pPr>
              <w:ind w:firstLine="37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（1）除尘灰</w:t>
            </w:r>
          </w:p>
          <w:p w14:paraId="0EEDB55F">
            <w:pPr>
              <w:ind w:firstLine="37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项目破碎系统的除尘灰经过收集后，外售新平甬福环保有限公司用于矿渣微粉生产线使用。清理收集后暂存砂石料堆场，及时清运出厂。</w:t>
            </w:r>
          </w:p>
          <w:p w14:paraId="516D5008">
            <w:pPr>
              <w:ind w:firstLine="37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（2）废机油</w:t>
            </w:r>
          </w:p>
          <w:p w14:paraId="28059A61">
            <w:pPr>
              <w:ind w:firstLine="37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本项目在机械设备维修过程中会产生少量的废矿物油及含矿物油废物，含油抹布、手套，分类收集后暂存于矿山危废暂存间，由集团公司统一委托</w:t>
            </w:r>
            <w:r>
              <w:rPr>
                <w:rFonts w:hint="default" w:ascii="Times New Roman" w:hAnsi="Times New Roman" w:cs="Times New Roman"/>
                <w:color w:val="auto"/>
                <w:sz w:val="18"/>
                <w:szCs w:val="18"/>
              </w:rPr>
              <w:t>云南绿力环保科技有限公司清运处置</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本次评价提出：矿山危废暂存间按《危险废物贮存污染控制标准》（GB18597-2023）的要求进行改建，墙体等应采用坚固的材料建造，表面无裂缝。达到防风、防雨、防晒、防渗、防流失及扬散要求。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color w:val="auto"/>
                <w:sz w:val="18"/>
                <w:szCs w:val="18"/>
                <w:vertAlign w:val="superscript"/>
                <w:lang w:val="en-US" w:eastAsia="zh-CN"/>
              </w:rPr>
              <w:t>-7</w:t>
            </w:r>
            <w:r>
              <w:rPr>
                <w:rFonts w:hint="default" w:ascii="Times New Roman" w:hAnsi="Times New Roman" w:cs="Times New Roman"/>
                <w:color w:val="auto"/>
                <w:sz w:val="18"/>
                <w:szCs w:val="18"/>
                <w:lang w:val="en-US" w:eastAsia="zh-CN"/>
              </w:rPr>
              <w:t>cm/s），或至少2mm厚高密度聚乙烯膜等人工防渗材料（渗透系数不大于10</w:t>
            </w:r>
            <w:r>
              <w:rPr>
                <w:rFonts w:hint="default" w:ascii="Times New Roman" w:hAnsi="Times New Roman" w:cs="Times New Roman"/>
                <w:color w:val="auto"/>
                <w:sz w:val="18"/>
                <w:szCs w:val="18"/>
                <w:vertAlign w:val="superscript"/>
                <w:lang w:val="en-US" w:eastAsia="zh-CN"/>
              </w:rPr>
              <w:t>-10</w:t>
            </w:r>
            <w:r>
              <w:rPr>
                <w:rFonts w:hint="default" w:ascii="Times New Roman" w:hAnsi="Times New Roman" w:cs="Times New Roman"/>
                <w:color w:val="auto"/>
                <w:sz w:val="18"/>
                <w:szCs w:val="18"/>
                <w:lang w:val="en-US" w:eastAsia="zh-CN"/>
              </w:rPr>
              <w:t xml:space="preserve"> cm/s），或其他防渗性能等效的材料。危险废物的收集、暂存过程中的管理应严格按照《危险废物贮存污染控制标准》（GB18597-2023）执行。</w:t>
            </w:r>
          </w:p>
          <w:p w14:paraId="45AB9803">
            <w:pPr>
              <w:ind w:firstLine="37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（3）生活垃圾</w:t>
            </w:r>
          </w:p>
          <w:p w14:paraId="58644E82">
            <w:pPr>
              <w:ind w:firstLine="37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依托鲁奎山铁矿垃圾池收集，定期清运至扬武镇生活垃圾集中收集点，统一处置。</w:t>
            </w:r>
          </w:p>
        </w:tc>
      </w:tr>
      <w:tr w14:paraId="1252F57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4" w:type="pct"/>
            <w:noWrap w:val="0"/>
            <w:tcMar>
              <w:left w:w="28" w:type="dxa"/>
              <w:right w:w="28" w:type="dxa"/>
            </w:tcMar>
            <w:vAlign w:val="center"/>
          </w:tcPr>
          <w:p w14:paraId="354385F1">
            <w:pPr>
              <w:tabs>
                <w:tab w:val="left" w:pos="360"/>
              </w:tabs>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土壤环境保护措施</w:t>
            </w:r>
          </w:p>
        </w:tc>
        <w:tc>
          <w:tcPr>
            <w:tcW w:w="4615" w:type="pct"/>
            <w:noWrap w:val="0"/>
            <w:tcMar>
              <w:left w:w="28" w:type="dxa"/>
              <w:right w:w="28" w:type="dxa"/>
            </w:tcMar>
            <w:vAlign w:val="center"/>
          </w:tcPr>
          <w:p w14:paraId="63290F90">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1、源头控制措施</w:t>
            </w:r>
          </w:p>
          <w:p w14:paraId="0C6BE87A">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项目属于污染影响型建设项目，污染物可能通过废污水或有毒有害液体泄漏进入土壤、大气污染物通过大气沉降进入土壤，因此，为避免土壤污染，严格控制土壤污染源头，具体如下：</w:t>
            </w:r>
          </w:p>
          <w:p w14:paraId="31720A03">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（1）泄漏污染土壤的源头控制措施</w:t>
            </w:r>
          </w:p>
          <w:p w14:paraId="70894C84">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依据厂区可能发生渗漏的区域的污染物性质和生产单元的构筑方式，结合厂区地质和水文地质条件，根据《环境影响评价技术导则-地下水环境》（HJ610-2016），本项目按照分区防控的要求，将厂区分为重点防渗区、一般防渗区和简单防渗区，不同的分区采取相应的防渗措施。危废暂存间划分为重点防渗区；生产区域、原料</w:t>
            </w:r>
            <w:r>
              <w:rPr>
                <w:rFonts w:hint="default" w:ascii="Times New Roman" w:hAnsi="Times New Roman" w:cs="Times New Roman"/>
                <w:color w:val="auto"/>
                <w:sz w:val="18"/>
                <w:szCs w:val="18"/>
                <w:lang w:val="en-US" w:eastAsia="zh-CN"/>
              </w:rPr>
              <w:t>堆场</w:t>
            </w:r>
            <w:r>
              <w:rPr>
                <w:rFonts w:hint="default" w:ascii="Times New Roman" w:hAnsi="Times New Roman" w:eastAsia="宋体" w:cs="Times New Roman"/>
                <w:color w:val="auto"/>
                <w:sz w:val="18"/>
                <w:szCs w:val="18"/>
                <w:lang w:val="en-US" w:eastAsia="zh-CN"/>
              </w:rPr>
              <w:t>及成品堆场、初期雨水收集池划分为一般防渗区；办公生活区划分为简单防渗区。从源头控制正常生产过程中废污水跑冒滴漏对土壤的污染。</w:t>
            </w:r>
          </w:p>
          <w:p w14:paraId="48E29048">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（2）大气沉降污染土壤的源头控制措施</w:t>
            </w:r>
          </w:p>
          <w:p w14:paraId="4A11410C">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本项目废气污染物主要包括颗粒物，要求采取严格的废气治理措施，确保废气中污染物达标排放，减少大气沉降进入土壤中的污染物贡献量，从源头控制土壤污染源。</w:t>
            </w:r>
          </w:p>
          <w:p w14:paraId="2CD30AE8">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2、过程防控措施</w:t>
            </w:r>
          </w:p>
          <w:p w14:paraId="0E4360B0">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本项目属于土壤污染影响型项目，可能的污染途径为大气沉降、地表漫流、垂直入渗。</w:t>
            </w:r>
          </w:p>
          <w:p w14:paraId="0B6EE499">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（1）大气沉降过程防控</w:t>
            </w:r>
          </w:p>
          <w:p w14:paraId="0A72D6BF">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本项目废气中含有颗粒物，存在大气沉降污染，加强废气处理设备维护，保证废气处理设备正常运行。</w:t>
            </w:r>
          </w:p>
          <w:p w14:paraId="6A4455BC">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（2）地表漫流途径过程防控</w:t>
            </w:r>
          </w:p>
          <w:p w14:paraId="4DFEB387">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通过建设截排水沟，初期雨水收集池，初期雨水沉淀后回用于洒水降尘。</w:t>
            </w:r>
          </w:p>
          <w:p w14:paraId="32C5BE6C">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（3）垂直入渗途径过程防控</w:t>
            </w:r>
          </w:p>
          <w:p w14:paraId="05CB7924">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严格做好各区域防渗措施，定期检查，一旦发现发生泄漏情况，应立即对设施进行检修。</w:t>
            </w:r>
          </w:p>
          <w:p w14:paraId="278F5C79">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3、跟踪监测措施</w:t>
            </w:r>
          </w:p>
          <w:p w14:paraId="0636BB1C">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土壤环境跟踪监测措施包括制定跟踪监测计划、建立跟踪监测制度，以便及时发现问题，采取措施。</w:t>
            </w:r>
          </w:p>
          <w:p w14:paraId="7CF30E38">
            <w:pPr>
              <w:ind w:firstLine="370" w:firstLineChars="200"/>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本项目厂址主导风下风向</w:t>
            </w:r>
            <w:r>
              <w:rPr>
                <w:rFonts w:hint="default" w:ascii="Times New Roman" w:hAnsi="Times New Roman" w:cs="Times New Roman"/>
                <w:color w:val="auto"/>
                <w:sz w:val="18"/>
                <w:szCs w:val="18"/>
                <w:lang w:val="en-US" w:eastAsia="zh-CN"/>
              </w:rPr>
              <w:t>约20米建设用地及下风向250米农用地各</w:t>
            </w:r>
            <w:r>
              <w:rPr>
                <w:rFonts w:hint="default" w:ascii="Times New Roman" w:hAnsi="Times New Roman" w:eastAsia="宋体" w:cs="Times New Roman"/>
                <w:color w:val="auto"/>
                <w:sz w:val="18"/>
                <w:szCs w:val="18"/>
                <w:lang w:val="en-US" w:eastAsia="zh-CN"/>
              </w:rPr>
              <w:t>设1个表层样（0-0.5m）进行监测，监测频次为1次/每3年，监测指标为</w:t>
            </w:r>
            <w:r>
              <w:rPr>
                <w:rFonts w:hint="default" w:ascii="Times New Roman" w:hAnsi="Times New Roman" w:cs="Times New Roman"/>
                <w:color w:val="auto"/>
                <w:sz w:val="18"/>
                <w:szCs w:val="18"/>
                <w:lang w:val="en-US" w:eastAsia="zh-CN"/>
              </w:rPr>
              <w:t>Fe、Mn、Pb、Zn、Cu、As</w:t>
            </w:r>
            <w:r>
              <w:rPr>
                <w:rFonts w:hint="default" w:ascii="Times New Roman" w:hAnsi="Times New Roman" w:cs="Times New Roman"/>
                <w:color w:val="auto"/>
                <w:sz w:val="18"/>
                <w:szCs w:val="18"/>
              </w:rPr>
              <w:t>。</w:t>
            </w:r>
          </w:p>
        </w:tc>
      </w:tr>
      <w:tr w14:paraId="114164D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4" w:type="pct"/>
            <w:noWrap w:val="0"/>
            <w:tcMar>
              <w:left w:w="28" w:type="dxa"/>
              <w:right w:w="28" w:type="dxa"/>
            </w:tcMar>
            <w:vAlign w:val="center"/>
          </w:tcPr>
          <w:p w14:paraId="42034736">
            <w:pPr>
              <w:tabs>
                <w:tab w:val="left" w:pos="360"/>
              </w:tabs>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风险防范措施</w:t>
            </w:r>
          </w:p>
        </w:tc>
        <w:tc>
          <w:tcPr>
            <w:tcW w:w="4615" w:type="pct"/>
            <w:noWrap w:val="0"/>
            <w:tcMar>
              <w:left w:w="28" w:type="dxa"/>
              <w:right w:w="28" w:type="dxa"/>
            </w:tcMar>
            <w:vAlign w:val="center"/>
          </w:tcPr>
          <w:p w14:paraId="0FA661EF">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（1）危废暂存间设置应严格按照《危险废物贮存污染控制标准》（GB18597-2023）中的相关要求，做好防雨、防渗，防止二次污染，按规定设置警示标志，分类管理，分类存放。</w:t>
            </w:r>
          </w:p>
          <w:p w14:paraId="27D58AF2">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（2）废机油收集及送至暂存间由专职人员负责，废矿物油产生及处置须记录有台账，定时进行废矿物油暂存间的检查巡视。</w:t>
            </w:r>
          </w:p>
          <w:p w14:paraId="08947E89">
            <w:pPr>
              <w:ind w:firstLine="37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（3）须配备有应急桶、铲子、沙子等应急物资。发现废机油泄漏后先进行溢流的围堵，用沙子吸收溢出的液体，然后用铲子铲装含油沙至应急桶，妥善放置。尽快找出泄漏源并进行封堵处理，避免持续泄漏。</w:t>
            </w:r>
          </w:p>
        </w:tc>
      </w:tr>
      <w:bookmarkEnd w:id="619"/>
      <w:bookmarkEnd w:id="620"/>
      <w:bookmarkEnd w:id="621"/>
      <w:bookmarkEnd w:id="622"/>
      <w:bookmarkEnd w:id="623"/>
      <w:bookmarkEnd w:id="624"/>
    </w:tbl>
    <w:p w14:paraId="71463B4F">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7AFB75E9">
      <w:pPr>
        <w:pStyle w:val="4"/>
        <w:bidi w:val="0"/>
        <w:rPr>
          <w:rFonts w:hint="default" w:ascii="Times New Roman" w:hAnsi="Times New Roman" w:cs="Times New Roman"/>
          <w:lang w:val="en-US" w:eastAsia="zh-CN"/>
        </w:rPr>
      </w:pPr>
      <w:bookmarkStart w:id="625" w:name="_Toc12320"/>
      <w:bookmarkStart w:id="626" w:name="_Toc25203"/>
      <w:bookmarkStart w:id="627" w:name="_Toc12768"/>
      <w:bookmarkStart w:id="628" w:name="_Toc2931"/>
      <w:bookmarkStart w:id="629" w:name="_Toc15659"/>
      <w:r>
        <w:rPr>
          <w:rFonts w:hint="default" w:ascii="Times New Roman" w:hAnsi="Times New Roman" w:cs="Times New Roman"/>
          <w:lang w:val="en-US" w:eastAsia="zh-CN"/>
        </w:rPr>
        <w:t>8环境管理与环境监测计划</w:t>
      </w:r>
      <w:bookmarkEnd w:id="616"/>
      <w:bookmarkEnd w:id="617"/>
      <w:bookmarkEnd w:id="625"/>
      <w:bookmarkEnd w:id="626"/>
      <w:bookmarkEnd w:id="627"/>
      <w:bookmarkEnd w:id="628"/>
      <w:bookmarkEnd w:id="629"/>
      <w:bookmarkStart w:id="630" w:name="_Toc29294"/>
      <w:bookmarkStart w:id="631" w:name="_Toc26740"/>
    </w:p>
    <w:p w14:paraId="10CE2533">
      <w:pPr>
        <w:pStyle w:val="5"/>
        <w:bidi w:val="0"/>
        <w:rPr>
          <w:rFonts w:hint="default" w:ascii="Times New Roman" w:hAnsi="Times New Roman" w:cs="Times New Roman"/>
          <w:lang w:val="en-US" w:eastAsia="zh-CN"/>
        </w:rPr>
      </w:pPr>
      <w:bookmarkStart w:id="632" w:name="_Toc11048"/>
      <w:bookmarkStart w:id="633" w:name="_Toc16416"/>
      <w:bookmarkStart w:id="634" w:name="_Toc6958"/>
      <w:bookmarkStart w:id="635" w:name="_Toc3613"/>
      <w:bookmarkStart w:id="636" w:name="_Toc9126"/>
      <w:r>
        <w:rPr>
          <w:rFonts w:hint="default" w:ascii="Times New Roman" w:hAnsi="Times New Roman" w:cs="Times New Roman"/>
          <w:lang w:val="en-US" w:eastAsia="zh-CN"/>
        </w:rPr>
        <w:t>8.1环境管理机构和职责</w:t>
      </w:r>
      <w:bookmarkEnd w:id="630"/>
      <w:bookmarkEnd w:id="631"/>
      <w:bookmarkEnd w:id="632"/>
      <w:bookmarkEnd w:id="633"/>
      <w:bookmarkEnd w:id="634"/>
      <w:bookmarkEnd w:id="635"/>
      <w:bookmarkEnd w:id="636"/>
    </w:p>
    <w:p w14:paraId="2562AC57">
      <w:pPr>
        <w:pStyle w:val="6"/>
        <w:bidi w:val="0"/>
        <w:rPr>
          <w:rFonts w:hint="default" w:ascii="Times New Roman" w:hAnsi="Times New Roman" w:cs="Times New Roman"/>
        </w:rPr>
      </w:pPr>
      <w:bookmarkStart w:id="637" w:name="_Toc5859"/>
      <w:bookmarkStart w:id="638" w:name="_Toc3176"/>
      <w:bookmarkStart w:id="639" w:name="_Toc18590"/>
      <w:r>
        <w:rPr>
          <w:rFonts w:hint="default" w:ascii="Times New Roman" w:hAnsi="Times New Roman" w:cs="Times New Roman"/>
          <w:lang w:val="en-US" w:eastAsia="zh-CN"/>
        </w:rPr>
        <w:t>8.1.1</w:t>
      </w:r>
      <w:r>
        <w:rPr>
          <w:rFonts w:hint="default" w:ascii="Times New Roman" w:hAnsi="Times New Roman" w:cs="Times New Roman"/>
        </w:rPr>
        <w:t>环境管理机构</w:t>
      </w:r>
      <w:bookmarkEnd w:id="637"/>
      <w:bookmarkEnd w:id="638"/>
      <w:bookmarkEnd w:id="639"/>
    </w:p>
    <w:p w14:paraId="22C42875">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cs="Times New Roman"/>
          <w:color w:val="auto"/>
          <w:kern w:val="0"/>
          <w:sz w:val="24"/>
          <w:highlight w:val="none"/>
        </w:rPr>
        <w:t>在项目施工期、</w:t>
      </w:r>
      <w:r>
        <w:rPr>
          <w:rFonts w:hint="default" w:ascii="Times New Roman" w:hAnsi="Times New Roman" w:cs="Times New Roman"/>
          <w:color w:val="auto"/>
          <w:kern w:val="0"/>
          <w:sz w:val="24"/>
          <w:highlight w:val="none"/>
          <w:lang w:val="en-US" w:eastAsia="zh-CN"/>
        </w:rPr>
        <w:t>运营</w:t>
      </w:r>
      <w:r>
        <w:rPr>
          <w:rFonts w:hint="default" w:ascii="Times New Roman" w:hAnsi="Times New Roman" w:cs="Times New Roman"/>
          <w:color w:val="auto"/>
          <w:kern w:val="0"/>
          <w:sz w:val="24"/>
          <w:highlight w:val="none"/>
        </w:rPr>
        <w:t>期，建设单位应建立自上而下的环境保护机构负责制，并由环境保护主管部门监督，切实落实施工</w:t>
      </w:r>
      <w:r>
        <w:rPr>
          <w:rFonts w:hint="default" w:ascii="Times New Roman" w:hAnsi="Times New Roman" w:cs="Times New Roman"/>
          <w:color w:val="auto"/>
          <w:kern w:val="0"/>
          <w:sz w:val="24"/>
          <w:highlight w:val="none"/>
          <w:lang w:eastAsia="zh-CN"/>
        </w:rPr>
        <w:t>期</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运营</w:t>
      </w:r>
      <w:r>
        <w:rPr>
          <w:rFonts w:hint="default" w:ascii="Times New Roman" w:hAnsi="Times New Roman" w:cs="Times New Roman"/>
          <w:color w:val="auto"/>
          <w:kern w:val="0"/>
          <w:sz w:val="24"/>
          <w:highlight w:val="none"/>
        </w:rPr>
        <w:t>期各项环保措施。</w:t>
      </w:r>
    </w:p>
    <w:p w14:paraId="456C5562">
      <w:pPr>
        <w:pStyle w:val="6"/>
        <w:bidi w:val="0"/>
        <w:rPr>
          <w:rFonts w:hint="default" w:ascii="Times New Roman" w:hAnsi="Times New Roman" w:cs="Times New Roman"/>
          <w:lang w:val="en-US" w:eastAsia="zh-CN"/>
        </w:rPr>
      </w:pPr>
      <w:bookmarkStart w:id="640" w:name="_Toc7964"/>
      <w:bookmarkStart w:id="641" w:name="_Toc12199"/>
      <w:bookmarkStart w:id="642" w:name="_Toc24938"/>
      <w:r>
        <w:rPr>
          <w:rFonts w:hint="default" w:ascii="Times New Roman" w:hAnsi="Times New Roman" w:cs="Times New Roman"/>
          <w:lang w:val="en-US" w:eastAsia="zh-CN"/>
        </w:rPr>
        <w:t>8.1.2环境管理程序</w:t>
      </w:r>
      <w:bookmarkEnd w:id="640"/>
      <w:bookmarkEnd w:id="641"/>
      <w:bookmarkEnd w:id="642"/>
    </w:p>
    <w:p w14:paraId="1BC472FE">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建设单位根据工程建设内容，将工程建设基本情况向</w:t>
      </w:r>
      <w:r>
        <w:rPr>
          <w:rFonts w:hint="default" w:ascii="Times New Roman" w:hAnsi="Times New Roman" w:eastAsia="宋体" w:cs="Times New Roman"/>
          <w:color w:val="auto"/>
          <w:kern w:val="0"/>
          <w:sz w:val="24"/>
          <w:szCs w:val="24"/>
          <w:highlight w:val="none"/>
          <w:lang w:val="en-US" w:eastAsia="zh-CN"/>
        </w:rPr>
        <w:t>生态环境</w:t>
      </w:r>
      <w:r>
        <w:rPr>
          <w:rFonts w:hint="default" w:ascii="Times New Roman" w:hAnsi="Times New Roman" w:eastAsia="宋体" w:cs="Times New Roman"/>
          <w:color w:val="auto"/>
          <w:kern w:val="0"/>
          <w:sz w:val="24"/>
          <w:szCs w:val="24"/>
          <w:highlight w:val="none"/>
        </w:rPr>
        <w:t>部门申报，根据各级</w:t>
      </w:r>
      <w:r>
        <w:rPr>
          <w:rFonts w:hint="default" w:ascii="Times New Roman" w:hAnsi="Times New Roman" w:eastAsia="宋体" w:cs="Times New Roman"/>
          <w:color w:val="auto"/>
          <w:kern w:val="0"/>
          <w:sz w:val="24"/>
          <w:szCs w:val="24"/>
          <w:highlight w:val="none"/>
          <w:lang w:val="en-US" w:eastAsia="zh-CN"/>
        </w:rPr>
        <w:t>生态环境</w:t>
      </w:r>
      <w:r>
        <w:rPr>
          <w:rFonts w:hint="default" w:ascii="Times New Roman" w:hAnsi="Times New Roman" w:eastAsia="宋体" w:cs="Times New Roman"/>
          <w:color w:val="auto"/>
          <w:kern w:val="0"/>
          <w:sz w:val="24"/>
          <w:szCs w:val="24"/>
          <w:highlight w:val="none"/>
        </w:rPr>
        <w:t>局的相关要求，报各级</w:t>
      </w:r>
      <w:r>
        <w:rPr>
          <w:rFonts w:hint="default" w:ascii="Times New Roman" w:hAnsi="Times New Roman" w:eastAsia="宋体" w:cs="Times New Roman"/>
          <w:color w:val="auto"/>
          <w:kern w:val="0"/>
          <w:sz w:val="24"/>
          <w:szCs w:val="24"/>
          <w:highlight w:val="none"/>
          <w:lang w:val="en-US" w:eastAsia="zh-CN"/>
        </w:rPr>
        <w:t>生态环境</w:t>
      </w:r>
      <w:r>
        <w:rPr>
          <w:rFonts w:hint="default" w:ascii="Times New Roman" w:hAnsi="Times New Roman" w:eastAsia="宋体" w:cs="Times New Roman"/>
          <w:color w:val="auto"/>
          <w:kern w:val="0"/>
          <w:sz w:val="24"/>
          <w:szCs w:val="24"/>
          <w:highlight w:val="none"/>
        </w:rPr>
        <w:t>局进行工程设计中环境保护相关内容的审查，按设计内容进行工程的环境保护项目实施，工程正常运行期接受各级</w:t>
      </w:r>
      <w:r>
        <w:rPr>
          <w:rFonts w:hint="default" w:ascii="Times New Roman" w:hAnsi="Times New Roman" w:eastAsia="宋体" w:cs="Times New Roman"/>
          <w:color w:val="auto"/>
          <w:kern w:val="0"/>
          <w:sz w:val="24"/>
          <w:szCs w:val="24"/>
          <w:highlight w:val="none"/>
          <w:lang w:val="en-US" w:eastAsia="zh-CN"/>
        </w:rPr>
        <w:t>生态环境</w:t>
      </w:r>
      <w:r>
        <w:rPr>
          <w:rFonts w:hint="default" w:ascii="Times New Roman" w:hAnsi="Times New Roman" w:eastAsia="宋体" w:cs="Times New Roman"/>
          <w:color w:val="auto"/>
          <w:kern w:val="0"/>
          <w:sz w:val="24"/>
          <w:szCs w:val="24"/>
          <w:highlight w:val="none"/>
        </w:rPr>
        <w:t>局的管理与监督。</w:t>
      </w:r>
    </w:p>
    <w:p w14:paraId="68500F0C">
      <w:pPr>
        <w:pStyle w:val="6"/>
        <w:bidi w:val="0"/>
        <w:rPr>
          <w:rFonts w:hint="default" w:ascii="Times New Roman" w:hAnsi="Times New Roman" w:cs="Times New Roman"/>
          <w:lang w:val="en-US" w:eastAsia="zh-CN"/>
        </w:rPr>
      </w:pPr>
      <w:bookmarkStart w:id="643" w:name="_Toc3153"/>
      <w:bookmarkStart w:id="644" w:name="_Toc8546"/>
      <w:bookmarkStart w:id="645" w:name="_Toc9675"/>
      <w:r>
        <w:rPr>
          <w:rFonts w:hint="default" w:ascii="Times New Roman" w:hAnsi="Times New Roman" w:cs="Times New Roman"/>
          <w:lang w:val="en-US" w:eastAsia="zh-CN"/>
        </w:rPr>
        <w:t>8.1.3环保管理人员职责</w:t>
      </w:r>
      <w:bookmarkEnd w:id="643"/>
      <w:bookmarkEnd w:id="644"/>
      <w:bookmarkEnd w:id="645"/>
    </w:p>
    <w:p w14:paraId="0C135529">
      <w:pPr>
        <w:keepNext w:val="0"/>
        <w:keepLines w:val="0"/>
        <w:pageBreakBefore w:val="0"/>
        <w:widowControl w:val="0"/>
        <w:kinsoku/>
        <w:wordWrap/>
        <w:overflowPunct/>
        <w:topLinePunct w:val="0"/>
        <w:bidi w:val="0"/>
        <w:adjustRightInd/>
        <w:snapToGrid/>
        <w:spacing w:line="360" w:lineRule="auto"/>
        <w:ind w:firstLine="49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（1）认真贯彻执行国家有关环境保护</w:t>
      </w:r>
      <w:r>
        <w:rPr>
          <w:rFonts w:hint="default" w:ascii="Times New Roman" w:hAnsi="Times New Roman" w:cs="Times New Roman"/>
          <w:color w:val="auto"/>
          <w:sz w:val="24"/>
          <w:szCs w:val="24"/>
          <w:highlight w:val="none"/>
          <w:lang w:eastAsia="zh-CN"/>
        </w:rPr>
        <w:t>法律法规</w:t>
      </w:r>
      <w:r>
        <w:rPr>
          <w:rFonts w:hint="default" w:ascii="Times New Roman" w:hAnsi="Times New Roman" w:eastAsia="宋体" w:cs="Times New Roman"/>
          <w:color w:val="auto"/>
          <w:sz w:val="24"/>
          <w:szCs w:val="24"/>
          <w:highlight w:val="none"/>
        </w:rPr>
        <w:t>及相关文件，接受环境保护主管部门的监督和检查，定期上报各项环保管理工作的执行情况。</w:t>
      </w:r>
    </w:p>
    <w:p w14:paraId="1B02D874">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（2）</w:t>
      </w:r>
      <w:r>
        <w:rPr>
          <w:rFonts w:hint="default" w:ascii="Times New Roman" w:hAnsi="Times New Roman" w:eastAsia="宋体" w:cs="Times New Roman"/>
          <w:color w:val="auto"/>
          <w:kern w:val="0"/>
          <w:sz w:val="24"/>
          <w:szCs w:val="24"/>
          <w:highlight w:val="none"/>
          <w:lang w:val="en-US" w:eastAsia="zh-CN"/>
        </w:rPr>
        <w:t>项目</w:t>
      </w:r>
      <w:r>
        <w:rPr>
          <w:rFonts w:hint="default" w:ascii="Times New Roman" w:hAnsi="Times New Roman" w:eastAsia="宋体" w:cs="Times New Roman"/>
          <w:color w:val="auto"/>
          <w:kern w:val="0"/>
          <w:sz w:val="24"/>
          <w:szCs w:val="24"/>
          <w:highlight w:val="none"/>
        </w:rPr>
        <w:t>必须把环境保护工作纳入计划，建立环境保护责任制度，采取有效措施，防止生产过程中或其他活动中产生的污染危害及对生态环境的破坏。</w:t>
      </w:r>
    </w:p>
    <w:p w14:paraId="0F9AAFA0">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（3）组织制定公司内部的环保管理规章制度，明确职责，并监督执行。</w:t>
      </w:r>
    </w:p>
    <w:p w14:paraId="0D42F9C7">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（4）建立环保监测室，认真做好污染源及处理设施的监测</w:t>
      </w:r>
      <w:r>
        <w:rPr>
          <w:rFonts w:hint="default" w:ascii="Times New Roman" w:hAnsi="Times New Roman" w:eastAsia="宋体" w:cs="Times New Roman"/>
          <w:color w:val="auto"/>
          <w:kern w:val="0"/>
          <w:sz w:val="24"/>
          <w:szCs w:val="24"/>
          <w:highlight w:val="none"/>
          <w:lang w:val="en-US" w:eastAsia="zh-CN"/>
        </w:rPr>
        <w:t>或委托监测</w:t>
      </w:r>
      <w:r>
        <w:rPr>
          <w:rFonts w:hint="default" w:ascii="Times New Roman" w:hAnsi="Times New Roman" w:eastAsia="宋体" w:cs="Times New Roman"/>
          <w:color w:val="auto"/>
          <w:kern w:val="0"/>
          <w:sz w:val="24"/>
          <w:szCs w:val="24"/>
          <w:highlight w:val="none"/>
        </w:rPr>
        <w:t>、控制工作，及时解决运行中的环保问题，做好应急事故处理，参与环境污染事故调查和处理工作。</w:t>
      </w:r>
    </w:p>
    <w:p w14:paraId="66E46A10">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（5）做好</w:t>
      </w:r>
      <w:r>
        <w:rPr>
          <w:rFonts w:hint="default" w:ascii="Times New Roman" w:hAnsi="Times New Roman" w:eastAsia="宋体" w:cs="Times New Roman"/>
          <w:color w:val="auto"/>
          <w:kern w:val="0"/>
          <w:sz w:val="24"/>
          <w:szCs w:val="24"/>
          <w:highlight w:val="none"/>
          <w:lang w:val="en-US" w:eastAsia="zh-CN"/>
        </w:rPr>
        <w:t>厂区</w:t>
      </w:r>
      <w:r>
        <w:rPr>
          <w:rFonts w:hint="default" w:ascii="Times New Roman" w:hAnsi="Times New Roman" w:eastAsia="宋体" w:cs="Times New Roman"/>
          <w:color w:val="auto"/>
          <w:kern w:val="0"/>
          <w:sz w:val="24"/>
          <w:szCs w:val="24"/>
          <w:highlight w:val="none"/>
        </w:rPr>
        <w:t>环保设施运行记录的档案管理工作，定期检查环境管理计划实施情况。</w:t>
      </w:r>
    </w:p>
    <w:p w14:paraId="00B4E47B">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（6）检查</w:t>
      </w:r>
      <w:r>
        <w:rPr>
          <w:rFonts w:hint="default" w:ascii="Times New Roman" w:hAnsi="Times New Roman" w:eastAsia="宋体" w:cs="Times New Roman"/>
          <w:color w:val="auto"/>
          <w:kern w:val="0"/>
          <w:sz w:val="24"/>
          <w:szCs w:val="24"/>
          <w:highlight w:val="none"/>
          <w:lang w:val="en-US" w:eastAsia="zh-CN"/>
        </w:rPr>
        <w:t>厂区</w:t>
      </w:r>
      <w:r>
        <w:rPr>
          <w:rFonts w:hint="default" w:ascii="Times New Roman" w:hAnsi="Times New Roman" w:eastAsia="宋体" w:cs="Times New Roman"/>
          <w:color w:val="auto"/>
          <w:kern w:val="0"/>
          <w:sz w:val="24"/>
          <w:szCs w:val="24"/>
          <w:highlight w:val="none"/>
        </w:rPr>
        <w:t>内部环境治理设备的运转情况，日常维护及保养情况，保证其正常运行。</w:t>
      </w:r>
    </w:p>
    <w:p w14:paraId="5B366EA3">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（7）开展环保技术人员培训，提高环保人员技术水平，提出环境监测计划。</w:t>
      </w:r>
    </w:p>
    <w:p w14:paraId="4538F210">
      <w:pPr>
        <w:keepNext w:val="0"/>
        <w:keepLines w:val="0"/>
        <w:pageBreakBefore w:val="0"/>
        <w:widowControl w:val="0"/>
        <w:kinsoku/>
        <w:wordWrap/>
        <w:overflowPunct/>
        <w:topLinePunct w:val="0"/>
        <w:bidi w:val="0"/>
        <w:adjustRightInd/>
        <w:snapToGrid/>
        <w:spacing w:line="360" w:lineRule="auto"/>
        <w:ind w:firstLine="49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（8）针对生产特点，制定相应的应急措施，避免重大环境安全事故的发生。</w:t>
      </w:r>
    </w:p>
    <w:p w14:paraId="45ECF979">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left"/>
        <w:textAlignment w:val="auto"/>
        <w:rPr>
          <w:rFonts w:hint="default" w:ascii="Times New Roman" w:hAnsi="Times New Roman" w:eastAsia="宋体" w:cs="Times New Roman"/>
          <w:bCs/>
          <w:color w:val="auto"/>
          <w:kern w:val="0"/>
          <w:sz w:val="24"/>
          <w:szCs w:val="24"/>
          <w:highlight w:val="none"/>
        </w:rPr>
      </w:pPr>
      <w:r>
        <w:rPr>
          <w:rFonts w:hint="default" w:ascii="Times New Roman" w:hAnsi="Times New Roman" w:eastAsia="宋体" w:cs="Times New Roman"/>
          <w:bCs/>
          <w:color w:val="auto"/>
          <w:kern w:val="0"/>
          <w:sz w:val="24"/>
          <w:szCs w:val="24"/>
          <w:highlight w:val="none"/>
        </w:rPr>
        <w:t>（9）定期向当地环保部门汇报本厂的环保工作情况。</w:t>
      </w:r>
    </w:p>
    <w:p w14:paraId="0FF95380">
      <w:pPr>
        <w:pStyle w:val="5"/>
        <w:bidi w:val="0"/>
        <w:rPr>
          <w:rFonts w:hint="default" w:ascii="Times New Roman" w:hAnsi="Times New Roman" w:cs="Times New Roman"/>
          <w:lang w:val="en-US" w:eastAsia="zh-CN"/>
        </w:rPr>
      </w:pPr>
      <w:bookmarkStart w:id="646" w:name="_Toc25568"/>
      <w:bookmarkStart w:id="647" w:name="_Toc18262"/>
      <w:bookmarkStart w:id="648" w:name="_Toc2369"/>
      <w:bookmarkStart w:id="649" w:name="_Toc30298"/>
      <w:bookmarkStart w:id="650" w:name="_Toc27314"/>
      <w:bookmarkStart w:id="651" w:name="_Toc29134"/>
      <w:bookmarkStart w:id="652" w:name="_Toc15415"/>
      <w:r>
        <w:rPr>
          <w:rFonts w:hint="default" w:ascii="Times New Roman" w:hAnsi="Times New Roman" w:cs="Times New Roman"/>
          <w:lang w:val="en-US" w:eastAsia="zh-CN"/>
        </w:rPr>
        <w:t>8.2环境管理要求</w:t>
      </w:r>
      <w:bookmarkEnd w:id="646"/>
      <w:bookmarkEnd w:id="647"/>
      <w:bookmarkEnd w:id="648"/>
      <w:bookmarkEnd w:id="649"/>
      <w:bookmarkEnd w:id="650"/>
      <w:bookmarkEnd w:id="651"/>
      <w:bookmarkEnd w:id="652"/>
    </w:p>
    <w:p w14:paraId="3C470AE0">
      <w:pPr>
        <w:spacing w:line="360" w:lineRule="auto"/>
        <w:ind w:firstLine="49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配合上级</w:t>
      </w:r>
      <w:r>
        <w:rPr>
          <w:rFonts w:hint="default" w:ascii="Times New Roman" w:hAnsi="Times New Roman" w:cs="Times New Roman"/>
          <w:color w:val="auto"/>
          <w:kern w:val="0"/>
          <w:sz w:val="24"/>
          <w:szCs w:val="24"/>
        </w:rPr>
        <w:t>生态环境主管部门</w:t>
      </w:r>
      <w:r>
        <w:rPr>
          <w:rFonts w:hint="default" w:ascii="Times New Roman" w:hAnsi="Times New Roman" w:cs="Times New Roman"/>
          <w:color w:val="auto"/>
          <w:sz w:val="24"/>
          <w:szCs w:val="24"/>
        </w:rPr>
        <w:t>和环境监测机构做好项目监测和日常管理；</w:t>
      </w:r>
    </w:p>
    <w:p w14:paraId="602BCE04">
      <w:pPr>
        <w:spacing w:line="360" w:lineRule="auto"/>
        <w:ind w:firstLine="49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按照ISO14001建立和健全环境管理体系；</w:t>
      </w:r>
    </w:p>
    <w:p w14:paraId="3577E2B5">
      <w:pPr>
        <w:spacing w:line="360" w:lineRule="auto"/>
        <w:ind w:firstLine="49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强化环保设施的管理，定期检查环保设施的运转情况，排除故障，保证环保设施的正常运转，保证污染物的达标排放。</w:t>
      </w:r>
    </w:p>
    <w:p w14:paraId="13A5E76E">
      <w:pPr>
        <w:keepNext w:val="0"/>
        <w:keepLines w:val="0"/>
        <w:pageBreakBefore w:val="0"/>
        <w:widowControl w:val="0"/>
        <w:kinsoku/>
        <w:wordWrap/>
        <w:overflowPunct/>
        <w:topLinePunct w:val="0"/>
        <w:bidi w:val="0"/>
        <w:adjustRightInd/>
        <w:snapToGrid/>
        <w:spacing w:line="360" w:lineRule="auto"/>
        <w:ind w:firstLine="49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加强厂区内及周围的绿化工作，制订绿化规划，尽量绿化厂区占地范围内的可绿化土地。</w:t>
      </w:r>
    </w:p>
    <w:p w14:paraId="3137276B">
      <w:pPr>
        <w:pStyle w:val="5"/>
        <w:bidi w:val="0"/>
        <w:rPr>
          <w:rFonts w:hint="default" w:ascii="Times New Roman" w:hAnsi="Times New Roman" w:cs="Times New Roman"/>
          <w:lang w:val="en-US" w:eastAsia="zh-CN"/>
        </w:rPr>
      </w:pPr>
      <w:bookmarkStart w:id="653" w:name="_Toc17854"/>
      <w:bookmarkStart w:id="654" w:name="_Toc10181"/>
      <w:bookmarkStart w:id="655" w:name="_Toc15656"/>
      <w:bookmarkStart w:id="656" w:name="_Toc18226"/>
      <w:bookmarkStart w:id="657" w:name="_Toc13279"/>
      <w:bookmarkStart w:id="658" w:name="_Toc4491"/>
      <w:bookmarkStart w:id="659" w:name="_Toc2788"/>
      <w:r>
        <w:rPr>
          <w:rFonts w:hint="default" w:ascii="Times New Roman" w:hAnsi="Times New Roman" w:cs="Times New Roman"/>
          <w:lang w:val="en-US" w:eastAsia="zh-CN"/>
        </w:rPr>
        <w:t>8.3环境信息公开</w:t>
      </w:r>
      <w:bookmarkEnd w:id="653"/>
      <w:bookmarkEnd w:id="654"/>
      <w:bookmarkEnd w:id="655"/>
      <w:bookmarkEnd w:id="656"/>
      <w:bookmarkEnd w:id="657"/>
      <w:bookmarkEnd w:id="658"/>
      <w:bookmarkEnd w:id="659"/>
    </w:p>
    <w:p w14:paraId="76FD3BBC">
      <w:pPr>
        <w:pStyle w:val="6"/>
        <w:bidi w:val="0"/>
        <w:rPr>
          <w:rFonts w:hint="default" w:ascii="Times New Roman" w:hAnsi="Times New Roman" w:cs="Times New Roman"/>
          <w:lang w:val="en-US" w:eastAsia="zh-CN"/>
        </w:rPr>
      </w:pPr>
      <w:bookmarkStart w:id="660" w:name="_Toc13163"/>
      <w:bookmarkStart w:id="661" w:name="_Toc30155"/>
      <w:bookmarkStart w:id="662" w:name="_Toc30679"/>
      <w:r>
        <w:rPr>
          <w:rFonts w:hint="default" w:ascii="Times New Roman" w:hAnsi="Times New Roman" w:cs="Times New Roman"/>
          <w:lang w:val="en-US" w:eastAsia="zh-CN"/>
        </w:rPr>
        <w:t>8.3.1公开内容</w:t>
      </w:r>
      <w:bookmarkEnd w:id="660"/>
      <w:bookmarkEnd w:id="661"/>
      <w:bookmarkEnd w:id="662"/>
    </w:p>
    <w:p w14:paraId="0EA97F62">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根据《企业事业单位环境信息公开办法》（环保部令第31号），排污单位</w:t>
      </w:r>
      <w:r>
        <w:rPr>
          <w:rFonts w:hint="default" w:ascii="Times New Roman" w:hAnsi="Times New Roman" w:cs="Times New Roman"/>
          <w:color w:val="auto"/>
          <w:sz w:val="24"/>
          <w:szCs w:val="24"/>
          <w:highlight w:val="none"/>
        </w:rPr>
        <w:t>应当向社会公开以下信息：</w:t>
      </w:r>
    </w:p>
    <w:p w14:paraId="634F77E7">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（一）基础信息：包括单位名称、组织机构代码、法定代表人、生产地址、联系方式，以及生产经营和管理服务的主要内容、产品及规模；</w:t>
      </w:r>
    </w:p>
    <w:p w14:paraId="54BE7C49">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（二）排污信息：包括主要污染物及特征污染物的名称、排放方式、排放口数量和分布情况、排放浓度和总量、超标情况，以及执行的污染物排放标准、核定的排放总量；</w:t>
      </w:r>
    </w:p>
    <w:p w14:paraId="15B84388">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（三）防治污染设施的建设和运行情况；</w:t>
      </w:r>
    </w:p>
    <w:p w14:paraId="7ECD9BB5">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（四）建设项目环境影响评价及其他环境保护行政许可情况；</w:t>
      </w:r>
    </w:p>
    <w:p w14:paraId="3354BF9E">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（五）突发环境事件应急预案；</w:t>
      </w:r>
    </w:p>
    <w:p w14:paraId="4B098627">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（六）公开其环境自行监测方案</w:t>
      </w:r>
      <w:r>
        <w:rPr>
          <w:rFonts w:hint="default" w:ascii="Times New Roman" w:hAnsi="Times New Roman" w:cs="Times New Roman"/>
          <w:color w:val="auto"/>
          <w:kern w:val="0"/>
          <w:sz w:val="24"/>
          <w:highlight w:val="none"/>
          <w:lang w:eastAsia="zh-CN"/>
        </w:rPr>
        <w:t>。</w:t>
      </w:r>
    </w:p>
    <w:p w14:paraId="712FC89F">
      <w:pPr>
        <w:pStyle w:val="6"/>
        <w:bidi w:val="0"/>
        <w:rPr>
          <w:rFonts w:hint="default" w:ascii="Times New Roman" w:hAnsi="Times New Roman" w:cs="Times New Roman"/>
          <w:lang w:val="en-US" w:eastAsia="zh-CN"/>
        </w:rPr>
      </w:pPr>
      <w:bookmarkStart w:id="663" w:name="_Toc25971"/>
      <w:bookmarkStart w:id="664" w:name="_Toc8797"/>
      <w:bookmarkStart w:id="665" w:name="_Toc17062"/>
      <w:r>
        <w:rPr>
          <w:rFonts w:hint="default" w:ascii="Times New Roman" w:hAnsi="Times New Roman" w:cs="Times New Roman"/>
          <w:lang w:val="en-US" w:eastAsia="zh-CN"/>
        </w:rPr>
        <w:t>8.3.2公开方式</w:t>
      </w:r>
      <w:bookmarkEnd w:id="663"/>
      <w:bookmarkEnd w:id="664"/>
      <w:bookmarkEnd w:id="665"/>
    </w:p>
    <w:p w14:paraId="7CEE13F1">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建设单位应当通过其网站、企业事业单位环境信息公开平台或者当地报刊等便于公众知晓的方式公开环境信息，同时可以采取以下一种或者几种方式予以公开：</w:t>
      </w:r>
    </w:p>
    <w:p w14:paraId="1EA618E4">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（一）公告或者公开发行的信息专刊；</w:t>
      </w:r>
    </w:p>
    <w:p w14:paraId="14D4150B">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（二）广播、电视等新闻媒体；</w:t>
      </w:r>
    </w:p>
    <w:p w14:paraId="2DD3F876">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（三）信息公开服务、监督热线电话；</w:t>
      </w:r>
    </w:p>
    <w:p w14:paraId="13B75D73">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（四）本单位的资料索取点、信息公开栏、信息亭、电子屏幕、电子触摸屏等场所或者设施；</w:t>
      </w:r>
    </w:p>
    <w:p w14:paraId="62350884">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（五）其他便于公众及时、准确获得信息的方式。</w:t>
      </w:r>
    </w:p>
    <w:p w14:paraId="0F0C7AF6">
      <w:pPr>
        <w:pStyle w:val="5"/>
        <w:bidi w:val="0"/>
        <w:rPr>
          <w:rFonts w:hint="default" w:ascii="Times New Roman" w:hAnsi="Times New Roman" w:cs="Times New Roman"/>
          <w:lang w:val="en-US" w:eastAsia="zh-CN"/>
        </w:rPr>
      </w:pPr>
      <w:bookmarkStart w:id="666" w:name="_Toc1822"/>
      <w:bookmarkStart w:id="667" w:name="_Toc2779"/>
      <w:bookmarkStart w:id="668" w:name="_Toc26234"/>
      <w:bookmarkStart w:id="669" w:name="_Toc22877"/>
      <w:bookmarkStart w:id="670" w:name="_Toc21304"/>
      <w:bookmarkStart w:id="671" w:name="_Toc21933"/>
      <w:bookmarkStart w:id="672" w:name="_Toc27365"/>
      <w:r>
        <w:rPr>
          <w:rFonts w:hint="default" w:ascii="Times New Roman" w:hAnsi="Times New Roman" w:cs="Times New Roman"/>
          <w:lang w:val="en-US" w:eastAsia="zh-CN"/>
        </w:rPr>
        <w:t>8.4施工期环境监理</w:t>
      </w:r>
      <w:bookmarkEnd w:id="666"/>
      <w:bookmarkEnd w:id="667"/>
      <w:bookmarkEnd w:id="668"/>
      <w:bookmarkEnd w:id="669"/>
      <w:bookmarkEnd w:id="670"/>
      <w:bookmarkEnd w:id="671"/>
      <w:bookmarkEnd w:id="672"/>
    </w:p>
    <w:p w14:paraId="247D0C52">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项目</w:t>
      </w:r>
      <w:r>
        <w:rPr>
          <w:rFonts w:hint="default" w:ascii="Times New Roman" w:hAnsi="Times New Roman" w:cs="Times New Roman"/>
          <w:color w:val="auto"/>
          <w:sz w:val="24"/>
          <w:szCs w:val="28"/>
          <w:highlight w:val="none"/>
          <w:lang w:val="en-US" w:eastAsia="zh-CN"/>
        </w:rPr>
        <w:t>施工期</w:t>
      </w:r>
      <w:r>
        <w:rPr>
          <w:rFonts w:hint="default" w:ascii="Times New Roman" w:hAnsi="Times New Roman" w:cs="Times New Roman"/>
          <w:color w:val="auto"/>
          <w:sz w:val="24"/>
          <w:szCs w:val="28"/>
          <w:highlight w:val="none"/>
        </w:rPr>
        <w:t>环境监理对环保工作的重视和负责程度，关系到项目在施工阶段环保措施的具体落实。施工监理的环保工作主要为以下内容：</w:t>
      </w:r>
    </w:p>
    <w:p w14:paraId="106DC8C7">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lang w:eastAsia="zh-CN"/>
        </w:rPr>
        <w:t>（</w:t>
      </w:r>
      <w:r>
        <w:rPr>
          <w:rFonts w:hint="default" w:ascii="Times New Roman" w:hAnsi="Times New Roman" w:cs="Times New Roman"/>
          <w:color w:val="auto"/>
          <w:sz w:val="24"/>
          <w:szCs w:val="28"/>
          <w:highlight w:val="none"/>
          <w:lang w:val="en-US" w:eastAsia="zh-CN"/>
        </w:rPr>
        <w:t>1</w:t>
      </w:r>
      <w:r>
        <w:rPr>
          <w:rFonts w:hint="default" w:ascii="Times New Roman" w:hAnsi="Times New Roman" w:cs="Times New Roman"/>
          <w:color w:val="auto"/>
          <w:sz w:val="24"/>
          <w:szCs w:val="28"/>
          <w:highlight w:val="none"/>
          <w:lang w:eastAsia="zh-CN"/>
        </w:rPr>
        <w:t>）</w:t>
      </w:r>
      <w:r>
        <w:rPr>
          <w:rFonts w:hint="default" w:ascii="Times New Roman" w:hAnsi="Times New Roman" w:cs="Times New Roman"/>
          <w:color w:val="auto"/>
          <w:sz w:val="24"/>
          <w:szCs w:val="28"/>
          <w:highlight w:val="none"/>
        </w:rPr>
        <w:t>熟悉项目环评报告，了解项目环境敏感问题和应采取的对策措施。</w:t>
      </w:r>
    </w:p>
    <w:p w14:paraId="3AECD7C6">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lang w:eastAsia="zh-CN"/>
        </w:rPr>
        <w:t>（</w:t>
      </w:r>
      <w:r>
        <w:rPr>
          <w:rFonts w:hint="default" w:ascii="Times New Roman" w:hAnsi="Times New Roman" w:cs="Times New Roman"/>
          <w:color w:val="auto"/>
          <w:sz w:val="24"/>
          <w:szCs w:val="28"/>
          <w:highlight w:val="none"/>
          <w:lang w:val="en-US" w:eastAsia="zh-CN"/>
        </w:rPr>
        <w:t>2</w:t>
      </w:r>
      <w:r>
        <w:rPr>
          <w:rFonts w:hint="default" w:ascii="Times New Roman" w:hAnsi="Times New Roman" w:cs="Times New Roman"/>
          <w:color w:val="auto"/>
          <w:sz w:val="24"/>
          <w:szCs w:val="28"/>
          <w:highlight w:val="none"/>
          <w:lang w:eastAsia="zh-CN"/>
        </w:rPr>
        <w:t>）</w:t>
      </w:r>
      <w:r>
        <w:rPr>
          <w:rFonts w:hint="default" w:ascii="Times New Roman" w:hAnsi="Times New Roman" w:cs="Times New Roman"/>
          <w:color w:val="auto"/>
          <w:sz w:val="24"/>
          <w:szCs w:val="28"/>
          <w:highlight w:val="none"/>
        </w:rPr>
        <w:t>审查项目设计环保方案及相应的环保费用，保证环保措施落实。</w:t>
      </w:r>
    </w:p>
    <w:p w14:paraId="45D5B1C3">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lang w:eastAsia="zh-CN"/>
        </w:rPr>
        <w:t>（</w:t>
      </w:r>
      <w:r>
        <w:rPr>
          <w:rFonts w:hint="default" w:ascii="Times New Roman" w:hAnsi="Times New Roman" w:cs="Times New Roman"/>
          <w:color w:val="auto"/>
          <w:sz w:val="24"/>
          <w:szCs w:val="28"/>
          <w:highlight w:val="none"/>
          <w:lang w:val="en-US" w:eastAsia="zh-CN"/>
        </w:rPr>
        <w:t>3</w:t>
      </w:r>
      <w:r>
        <w:rPr>
          <w:rFonts w:hint="default" w:ascii="Times New Roman" w:hAnsi="Times New Roman" w:cs="Times New Roman"/>
          <w:color w:val="auto"/>
          <w:sz w:val="24"/>
          <w:szCs w:val="28"/>
          <w:highlight w:val="none"/>
          <w:lang w:eastAsia="zh-CN"/>
        </w:rPr>
        <w:t>）</w:t>
      </w:r>
      <w:r>
        <w:rPr>
          <w:rFonts w:hint="default" w:ascii="Times New Roman" w:hAnsi="Times New Roman" w:cs="Times New Roman"/>
          <w:color w:val="auto"/>
          <w:sz w:val="24"/>
          <w:szCs w:val="28"/>
          <w:highlight w:val="none"/>
        </w:rPr>
        <w:t>监督建设方将环保内容和有关费用写入相关承包合同。</w:t>
      </w:r>
    </w:p>
    <w:p w14:paraId="3E8A17D1">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施工期环境监理计划一览表见表</w:t>
      </w:r>
      <w:r>
        <w:rPr>
          <w:rFonts w:hint="default" w:ascii="Times New Roman" w:hAnsi="Times New Roman" w:cs="Times New Roman"/>
          <w:color w:val="auto"/>
          <w:sz w:val="24"/>
          <w:szCs w:val="28"/>
          <w:highlight w:val="none"/>
          <w:lang w:val="en-US" w:eastAsia="zh-CN"/>
        </w:rPr>
        <w:t>8.4</w:t>
      </w:r>
      <w:r>
        <w:rPr>
          <w:rFonts w:hint="default" w:ascii="Times New Roman" w:hAnsi="Times New Roman" w:cs="Times New Roman"/>
          <w:color w:val="auto"/>
          <w:sz w:val="24"/>
          <w:szCs w:val="28"/>
          <w:highlight w:val="none"/>
        </w:rPr>
        <w:t>-1。</w:t>
      </w:r>
    </w:p>
    <w:p w14:paraId="52CDA44A">
      <w:pPr>
        <w:spacing w:line="360" w:lineRule="auto"/>
        <w:jc w:val="center"/>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表8.4-1    项目施工期环境监理计划一览表</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161"/>
        <w:gridCol w:w="6620"/>
        <w:gridCol w:w="1052"/>
      </w:tblGrid>
      <w:tr w14:paraId="0003E7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gridSpan w:val="2"/>
            <w:tcBorders>
              <w:tl2br w:val="nil"/>
              <w:tr2bl w:val="nil"/>
            </w:tcBorders>
            <w:noWrap w:val="0"/>
            <w:vAlign w:val="center"/>
          </w:tcPr>
          <w:p w14:paraId="06C89839">
            <w:pPr>
              <w:tabs>
                <w:tab w:val="left" w:pos="360"/>
              </w:tabs>
              <w:spacing w:line="276"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环境问题</w:t>
            </w:r>
          </w:p>
        </w:tc>
        <w:tc>
          <w:tcPr>
            <w:tcW w:w="3564" w:type="pct"/>
            <w:tcBorders>
              <w:tl2br w:val="nil"/>
              <w:tr2bl w:val="nil"/>
            </w:tcBorders>
            <w:noWrap w:val="0"/>
            <w:tcMar>
              <w:left w:w="28" w:type="dxa"/>
              <w:right w:w="28" w:type="dxa"/>
            </w:tcMar>
            <w:vAlign w:val="center"/>
          </w:tcPr>
          <w:p w14:paraId="394832D7">
            <w:pPr>
              <w:tabs>
                <w:tab w:val="left" w:pos="360"/>
              </w:tabs>
              <w:spacing w:line="276"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具体环保措施</w:t>
            </w:r>
          </w:p>
        </w:tc>
        <w:tc>
          <w:tcPr>
            <w:tcW w:w="566" w:type="pct"/>
            <w:tcBorders>
              <w:tl2br w:val="nil"/>
              <w:tr2bl w:val="nil"/>
            </w:tcBorders>
            <w:noWrap w:val="0"/>
            <w:vAlign w:val="center"/>
          </w:tcPr>
          <w:p w14:paraId="2BE3F7E9">
            <w:pPr>
              <w:tabs>
                <w:tab w:val="left" w:pos="360"/>
              </w:tabs>
              <w:spacing w:line="276"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执行单位</w:t>
            </w:r>
          </w:p>
        </w:tc>
      </w:tr>
      <w:tr w14:paraId="1D79FB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restart"/>
            <w:tcBorders>
              <w:tl2br w:val="nil"/>
              <w:tr2bl w:val="nil"/>
            </w:tcBorders>
            <w:noWrap w:val="0"/>
            <w:vAlign w:val="center"/>
          </w:tcPr>
          <w:p w14:paraId="05D7C8FA">
            <w:pPr>
              <w:tabs>
                <w:tab w:val="left" w:pos="360"/>
              </w:tabs>
              <w:spacing w:line="276"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施工期</w:t>
            </w:r>
          </w:p>
        </w:tc>
        <w:tc>
          <w:tcPr>
            <w:tcW w:w="625" w:type="pct"/>
            <w:tcBorders>
              <w:tl2br w:val="nil"/>
              <w:tr2bl w:val="nil"/>
            </w:tcBorders>
            <w:noWrap w:val="0"/>
            <w:tcMar>
              <w:left w:w="28" w:type="dxa"/>
              <w:right w:w="28" w:type="dxa"/>
            </w:tcMar>
            <w:vAlign w:val="center"/>
          </w:tcPr>
          <w:p w14:paraId="2976B060">
            <w:pPr>
              <w:tabs>
                <w:tab w:val="left" w:pos="360"/>
              </w:tabs>
              <w:spacing w:line="276"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施工期大气</w:t>
            </w:r>
          </w:p>
        </w:tc>
        <w:tc>
          <w:tcPr>
            <w:tcW w:w="3564" w:type="pct"/>
            <w:tcBorders>
              <w:tl2br w:val="nil"/>
              <w:tr2bl w:val="nil"/>
            </w:tcBorders>
            <w:noWrap w:val="0"/>
            <w:tcMar>
              <w:left w:w="28" w:type="dxa"/>
              <w:right w:w="28" w:type="dxa"/>
            </w:tcMar>
            <w:vAlign w:val="center"/>
          </w:tcPr>
          <w:p w14:paraId="36B1FC66">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（1）在施工场地安排专门员工对施工场地洒水以减少扬尘量，洒水次数根据天气状况而定，一般每天不少于2次；若遇到大风或干燥天气适当增加洒水次数。</w:t>
            </w:r>
          </w:p>
          <w:p w14:paraId="71CE3B23">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（2）对作业面和临时土堆适当洒水，保持一定的湿度，施工便道应进行夯实硬化处理，减少起尘量。</w:t>
            </w:r>
          </w:p>
          <w:p w14:paraId="53F43C9A">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（3）场地内土堆、料堆要进行遮盖，防止扬尘的扩散。建议多用商品（湿）水泥和水泥预制品，尽量少用干水泥。</w:t>
            </w:r>
          </w:p>
          <w:p w14:paraId="3E78E0EE">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（4）车辆运输建筑材料及建筑垃圾时必须加盖封闭运输，减少抛洒。</w:t>
            </w:r>
          </w:p>
          <w:p w14:paraId="7510B5F6">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（5）尽量避免在大风天气下进行施工作业。</w:t>
            </w:r>
          </w:p>
          <w:p w14:paraId="707222B3">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（6）临时表土堆场采取拦挡、使用土工布覆盖，减少扬尘产生。</w:t>
            </w:r>
          </w:p>
          <w:p w14:paraId="04E3D56F">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（7）车辆进出施工场地前后必须对车轮进行冲洗。</w:t>
            </w:r>
          </w:p>
          <w:p w14:paraId="5B6034C4">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（8）施工工地周边100%围挡</w:t>
            </w:r>
          </w:p>
          <w:p w14:paraId="35536B4B">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（9）物料堆放100%覆盖</w:t>
            </w:r>
          </w:p>
          <w:p w14:paraId="0235BF1B">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①施工现场建筑材料、构配件、施工设备等应按施工现场平面布置图确定的位置放置，对渣土、水泥等易产生扬尘的建筑材料，应严密遮盖或存放库房内；</w:t>
            </w:r>
          </w:p>
          <w:p w14:paraId="1405AE84">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②专门设置集中堆放建筑垃圾、渣土的场地；不能按时完成清运的，应及时覆盖；</w:t>
            </w:r>
          </w:p>
          <w:p w14:paraId="76271D2E">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（10）出入车辆100%冲洗</w:t>
            </w:r>
          </w:p>
          <w:p w14:paraId="4382D2B5">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①施工现场的出入口均应设置车辆冲洗台，四周设置排水沟，上盖钢篦，设置两级沉淀池，排水沟与沉淀池相连，沉淀池大小应满足冲洗要求； </w:t>
            </w:r>
          </w:p>
          <w:p w14:paraId="5D2D3C7E">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②配备高压冲洗设备或设置自动冲洗台；应配备保洁员负责车辆、进出道路的冲洗、清扫和保洁工作；</w:t>
            </w:r>
          </w:p>
          <w:p w14:paraId="6F8B6F70">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③运输车出场前应冲洗干净确保车轮、车身不带泥；</w:t>
            </w:r>
          </w:p>
          <w:p w14:paraId="17008BF2">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④应建立车辆冲洗台账；</w:t>
            </w:r>
          </w:p>
          <w:p w14:paraId="55E6911E">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⑤不具备设置冲洗台条件的，在工地出入口采取设麻袋、安排保洁人员及时清理等措施。</w:t>
            </w:r>
          </w:p>
          <w:p w14:paraId="5F59BA1B">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（11）施工现场地面100%硬化</w:t>
            </w:r>
          </w:p>
          <w:p w14:paraId="0141E7C2">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施工现场出入口、操作场地、材料堆场、生活区、场内道路等应采取铺设钢板、水泥混凝土、沥青混凝土或焦渣、细石或其它功能相当的材料进行硬化，并辅以洒水、喷洒抑尘剂等其他有效的防尘措施，保证不扬尘、不泥泞；场地硬化的强度、厚度、宽度应满足安全通行卫生保洁的需要。</w:t>
            </w:r>
          </w:p>
          <w:p w14:paraId="536ABBC0">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（12）渣土车辆100%密闭运输。</w:t>
            </w:r>
          </w:p>
          <w:p w14:paraId="1CCA8FD2">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根据类似工程及实践经验，施工现场进行洒水降尘、料堆渣堆进行遮盖、车辆限速行驶等防治措施可大幅度减少扬尘产生量，措施简单有效，经济可行。</w:t>
            </w:r>
          </w:p>
        </w:tc>
        <w:tc>
          <w:tcPr>
            <w:tcW w:w="566" w:type="pct"/>
            <w:vMerge w:val="restart"/>
            <w:tcBorders>
              <w:tl2br w:val="nil"/>
              <w:tr2bl w:val="nil"/>
            </w:tcBorders>
            <w:noWrap w:val="0"/>
            <w:vAlign w:val="center"/>
          </w:tcPr>
          <w:p w14:paraId="3AB8B854">
            <w:pPr>
              <w:keepNext w:val="0"/>
              <w:keepLines w:val="0"/>
              <w:pageBreakBefore w:val="0"/>
              <w:widowControl w:val="0"/>
              <w:tabs>
                <w:tab w:val="left" w:pos="36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云南仙福矿冶</w:t>
            </w:r>
            <w:r>
              <w:rPr>
                <w:rFonts w:hint="default" w:ascii="Times New Roman" w:hAnsi="Times New Roman" w:cs="Times New Roman"/>
                <w:color w:val="auto"/>
                <w:sz w:val="18"/>
                <w:szCs w:val="16"/>
                <w:lang w:val="en-US" w:eastAsia="zh-CN"/>
              </w:rPr>
              <w:t>有限公司</w:t>
            </w:r>
          </w:p>
        </w:tc>
      </w:tr>
      <w:tr w14:paraId="3DEC25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tcBorders>
              <w:tl2br w:val="nil"/>
              <w:tr2bl w:val="nil"/>
            </w:tcBorders>
            <w:noWrap w:val="0"/>
            <w:vAlign w:val="top"/>
          </w:tcPr>
          <w:p w14:paraId="57D0FE9C">
            <w:pPr>
              <w:spacing w:line="276" w:lineRule="auto"/>
              <w:ind w:left="1050"/>
              <w:jc w:val="left"/>
              <w:rPr>
                <w:rFonts w:hint="default" w:ascii="Times New Roman" w:hAnsi="Times New Roman" w:cs="Times New Roman"/>
                <w:color w:val="auto"/>
                <w:sz w:val="18"/>
                <w:szCs w:val="18"/>
                <w:highlight w:val="none"/>
              </w:rPr>
            </w:pPr>
          </w:p>
        </w:tc>
        <w:tc>
          <w:tcPr>
            <w:tcW w:w="625" w:type="pct"/>
            <w:tcBorders>
              <w:tl2br w:val="nil"/>
              <w:tr2bl w:val="nil"/>
            </w:tcBorders>
            <w:noWrap w:val="0"/>
            <w:tcMar>
              <w:left w:w="28" w:type="dxa"/>
              <w:right w:w="28" w:type="dxa"/>
            </w:tcMar>
            <w:vAlign w:val="center"/>
          </w:tcPr>
          <w:p w14:paraId="54041862">
            <w:pPr>
              <w:tabs>
                <w:tab w:val="left" w:pos="360"/>
              </w:tabs>
              <w:spacing w:line="276"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施工期噪声</w:t>
            </w:r>
          </w:p>
        </w:tc>
        <w:tc>
          <w:tcPr>
            <w:tcW w:w="3564" w:type="pct"/>
            <w:tcBorders>
              <w:tl2br w:val="nil"/>
              <w:tr2bl w:val="nil"/>
            </w:tcBorders>
            <w:noWrap w:val="0"/>
            <w:tcMar>
              <w:left w:w="28" w:type="dxa"/>
              <w:right w:w="28" w:type="dxa"/>
            </w:tcMar>
            <w:vAlign w:val="center"/>
          </w:tcPr>
          <w:p w14:paraId="5F0DE648">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（1）施工过程中，应根据机械设备产噪特点，合理安排施工时间；</w:t>
            </w:r>
          </w:p>
          <w:p w14:paraId="39DCAF78">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（2）运输车辆在途经声环境敏感路段时要限速行驶、禁止鸣笛；</w:t>
            </w:r>
          </w:p>
          <w:p w14:paraId="1D317CFF">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（3）高噪声设备设置简易房隔声。</w:t>
            </w:r>
          </w:p>
        </w:tc>
        <w:tc>
          <w:tcPr>
            <w:tcW w:w="566" w:type="pct"/>
            <w:vMerge w:val="continue"/>
            <w:tcBorders>
              <w:tl2br w:val="nil"/>
              <w:tr2bl w:val="nil"/>
            </w:tcBorders>
            <w:noWrap w:val="0"/>
            <w:vAlign w:val="top"/>
          </w:tcPr>
          <w:p w14:paraId="2880C714">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p>
        </w:tc>
      </w:tr>
      <w:tr w14:paraId="4ECA34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tcBorders>
              <w:tl2br w:val="nil"/>
              <w:tr2bl w:val="nil"/>
            </w:tcBorders>
            <w:noWrap w:val="0"/>
            <w:vAlign w:val="top"/>
          </w:tcPr>
          <w:p w14:paraId="459BFCFB">
            <w:pPr>
              <w:spacing w:line="276" w:lineRule="auto"/>
              <w:ind w:left="1050"/>
              <w:jc w:val="left"/>
              <w:rPr>
                <w:rFonts w:hint="default" w:ascii="Times New Roman" w:hAnsi="Times New Roman" w:cs="Times New Roman"/>
                <w:color w:val="auto"/>
                <w:sz w:val="18"/>
                <w:szCs w:val="18"/>
                <w:highlight w:val="none"/>
              </w:rPr>
            </w:pPr>
          </w:p>
        </w:tc>
        <w:tc>
          <w:tcPr>
            <w:tcW w:w="625" w:type="pct"/>
            <w:tcBorders>
              <w:tl2br w:val="nil"/>
              <w:tr2bl w:val="nil"/>
            </w:tcBorders>
            <w:noWrap w:val="0"/>
            <w:tcMar>
              <w:left w:w="28" w:type="dxa"/>
              <w:right w:w="28" w:type="dxa"/>
            </w:tcMar>
            <w:vAlign w:val="center"/>
          </w:tcPr>
          <w:p w14:paraId="42964971">
            <w:pPr>
              <w:tabs>
                <w:tab w:val="left" w:pos="360"/>
              </w:tabs>
              <w:spacing w:line="276"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施工期废水</w:t>
            </w:r>
          </w:p>
        </w:tc>
        <w:tc>
          <w:tcPr>
            <w:tcW w:w="3564" w:type="pct"/>
            <w:tcBorders>
              <w:tl2br w:val="nil"/>
              <w:tr2bl w:val="nil"/>
            </w:tcBorders>
            <w:noWrap w:val="0"/>
            <w:tcMar>
              <w:left w:w="28" w:type="dxa"/>
              <w:right w:w="28" w:type="dxa"/>
            </w:tcMar>
            <w:vAlign w:val="center"/>
          </w:tcPr>
          <w:p w14:paraId="06771B59">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1、施工废水</w:t>
            </w:r>
          </w:p>
          <w:p w14:paraId="5CCFCB1E">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建筑施工废水中含有大量的泥沙。本环评要求在施工场地修建沉淀池，对施工废水进行收集，经沉淀后回用或者用于道路洒水降尘。</w:t>
            </w:r>
          </w:p>
          <w:p w14:paraId="2A2B02D7">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2、生活污水</w:t>
            </w:r>
          </w:p>
          <w:p w14:paraId="72D614F7">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项目施工期生活污水产生量很少，回收于临时沉淀池内，用于场地洒水降尘，不外排。</w:t>
            </w:r>
          </w:p>
          <w:p w14:paraId="57843D6D">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3、暴雨径流</w:t>
            </w:r>
          </w:p>
          <w:p w14:paraId="1F9931F6">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施工期雨水径流通过临时排水沟收集进入临时沉淀池沉淀后回用于非雨天的洒水降尘及施工用水，不外排。合理安排施工工期，避免在暴雨天进行作业。</w:t>
            </w:r>
          </w:p>
        </w:tc>
        <w:tc>
          <w:tcPr>
            <w:tcW w:w="566" w:type="pct"/>
            <w:vMerge w:val="continue"/>
            <w:tcBorders>
              <w:tl2br w:val="nil"/>
              <w:tr2bl w:val="nil"/>
            </w:tcBorders>
            <w:noWrap w:val="0"/>
            <w:vAlign w:val="top"/>
          </w:tcPr>
          <w:p w14:paraId="7C428FD0">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p>
        </w:tc>
      </w:tr>
      <w:tr w14:paraId="237715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tcBorders>
              <w:tl2br w:val="nil"/>
              <w:tr2bl w:val="nil"/>
            </w:tcBorders>
            <w:noWrap w:val="0"/>
            <w:vAlign w:val="top"/>
          </w:tcPr>
          <w:p w14:paraId="25F89735">
            <w:pPr>
              <w:spacing w:line="276" w:lineRule="auto"/>
              <w:ind w:left="1050"/>
              <w:jc w:val="left"/>
              <w:rPr>
                <w:rFonts w:hint="default" w:ascii="Times New Roman" w:hAnsi="Times New Roman" w:cs="Times New Roman"/>
                <w:color w:val="auto"/>
                <w:sz w:val="18"/>
                <w:szCs w:val="18"/>
                <w:highlight w:val="none"/>
              </w:rPr>
            </w:pPr>
          </w:p>
        </w:tc>
        <w:tc>
          <w:tcPr>
            <w:tcW w:w="625" w:type="pct"/>
            <w:tcBorders>
              <w:tl2br w:val="nil"/>
              <w:tr2bl w:val="nil"/>
            </w:tcBorders>
            <w:noWrap w:val="0"/>
            <w:tcMar>
              <w:left w:w="28" w:type="dxa"/>
              <w:right w:w="28" w:type="dxa"/>
            </w:tcMar>
            <w:vAlign w:val="center"/>
          </w:tcPr>
          <w:p w14:paraId="20BCCFCC">
            <w:pPr>
              <w:tabs>
                <w:tab w:val="left" w:pos="360"/>
              </w:tabs>
              <w:spacing w:line="276"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施工期固体废弃物</w:t>
            </w:r>
          </w:p>
        </w:tc>
        <w:tc>
          <w:tcPr>
            <w:tcW w:w="3564" w:type="pct"/>
            <w:tcBorders>
              <w:tl2br w:val="nil"/>
              <w:tr2bl w:val="nil"/>
            </w:tcBorders>
            <w:noWrap w:val="0"/>
            <w:tcMar>
              <w:left w:w="28" w:type="dxa"/>
              <w:right w:w="28" w:type="dxa"/>
            </w:tcMar>
            <w:vAlign w:val="center"/>
          </w:tcPr>
          <w:p w14:paraId="35952FB7">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（1）施工期基础开挖产生的土石方实现场内平衡，剥离表土临时堆存场内，用于后期绿化覆土，表土堆场采取拦挡及土工布覆盖；</w:t>
            </w:r>
          </w:p>
          <w:p w14:paraId="502CED66">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（2）施工产生的建筑垃圾尽量回收可利用废物，不能回用的建筑垃圾用于场内道路铺设或妥善处置，严禁随意堆弃；</w:t>
            </w:r>
          </w:p>
          <w:p w14:paraId="6E2C88FC">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r>
              <w:rPr>
                <w:rFonts w:hint="default" w:ascii="Times New Roman" w:hAnsi="Times New Roman" w:eastAsia="宋体" w:cs="Times New Roman"/>
                <w:color w:val="auto"/>
                <w:sz w:val="18"/>
                <w:szCs w:val="16"/>
                <w:lang w:val="en-US" w:eastAsia="zh-CN"/>
              </w:rPr>
              <w:t>（3）施工期产生的生活垃圾</w:t>
            </w:r>
            <w:r>
              <w:rPr>
                <w:rFonts w:hint="default" w:ascii="Times New Roman" w:hAnsi="Times New Roman" w:cs="Times New Roman"/>
                <w:color w:val="auto"/>
                <w:sz w:val="18"/>
                <w:szCs w:val="18"/>
                <w:lang w:val="en-US" w:eastAsia="zh-CN"/>
              </w:rPr>
              <w:t>依托鲁奎山铁矿垃圾池收集，定期清运至扬武镇生活垃圾集中收集点，统一处置。</w:t>
            </w:r>
          </w:p>
        </w:tc>
        <w:tc>
          <w:tcPr>
            <w:tcW w:w="566" w:type="pct"/>
            <w:vMerge w:val="continue"/>
            <w:tcBorders>
              <w:tl2br w:val="nil"/>
              <w:tr2bl w:val="nil"/>
            </w:tcBorders>
            <w:noWrap w:val="0"/>
            <w:vAlign w:val="top"/>
          </w:tcPr>
          <w:p w14:paraId="4A02F284">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eastAsia="宋体" w:cs="Times New Roman"/>
                <w:color w:val="auto"/>
                <w:sz w:val="18"/>
                <w:szCs w:val="16"/>
                <w:lang w:val="en-US" w:eastAsia="zh-CN"/>
              </w:rPr>
            </w:pPr>
          </w:p>
        </w:tc>
      </w:tr>
      <w:tr w14:paraId="02005D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tcBorders>
              <w:tl2br w:val="nil"/>
              <w:tr2bl w:val="nil"/>
            </w:tcBorders>
            <w:noWrap w:val="0"/>
            <w:vAlign w:val="top"/>
          </w:tcPr>
          <w:p w14:paraId="694620FD">
            <w:pPr>
              <w:spacing w:line="276" w:lineRule="auto"/>
              <w:ind w:left="1050"/>
              <w:jc w:val="left"/>
              <w:rPr>
                <w:rFonts w:hint="default" w:ascii="Times New Roman" w:hAnsi="Times New Roman" w:cs="Times New Roman"/>
                <w:color w:val="auto"/>
                <w:sz w:val="18"/>
                <w:szCs w:val="18"/>
                <w:highlight w:val="none"/>
              </w:rPr>
            </w:pPr>
          </w:p>
        </w:tc>
        <w:tc>
          <w:tcPr>
            <w:tcW w:w="625" w:type="pct"/>
            <w:tcBorders>
              <w:tl2br w:val="nil"/>
              <w:tr2bl w:val="nil"/>
            </w:tcBorders>
            <w:noWrap w:val="0"/>
            <w:tcMar>
              <w:left w:w="28" w:type="dxa"/>
              <w:right w:w="28" w:type="dxa"/>
            </w:tcMar>
            <w:vAlign w:val="center"/>
          </w:tcPr>
          <w:p w14:paraId="3AC0D4C5">
            <w:pPr>
              <w:tabs>
                <w:tab w:val="left" w:pos="360"/>
              </w:tabs>
              <w:spacing w:line="276"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施工期地下水防渗工程</w:t>
            </w:r>
          </w:p>
        </w:tc>
        <w:tc>
          <w:tcPr>
            <w:tcW w:w="3564" w:type="pct"/>
            <w:tcBorders>
              <w:tl2br w:val="nil"/>
              <w:tr2bl w:val="nil"/>
            </w:tcBorders>
            <w:noWrap w:val="0"/>
            <w:tcMar>
              <w:left w:w="28" w:type="dxa"/>
              <w:right w:w="28" w:type="dxa"/>
            </w:tcMar>
            <w:vAlign w:val="center"/>
          </w:tcPr>
          <w:p w14:paraId="0BF6EA42">
            <w:pPr>
              <w:keepNext w:val="0"/>
              <w:keepLines w:val="0"/>
              <w:pageBreakBefore w:val="0"/>
              <w:widowControl w:val="0"/>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6"/>
                <w:lang w:val="en-US" w:eastAsia="zh-CN"/>
              </w:rPr>
              <w:t>①</w:t>
            </w:r>
            <w:r>
              <w:rPr>
                <w:rFonts w:hint="default" w:ascii="Times New Roman" w:hAnsi="Times New Roman" w:cs="Times New Roman"/>
                <w:color w:val="auto"/>
                <w:sz w:val="18"/>
                <w:szCs w:val="18"/>
                <w:highlight w:val="none"/>
              </w:rPr>
              <w:t>工程材料的质量控制；</w:t>
            </w:r>
          </w:p>
          <w:p w14:paraId="2D4D7102">
            <w:pPr>
              <w:keepNext w:val="0"/>
              <w:keepLines w:val="0"/>
              <w:pageBreakBefore w:val="0"/>
              <w:widowControl w:val="0"/>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6"/>
                <w:lang w:val="en-US" w:eastAsia="zh-CN"/>
              </w:rPr>
              <w:t>②</w:t>
            </w:r>
            <w:r>
              <w:rPr>
                <w:rFonts w:hint="default" w:ascii="Times New Roman" w:hAnsi="Times New Roman" w:cs="Times New Roman"/>
                <w:color w:val="auto"/>
                <w:sz w:val="18"/>
                <w:szCs w:val="18"/>
                <w:highlight w:val="none"/>
              </w:rPr>
              <w:t>防渗隐蔽工程留设影像资料。</w:t>
            </w:r>
          </w:p>
        </w:tc>
        <w:tc>
          <w:tcPr>
            <w:tcW w:w="566" w:type="pct"/>
            <w:vMerge w:val="continue"/>
            <w:tcBorders>
              <w:tl2br w:val="nil"/>
              <w:tr2bl w:val="nil"/>
            </w:tcBorders>
            <w:noWrap w:val="0"/>
            <w:vAlign w:val="top"/>
          </w:tcPr>
          <w:p w14:paraId="72C80AB6">
            <w:pPr>
              <w:spacing w:line="276" w:lineRule="auto"/>
              <w:rPr>
                <w:rFonts w:hint="default" w:ascii="Times New Roman" w:hAnsi="Times New Roman" w:cs="Times New Roman"/>
                <w:color w:val="auto"/>
                <w:sz w:val="18"/>
                <w:szCs w:val="18"/>
                <w:highlight w:val="none"/>
              </w:rPr>
            </w:pPr>
          </w:p>
        </w:tc>
      </w:tr>
    </w:tbl>
    <w:p w14:paraId="212770FD">
      <w:pPr>
        <w:pStyle w:val="5"/>
        <w:bidi w:val="0"/>
        <w:rPr>
          <w:rFonts w:hint="default" w:ascii="Times New Roman" w:hAnsi="Times New Roman" w:cs="Times New Roman"/>
          <w:lang w:val="en-US" w:eastAsia="zh-CN"/>
        </w:rPr>
      </w:pPr>
      <w:bookmarkStart w:id="673" w:name="_Toc13945"/>
      <w:bookmarkStart w:id="674" w:name="_Toc11712"/>
      <w:bookmarkStart w:id="675" w:name="_Toc27121"/>
      <w:bookmarkStart w:id="676" w:name="_Toc22532"/>
      <w:bookmarkStart w:id="677" w:name="_Toc12906"/>
      <w:bookmarkStart w:id="678" w:name="_Toc13890"/>
      <w:bookmarkStart w:id="679" w:name="_Toc7493"/>
      <w:bookmarkStart w:id="680" w:name="_Toc6011"/>
      <w:bookmarkStart w:id="681" w:name="_Toc29979"/>
      <w:bookmarkStart w:id="682" w:name="_Toc96087639"/>
      <w:bookmarkStart w:id="683" w:name="_Toc3784390"/>
      <w:bookmarkStart w:id="684" w:name="_Toc130466143"/>
      <w:bookmarkStart w:id="685" w:name="_Toc19336"/>
      <w:r>
        <w:rPr>
          <w:rFonts w:hint="default" w:ascii="Times New Roman" w:hAnsi="Times New Roman" w:cs="Times New Roman"/>
          <w:lang w:val="en-US" w:eastAsia="zh-CN"/>
        </w:rPr>
        <w:t>8.5环境监测计划</w:t>
      </w:r>
      <w:bookmarkEnd w:id="673"/>
      <w:bookmarkEnd w:id="674"/>
      <w:bookmarkEnd w:id="675"/>
      <w:bookmarkEnd w:id="676"/>
      <w:bookmarkEnd w:id="677"/>
      <w:bookmarkEnd w:id="678"/>
      <w:bookmarkEnd w:id="679"/>
    </w:p>
    <w:p w14:paraId="7D7F5434">
      <w:pPr>
        <w:autoSpaceDE w:val="0"/>
        <w:autoSpaceDN w:val="0"/>
        <w:adjustRightInd w:val="0"/>
        <w:spacing w:line="360" w:lineRule="auto"/>
        <w:ind w:firstLine="490" w:firstLineChars="200"/>
        <w:jc w:val="both"/>
        <w:rPr>
          <w:rFonts w:hint="default" w:ascii="Times New Roman" w:hAnsi="Times New Roman" w:eastAsia="宋体" w:cs="Times New Roman"/>
          <w:caps/>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0"/>
          <w:highlight w:val="none"/>
        </w:rPr>
        <w:t>环境监测是环境管理的基础，是开展环境科学研究、防止环境破坏和污染的重要依据。进行环境监测的主要任务是检查工程运行时，企业所产生的主要污染源经治理后是否达到了国家规定的排放标准，找出工程排污和环境质量的演变规律，为环境管理和污染治理提供依据</w:t>
      </w:r>
      <w:r>
        <w:rPr>
          <w:rFonts w:hint="default" w:ascii="Times New Roman" w:hAnsi="Times New Roman"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rPr>
        <w:t>工程环境监测工作可委托具有相应资质的监测站承担。</w:t>
      </w:r>
    </w:p>
    <w:p w14:paraId="1A2F4847">
      <w:pPr>
        <w:keepNext/>
        <w:keepLines/>
        <w:pageBreakBefore w:val="0"/>
        <w:widowControl w:val="0"/>
        <w:kinsoku/>
        <w:wordWrap/>
        <w:overflowPunct/>
        <w:topLinePunct w:val="0"/>
        <w:autoSpaceDE/>
        <w:autoSpaceDN/>
        <w:bidi w:val="0"/>
        <w:adjustRightInd/>
        <w:snapToGrid/>
        <w:spacing w:before="0" w:line="360" w:lineRule="auto"/>
        <w:ind w:left="0" w:right="0"/>
        <w:jc w:val="center"/>
        <w:textAlignment w:val="auto"/>
        <w:outlineLvl w:val="9"/>
        <w:rPr>
          <w:rFonts w:hint="default" w:ascii="Times New Roman" w:hAnsi="Times New Roman" w:eastAsia="黑体" w:cs="Times New Roman"/>
          <w:b w:val="0"/>
          <w:bCs w:val="0"/>
          <w:caps/>
          <w:color w:val="auto"/>
          <w:kern w:val="0"/>
          <w:sz w:val="21"/>
          <w:szCs w:val="16"/>
          <w:highlight w:val="none"/>
        </w:rPr>
      </w:pPr>
      <w:r>
        <w:rPr>
          <w:rFonts w:hint="default" w:ascii="Times New Roman" w:hAnsi="Times New Roman" w:eastAsia="黑体" w:cs="Times New Roman"/>
          <w:b w:val="0"/>
          <w:bCs w:val="0"/>
          <w:caps/>
          <w:color w:val="auto"/>
          <w:kern w:val="0"/>
          <w:sz w:val="21"/>
          <w:szCs w:val="16"/>
          <w:highlight w:val="none"/>
        </w:rPr>
        <w:t>表</w:t>
      </w:r>
      <w:r>
        <w:rPr>
          <w:rFonts w:hint="default" w:ascii="Times New Roman" w:hAnsi="Times New Roman" w:eastAsia="黑体" w:cs="Times New Roman"/>
          <w:b w:val="0"/>
          <w:bCs w:val="0"/>
          <w:caps/>
          <w:color w:val="auto"/>
          <w:kern w:val="0"/>
          <w:sz w:val="21"/>
          <w:szCs w:val="16"/>
          <w:highlight w:val="none"/>
          <w:lang w:val="en-US" w:eastAsia="zh-CN"/>
        </w:rPr>
        <w:t>8.5</w:t>
      </w:r>
      <w:r>
        <w:rPr>
          <w:rFonts w:hint="default" w:ascii="Times New Roman" w:hAnsi="Times New Roman" w:eastAsia="黑体" w:cs="Times New Roman"/>
          <w:b w:val="0"/>
          <w:bCs w:val="0"/>
          <w:caps/>
          <w:color w:val="auto"/>
          <w:kern w:val="0"/>
          <w:sz w:val="21"/>
          <w:szCs w:val="16"/>
          <w:highlight w:val="none"/>
        </w:rPr>
        <w:t>-</w:t>
      </w:r>
      <w:r>
        <w:rPr>
          <w:rFonts w:hint="default" w:ascii="Times New Roman" w:hAnsi="Times New Roman" w:eastAsia="黑体" w:cs="Times New Roman"/>
          <w:b w:val="0"/>
          <w:bCs w:val="0"/>
          <w:caps/>
          <w:color w:val="auto"/>
          <w:kern w:val="0"/>
          <w:sz w:val="21"/>
          <w:szCs w:val="16"/>
          <w:highlight w:val="none"/>
          <w:lang w:val="en-US" w:eastAsia="zh-CN"/>
        </w:rPr>
        <w:t>1   污染源</w:t>
      </w:r>
      <w:r>
        <w:rPr>
          <w:rFonts w:hint="default" w:ascii="Times New Roman" w:hAnsi="Times New Roman" w:eastAsia="黑体" w:cs="Times New Roman"/>
          <w:b w:val="0"/>
          <w:bCs w:val="0"/>
          <w:caps/>
          <w:color w:val="auto"/>
          <w:kern w:val="0"/>
          <w:sz w:val="21"/>
          <w:szCs w:val="16"/>
          <w:highlight w:val="none"/>
        </w:rPr>
        <w:t>监测</w:t>
      </w:r>
      <w:r>
        <w:rPr>
          <w:rFonts w:hint="default" w:ascii="Times New Roman" w:hAnsi="Times New Roman" w:eastAsia="黑体" w:cs="Times New Roman"/>
          <w:b w:val="0"/>
          <w:bCs w:val="0"/>
          <w:caps/>
          <w:color w:val="auto"/>
          <w:kern w:val="0"/>
          <w:sz w:val="21"/>
          <w:szCs w:val="16"/>
          <w:highlight w:val="none"/>
          <w:lang w:val="en-US" w:eastAsia="zh-CN"/>
        </w:rPr>
        <w:t>计划</w:t>
      </w:r>
      <w:r>
        <w:rPr>
          <w:rFonts w:hint="default" w:ascii="Times New Roman" w:hAnsi="Times New Roman" w:eastAsia="黑体" w:cs="Times New Roman"/>
          <w:b w:val="0"/>
          <w:bCs w:val="0"/>
          <w:caps/>
          <w:color w:val="auto"/>
          <w:kern w:val="0"/>
          <w:sz w:val="21"/>
          <w:szCs w:val="16"/>
          <w:highlight w:val="none"/>
        </w:rPr>
        <w:t>表</w:t>
      </w:r>
    </w:p>
    <w:tbl>
      <w:tblPr>
        <w:tblStyle w:val="29"/>
        <w:tblW w:w="499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97"/>
        <w:gridCol w:w="805"/>
        <w:gridCol w:w="1696"/>
        <w:gridCol w:w="923"/>
        <w:gridCol w:w="2010"/>
        <w:gridCol w:w="886"/>
        <w:gridCol w:w="1940"/>
      </w:tblGrid>
      <w:tr w14:paraId="070B92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tcBorders>
              <w:tl2br w:val="nil"/>
              <w:tr2bl w:val="nil"/>
            </w:tcBorders>
            <w:noWrap w:val="0"/>
            <w:vAlign w:val="center"/>
          </w:tcPr>
          <w:p w14:paraId="0C21A10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环境要素</w:t>
            </w:r>
          </w:p>
        </w:tc>
        <w:tc>
          <w:tcPr>
            <w:tcW w:w="1380" w:type="pct"/>
            <w:gridSpan w:val="2"/>
            <w:tcBorders>
              <w:tl2br w:val="nil"/>
              <w:tr2bl w:val="nil"/>
            </w:tcBorders>
            <w:noWrap w:val="0"/>
            <w:vAlign w:val="center"/>
          </w:tcPr>
          <w:p w14:paraId="4C3AC0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监测点位</w:t>
            </w:r>
          </w:p>
        </w:tc>
        <w:tc>
          <w:tcPr>
            <w:tcW w:w="509" w:type="pct"/>
            <w:tcBorders>
              <w:tl2br w:val="nil"/>
              <w:tr2bl w:val="nil"/>
            </w:tcBorders>
            <w:noWrap w:val="0"/>
            <w:vAlign w:val="center"/>
          </w:tcPr>
          <w:p w14:paraId="6198855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监测项目</w:t>
            </w:r>
          </w:p>
        </w:tc>
        <w:tc>
          <w:tcPr>
            <w:tcW w:w="1109" w:type="pct"/>
            <w:tcBorders>
              <w:tl2br w:val="nil"/>
              <w:tr2bl w:val="nil"/>
            </w:tcBorders>
            <w:noWrap w:val="0"/>
            <w:vAlign w:val="center"/>
          </w:tcPr>
          <w:p w14:paraId="09CBA61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执行标准</w:t>
            </w:r>
          </w:p>
        </w:tc>
        <w:tc>
          <w:tcPr>
            <w:tcW w:w="489" w:type="pct"/>
            <w:tcBorders>
              <w:tl2br w:val="nil"/>
              <w:tr2bl w:val="nil"/>
            </w:tcBorders>
            <w:noWrap w:val="0"/>
            <w:vAlign w:val="center"/>
          </w:tcPr>
          <w:p w14:paraId="077023C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监测频次</w:t>
            </w:r>
          </w:p>
        </w:tc>
        <w:tc>
          <w:tcPr>
            <w:tcW w:w="1070" w:type="pct"/>
            <w:tcBorders>
              <w:tl2br w:val="nil"/>
              <w:tr2bl w:val="nil"/>
            </w:tcBorders>
            <w:noWrap w:val="0"/>
            <w:vAlign w:val="center"/>
          </w:tcPr>
          <w:p w14:paraId="6992A3D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lang w:val="en-US" w:eastAsia="zh-CN" w:bidi="ar-SA"/>
              </w:rPr>
              <w:t>依据</w:t>
            </w:r>
          </w:p>
        </w:tc>
      </w:tr>
      <w:tr w14:paraId="6EE8CE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vMerge w:val="restart"/>
            <w:tcBorders>
              <w:tl2br w:val="nil"/>
              <w:tr2bl w:val="nil"/>
            </w:tcBorders>
            <w:noWrap w:val="0"/>
            <w:vAlign w:val="center"/>
          </w:tcPr>
          <w:p w14:paraId="5DAB54F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大气</w:t>
            </w:r>
          </w:p>
        </w:tc>
        <w:tc>
          <w:tcPr>
            <w:tcW w:w="444" w:type="pct"/>
            <w:tcBorders>
              <w:tl2br w:val="nil"/>
              <w:tr2bl w:val="nil"/>
            </w:tcBorders>
            <w:noWrap w:val="0"/>
            <w:vAlign w:val="center"/>
          </w:tcPr>
          <w:p w14:paraId="2DB9A5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有组织</w:t>
            </w:r>
          </w:p>
        </w:tc>
        <w:tc>
          <w:tcPr>
            <w:tcW w:w="936" w:type="pct"/>
            <w:tcBorders>
              <w:tl2br w:val="nil"/>
              <w:tr2bl w:val="nil"/>
            </w:tcBorders>
            <w:noWrap w:val="0"/>
            <w:vAlign w:val="center"/>
          </w:tcPr>
          <w:p w14:paraId="7DFF41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破碎机废气排口（DA001）</w:t>
            </w:r>
          </w:p>
        </w:tc>
        <w:tc>
          <w:tcPr>
            <w:tcW w:w="509" w:type="pct"/>
            <w:tcBorders>
              <w:tl2br w:val="nil"/>
              <w:tr2bl w:val="nil"/>
            </w:tcBorders>
            <w:noWrap w:val="0"/>
            <w:vAlign w:val="center"/>
          </w:tcPr>
          <w:p w14:paraId="412B99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颗粒物</w:t>
            </w:r>
          </w:p>
        </w:tc>
        <w:tc>
          <w:tcPr>
            <w:tcW w:w="1109" w:type="pct"/>
            <w:tcBorders>
              <w:tl2br w:val="nil"/>
              <w:tr2bl w:val="nil"/>
            </w:tcBorders>
            <w:noWrap w:val="0"/>
            <w:vAlign w:val="center"/>
          </w:tcPr>
          <w:p w14:paraId="7A3159F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《铁矿采选工业污染物排放标准》（GB28661-2012）表5新建企业大气污染物排放浓度限值</w:t>
            </w:r>
          </w:p>
        </w:tc>
        <w:tc>
          <w:tcPr>
            <w:tcW w:w="489" w:type="pct"/>
            <w:tcBorders>
              <w:tl2br w:val="nil"/>
              <w:tr2bl w:val="nil"/>
            </w:tcBorders>
            <w:noWrap w:val="0"/>
            <w:vAlign w:val="center"/>
          </w:tcPr>
          <w:p w14:paraId="4332089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1</w:t>
            </w:r>
            <w:r>
              <w:rPr>
                <w:rFonts w:hint="default" w:ascii="Times New Roman" w:hAnsi="Times New Roman" w:cs="Times New Roman"/>
                <w:bCs/>
                <w:color w:val="auto"/>
                <w:sz w:val="18"/>
                <w:szCs w:val="18"/>
                <w:highlight w:val="none"/>
              </w:rPr>
              <w:t>次</w:t>
            </w:r>
            <w:r>
              <w:rPr>
                <w:rFonts w:hint="default" w:ascii="Times New Roman" w:hAnsi="Times New Roman" w:cs="Times New Roman"/>
                <w:bCs/>
                <w:color w:val="auto"/>
                <w:sz w:val="18"/>
                <w:szCs w:val="18"/>
                <w:highlight w:val="none"/>
                <w:lang w:val="en-US" w:eastAsia="zh-CN"/>
              </w:rPr>
              <w:t>/年</w:t>
            </w:r>
          </w:p>
        </w:tc>
        <w:tc>
          <w:tcPr>
            <w:tcW w:w="1070" w:type="pct"/>
            <w:vMerge w:val="restart"/>
            <w:tcBorders>
              <w:tl2br w:val="nil"/>
              <w:tr2bl w:val="nil"/>
            </w:tcBorders>
            <w:noWrap w:val="0"/>
            <w:vAlign w:val="center"/>
          </w:tcPr>
          <w:p w14:paraId="5B3E102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《排污单位自行监测技术指南 总则》（HJ 819-2017）、</w:t>
            </w:r>
            <w:r>
              <w:rPr>
                <w:rFonts w:hint="default" w:ascii="Times New Roman" w:hAnsi="Times New Roman" w:cs="Times New Roman"/>
                <w:color w:val="auto"/>
                <w:sz w:val="18"/>
                <w:szCs w:val="18"/>
              </w:rPr>
              <w:t>《环境影响评价技术导则</w:t>
            </w:r>
            <w:r>
              <w:rPr>
                <w:rFonts w:hint="default"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大气环境》（HJ2.2-2018）</w:t>
            </w:r>
          </w:p>
          <w:p w14:paraId="0CC4897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Cs/>
                <w:color w:val="auto"/>
                <w:sz w:val="18"/>
                <w:szCs w:val="18"/>
                <w:highlight w:val="none"/>
                <w:lang w:val="en-US" w:eastAsia="zh-CN"/>
              </w:rPr>
            </w:pPr>
          </w:p>
        </w:tc>
      </w:tr>
      <w:tr w14:paraId="66C1FC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vMerge w:val="continue"/>
            <w:tcBorders>
              <w:tl2br w:val="nil"/>
              <w:tr2bl w:val="nil"/>
            </w:tcBorders>
            <w:noWrap w:val="0"/>
            <w:vAlign w:val="center"/>
          </w:tcPr>
          <w:p w14:paraId="2A6B357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p>
        </w:tc>
        <w:tc>
          <w:tcPr>
            <w:tcW w:w="444" w:type="pct"/>
            <w:tcBorders>
              <w:tl2br w:val="nil"/>
              <w:tr2bl w:val="nil"/>
            </w:tcBorders>
            <w:noWrap w:val="0"/>
            <w:vAlign w:val="center"/>
          </w:tcPr>
          <w:p w14:paraId="67156E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无组织</w:t>
            </w:r>
          </w:p>
        </w:tc>
        <w:tc>
          <w:tcPr>
            <w:tcW w:w="936" w:type="pct"/>
            <w:tcBorders>
              <w:tl2br w:val="nil"/>
              <w:tr2bl w:val="nil"/>
            </w:tcBorders>
            <w:noWrap w:val="0"/>
            <w:vAlign w:val="center"/>
          </w:tcPr>
          <w:p w14:paraId="021A0B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项目</w:t>
            </w:r>
            <w:r>
              <w:rPr>
                <w:rFonts w:hint="default" w:ascii="Times New Roman" w:hAnsi="Times New Roman" w:cs="Times New Roman"/>
                <w:bCs/>
                <w:color w:val="auto"/>
                <w:sz w:val="18"/>
                <w:szCs w:val="18"/>
                <w:highlight w:val="none"/>
              </w:rPr>
              <w:t>上风向</w:t>
            </w:r>
            <w:r>
              <w:rPr>
                <w:rFonts w:hint="default" w:ascii="Times New Roman" w:hAnsi="Times New Roman" w:cs="Times New Roman"/>
                <w:bCs/>
                <w:color w:val="auto"/>
                <w:sz w:val="18"/>
                <w:szCs w:val="18"/>
                <w:highlight w:val="none"/>
                <w:lang w:val="en-US" w:eastAsia="zh-CN"/>
              </w:rPr>
              <w:t>厂界</w:t>
            </w:r>
            <w:r>
              <w:rPr>
                <w:rFonts w:hint="default" w:ascii="Times New Roman" w:hAnsi="Times New Roman" w:cs="Times New Roman"/>
                <w:bCs/>
                <w:color w:val="auto"/>
                <w:sz w:val="18"/>
                <w:szCs w:val="18"/>
                <w:highlight w:val="none"/>
              </w:rPr>
              <w:t>外10m处设置一对照点，下风向</w:t>
            </w:r>
            <w:r>
              <w:rPr>
                <w:rFonts w:hint="default" w:ascii="Times New Roman" w:hAnsi="Times New Roman" w:cs="Times New Roman"/>
                <w:bCs/>
                <w:color w:val="auto"/>
                <w:sz w:val="18"/>
                <w:szCs w:val="18"/>
                <w:highlight w:val="none"/>
                <w:lang w:eastAsia="zh-CN"/>
              </w:rPr>
              <w:t>厂界</w:t>
            </w:r>
            <w:r>
              <w:rPr>
                <w:rFonts w:hint="default" w:ascii="Times New Roman" w:hAnsi="Times New Roman" w:cs="Times New Roman"/>
                <w:bCs/>
                <w:color w:val="auto"/>
                <w:sz w:val="18"/>
                <w:szCs w:val="18"/>
                <w:highlight w:val="none"/>
              </w:rPr>
              <w:t>外10m处，设三个监控点</w:t>
            </w:r>
          </w:p>
        </w:tc>
        <w:tc>
          <w:tcPr>
            <w:tcW w:w="509" w:type="pct"/>
            <w:tcBorders>
              <w:tl2br w:val="nil"/>
              <w:tr2bl w:val="nil"/>
            </w:tcBorders>
            <w:noWrap w:val="0"/>
            <w:vAlign w:val="center"/>
          </w:tcPr>
          <w:p w14:paraId="786357D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颗粒物</w:t>
            </w:r>
          </w:p>
        </w:tc>
        <w:tc>
          <w:tcPr>
            <w:tcW w:w="1109" w:type="pct"/>
            <w:tcBorders>
              <w:tl2br w:val="nil"/>
              <w:tr2bl w:val="nil"/>
            </w:tcBorders>
            <w:noWrap w:val="0"/>
            <w:vAlign w:val="center"/>
          </w:tcPr>
          <w:p w14:paraId="2EDCDFA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eastAsiaTheme="minorEastAsia"/>
                <w:color w:val="auto"/>
                <w:sz w:val="18"/>
                <w:szCs w:val="18"/>
              </w:rPr>
              <w:t>《铁矿采选工业污染物排放标准》（GB28661-2012）表7现有和新建企业大气污染物无组织排放浓度限值</w:t>
            </w:r>
          </w:p>
        </w:tc>
        <w:tc>
          <w:tcPr>
            <w:tcW w:w="489" w:type="pct"/>
            <w:tcBorders>
              <w:tl2br w:val="nil"/>
              <w:tr2bl w:val="nil"/>
            </w:tcBorders>
            <w:noWrap w:val="0"/>
            <w:vAlign w:val="center"/>
          </w:tcPr>
          <w:p w14:paraId="575D880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1</w:t>
            </w:r>
            <w:r>
              <w:rPr>
                <w:rFonts w:hint="default" w:ascii="Times New Roman" w:hAnsi="Times New Roman" w:cs="Times New Roman"/>
                <w:bCs/>
                <w:color w:val="auto"/>
                <w:sz w:val="18"/>
                <w:szCs w:val="18"/>
                <w:highlight w:val="none"/>
              </w:rPr>
              <w:t>次</w:t>
            </w:r>
            <w:r>
              <w:rPr>
                <w:rFonts w:hint="default" w:ascii="Times New Roman" w:hAnsi="Times New Roman" w:cs="Times New Roman"/>
                <w:bCs/>
                <w:color w:val="auto"/>
                <w:sz w:val="18"/>
                <w:szCs w:val="18"/>
                <w:highlight w:val="none"/>
                <w:lang w:val="en-US" w:eastAsia="zh-CN"/>
              </w:rPr>
              <w:t>/年</w:t>
            </w:r>
          </w:p>
        </w:tc>
        <w:tc>
          <w:tcPr>
            <w:tcW w:w="1070" w:type="pct"/>
            <w:vMerge w:val="continue"/>
            <w:tcBorders>
              <w:tl2br w:val="nil"/>
              <w:tr2bl w:val="nil"/>
            </w:tcBorders>
            <w:noWrap w:val="0"/>
            <w:vAlign w:val="center"/>
          </w:tcPr>
          <w:p w14:paraId="3CB4B21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Cs/>
                <w:color w:val="auto"/>
                <w:sz w:val="18"/>
                <w:szCs w:val="18"/>
                <w:highlight w:val="none"/>
                <w:lang w:val="en-US" w:eastAsia="zh-CN"/>
              </w:rPr>
            </w:pPr>
          </w:p>
        </w:tc>
      </w:tr>
      <w:tr w14:paraId="7F083C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7" w:type="dxa"/>
            <w:tcBorders>
              <w:tl2br w:val="nil"/>
              <w:tr2bl w:val="nil"/>
            </w:tcBorders>
            <w:noWrap w:val="0"/>
            <w:vAlign w:val="center"/>
          </w:tcPr>
          <w:p w14:paraId="41243B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噪声</w:t>
            </w:r>
          </w:p>
        </w:tc>
        <w:tc>
          <w:tcPr>
            <w:tcW w:w="2501" w:type="dxa"/>
            <w:gridSpan w:val="2"/>
            <w:tcBorders>
              <w:tl2br w:val="nil"/>
              <w:tr2bl w:val="nil"/>
            </w:tcBorders>
            <w:noWrap w:val="0"/>
            <w:vAlign w:val="center"/>
          </w:tcPr>
          <w:p w14:paraId="34C5CA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厂界外1米</w:t>
            </w:r>
          </w:p>
        </w:tc>
        <w:tc>
          <w:tcPr>
            <w:tcW w:w="923" w:type="dxa"/>
            <w:tcBorders>
              <w:tl2br w:val="nil"/>
              <w:tr2bl w:val="nil"/>
            </w:tcBorders>
            <w:noWrap w:val="0"/>
            <w:vAlign w:val="center"/>
          </w:tcPr>
          <w:p w14:paraId="1846F5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color w:val="auto"/>
                <w:sz w:val="18"/>
                <w:szCs w:val="18"/>
                <w:highlight w:val="none"/>
              </w:rPr>
              <w:t>等效连续A声级</w:t>
            </w:r>
          </w:p>
        </w:tc>
        <w:tc>
          <w:tcPr>
            <w:tcW w:w="2010" w:type="dxa"/>
            <w:tcBorders>
              <w:tl2br w:val="nil"/>
              <w:tr2bl w:val="nil"/>
            </w:tcBorders>
            <w:noWrap w:val="0"/>
            <w:vAlign w:val="center"/>
          </w:tcPr>
          <w:p w14:paraId="322B9B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eastAsia="宋体" w:cs="Times New Roman"/>
                <w:b w:val="0"/>
                <w:bCs w:val="0"/>
                <w:color w:val="auto"/>
                <w:kern w:val="0"/>
                <w:sz w:val="18"/>
                <w:szCs w:val="18"/>
                <w:highlight w:val="none"/>
                <w:lang w:val="en-US" w:eastAsia="zh-CN" w:bidi="ar-SA"/>
              </w:rPr>
              <w:t>《工业企业厂界环境噪声排放标准》（GB12348-2008）2类标准</w:t>
            </w:r>
          </w:p>
        </w:tc>
        <w:tc>
          <w:tcPr>
            <w:tcW w:w="886" w:type="dxa"/>
            <w:tcBorders>
              <w:tl2br w:val="nil"/>
              <w:tr2bl w:val="nil"/>
            </w:tcBorders>
            <w:noWrap w:val="0"/>
            <w:vAlign w:val="center"/>
          </w:tcPr>
          <w:p w14:paraId="362A11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1</w:t>
            </w:r>
            <w:r>
              <w:rPr>
                <w:rFonts w:hint="default" w:ascii="Times New Roman" w:hAnsi="Times New Roman" w:cs="Times New Roman"/>
                <w:bCs/>
                <w:color w:val="auto"/>
                <w:sz w:val="18"/>
                <w:szCs w:val="18"/>
                <w:highlight w:val="none"/>
              </w:rPr>
              <w:t>次</w:t>
            </w:r>
            <w:r>
              <w:rPr>
                <w:rFonts w:hint="default" w:ascii="Times New Roman" w:hAnsi="Times New Roman" w:cs="Times New Roman"/>
                <w:bCs/>
                <w:color w:val="auto"/>
                <w:sz w:val="18"/>
                <w:szCs w:val="18"/>
                <w:highlight w:val="none"/>
                <w:lang w:val="en-US" w:eastAsia="zh-CN"/>
              </w:rPr>
              <w:t>/季度</w:t>
            </w:r>
          </w:p>
        </w:tc>
        <w:tc>
          <w:tcPr>
            <w:tcW w:w="1940" w:type="dxa"/>
            <w:tcBorders>
              <w:tl2br w:val="nil"/>
              <w:tr2bl w:val="nil"/>
            </w:tcBorders>
            <w:noWrap w:val="0"/>
            <w:vAlign w:val="center"/>
          </w:tcPr>
          <w:p w14:paraId="574211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《排污单位自行监测技术指南 总则》（HJ 819-2017）、</w:t>
            </w:r>
            <w:r>
              <w:rPr>
                <w:rFonts w:hint="default" w:ascii="Times New Roman" w:hAnsi="Times New Roman" w:cs="Times New Roman"/>
                <w:color w:val="auto"/>
                <w:sz w:val="18"/>
                <w:szCs w:val="18"/>
              </w:rPr>
              <w:t>《环境影响评价技术导则-声环境》（HJ2.4-2021）</w:t>
            </w:r>
          </w:p>
        </w:tc>
      </w:tr>
    </w:tbl>
    <w:p w14:paraId="2B6CFA33">
      <w:pPr>
        <w:rPr>
          <w:rFonts w:hint="default" w:ascii="Times New Roman" w:hAnsi="Times New Roman" w:cs="Times New Roman"/>
        </w:rPr>
      </w:pPr>
    </w:p>
    <w:p w14:paraId="10969CE4">
      <w:pPr>
        <w:adjustRightInd w:val="0"/>
        <w:snapToGrid w:val="0"/>
        <w:ind w:firstLine="482"/>
        <w:jc w:val="center"/>
        <w:rPr>
          <w:rFonts w:hint="default" w:ascii="Times New Roman" w:hAnsi="Times New Roman" w:cs="Times New Roman"/>
        </w:rPr>
      </w:pPr>
      <w:r>
        <w:rPr>
          <w:rFonts w:hint="default" w:ascii="Times New Roman" w:hAnsi="Times New Roman" w:eastAsia="黑体" w:cs="Times New Roman"/>
          <w:sz w:val="21"/>
          <w:szCs w:val="21"/>
        </w:rPr>
        <w:t>表</w:t>
      </w:r>
      <w:r>
        <w:rPr>
          <w:rFonts w:hint="default" w:ascii="Times New Roman" w:hAnsi="Times New Roman" w:eastAsia="黑体" w:cs="Times New Roman"/>
          <w:sz w:val="21"/>
          <w:szCs w:val="21"/>
          <w:lang w:val="en-US" w:eastAsia="zh-CN"/>
        </w:rPr>
        <w:t>8</w:t>
      </w:r>
      <w:r>
        <w:rPr>
          <w:rFonts w:hint="default" w:ascii="Times New Roman" w:hAnsi="Times New Roman" w:eastAsia="黑体" w:cs="Times New Roman"/>
          <w:sz w:val="21"/>
          <w:szCs w:val="21"/>
        </w:rPr>
        <w:t>.5-</w:t>
      </w:r>
      <w:r>
        <w:rPr>
          <w:rFonts w:hint="default" w:ascii="Times New Roman" w:hAnsi="Times New Roman" w:eastAsia="黑体" w:cs="Times New Roman"/>
          <w:sz w:val="21"/>
          <w:szCs w:val="21"/>
          <w:lang w:val="en-US" w:eastAsia="zh-CN"/>
        </w:rPr>
        <w:t>2</w:t>
      </w:r>
      <w:r>
        <w:rPr>
          <w:rFonts w:hint="default" w:ascii="Times New Roman" w:hAnsi="Times New Roman" w:eastAsia="黑体" w:cs="Times New Roman"/>
          <w:sz w:val="21"/>
          <w:szCs w:val="21"/>
        </w:rPr>
        <w:t xml:space="preserve">  环境质量监测</w:t>
      </w:r>
      <w:r>
        <w:rPr>
          <w:rFonts w:hint="default" w:ascii="Times New Roman" w:hAnsi="Times New Roman" w:eastAsia="黑体" w:cs="Times New Roman"/>
          <w:sz w:val="21"/>
          <w:szCs w:val="21"/>
          <w:lang w:val="en-US" w:eastAsia="zh-CN"/>
        </w:rPr>
        <w:t>计划表</w:t>
      </w:r>
    </w:p>
    <w:tbl>
      <w:tblPr>
        <w:tblStyle w:val="29"/>
        <w:tblW w:w="499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94"/>
        <w:gridCol w:w="805"/>
        <w:gridCol w:w="1482"/>
        <w:gridCol w:w="1049"/>
        <w:gridCol w:w="2099"/>
        <w:gridCol w:w="812"/>
        <w:gridCol w:w="2015"/>
      </w:tblGrid>
      <w:tr w14:paraId="4D5579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4" w:type="dxa"/>
            <w:tcBorders>
              <w:tl2br w:val="nil"/>
              <w:tr2bl w:val="nil"/>
            </w:tcBorders>
            <w:noWrap w:val="0"/>
            <w:vAlign w:val="center"/>
          </w:tcPr>
          <w:p w14:paraId="45BE8A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环境要素</w:t>
            </w:r>
          </w:p>
        </w:tc>
        <w:tc>
          <w:tcPr>
            <w:tcW w:w="2287" w:type="dxa"/>
            <w:gridSpan w:val="2"/>
            <w:tcBorders>
              <w:tl2br w:val="nil"/>
              <w:tr2bl w:val="nil"/>
            </w:tcBorders>
            <w:noWrap w:val="0"/>
            <w:vAlign w:val="center"/>
          </w:tcPr>
          <w:p w14:paraId="44BDF9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监测点位</w:t>
            </w:r>
          </w:p>
        </w:tc>
        <w:tc>
          <w:tcPr>
            <w:tcW w:w="1049" w:type="dxa"/>
            <w:tcBorders>
              <w:tl2br w:val="nil"/>
              <w:tr2bl w:val="nil"/>
            </w:tcBorders>
            <w:noWrap w:val="0"/>
            <w:vAlign w:val="center"/>
          </w:tcPr>
          <w:p w14:paraId="723B37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b w:val="0"/>
                <w:bCs w:val="0"/>
                <w:color w:val="auto"/>
                <w:kern w:val="0"/>
                <w:sz w:val="18"/>
                <w:szCs w:val="18"/>
                <w:highlight w:val="none"/>
                <w:lang w:val="en-US" w:eastAsia="zh-CN" w:bidi="ar-SA"/>
              </w:rPr>
              <w:t>监测项目</w:t>
            </w:r>
          </w:p>
        </w:tc>
        <w:tc>
          <w:tcPr>
            <w:tcW w:w="2099" w:type="dxa"/>
            <w:tcBorders>
              <w:tl2br w:val="nil"/>
              <w:tr2bl w:val="nil"/>
            </w:tcBorders>
            <w:noWrap w:val="0"/>
            <w:vAlign w:val="center"/>
          </w:tcPr>
          <w:p w14:paraId="0373FB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执行标准</w:t>
            </w:r>
          </w:p>
        </w:tc>
        <w:tc>
          <w:tcPr>
            <w:tcW w:w="812" w:type="dxa"/>
            <w:tcBorders>
              <w:tl2br w:val="nil"/>
              <w:tr2bl w:val="nil"/>
            </w:tcBorders>
            <w:noWrap w:val="0"/>
            <w:vAlign w:val="center"/>
          </w:tcPr>
          <w:p w14:paraId="020B28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bidi="ar-SA"/>
              </w:rPr>
              <w:t>监测频次</w:t>
            </w:r>
          </w:p>
        </w:tc>
        <w:tc>
          <w:tcPr>
            <w:tcW w:w="2015" w:type="dxa"/>
            <w:tcBorders>
              <w:tl2br w:val="nil"/>
              <w:tr2bl w:val="nil"/>
            </w:tcBorders>
            <w:noWrap w:val="0"/>
            <w:vAlign w:val="center"/>
          </w:tcPr>
          <w:p w14:paraId="0A8876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bidi="ar-SA"/>
              </w:rPr>
              <w:t>依据</w:t>
            </w:r>
          </w:p>
        </w:tc>
      </w:tr>
      <w:tr w14:paraId="7D01FF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03" w:hRule="atLeast"/>
          <w:jc w:val="center"/>
        </w:trPr>
        <w:tc>
          <w:tcPr>
            <w:tcW w:w="794" w:type="dxa"/>
            <w:vMerge w:val="restart"/>
            <w:tcBorders>
              <w:tl2br w:val="nil"/>
              <w:tr2bl w:val="nil"/>
            </w:tcBorders>
            <w:noWrap w:val="0"/>
            <w:vAlign w:val="center"/>
          </w:tcPr>
          <w:p w14:paraId="53D846D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lang w:val="en-US" w:eastAsia="zh-CN" w:bidi="ar-SA"/>
              </w:rPr>
              <w:t>地下水</w:t>
            </w:r>
          </w:p>
        </w:tc>
        <w:tc>
          <w:tcPr>
            <w:tcW w:w="805" w:type="dxa"/>
            <w:vMerge w:val="restart"/>
            <w:tcBorders>
              <w:tl2br w:val="nil"/>
              <w:tr2bl w:val="nil"/>
            </w:tcBorders>
            <w:noWrap w:val="0"/>
            <w:vAlign w:val="center"/>
          </w:tcPr>
          <w:p w14:paraId="6AAEF0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lang w:val="en-US" w:eastAsia="zh-CN" w:bidi="ar-SA"/>
              </w:rPr>
              <w:t>水质</w:t>
            </w:r>
          </w:p>
        </w:tc>
        <w:tc>
          <w:tcPr>
            <w:tcW w:w="1482" w:type="dxa"/>
            <w:tcBorders>
              <w:tl2br w:val="nil"/>
              <w:tr2bl w:val="nil"/>
            </w:tcBorders>
            <w:noWrap w:val="0"/>
            <w:vAlign w:val="center"/>
          </w:tcPr>
          <w:p w14:paraId="155DFB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lang w:val="en-US" w:eastAsia="zh-CN" w:bidi="ar-SA"/>
              </w:rPr>
              <w:t>项目上游泉点</w:t>
            </w:r>
          </w:p>
        </w:tc>
        <w:tc>
          <w:tcPr>
            <w:tcW w:w="1049" w:type="dxa"/>
            <w:vMerge w:val="restart"/>
            <w:tcBorders>
              <w:tl2br w:val="nil"/>
              <w:tr2bl w:val="nil"/>
            </w:tcBorders>
            <w:noWrap w:val="0"/>
            <w:vAlign w:val="center"/>
          </w:tcPr>
          <w:p w14:paraId="50BE0F6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color w:val="auto"/>
                <w:sz w:val="18"/>
                <w:szCs w:val="18"/>
                <w:lang w:val="en-US" w:eastAsia="zh-CN"/>
              </w:rPr>
              <w:t>Fe、Mn、</w:t>
            </w:r>
            <w:r>
              <w:rPr>
                <w:rFonts w:hint="default" w:ascii="Times New Roman" w:hAnsi="Times New Roman" w:cs="Times New Roman"/>
                <w:color w:val="auto"/>
                <w:sz w:val="18"/>
                <w:szCs w:val="18"/>
                <w:highlight w:val="none"/>
                <w:lang w:val="en-US" w:eastAsia="zh-CN"/>
              </w:rPr>
              <w:t>Pb、Zn、Cu、As、耗氧量</w:t>
            </w:r>
          </w:p>
        </w:tc>
        <w:tc>
          <w:tcPr>
            <w:tcW w:w="2099" w:type="dxa"/>
            <w:vMerge w:val="restart"/>
            <w:tcBorders>
              <w:tl2br w:val="nil"/>
              <w:tr2bl w:val="nil"/>
            </w:tcBorders>
            <w:noWrap w:val="0"/>
            <w:vAlign w:val="center"/>
          </w:tcPr>
          <w:p w14:paraId="3DFA9F2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《地下水质量标准》（GB/T14848-2017）Ⅲ类标准</w:t>
            </w:r>
          </w:p>
        </w:tc>
        <w:tc>
          <w:tcPr>
            <w:tcW w:w="812" w:type="dxa"/>
            <w:vMerge w:val="restart"/>
            <w:tcBorders>
              <w:tl2br w:val="nil"/>
              <w:tr2bl w:val="nil"/>
            </w:tcBorders>
            <w:noWrap w:val="0"/>
            <w:vAlign w:val="center"/>
          </w:tcPr>
          <w:p w14:paraId="639DB91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1</w:t>
            </w:r>
            <w:r>
              <w:rPr>
                <w:rFonts w:hint="default" w:ascii="Times New Roman" w:hAnsi="Times New Roman" w:cs="Times New Roman"/>
                <w:bCs/>
                <w:color w:val="auto"/>
                <w:sz w:val="18"/>
                <w:szCs w:val="18"/>
                <w:highlight w:val="none"/>
              </w:rPr>
              <w:t>次</w:t>
            </w:r>
            <w:r>
              <w:rPr>
                <w:rFonts w:hint="default" w:ascii="Times New Roman" w:hAnsi="Times New Roman" w:cs="Times New Roman"/>
                <w:bCs/>
                <w:color w:val="auto"/>
                <w:sz w:val="18"/>
                <w:szCs w:val="18"/>
                <w:highlight w:val="none"/>
                <w:lang w:val="en-US" w:eastAsia="zh-CN"/>
              </w:rPr>
              <w:t>/年</w:t>
            </w:r>
          </w:p>
        </w:tc>
        <w:tc>
          <w:tcPr>
            <w:tcW w:w="2015" w:type="dxa"/>
            <w:vMerge w:val="restart"/>
            <w:tcBorders>
              <w:tl2br w:val="nil"/>
              <w:tr2bl w:val="nil"/>
            </w:tcBorders>
            <w:noWrap w:val="0"/>
            <w:vAlign w:val="center"/>
          </w:tcPr>
          <w:p w14:paraId="2D52E3B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工业企业土壤和地下水自行监测</w:t>
            </w:r>
          </w:p>
          <w:p w14:paraId="659144B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技术指南（试行）（HJ 1209-2017）、</w:t>
            </w:r>
            <w:r>
              <w:rPr>
                <w:rFonts w:hint="default" w:ascii="Times New Roman" w:hAnsi="Times New Roman" w:cs="Times New Roman"/>
                <w:color w:val="auto"/>
                <w:sz w:val="18"/>
                <w:szCs w:val="18"/>
              </w:rPr>
              <w:t>《环境影响评价技术导则</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地下水环境》（HJ610-2016）</w:t>
            </w:r>
          </w:p>
        </w:tc>
      </w:tr>
      <w:tr w14:paraId="3C0CFC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03" w:hRule="atLeast"/>
          <w:jc w:val="center"/>
        </w:trPr>
        <w:tc>
          <w:tcPr>
            <w:tcW w:w="794" w:type="dxa"/>
            <w:vMerge w:val="continue"/>
            <w:tcBorders>
              <w:tl2br w:val="nil"/>
              <w:tr2bl w:val="nil"/>
            </w:tcBorders>
            <w:noWrap w:val="0"/>
            <w:vAlign w:val="center"/>
          </w:tcPr>
          <w:p w14:paraId="1C78D5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rPr>
            </w:pPr>
          </w:p>
        </w:tc>
        <w:tc>
          <w:tcPr>
            <w:tcW w:w="805" w:type="dxa"/>
            <w:vMerge w:val="continue"/>
            <w:tcBorders>
              <w:tl2br w:val="nil"/>
              <w:tr2bl w:val="nil"/>
            </w:tcBorders>
            <w:noWrap w:val="0"/>
            <w:vAlign w:val="center"/>
          </w:tcPr>
          <w:p w14:paraId="119BF7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rPr>
            </w:pPr>
          </w:p>
        </w:tc>
        <w:tc>
          <w:tcPr>
            <w:tcW w:w="1482" w:type="dxa"/>
            <w:tcBorders>
              <w:tl2br w:val="nil"/>
              <w:tr2bl w:val="nil"/>
            </w:tcBorders>
            <w:noWrap w:val="0"/>
            <w:vAlign w:val="center"/>
          </w:tcPr>
          <w:p w14:paraId="435820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lang w:val="en-US" w:eastAsia="zh-CN" w:bidi="ar-SA"/>
              </w:rPr>
              <w:t>初期雨水收集池下游10m</w:t>
            </w:r>
          </w:p>
        </w:tc>
        <w:tc>
          <w:tcPr>
            <w:tcW w:w="1049" w:type="dxa"/>
            <w:vMerge w:val="continue"/>
            <w:tcBorders>
              <w:tl2br w:val="nil"/>
              <w:tr2bl w:val="nil"/>
            </w:tcBorders>
            <w:noWrap w:val="0"/>
            <w:vAlign w:val="center"/>
          </w:tcPr>
          <w:p w14:paraId="4777FC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lang w:val="en-US" w:eastAsia="zh-CN" w:bidi="ar-SA"/>
              </w:rPr>
            </w:pPr>
          </w:p>
        </w:tc>
        <w:tc>
          <w:tcPr>
            <w:tcW w:w="2099" w:type="dxa"/>
            <w:vMerge w:val="continue"/>
            <w:tcBorders>
              <w:tl2br w:val="nil"/>
              <w:tr2bl w:val="nil"/>
            </w:tcBorders>
            <w:noWrap w:val="0"/>
            <w:vAlign w:val="center"/>
          </w:tcPr>
          <w:p w14:paraId="059B3A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lang w:val="en-US" w:eastAsia="zh-CN" w:bidi="ar-SA"/>
              </w:rPr>
            </w:pPr>
          </w:p>
        </w:tc>
        <w:tc>
          <w:tcPr>
            <w:tcW w:w="812" w:type="dxa"/>
            <w:vMerge w:val="continue"/>
            <w:tcBorders>
              <w:tl2br w:val="nil"/>
              <w:tr2bl w:val="nil"/>
            </w:tcBorders>
            <w:noWrap w:val="0"/>
            <w:vAlign w:val="center"/>
          </w:tcPr>
          <w:p w14:paraId="26A58E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lang w:val="en-US" w:eastAsia="zh-CN" w:bidi="ar-SA"/>
              </w:rPr>
            </w:pPr>
          </w:p>
        </w:tc>
        <w:tc>
          <w:tcPr>
            <w:tcW w:w="2015" w:type="dxa"/>
            <w:vMerge w:val="continue"/>
            <w:tcBorders>
              <w:tl2br w:val="nil"/>
              <w:tr2bl w:val="nil"/>
            </w:tcBorders>
            <w:noWrap w:val="0"/>
            <w:vAlign w:val="center"/>
          </w:tcPr>
          <w:p w14:paraId="0D5F63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lang w:val="en-US" w:eastAsia="zh-CN" w:bidi="ar-SA"/>
              </w:rPr>
            </w:pPr>
          </w:p>
        </w:tc>
      </w:tr>
      <w:tr w14:paraId="59D5EE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03" w:hRule="atLeast"/>
          <w:jc w:val="center"/>
        </w:trPr>
        <w:tc>
          <w:tcPr>
            <w:tcW w:w="794" w:type="dxa"/>
            <w:vMerge w:val="continue"/>
            <w:tcBorders>
              <w:tl2br w:val="nil"/>
              <w:tr2bl w:val="nil"/>
            </w:tcBorders>
            <w:noWrap w:val="0"/>
            <w:vAlign w:val="center"/>
          </w:tcPr>
          <w:p w14:paraId="11523C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rPr>
            </w:pPr>
          </w:p>
        </w:tc>
        <w:tc>
          <w:tcPr>
            <w:tcW w:w="805" w:type="dxa"/>
            <w:vMerge w:val="continue"/>
            <w:tcBorders>
              <w:tl2br w:val="nil"/>
              <w:tr2bl w:val="nil"/>
            </w:tcBorders>
            <w:noWrap w:val="0"/>
            <w:vAlign w:val="center"/>
          </w:tcPr>
          <w:p w14:paraId="16A3A6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rPr>
            </w:pPr>
          </w:p>
        </w:tc>
        <w:tc>
          <w:tcPr>
            <w:tcW w:w="1482" w:type="dxa"/>
            <w:tcBorders>
              <w:tl2br w:val="nil"/>
              <w:tr2bl w:val="nil"/>
            </w:tcBorders>
            <w:noWrap w:val="0"/>
            <w:vAlign w:val="center"/>
          </w:tcPr>
          <w:p w14:paraId="33FAF5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lang w:eastAsia="zh-CN"/>
              </w:rPr>
              <w:t>鲁奎山铁矿1580m中段坑道地下水出水点</w:t>
            </w:r>
          </w:p>
        </w:tc>
        <w:tc>
          <w:tcPr>
            <w:tcW w:w="1049" w:type="dxa"/>
            <w:vMerge w:val="continue"/>
            <w:tcBorders>
              <w:tl2br w:val="nil"/>
              <w:tr2bl w:val="nil"/>
            </w:tcBorders>
            <w:noWrap w:val="0"/>
            <w:vAlign w:val="center"/>
          </w:tcPr>
          <w:p w14:paraId="41EDA0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lang w:val="en-US" w:eastAsia="zh-CN" w:bidi="ar-SA"/>
              </w:rPr>
            </w:pPr>
          </w:p>
        </w:tc>
        <w:tc>
          <w:tcPr>
            <w:tcW w:w="2099" w:type="dxa"/>
            <w:vMerge w:val="continue"/>
            <w:tcBorders>
              <w:tl2br w:val="nil"/>
              <w:tr2bl w:val="nil"/>
            </w:tcBorders>
            <w:noWrap w:val="0"/>
            <w:vAlign w:val="center"/>
          </w:tcPr>
          <w:p w14:paraId="707BC7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lang w:val="en-US" w:eastAsia="zh-CN" w:bidi="ar-SA"/>
              </w:rPr>
            </w:pPr>
          </w:p>
        </w:tc>
        <w:tc>
          <w:tcPr>
            <w:tcW w:w="812" w:type="dxa"/>
            <w:vMerge w:val="continue"/>
            <w:tcBorders>
              <w:tl2br w:val="nil"/>
              <w:tr2bl w:val="nil"/>
            </w:tcBorders>
            <w:noWrap w:val="0"/>
            <w:vAlign w:val="center"/>
          </w:tcPr>
          <w:p w14:paraId="52E549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lang w:val="en-US" w:eastAsia="zh-CN" w:bidi="ar-SA"/>
              </w:rPr>
            </w:pPr>
          </w:p>
        </w:tc>
        <w:tc>
          <w:tcPr>
            <w:tcW w:w="2015" w:type="dxa"/>
            <w:vMerge w:val="continue"/>
            <w:tcBorders>
              <w:tl2br w:val="nil"/>
              <w:tr2bl w:val="nil"/>
            </w:tcBorders>
            <w:noWrap w:val="0"/>
            <w:vAlign w:val="center"/>
          </w:tcPr>
          <w:p w14:paraId="13EE02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lang w:val="en-US" w:eastAsia="zh-CN" w:bidi="ar-SA"/>
              </w:rPr>
            </w:pPr>
          </w:p>
        </w:tc>
      </w:tr>
      <w:tr w14:paraId="73B457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4" w:type="dxa"/>
            <w:tcBorders>
              <w:tl2br w:val="nil"/>
              <w:tr2bl w:val="nil"/>
            </w:tcBorders>
            <w:noWrap w:val="0"/>
            <w:vAlign w:val="center"/>
          </w:tcPr>
          <w:p w14:paraId="2BC9A50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土壤</w:t>
            </w:r>
          </w:p>
        </w:tc>
        <w:tc>
          <w:tcPr>
            <w:tcW w:w="2287" w:type="dxa"/>
            <w:gridSpan w:val="2"/>
            <w:tcBorders>
              <w:tl2br w:val="nil"/>
              <w:tr2bl w:val="nil"/>
            </w:tcBorders>
            <w:noWrap w:val="0"/>
            <w:vAlign w:val="center"/>
          </w:tcPr>
          <w:p w14:paraId="469507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厂界下风向约20米建设用地及下风向约250米农用地各设一个监测点位</w:t>
            </w:r>
          </w:p>
        </w:tc>
        <w:tc>
          <w:tcPr>
            <w:tcW w:w="1049" w:type="dxa"/>
            <w:tcBorders>
              <w:tl2br w:val="nil"/>
              <w:tr2bl w:val="nil"/>
            </w:tcBorders>
            <w:noWrap w:val="0"/>
            <w:vAlign w:val="center"/>
          </w:tcPr>
          <w:p w14:paraId="6722431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val="0"/>
                <w:bCs/>
                <w:color w:val="auto"/>
                <w:sz w:val="18"/>
                <w:szCs w:val="18"/>
                <w:lang w:val="en-US" w:eastAsia="zh-CN"/>
              </w:rPr>
              <w:t>Fe、Mn、</w:t>
            </w:r>
            <w:r>
              <w:rPr>
                <w:rFonts w:hint="default" w:ascii="Times New Roman" w:hAnsi="Times New Roman" w:cs="Times New Roman"/>
                <w:color w:val="auto"/>
                <w:sz w:val="18"/>
                <w:szCs w:val="18"/>
                <w:highlight w:val="none"/>
                <w:lang w:val="en-US" w:eastAsia="zh-CN"/>
              </w:rPr>
              <w:t>Pb、Zn、Cu、As</w:t>
            </w:r>
          </w:p>
        </w:tc>
        <w:tc>
          <w:tcPr>
            <w:tcW w:w="2099" w:type="dxa"/>
            <w:tcBorders>
              <w:tl2br w:val="nil"/>
              <w:tr2bl w:val="nil"/>
            </w:tcBorders>
            <w:noWrap w:val="0"/>
            <w:vAlign w:val="center"/>
          </w:tcPr>
          <w:p w14:paraId="767F9E6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《土壤环境质量建设用地土壤污染风险管控标准（试行）》（GB36600-2018）第二类用地土壤污染风险筛选值</w:t>
            </w:r>
          </w:p>
        </w:tc>
        <w:tc>
          <w:tcPr>
            <w:tcW w:w="812" w:type="dxa"/>
            <w:tcBorders>
              <w:tl2br w:val="nil"/>
              <w:tr2bl w:val="nil"/>
            </w:tcBorders>
            <w:noWrap w:val="0"/>
            <w:vAlign w:val="center"/>
          </w:tcPr>
          <w:p w14:paraId="6BE4CE5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1</w:t>
            </w:r>
            <w:r>
              <w:rPr>
                <w:rFonts w:hint="default" w:ascii="Times New Roman" w:hAnsi="Times New Roman" w:cs="Times New Roman"/>
                <w:bCs/>
                <w:color w:val="auto"/>
                <w:sz w:val="18"/>
                <w:szCs w:val="18"/>
                <w:highlight w:val="none"/>
              </w:rPr>
              <w:t>次</w:t>
            </w:r>
            <w:r>
              <w:rPr>
                <w:rFonts w:hint="default" w:ascii="Times New Roman" w:hAnsi="Times New Roman" w:cs="Times New Roman"/>
                <w:bCs/>
                <w:color w:val="auto"/>
                <w:sz w:val="18"/>
                <w:szCs w:val="18"/>
                <w:highlight w:val="none"/>
                <w:lang w:val="en-US" w:eastAsia="zh-CN"/>
              </w:rPr>
              <w:t>/3年</w:t>
            </w:r>
          </w:p>
        </w:tc>
        <w:tc>
          <w:tcPr>
            <w:tcW w:w="2015" w:type="dxa"/>
            <w:tcBorders>
              <w:tl2br w:val="nil"/>
              <w:tr2bl w:val="nil"/>
            </w:tcBorders>
            <w:noWrap w:val="0"/>
            <w:vAlign w:val="center"/>
          </w:tcPr>
          <w:p w14:paraId="7323922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《排污单位自行监测技术指南 总则》（HJ 819-2017）、</w:t>
            </w:r>
            <w:r>
              <w:rPr>
                <w:rFonts w:hint="default" w:ascii="Times New Roman" w:hAnsi="Times New Roman" w:cs="Times New Roman"/>
                <w:color w:val="auto"/>
                <w:sz w:val="18"/>
                <w:szCs w:val="18"/>
              </w:rPr>
              <w:t>《环境影响评价技术导则</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土壤</w:t>
            </w:r>
            <w:r>
              <w:rPr>
                <w:rFonts w:hint="default" w:ascii="Times New Roman" w:hAnsi="Times New Roman" w:cs="Times New Roman"/>
                <w:color w:val="auto"/>
                <w:sz w:val="18"/>
                <w:szCs w:val="18"/>
              </w:rPr>
              <w:t>环境》（HJ</w:t>
            </w:r>
            <w:r>
              <w:rPr>
                <w:rFonts w:hint="default" w:ascii="Times New Roman" w:hAnsi="Times New Roman" w:cs="Times New Roman"/>
                <w:color w:val="auto"/>
                <w:sz w:val="18"/>
                <w:szCs w:val="18"/>
                <w:lang w:val="en-US" w:eastAsia="zh-CN"/>
              </w:rPr>
              <w:t>964</w:t>
            </w:r>
            <w:r>
              <w:rPr>
                <w:rFonts w:hint="default" w:ascii="Times New Roman" w:hAnsi="Times New Roman" w:cs="Times New Roman"/>
                <w:color w:val="auto"/>
                <w:sz w:val="18"/>
                <w:szCs w:val="18"/>
              </w:rPr>
              <w:t>-20</w:t>
            </w:r>
            <w:r>
              <w:rPr>
                <w:rFonts w:hint="default" w:ascii="Times New Roman" w:hAnsi="Times New Roman" w:cs="Times New Roman"/>
                <w:color w:val="auto"/>
                <w:sz w:val="18"/>
                <w:szCs w:val="18"/>
                <w:lang w:val="en-US" w:eastAsia="zh-CN"/>
              </w:rPr>
              <w:t>18</w:t>
            </w:r>
            <w:r>
              <w:rPr>
                <w:rFonts w:hint="default" w:ascii="Times New Roman" w:hAnsi="Times New Roman" w:cs="Times New Roman"/>
                <w:color w:val="auto"/>
                <w:sz w:val="18"/>
                <w:szCs w:val="18"/>
              </w:rPr>
              <w:t>）</w:t>
            </w:r>
          </w:p>
        </w:tc>
      </w:tr>
    </w:tbl>
    <w:p w14:paraId="0EE718A1">
      <w:pPr>
        <w:pStyle w:val="5"/>
        <w:bidi w:val="0"/>
        <w:rPr>
          <w:rFonts w:hint="default" w:ascii="Times New Roman" w:hAnsi="Times New Roman" w:cs="Times New Roman"/>
          <w:lang w:val="en-US" w:eastAsia="zh-CN"/>
        </w:rPr>
      </w:pPr>
      <w:bookmarkStart w:id="686" w:name="_Toc32612"/>
      <w:bookmarkStart w:id="687" w:name="_Toc7530"/>
      <w:bookmarkStart w:id="688" w:name="_Toc27405"/>
      <w:bookmarkStart w:id="689" w:name="_Toc7377"/>
      <w:bookmarkStart w:id="690" w:name="_Toc26673"/>
      <w:r>
        <w:rPr>
          <w:rFonts w:hint="default" w:ascii="Times New Roman" w:hAnsi="Times New Roman" w:cs="Times New Roman"/>
          <w:lang w:val="en-US" w:eastAsia="zh-CN"/>
        </w:rPr>
        <w:t>8.6项目与排污许可证衔接</w:t>
      </w:r>
      <w:bookmarkEnd w:id="686"/>
      <w:bookmarkEnd w:id="687"/>
      <w:bookmarkEnd w:id="688"/>
      <w:bookmarkEnd w:id="689"/>
      <w:bookmarkEnd w:id="690"/>
    </w:p>
    <w:p w14:paraId="1A5CAD2A">
      <w:pPr>
        <w:pStyle w:val="6"/>
        <w:bidi w:val="0"/>
        <w:rPr>
          <w:rFonts w:hint="default" w:ascii="Times New Roman" w:hAnsi="Times New Roman" w:cs="Times New Roman"/>
        </w:rPr>
      </w:pPr>
      <w:bookmarkStart w:id="691" w:name="_Toc28154"/>
      <w:r>
        <w:rPr>
          <w:rFonts w:hint="default" w:ascii="Times New Roman" w:hAnsi="Times New Roman" w:cs="Times New Roman"/>
          <w:lang w:val="en-US" w:eastAsia="zh-CN"/>
        </w:rPr>
        <w:t>8</w:t>
      </w: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.1排污许可证申请规定</w:t>
      </w:r>
      <w:bookmarkEnd w:id="680"/>
      <w:bookmarkEnd w:id="691"/>
    </w:p>
    <w:p w14:paraId="5C79A2F3">
      <w:pPr>
        <w:pStyle w:val="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根据《关于做好环境影响评价制度与排污许可制衔接相关工作的通知》（环办环评[2017]84号），建设项目发生实际排污行为之前，排污单位应当按照国家环境保护相关法律法规以及排污许可证申请与核发技术规范要求申请排污许可证，不得无证排污或不按证排污。应根据《排污许可证申请与核发技术规范 </w:t>
      </w:r>
      <w:r>
        <w:rPr>
          <w:rFonts w:hint="default" w:ascii="Times New Roman" w:hAnsi="Times New Roman" w:cs="Times New Roman"/>
          <w:color w:val="auto"/>
          <w:sz w:val="24"/>
          <w:lang w:val="en-US" w:eastAsia="zh-CN"/>
        </w:rPr>
        <w:t>总则</w:t>
      </w:r>
      <w:r>
        <w:rPr>
          <w:rFonts w:hint="default" w:ascii="Times New Roman" w:hAnsi="Times New Roman" w:cs="Times New Roman"/>
          <w:color w:val="auto"/>
          <w:sz w:val="24"/>
        </w:rPr>
        <w:t>》（HJ</w:t>
      </w:r>
      <w:r>
        <w:rPr>
          <w:rFonts w:hint="default" w:ascii="Times New Roman" w:hAnsi="Times New Roman" w:cs="Times New Roman"/>
          <w:color w:val="auto"/>
          <w:sz w:val="24"/>
          <w:lang w:val="en-US" w:eastAsia="zh-CN"/>
        </w:rPr>
        <w:t>942</w:t>
      </w:r>
      <w:r>
        <w:rPr>
          <w:rFonts w:hint="default" w:ascii="Times New Roman" w:hAnsi="Times New Roman" w:cs="Times New Roman"/>
          <w:color w:val="auto"/>
          <w:sz w:val="24"/>
        </w:rPr>
        <w:t>-201</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）申请排污许可证。</w:t>
      </w:r>
    </w:p>
    <w:p w14:paraId="3FA1F98B">
      <w:pPr>
        <w:pStyle w:val="6"/>
        <w:bidi w:val="0"/>
        <w:rPr>
          <w:rFonts w:hint="default" w:ascii="Times New Roman" w:hAnsi="Times New Roman" w:cs="Times New Roman"/>
          <w:lang w:val="en-US" w:eastAsia="zh-CN"/>
        </w:rPr>
      </w:pPr>
      <w:bookmarkStart w:id="692" w:name="_Toc17119"/>
      <w:bookmarkStart w:id="693" w:name="_Toc6498"/>
      <w:r>
        <w:rPr>
          <w:rFonts w:hint="default" w:ascii="Times New Roman" w:hAnsi="Times New Roman" w:cs="Times New Roman"/>
          <w:lang w:val="en-US" w:eastAsia="zh-CN"/>
        </w:rPr>
        <w:t>8.6.2排污许可证申请流程</w:t>
      </w:r>
      <w:bookmarkEnd w:id="692"/>
      <w:bookmarkEnd w:id="693"/>
    </w:p>
    <w:p w14:paraId="19E5F3A7">
      <w:pPr>
        <w:pStyle w:val="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rPr>
        <w:t>排污单位应当在国家排污许可证管理信息平台上填报并提交排污许可证申请，同时向有核发权限的环境保护主管部门提交通过平台印制的书面申请材料。排污单位对申请材料的真实性、合法性、完整性负法律责任。申请材料应当包括：</w:t>
      </w:r>
    </w:p>
    <w:p w14:paraId="1DE40BD2">
      <w:pPr>
        <w:pStyle w:val="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一）排污许可证申请表，主要内容包括：排污单位基本信息，主要生产装置，废气、废水等产排污环节和污染防治设施，申请的排污口位置和数量、排放方式、排放去向、排放污染物种类、排放浓度和排放量、执行的排放标准。</w:t>
      </w:r>
    </w:p>
    <w:p w14:paraId="24EB682D">
      <w:pPr>
        <w:pStyle w:val="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二）有排污单位法定代表人或者实际负责人签字或盖章的承诺书。主要承诺内容包括：对申请材料真实性、合法性、完整性负法律责任；按排污许可证的要求控制污染物排放；按照相关标准规范开展自行监测、台账记录；按时提交执行报告并及时公开相关信息等。</w:t>
      </w:r>
    </w:p>
    <w:p w14:paraId="57ED8D72">
      <w:pPr>
        <w:pStyle w:val="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（三）排污单位按照有关要求进行排污口和监测孔规范化设置的情况说明。</w:t>
      </w:r>
    </w:p>
    <w:p w14:paraId="318A5DB0">
      <w:pPr>
        <w:pStyle w:val="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（四）建设项目环境影响评价批复文号，或按照《国务院办公厅关于加强环境监管执法的通知》（国办发</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2014</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56号）要求，经地方政府依法处理、整顿规范并符合要求的相关证明材料。</w:t>
      </w:r>
    </w:p>
    <w:p w14:paraId="0F0C65D7">
      <w:pPr>
        <w:pStyle w:val="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（五）城镇污水集中处理设施还应提供纳污范围、纳污企业名单、管网布置、最终排放去向等材料。</w:t>
      </w:r>
    </w:p>
    <w:p w14:paraId="78AD04F0">
      <w:pPr>
        <w:pStyle w:val="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（六）法律法规规定的其他材料。</w:t>
      </w:r>
    </w:p>
    <w:p w14:paraId="41691217">
      <w:pPr>
        <w:pStyle w:val="6"/>
        <w:bidi w:val="0"/>
        <w:rPr>
          <w:rFonts w:hint="default" w:ascii="Times New Roman" w:hAnsi="Times New Roman" w:cs="Times New Roman"/>
          <w:lang w:val="en-US" w:eastAsia="zh-CN"/>
        </w:rPr>
      </w:pPr>
      <w:bookmarkStart w:id="694" w:name="_Toc28170"/>
      <w:bookmarkStart w:id="695" w:name="_Toc13796"/>
      <w:r>
        <w:rPr>
          <w:rFonts w:hint="default" w:ascii="Times New Roman" w:hAnsi="Times New Roman" w:cs="Times New Roman"/>
          <w:lang w:val="en-US" w:eastAsia="zh-CN"/>
        </w:rPr>
        <w:t>8.6.3排污许可证管理</w:t>
      </w:r>
      <w:bookmarkEnd w:id="694"/>
      <w:bookmarkEnd w:id="695"/>
    </w:p>
    <w:p w14:paraId="04B38F8A">
      <w:pPr>
        <w:pStyle w:val="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申请排污许可证后，排污单位应按照自行监测方案开展自行监测；按照排污许可证中环境管理台账记录要求记录相关内容，记录频次形式等；按照排污许可证中执行报告要求定期上报等；按照排污许可证要求定期开展信息公开；排污单位应满足特殊时段污染防治要求</w:t>
      </w:r>
      <w:r>
        <w:rPr>
          <w:rFonts w:hint="default" w:ascii="Times New Roman" w:hAnsi="Times New Roman" w:cs="Times New Roman"/>
          <w:color w:val="auto"/>
          <w:sz w:val="24"/>
          <w:lang w:eastAsia="zh-CN"/>
        </w:rPr>
        <w:t>。</w:t>
      </w:r>
    </w:p>
    <w:bookmarkEnd w:id="681"/>
    <w:bookmarkEnd w:id="682"/>
    <w:bookmarkEnd w:id="683"/>
    <w:bookmarkEnd w:id="684"/>
    <w:bookmarkEnd w:id="685"/>
    <w:p w14:paraId="73AA7CA9">
      <w:pPr>
        <w:pStyle w:val="5"/>
        <w:bidi w:val="0"/>
        <w:rPr>
          <w:rFonts w:hint="default" w:ascii="Times New Roman" w:hAnsi="Times New Roman" w:cs="Times New Roman"/>
          <w:lang w:val="en-US" w:eastAsia="zh-CN"/>
        </w:rPr>
      </w:pPr>
      <w:bookmarkStart w:id="696" w:name="_Toc27958"/>
      <w:bookmarkStart w:id="697" w:name="_Toc12796"/>
      <w:bookmarkStart w:id="698" w:name="_Toc15831"/>
      <w:bookmarkStart w:id="699" w:name="_Toc23142"/>
      <w:bookmarkStart w:id="700" w:name="_Toc13161"/>
      <w:bookmarkStart w:id="701" w:name="_Toc29895"/>
      <w:bookmarkStart w:id="702" w:name="_Toc24749"/>
      <w:r>
        <w:rPr>
          <w:rFonts w:hint="default" w:ascii="Times New Roman" w:hAnsi="Times New Roman" w:cs="Times New Roman"/>
          <w:lang w:val="en-US" w:eastAsia="zh-CN"/>
        </w:rPr>
        <w:t>8.7项目环境保护竣工验收</w:t>
      </w:r>
      <w:bookmarkEnd w:id="696"/>
      <w:bookmarkEnd w:id="697"/>
      <w:bookmarkEnd w:id="698"/>
      <w:bookmarkEnd w:id="699"/>
      <w:bookmarkEnd w:id="700"/>
      <w:bookmarkEnd w:id="701"/>
      <w:bookmarkEnd w:id="702"/>
    </w:p>
    <w:p w14:paraId="7EC0E891">
      <w:pPr>
        <w:pStyle w:val="70"/>
        <w:keepNext w:val="0"/>
        <w:keepLines w:val="0"/>
        <w:pageBreakBefore w:val="0"/>
        <w:widowControl/>
        <w:kinsoku/>
        <w:wordWrap/>
        <w:overflowPunct/>
        <w:topLinePunct w:val="0"/>
        <w:autoSpaceDE/>
        <w:autoSpaceDN/>
        <w:bidi w:val="0"/>
        <w:adjustRightInd/>
        <w:snapToGrid/>
        <w:ind w:left="0" w:leftChars="0" w:firstLine="49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根据建设单位项目“三同时”原则，在项目建设过程中，环境污染防治设施与主体工程同时设计、同时施工、同时投入使用。项目建成运营时，应对环保设施进行验收。</w:t>
      </w:r>
      <w:r>
        <w:rPr>
          <w:rFonts w:hint="default" w:ascii="Times New Roman" w:hAnsi="Times New Roman" w:cs="Times New Roman"/>
          <w:color w:val="auto"/>
          <w:highlight w:val="none"/>
        </w:rPr>
        <w:t>本项目环境保护竣工验收</w:t>
      </w:r>
      <w:r>
        <w:rPr>
          <w:rFonts w:hint="default" w:ascii="Times New Roman" w:hAnsi="Times New Roman" w:cs="Times New Roman"/>
          <w:color w:val="auto"/>
          <w:highlight w:val="none"/>
          <w:lang w:val="en-US" w:eastAsia="zh-CN"/>
        </w:rPr>
        <w:t>内容</w:t>
      </w:r>
      <w:r>
        <w:rPr>
          <w:rFonts w:hint="default" w:ascii="Times New Roman" w:hAnsi="Times New Roman" w:cs="Times New Roman"/>
          <w:color w:val="auto"/>
          <w:highlight w:val="none"/>
        </w:rPr>
        <w:t>见表</w:t>
      </w:r>
      <w:r>
        <w:rPr>
          <w:rFonts w:hint="default" w:ascii="Times New Roman" w:hAnsi="Times New Roman" w:cs="Times New Roman"/>
          <w:color w:val="auto"/>
          <w:highlight w:val="none"/>
          <w:lang w:val="en-US" w:eastAsia="zh-CN"/>
        </w:rPr>
        <w:t>8.7</w:t>
      </w:r>
      <w:r>
        <w:rPr>
          <w:rFonts w:hint="default" w:ascii="Times New Roman" w:hAnsi="Times New Roman" w:cs="Times New Roman"/>
          <w:color w:val="auto"/>
          <w:highlight w:val="none"/>
        </w:rPr>
        <w:t>-1。</w:t>
      </w:r>
    </w:p>
    <w:p w14:paraId="09DDF9FD">
      <w:pPr>
        <w:spacing w:line="360" w:lineRule="auto"/>
        <w:jc w:val="center"/>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w:t>
      </w:r>
      <w:r>
        <w:rPr>
          <w:rFonts w:hint="default" w:ascii="Times New Roman" w:hAnsi="Times New Roman" w:eastAsia="黑体" w:cs="Times New Roman"/>
          <w:b w:val="0"/>
          <w:bCs/>
          <w:color w:val="auto"/>
          <w:sz w:val="21"/>
          <w:szCs w:val="21"/>
          <w:highlight w:val="none"/>
          <w:lang w:val="en-US" w:eastAsia="zh-CN"/>
        </w:rPr>
        <w:t>8.7</w:t>
      </w:r>
      <w:r>
        <w:rPr>
          <w:rFonts w:hint="default" w:ascii="Times New Roman" w:hAnsi="Times New Roman" w:eastAsia="黑体" w:cs="Times New Roman"/>
          <w:b w:val="0"/>
          <w:bCs/>
          <w:color w:val="auto"/>
          <w:sz w:val="21"/>
          <w:szCs w:val="21"/>
          <w:highlight w:val="none"/>
        </w:rPr>
        <w:t xml:space="preserve">-1  </w:t>
      </w:r>
      <w:r>
        <w:rPr>
          <w:rFonts w:hint="default" w:ascii="Times New Roman" w:hAnsi="Times New Roman" w:eastAsia="黑体" w:cs="Times New Roman"/>
          <w:b w:val="0"/>
          <w:bCs/>
          <w:color w:val="auto"/>
          <w:sz w:val="21"/>
          <w:szCs w:val="21"/>
          <w:highlight w:val="none"/>
          <w:lang w:val="en-US" w:eastAsia="zh-CN"/>
        </w:rPr>
        <w:t>项目</w:t>
      </w:r>
      <w:r>
        <w:rPr>
          <w:rFonts w:hint="default" w:ascii="Times New Roman" w:hAnsi="Times New Roman" w:eastAsia="黑体" w:cs="Times New Roman"/>
          <w:b w:val="0"/>
          <w:bCs/>
          <w:color w:val="auto"/>
          <w:sz w:val="21"/>
          <w:szCs w:val="21"/>
          <w:highlight w:val="none"/>
        </w:rPr>
        <w:t>竣工环保验收一览表</w:t>
      </w:r>
    </w:p>
    <w:tbl>
      <w:tblPr>
        <w:tblStyle w:val="29"/>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335"/>
        <w:gridCol w:w="3431"/>
        <w:gridCol w:w="1924"/>
        <w:gridCol w:w="2038"/>
      </w:tblGrid>
      <w:tr w14:paraId="35777B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pct"/>
            <w:gridSpan w:val="2"/>
            <w:tcBorders>
              <w:tl2br w:val="nil"/>
              <w:tr2bl w:val="nil"/>
            </w:tcBorders>
            <w:noWrap w:val="0"/>
            <w:vAlign w:val="center"/>
          </w:tcPr>
          <w:p w14:paraId="0DC7FC7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cs="Times New Roman"/>
                <w:b/>
                <w:bCs/>
                <w:color w:val="auto"/>
                <w:kern w:val="0"/>
                <w:sz w:val="18"/>
                <w:szCs w:val="18"/>
                <w:highlight w:val="none"/>
              </w:rPr>
              <w:t>验收项目</w:t>
            </w:r>
          </w:p>
        </w:tc>
        <w:tc>
          <w:tcPr>
            <w:tcW w:w="1848" w:type="pct"/>
            <w:tcBorders>
              <w:tl2br w:val="nil"/>
              <w:tr2bl w:val="nil"/>
            </w:tcBorders>
            <w:noWrap w:val="0"/>
            <w:vAlign w:val="center"/>
          </w:tcPr>
          <w:p w14:paraId="6C942B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cs="Times New Roman"/>
                <w:b/>
                <w:bCs/>
                <w:color w:val="auto"/>
                <w:kern w:val="0"/>
                <w:sz w:val="18"/>
                <w:szCs w:val="18"/>
                <w:highlight w:val="none"/>
              </w:rPr>
              <w:t>验收内容</w:t>
            </w:r>
          </w:p>
        </w:tc>
        <w:tc>
          <w:tcPr>
            <w:tcW w:w="1036" w:type="pct"/>
            <w:tcBorders>
              <w:tl2br w:val="nil"/>
              <w:tr2bl w:val="nil"/>
            </w:tcBorders>
            <w:noWrap w:val="0"/>
            <w:vAlign w:val="center"/>
          </w:tcPr>
          <w:p w14:paraId="45DF50DE">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cs="Times New Roman"/>
                <w:b/>
                <w:bCs/>
                <w:color w:val="auto"/>
                <w:kern w:val="0"/>
                <w:sz w:val="18"/>
                <w:szCs w:val="18"/>
                <w:highlight w:val="none"/>
              </w:rPr>
              <w:t>处理对象</w:t>
            </w:r>
          </w:p>
        </w:tc>
        <w:tc>
          <w:tcPr>
            <w:tcW w:w="1097" w:type="pct"/>
            <w:tcBorders>
              <w:tl2br w:val="nil"/>
              <w:tr2bl w:val="nil"/>
            </w:tcBorders>
            <w:noWrap w:val="0"/>
            <w:vAlign w:val="center"/>
          </w:tcPr>
          <w:p w14:paraId="18394AB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处理效果</w:t>
            </w:r>
          </w:p>
        </w:tc>
      </w:tr>
      <w:tr w14:paraId="457B6F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8" w:type="pct"/>
            <w:vMerge w:val="restart"/>
            <w:tcBorders>
              <w:tl2br w:val="nil"/>
              <w:tr2bl w:val="nil"/>
            </w:tcBorders>
            <w:noWrap w:val="0"/>
            <w:vAlign w:val="center"/>
          </w:tcPr>
          <w:p w14:paraId="0987EB5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废气</w:t>
            </w:r>
          </w:p>
        </w:tc>
        <w:tc>
          <w:tcPr>
            <w:tcW w:w="719" w:type="pct"/>
            <w:tcBorders>
              <w:tl2br w:val="nil"/>
              <w:tr2bl w:val="nil"/>
            </w:tcBorders>
            <w:noWrap w:val="0"/>
            <w:vAlign w:val="center"/>
          </w:tcPr>
          <w:p w14:paraId="6E8C4B0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有组织废气</w:t>
            </w:r>
          </w:p>
        </w:tc>
        <w:tc>
          <w:tcPr>
            <w:tcW w:w="1848" w:type="pct"/>
            <w:tcBorders>
              <w:tl2br w:val="nil"/>
              <w:tr2bl w:val="nil"/>
            </w:tcBorders>
            <w:noWrap w:val="0"/>
            <w:vAlign w:val="center"/>
          </w:tcPr>
          <w:p w14:paraId="21F5478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sz w:val="18"/>
                <w:szCs w:val="18"/>
                <w:highlight w:val="none"/>
                <w:vertAlign w:val="baseline"/>
                <w:lang w:val="en-US" w:eastAsia="zh-CN"/>
              </w:rPr>
              <w:t>设置1套“布袋收尘器”系统，破碎、筛分、磁选机产生的粉尘经过“集尘罩+布袋收尘器”处理后，由15m高的排气筒排放。</w:t>
            </w:r>
          </w:p>
        </w:tc>
        <w:tc>
          <w:tcPr>
            <w:tcW w:w="1036" w:type="pct"/>
            <w:tcBorders>
              <w:tl2br w:val="nil"/>
              <w:tr2bl w:val="nil"/>
            </w:tcBorders>
            <w:noWrap w:val="0"/>
            <w:vAlign w:val="center"/>
          </w:tcPr>
          <w:p w14:paraId="150B64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vertAlign w:val="baseline"/>
                <w:lang w:val="en-US" w:eastAsia="zh-CN"/>
              </w:rPr>
              <w:t>破碎、筛分、磁选</w:t>
            </w:r>
            <w:r>
              <w:rPr>
                <w:rFonts w:hint="default" w:ascii="Times New Roman" w:hAnsi="Times New Roman" w:cs="Times New Roman" w:eastAsiaTheme="minorEastAsia"/>
                <w:color w:val="auto"/>
                <w:sz w:val="18"/>
                <w:szCs w:val="18"/>
              </w:rPr>
              <w:t>工序</w:t>
            </w:r>
            <w:r>
              <w:rPr>
                <w:rFonts w:hint="default" w:ascii="Times New Roman" w:hAnsi="Times New Roman" w:cs="Times New Roman"/>
                <w:color w:val="auto"/>
                <w:sz w:val="18"/>
                <w:szCs w:val="18"/>
              </w:rPr>
              <w:t>颗粒物</w:t>
            </w:r>
          </w:p>
        </w:tc>
        <w:tc>
          <w:tcPr>
            <w:tcW w:w="1097" w:type="pct"/>
            <w:tcBorders>
              <w:tl2br w:val="nil"/>
              <w:tr2bl w:val="nil"/>
            </w:tcBorders>
            <w:noWrap w:val="0"/>
            <w:vAlign w:val="center"/>
          </w:tcPr>
          <w:p w14:paraId="7727AC0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rPr>
              <w:t>《铁矿采选工业污染物排放标准》（GB28661-2012）表5新建企业大气污染物排放浓度限值</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即颗粒物≤20mg/m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vertAlign w:val="baseline"/>
                <w:lang w:val="en-US" w:eastAsia="zh-CN"/>
              </w:rPr>
              <w:t>。</w:t>
            </w:r>
          </w:p>
        </w:tc>
      </w:tr>
      <w:tr w14:paraId="37B182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8" w:type="pct"/>
            <w:vMerge w:val="continue"/>
            <w:tcBorders>
              <w:tl2br w:val="nil"/>
              <w:tr2bl w:val="nil"/>
            </w:tcBorders>
            <w:noWrap w:val="0"/>
            <w:vAlign w:val="center"/>
          </w:tcPr>
          <w:p w14:paraId="607FDF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p>
        </w:tc>
        <w:tc>
          <w:tcPr>
            <w:tcW w:w="719" w:type="pct"/>
            <w:vMerge w:val="restart"/>
            <w:tcBorders>
              <w:tl2br w:val="nil"/>
              <w:tr2bl w:val="nil"/>
            </w:tcBorders>
            <w:noWrap w:val="0"/>
            <w:vAlign w:val="center"/>
          </w:tcPr>
          <w:p w14:paraId="0FF3AA0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无组织废气</w:t>
            </w:r>
          </w:p>
        </w:tc>
        <w:tc>
          <w:tcPr>
            <w:tcW w:w="1848" w:type="pct"/>
            <w:tcBorders>
              <w:tl2br w:val="nil"/>
              <w:tr2bl w:val="nil"/>
            </w:tcBorders>
            <w:noWrap w:val="0"/>
            <w:vAlign w:val="center"/>
          </w:tcPr>
          <w:p w14:paraId="41D3C6F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rPr>
              <w:t>原矿料</w:t>
            </w:r>
            <w:r>
              <w:rPr>
                <w:rFonts w:hint="default" w:ascii="Times New Roman" w:hAnsi="Times New Roman" w:cs="Times New Roman"/>
                <w:color w:val="auto"/>
                <w:sz w:val="18"/>
                <w:szCs w:val="18"/>
                <w:lang w:val="en-US" w:eastAsia="zh-CN"/>
              </w:rPr>
              <w:t>斗三面围挡</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喷雾除尘</w:t>
            </w:r>
            <w:r>
              <w:rPr>
                <w:rFonts w:hint="default" w:ascii="Times New Roman" w:hAnsi="Times New Roman" w:cs="Times New Roman"/>
                <w:color w:val="auto"/>
                <w:sz w:val="18"/>
                <w:szCs w:val="18"/>
                <w:lang w:val="en-US" w:eastAsia="zh-CN"/>
              </w:rPr>
              <w:t>装置。</w:t>
            </w:r>
          </w:p>
        </w:tc>
        <w:tc>
          <w:tcPr>
            <w:tcW w:w="1036" w:type="pct"/>
            <w:tcBorders>
              <w:tl2br w:val="nil"/>
              <w:tr2bl w:val="nil"/>
            </w:tcBorders>
            <w:noWrap w:val="0"/>
            <w:vAlign w:val="center"/>
          </w:tcPr>
          <w:p w14:paraId="179E218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rPr>
              <w:t>矿料</w:t>
            </w:r>
            <w:r>
              <w:rPr>
                <w:rFonts w:hint="default" w:ascii="Times New Roman" w:hAnsi="Times New Roman" w:cs="Times New Roman"/>
                <w:color w:val="auto"/>
                <w:sz w:val="18"/>
                <w:szCs w:val="18"/>
                <w:lang w:val="en-US" w:eastAsia="zh-CN"/>
              </w:rPr>
              <w:t>下料口</w:t>
            </w:r>
            <w:r>
              <w:rPr>
                <w:rFonts w:hint="default" w:ascii="Times New Roman" w:hAnsi="Times New Roman" w:cs="Times New Roman" w:eastAsiaTheme="minorEastAsia"/>
                <w:color w:val="auto"/>
                <w:sz w:val="18"/>
                <w:szCs w:val="18"/>
              </w:rPr>
              <w:t>的</w:t>
            </w:r>
            <w:r>
              <w:rPr>
                <w:rFonts w:hint="default" w:ascii="Times New Roman" w:hAnsi="Times New Roman" w:cs="Times New Roman"/>
                <w:color w:val="auto"/>
                <w:sz w:val="18"/>
                <w:szCs w:val="18"/>
                <w:lang w:val="en-US" w:eastAsia="zh-CN"/>
              </w:rPr>
              <w:t>无组织</w:t>
            </w:r>
            <w:r>
              <w:rPr>
                <w:rFonts w:hint="default" w:ascii="Times New Roman" w:hAnsi="Times New Roman" w:cs="Times New Roman"/>
                <w:color w:val="auto"/>
                <w:sz w:val="18"/>
                <w:szCs w:val="18"/>
              </w:rPr>
              <w:t>颗粒物</w:t>
            </w:r>
          </w:p>
        </w:tc>
        <w:tc>
          <w:tcPr>
            <w:tcW w:w="1097" w:type="pct"/>
            <w:vMerge w:val="restart"/>
            <w:tcBorders>
              <w:tl2br w:val="nil"/>
              <w:tr2bl w:val="nil"/>
            </w:tcBorders>
            <w:noWrap w:val="0"/>
            <w:vAlign w:val="center"/>
          </w:tcPr>
          <w:p w14:paraId="5E91433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eastAsiaTheme="minorEastAsia"/>
                <w:color w:val="auto"/>
                <w:sz w:val="18"/>
                <w:szCs w:val="18"/>
              </w:rPr>
              <w:t>《铁矿采选工业污染物排放标准》（GB28661-2012）表7现有和新建企业大气污染物无组织排放浓度限值</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color w:val="auto"/>
                <w:sz w:val="18"/>
                <w:szCs w:val="18"/>
                <w:lang w:val="en-US" w:eastAsia="zh-CN"/>
              </w:rPr>
              <w:t>即选厂厂界颗粒物≤1.0mg/m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vertAlign w:val="baseline"/>
                <w:lang w:val="en-US" w:eastAsia="zh-CN"/>
              </w:rPr>
              <w:t>。</w:t>
            </w:r>
          </w:p>
          <w:p w14:paraId="3ABEC3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18"/>
                <w:szCs w:val="18"/>
                <w:highlight w:val="none"/>
                <w:lang w:eastAsia="zh-CN"/>
              </w:rPr>
            </w:pPr>
          </w:p>
        </w:tc>
      </w:tr>
      <w:tr w14:paraId="658778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8" w:type="pct"/>
            <w:vMerge w:val="continue"/>
            <w:tcBorders>
              <w:tl2br w:val="nil"/>
              <w:tr2bl w:val="nil"/>
            </w:tcBorders>
            <w:noWrap w:val="0"/>
            <w:vAlign w:val="center"/>
          </w:tcPr>
          <w:p w14:paraId="00CDE9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p>
        </w:tc>
        <w:tc>
          <w:tcPr>
            <w:tcW w:w="719" w:type="pct"/>
            <w:vMerge w:val="continue"/>
            <w:tcBorders>
              <w:tl2br w:val="nil"/>
              <w:tr2bl w:val="nil"/>
            </w:tcBorders>
            <w:noWrap w:val="0"/>
            <w:vAlign w:val="center"/>
          </w:tcPr>
          <w:p w14:paraId="5E3665C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p>
        </w:tc>
        <w:tc>
          <w:tcPr>
            <w:tcW w:w="1848" w:type="pct"/>
            <w:tcBorders>
              <w:tl2br w:val="nil"/>
              <w:tr2bl w:val="nil"/>
            </w:tcBorders>
            <w:noWrap w:val="0"/>
            <w:vAlign w:val="center"/>
          </w:tcPr>
          <w:p w14:paraId="396AFED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lang w:val="en-US" w:eastAsia="zh-CN"/>
              </w:rPr>
              <w:t>设置为</w:t>
            </w:r>
            <w:r>
              <w:rPr>
                <w:rFonts w:hint="default" w:ascii="Times New Roman" w:hAnsi="Times New Roman" w:cs="Times New Roman"/>
                <w:color w:val="auto"/>
                <w:sz w:val="18"/>
                <w:szCs w:val="18"/>
              </w:rPr>
              <w:t>封闭式廊道</w:t>
            </w:r>
          </w:p>
        </w:tc>
        <w:tc>
          <w:tcPr>
            <w:tcW w:w="1036" w:type="pct"/>
            <w:tcBorders>
              <w:tl2br w:val="nil"/>
              <w:tr2bl w:val="nil"/>
            </w:tcBorders>
            <w:noWrap w:val="0"/>
            <w:vAlign w:val="center"/>
          </w:tcPr>
          <w:p w14:paraId="739B31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sz w:val="18"/>
                <w:szCs w:val="18"/>
              </w:rPr>
              <w:t>输送皮带</w:t>
            </w:r>
            <w:r>
              <w:rPr>
                <w:rFonts w:hint="default" w:ascii="Times New Roman" w:hAnsi="Times New Roman" w:cs="Times New Roman"/>
                <w:color w:val="auto"/>
                <w:sz w:val="18"/>
                <w:szCs w:val="18"/>
                <w:lang w:val="en-US" w:eastAsia="zh-CN"/>
              </w:rPr>
              <w:t>无组织颗粒物</w:t>
            </w:r>
          </w:p>
        </w:tc>
        <w:tc>
          <w:tcPr>
            <w:tcW w:w="1097" w:type="pct"/>
            <w:vMerge w:val="continue"/>
            <w:tcBorders>
              <w:tl2br w:val="nil"/>
              <w:tr2bl w:val="nil"/>
            </w:tcBorders>
            <w:noWrap w:val="0"/>
            <w:vAlign w:val="center"/>
          </w:tcPr>
          <w:p w14:paraId="760F786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p>
        </w:tc>
      </w:tr>
      <w:tr w14:paraId="7F31CF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8" w:type="pct"/>
            <w:vMerge w:val="continue"/>
            <w:tcBorders>
              <w:tl2br w:val="nil"/>
              <w:tr2bl w:val="nil"/>
            </w:tcBorders>
            <w:noWrap w:val="0"/>
            <w:vAlign w:val="center"/>
          </w:tcPr>
          <w:p w14:paraId="264574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p>
        </w:tc>
        <w:tc>
          <w:tcPr>
            <w:tcW w:w="719" w:type="pct"/>
            <w:vMerge w:val="continue"/>
            <w:tcBorders>
              <w:tl2br w:val="nil"/>
              <w:tr2bl w:val="nil"/>
            </w:tcBorders>
            <w:noWrap w:val="0"/>
            <w:vAlign w:val="center"/>
          </w:tcPr>
          <w:p w14:paraId="6FC84E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p>
        </w:tc>
        <w:tc>
          <w:tcPr>
            <w:tcW w:w="1848" w:type="pct"/>
            <w:tcBorders>
              <w:tl2br w:val="nil"/>
              <w:tr2bl w:val="nil"/>
            </w:tcBorders>
            <w:noWrap w:val="0"/>
            <w:vAlign w:val="center"/>
          </w:tcPr>
          <w:p w14:paraId="5D360FE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三面围挡、喷雾除尘</w:t>
            </w:r>
          </w:p>
        </w:tc>
        <w:tc>
          <w:tcPr>
            <w:tcW w:w="1036" w:type="pct"/>
            <w:tcBorders>
              <w:tl2br w:val="nil"/>
              <w:tr2bl w:val="nil"/>
            </w:tcBorders>
            <w:noWrap w:val="0"/>
            <w:vAlign w:val="center"/>
          </w:tcPr>
          <w:p w14:paraId="00F31E9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一次筛分落料点</w:t>
            </w:r>
          </w:p>
        </w:tc>
        <w:tc>
          <w:tcPr>
            <w:tcW w:w="1097" w:type="pct"/>
            <w:vMerge w:val="continue"/>
            <w:tcBorders>
              <w:tl2br w:val="nil"/>
              <w:tr2bl w:val="nil"/>
            </w:tcBorders>
            <w:noWrap w:val="0"/>
            <w:vAlign w:val="center"/>
          </w:tcPr>
          <w:p w14:paraId="0BBAF5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p>
        </w:tc>
      </w:tr>
      <w:tr w14:paraId="62744B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8" w:type="pct"/>
            <w:vMerge w:val="continue"/>
            <w:tcBorders>
              <w:tl2br w:val="nil"/>
              <w:tr2bl w:val="nil"/>
            </w:tcBorders>
            <w:noWrap w:val="0"/>
            <w:vAlign w:val="center"/>
          </w:tcPr>
          <w:p w14:paraId="46FA155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highlight w:val="none"/>
                <w:lang w:val="en-US" w:eastAsia="zh-CN"/>
              </w:rPr>
            </w:pPr>
          </w:p>
        </w:tc>
        <w:tc>
          <w:tcPr>
            <w:tcW w:w="719" w:type="pct"/>
            <w:vMerge w:val="continue"/>
            <w:tcBorders>
              <w:tl2br w:val="nil"/>
              <w:tr2bl w:val="nil"/>
            </w:tcBorders>
            <w:noWrap w:val="0"/>
            <w:vAlign w:val="center"/>
          </w:tcPr>
          <w:p w14:paraId="6B0310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p>
        </w:tc>
        <w:tc>
          <w:tcPr>
            <w:tcW w:w="1848" w:type="pct"/>
            <w:tcBorders>
              <w:tl2br w:val="nil"/>
              <w:tr2bl w:val="nil"/>
            </w:tcBorders>
            <w:noWrap w:val="0"/>
            <w:vAlign w:val="center"/>
          </w:tcPr>
          <w:p w14:paraId="3BB6D8A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rPr>
              <w:t>“三面围挡+彩钢瓦顶棚”，设置喷雾降尘措施</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同时采取编织物覆盖措施。</w:t>
            </w:r>
          </w:p>
        </w:tc>
        <w:tc>
          <w:tcPr>
            <w:tcW w:w="1036" w:type="pct"/>
            <w:tcBorders>
              <w:tl2br w:val="nil"/>
              <w:tr2bl w:val="nil"/>
            </w:tcBorders>
            <w:noWrap w:val="0"/>
            <w:vAlign w:val="center"/>
          </w:tcPr>
          <w:p w14:paraId="38D23BB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lang w:val="en-US" w:eastAsia="zh-CN"/>
              </w:rPr>
              <w:t>铁矿石</w:t>
            </w:r>
            <w:r>
              <w:rPr>
                <w:rFonts w:hint="default" w:ascii="Times New Roman" w:hAnsi="Times New Roman" w:cs="Times New Roman"/>
                <w:color w:val="auto"/>
                <w:sz w:val="18"/>
                <w:szCs w:val="18"/>
              </w:rPr>
              <w:t>堆场</w:t>
            </w:r>
            <w:r>
              <w:rPr>
                <w:rFonts w:hint="default" w:ascii="Times New Roman" w:hAnsi="Times New Roman" w:cs="Times New Roman"/>
                <w:color w:val="auto"/>
                <w:sz w:val="18"/>
                <w:szCs w:val="18"/>
                <w:lang w:val="en-US" w:eastAsia="zh-CN"/>
              </w:rPr>
              <w:t>无组织</w:t>
            </w:r>
            <w:r>
              <w:rPr>
                <w:rFonts w:hint="default" w:ascii="Times New Roman" w:hAnsi="Times New Roman" w:cs="Times New Roman"/>
                <w:color w:val="auto"/>
                <w:sz w:val="18"/>
                <w:szCs w:val="18"/>
              </w:rPr>
              <w:t>颗粒物</w:t>
            </w:r>
          </w:p>
        </w:tc>
        <w:tc>
          <w:tcPr>
            <w:tcW w:w="1097" w:type="pct"/>
            <w:vMerge w:val="continue"/>
            <w:tcBorders>
              <w:tl2br w:val="nil"/>
              <w:tr2bl w:val="nil"/>
            </w:tcBorders>
            <w:noWrap w:val="0"/>
            <w:vAlign w:val="center"/>
          </w:tcPr>
          <w:p w14:paraId="65B73C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p>
        </w:tc>
      </w:tr>
      <w:tr w14:paraId="5C0B77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98" w:type="pct"/>
            <w:vMerge w:val="continue"/>
            <w:tcBorders>
              <w:tl2br w:val="nil"/>
              <w:tr2bl w:val="nil"/>
            </w:tcBorders>
            <w:noWrap w:val="0"/>
            <w:vAlign w:val="center"/>
          </w:tcPr>
          <w:p w14:paraId="649C6EF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lang w:val="en-US" w:eastAsia="zh-CN"/>
              </w:rPr>
            </w:pPr>
          </w:p>
        </w:tc>
        <w:tc>
          <w:tcPr>
            <w:tcW w:w="719" w:type="pct"/>
            <w:vMerge w:val="continue"/>
            <w:tcBorders>
              <w:tl2br w:val="nil"/>
              <w:tr2bl w:val="nil"/>
            </w:tcBorders>
            <w:noWrap w:val="0"/>
            <w:vAlign w:val="center"/>
          </w:tcPr>
          <w:p w14:paraId="055F390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p>
        </w:tc>
        <w:tc>
          <w:tcPr>
            <w:tcW w:w="1848" w:type="pct"/>
            <w:tcBorders>
              <w:tl2br w:val="nil"/>
              <w:tr2bl w:val="nil"/>
            </w:tcBorders>
            <w:noWrap w:val="0"/>
            <w:vAlign w:val="center"/>
          </w:tcPr>
          <w:p w14:paraId="1943F44A">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rPr>
              <w:t>“三面围挡+彩钢瓦顶棚”，设置喷雾降尘措施</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同时采取编织物覆盖措施。</w:t>
            </w:r>
          </w:p>
        </w:tc>
        <w:tc>
          <w:tcPr>
            <w:tcW w:w="1036" w:type="pct"/>
            <w:tcBorders>
              <w:tl2br w:val="nil"/>
              <w:tr2bl w:val="nil"/>
            </w:tcBorders>
            <w:noWrap w:val="0"/>
            <w:vAlign w:val="center"/>
          </w:tcPr>
          <w:p w14:paraId="6F23D8F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lang w:val="en-US" w:eastAsia="zh-CN"/>
              </w:rPr>
              <w:t>砂石料堆场无组织</w:t>
            </w:r>
            <w:r>
              <w:rPr>
                <w:rFonts w:hint="default" w:ascii="Times New Roman" w:hAnsi="Times New Roman" w:cs="Times New Roman"/>
                <w:color w:val="auto"/>
                <w:sz w:val="18"/>
                <w:szCs w:val="18"/>
              </w:rPr>
              <w:t>颗粒物</w:t>
            </w:r>
          </w:p>
        </w:tc>
        <w:tc>
          <w:tcPr>
            <w:tcW w:w="1097" w:type="pct"/>
            <w:vMerge w:val="continue"/>
            <w:tcBorders>
              <w:tl2br w:val="nil"/>
              <w:tr2bl w:val="nil"/>
            </w:tcBorders>
            <w:noWrap w:val="0"/>
            <w:vAlign w:val="center"/>
          </w:tcPr>
          <w:p w14:paraId="1EB2AB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p>
        </w:tc>
      </w:tr>
      <w:tr w14:paraId="7E765D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98" w:type="pct"/>
            <w:vMerge w:val="continue"/>
            <w:tcBorders>
              <w:tl2br w:val="nil"/>
              <w:tr2bl w:val="nil"/>
            </w:tcBorders>
            <w:noWrap w:val="0"/>
            <w:vAlign w:val="center"/>
          </w:tcPr>
          <w:p w14:paraId="716B683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lang w:val="en-US" w:eastAsia="zh-CN"/>
              </w:rPr>
            </w:pPr>
          </w:p>
        </w:tc>
        <w:tc>
          <w:tcPr>
            <w:tcW w:w="719" w:type="pct"/>
            <w:vMerge w:val="continue"/>
            <w:tcBorders>
              <w:tl2br w:val="nil"/>
              <w:tr2bl w:val="nil"/>
            </w:tcBorders>
            <w:noWrap w:val="0"/>
            <w:vAlign w:val="center"/>
          </w:tcPr>
          <w:p w14:paraId="3B0AA67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p>
        </w:tc>
        <w:tc>
          <w:tcPr>
            <w:tcW w:w="1848" w:type="pct"/>
            <w:tcBorders>
              <w:tl2br w:val="nil"/>
              <w:tr2bl w:val="nil"/>
            </w:tcBorders>
            <w:noWrap w:val="0"/>
            <w:vAlign w:val="center"/>
          </w:tcPr>
          <w:p w14:paraId="345A8F3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“三面围挡+彩钢瓦顶棚”，设置喷雾降尘措施</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同时采取编织物覆盖措施</w:t>
            </w:r>
          </w:p>
        </w:tc>
        <w:tc>
          <w:tcPr>
            <w:tcW w:w="1036" w:type="pct"/>
            <w:tcBorders>
              <w:tl2br w:val="nil"/>
              <w:tr2bl w:val="nil"/>
            </w:tcBorders>
            <w:noWrap w:val="0"/>
            <w:vAlign w:val="center"/>
          </w:tcPr>
          <w:p w14:paraId="15068A9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原料堆场无组织</w:t>
            </w:r>
            <w:r>
              <w:rPr>
                <w:rFonts w:hint="default" w:ascii="Times New Roman" w:hAnsi="Times New Roman" w:cs="Times New Roman"/>
                <w:color w:val="auto"/>
                <w:sz w:val="18"/>
                <w:szCs w:val="18"/>
              </w:rPr>
              <w:t>颗粒物</w:t>
            </w:r>
          </w:p>
        </w:tc>
        <w:tc>
          <w:tcPr>
            <w:tcW w:w="1097" w:type="pct"/>
            <w:vMerge w:val="continue"/>
            <w:tcBorders>
              <w:tl2br w:val="nil"/>
              <w:tr2bl w:val="nil"/>
            </w:tcBorders>
            <w:noWrap w:val="0"/>
            <w:vAlign w:val="center"/>
          </w:tcPr>
          <w:p w14:paraId="2E07CD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p>
        </w:tc>
      </w:tr>
      <w:tr w14:paraId="3E2CC4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8" w:type="pct"/>
            <w:vMerge w:val="continue"/>
            <w:tcBorders>
              <w:tl2br w:val="nil"/>
              <w:tr2bl w:val="nil"/>
            </w:tcBorders>
            <w:noWrap w:val="0"/>
            <w:vAlign w:val="center"/>
          </w:tcPr>
          <w:p w14:paraId="1FC598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lang w:val="en-US" w:eastAsia="zh-CN"/>
              </w:rPr>
            </w:pPr>
          </w:p>
        </w:tc>
        <w:tc>
          <w:tcPr>
            <w:tcW w:w="719" w:type="pct"/>
            <w:tcBorders>
              <w:tl2br w:val="nil"/>
              <w:tr2bl w:val="nil"/>
            </w:tcBorders>
            <w:noWrap w:val="0"/>
            <w:vAlign w:val="center"/>
          </w:tcPr>
          <w:p w14:paraId="2A39981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依托的鲁奎山铁矿污水处理设施</w:t>
            </w:r>
          </w:p>
        </w:tc>
        <w:tc>
          <w:tcPr>
            <w:tcW w:w="1848" w:type="pct"/>
            <w:tcBorders>
              <w:tl2br w:val="nil"/>
              <w:tr2bl w:val="nil"/>
            </w:tcBorders>
            <w:noWrap w:val="0"/>
            <w:vAlign w:val="center"/>
          </w:tcPr>
          <w:p w14:paraId="51273CD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依托矿山污水处理设施，隔油池、化粪池，一体化污水处理设施处理后回用于矿山洒水降尘</w:t>
            </w:r>
          </w:p>
        </w:tc>
        <w:tc>
          <w:tcPr>
            <w:tcW w:w="1036" w:type="pct"/>
            <w:tcBorders>
              <w:tl2br w:val="nil"/>
              <w:tr2bl w:val="nil"/>
            </w:tcBorders>
            <w:noWrap w:val="0"/>
            <w:vAlign w:val="center"/>
          </w:tcPr>
          <w:p w14:paraId="3F8952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生活污水</w:t>
            </w:r>
          </w:p>
        </w:tc>
        <w:tc>
          <w:tcPr>
            <w:tcW w:w="1097" w:type="pct"/>
            <w:tcBorders>
              <w:tl2br w:val="nil"/>
              <w:tr2bl w:val="nil"/>
            </w:tcBorders>
            <w:noWrap w:val="0"/>
            <w:vAlign w:val="center"/>
          </w:tcPr>
          <w:p w14:paraId="6F17ED9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《城市污水再生利用 城市杂用水水质》（GB/T18920-2020）中城市绿化、道路清扫标准。不外排。</w:t>
            </w:r>
          </w:p>
        </w:tc>
      </w:tr>
      <w:tr w14:paraId="4AFDB3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298" w:type="pct"/>
            <w:vMerge w:val="continue"/>
            <w:tcBorders>
              <w:tl2br w:val="nil"/>
              <w:tr2bl w:val="nil"/>
            </w:tcBorders>
            <w:noWrap w:val="0"/>
            <w:vAlign w:val="center"/>
          </w:tcPr>
          <w:p w14:paraId="092F70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lang w:val="en-US" w:eastAsia="zh-CN"/>
              </w:rPr>
            </w:pPr>
          </w:p>
        </w:tc>
        <w:tc>
          <w:tcPr>
            <w:tcW w:w="719" w:type="pct"/>
            <w:tcBorders>
              <w:tl2br w:val="nil"/>
              <w:tr2bl w:val="nil"/>
            </w:tcBorders>
            <w:noWrap w:val="0"/>
            <w:vAlign w:val="center"/>
          </w:tcPr>
          <w:p w14:paraId="3A8AECC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kern w:val="0"/>
                <w:sz w:val="18"/>
                <w:szCs w:val="18"/>
                <w:lang w:val="en-US" w:eastAsia="zh-CN" w:bidi="ar"/>
              </w:rPr>
              <w:t>初期雨水收集池</w:t>
            </w:r>
          </w:p>
        </w:tc>
        <w:tc>
          <w:tcPr>
            <w:tcW w:w="1848" w:type="pct"/>
            <w:tcBorders>
              <w:tl2br w:val="nil"/>
              <w:tr2bl w:val="nil"/>
            </w:tcBorders>
            <w:noWrap w:val="0"/>
            <w:vAlign w:val="center"/>
          </w:tcPr>
          <w:p w14:paraId="3D67945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新建</w:t>
            </w:r>
            <w:r>
              <w:rPr>
                <w:rFonts w:hint="default" w:ascii="Times New Roman" w:hAnsi="Times New Roman" w:cs="Times New Roman"/>
                <w:color w:val="auto"/>
                <w:kern w:val="0"/>
                <w:sz w:val="18"/>
                <w:szCs w:val="18"/>
                <w:lang w:val="en-US" w:eastAsia="zh-CN" w:bidi="ar"/>
              </w:rPr>
              <w:t>325</w:t>
            </w:r>
            <w:r>
              <w:rPr>
                <w:rFonts w:hint="default" w:ascii="Times New Roman" w:hAnsi="Times New Roman" w:eastAsia="宋体" w:cs="Times New Roman"/>
                <w:color w:val="auto"/>
                <w:kern w:val="0"/>
                <w:sz w:val="18"/>
                <w:szCs w:val="18"/>
                <w:lang w:val="en-US" w:eastAsia="zh-CN" w:bidi="ar"/>
              </w:rPr>
              <w:t>m³的初期雨水收集池</w:t>
            </w:r>
            <w:r>
              <w:rPr>
                <w:rFonts w:hint="default" w:ascii="Times New Roman" w:hAnsi="Times New Roman" w:cs="Times New Roman"/>
                <w:color w:val="auto"/>
                <w:kern w:val="0"/>
                <w:sz w:val="18"/>
                <w:szCs w:val="18"/>
                <w:lang w:val="en-US" w:eastAsia="zh-CN" w:bidi="ar"/>
              </w:rPr>
              <w:t>，初期雨水经过收集后，回用于洒水降尘，不外排</w:t>
            </w:r>
          </w:p>
        </w:tc>
        <w:tc>
          <w:tcPr>
            <w:tcW w:w="1036" w:type="pct"/>
            <w:tcBorders>
              <w:tl2br w:val="nil"/>
              <w:tr2bl w:val="nil"/>
            </w:tcBorders>
            <w:noWrap w:val="0"/>
            <w:vAlign w:val="center"/>
          </w:tcPr>
          <w:p w14:paraId="63EACC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kern w:val="2"/>
                <w:sz w:val="18"/>
                <w:szCs w:val="18"/>
                <w:highlight w:val="none"/>
                <w:lang w:val="en-US" w:eastAsia="zh-CN" w:bidi="ar-SA"/>
              </w:rPr>
              <w:t>初期雨水</w:t>
            </w:r>
          </w:p>
        </w:tc>
        <w:tc>
          <w:tcPr>
            <w:tcW w:w="1097" w:type="pct"/>
            <w:tcBorders>
              <w:tl2br w:val="nil"/>
              <w:tr2bl w:val="nil"/>
            </w:tcBorders>
            <w:noWrap w:val="0"/>
            <w:vAlign w:val="center"/>
          </w:tcPr>
          <w:p w14:paraId="34E6BB6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不外排</w:t>
            </w:r>
          </w:p>
        </w:tc>
      </w:tr>
      <w:tr w14:paraId="46EC18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8" w:type="pct"/>
            <w:tcBorders>
              <w:tl2br w:val="nil"/>
              <w:tr2bl w:val="nil"/>
            </w:tcBorders>
            <w:noWrap w:val="0"/>
            <w:vAlign w:val="center"/>
          </w:tcPr>
          <w:p w14:paraId="794D4B7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噪声</w:t>
            </w:r>
          </w:p>
        </w:tc>
        <w:tc>
          <w:tcPr>
            <w:tcW w:w="719" w:type="pct"/>
            <w:tcBorders>
              <w:tl2br w:val="nil"/>
              <w:tr2bl w:val="nil"/>
            </w:tcBorders>
            <w:noWrap w:val="0"/>
            <w:vAlign w:val="center"/>
          </w:tcPr>
          <w:p w14:paraId="628A3F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生产设备</w:t>
            </w:r>
          </w:p>
        </w:tc>
        <w:tc>
          <w:tcPr>
            <w:tcW w:w="1848" w:type="pct"/>
            <w:tcBorders>
              <w:tl2br w:val="nil"/>
              <w:tr2bl w:val="nil"/>
            </w:tcBorders>
            <w:noWrap w:val="0"/>
            <w:vAlign w:val="center"/>
          </w:tcPr>
          <w:p w14:paraId="46DBC4E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0"/>
                <w:sz w:val="18"/>
                <w:szCs w:val="18"/>
                <w:highlight w:val="none"/>
                <w:lang w:val="en-US"/>
              </w:rPr>
            </w:pPr>
            <w:r>
              <w:rPr>
                <w:rFonts w:hint="default" w:ascii="Times New Roman" w:hAnsi="Times New Roman" w:eastAsia="宋体" w:cs="Times New Roman"/>
                <w:color w:val="auto"/>
                <w:sz w:val="18"/>
                <w:szCs w:val="18"/>
                <w:highlight w:val="none"/>
                <w:lang w:eastAsia="zh-CN"/>
              </w:rPr>
              <w:t>采取</w:t>
            </w:r>
            <w:r>
              <w:rPr>
                <w:rFonts w:hint="default" w:ascii="Times New Roman" w:hAnsi="Times New Roman" w:eastAsia="宋体" w:cs="Times New Roman"/>
                <w:color w:val="auto"/>
                <w:sz w:val="18"/>
                <w:szCs w:val="18"/>
                <w:highlight w:val="none"/>
                <w:lang w:val="en-US" w:eastAsia="zh-CN"/>
              </w:rPr>
              <w:t>基础减震</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设备封闭加装</w:t>
            </w:r>
            <w:r>
              <w:rPr>
                <w:rFonts w:hint="default" w:ascii="Times New Roman" w:hAnsi="Times New Roman" w:eastAsia="宋体" w:cs="Times New Roman"/>
                <w:color w:val="auto"/>
                <w:sz w:val="18"/>
                <w:szCs w:val="18"/>
                <w:highlight w:val="none"/>
                <w:lang w:val="en-US" w:eastAsia="zh-CN"/>
              </w:rPr>
              <w:t>隔声</w:t>
            </w:r>
            <w:r>
              <w:rPr>
                <w:rFonts w:hint="default" w:ascii="Times New Roman" w:hAnsi="Times New Roman" w:cs="Times New Roman"/>
                <w:color w:val="auto"/>
                <w:sz w:val="18"/>
                <w:szCs w:val="18"/>
                <w:highlight w:val="none"/>
                <w:lang w:val="en-US" w:eastAsia="zh-CN"/>
              </w:rPr>
              <w:t>材料</w:t>
            </w:r>
            <w:r>
              <w:rPr>
                <w:rFonts w:hint="default" w:ascii="Times New Roman" w:hAnsi="Times New Roman" w:eastAsia="宋体" w:cs="Times New Roman"/>
                <w:color w:val="auto"/>
                <w:sz w:val="18"/>
                <w:szCs w:val="18"/>
                <w:highlight w:val="none"/>
                <w:lang w:val="en-US" w:eastAsia="zh-CN"/>
              </w:rPr>
              <w:t>等</w:t>
            </w:r>
            <w:r>
              <w:rPr>
                <w:rFonts w:hint="default" w:ascii="Times New Roman" w:hAnsi="Times New Roman" w:cs="Times New Roman"/>
                <w:color w:val="auto"/>
                <w:sz w:val="18"/>
                <w:szCs w:val="18"/>
                <w:highlight w:val="none"/>
                <w:lang w:val="en-US" w:eastAsia="zh-CN"/>
              </w:rPr>
              <w:t>措施。</w:t>
            </w:r>
          </w:p>
        </w:tc>
        <w:tc>
          <w:tcPr>
            <w:tcW w:w="1036" w:type="pct"/>
            <w:tcBorders>
              <w:tl2br w:val="nil"/>
              <w:tr2bl w:val="nil"/>
            </w:tcBorders>
            <w:noWrap w:val="0"/>
            <w:vAlign w:val="center"/>
          </w:tcPr>
          <w:p w14:paraId="74F9954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Leq(A)</w:t>
            </w:r>
          </w:p>
        </w:tc>
        <w:tc>
          <w:tcPr>
            <w:tcW w:w="1097" w:type="pct"/>
            <w:tcBorders>
              <w:tl2br w:val="nil"/>
              <w:tr2bl w:val="nil"/>
            </w:tcBorders>
            <w:noWrap w:val="0"/>
            <w:vAlign w:val="center"/>
          </w:tcPr>
          <w:p w14:paraId="149605B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sz w:val="18"/>
                <w:szCs w:val="18"/>
              </w:rPr>
              <w:t>《工业企业厂界环境噪声排放标准》（GB12348-2008）2类标准</w:t>
            </w:r>
          </w:p>
        </w:tc>
      </w:tr>
      <w:tr w14:paraId="021F6C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8" w:type="pct"/>
            <w:vMerge w:val="restart"/>
            <w:tcBorders>
              <w:tl2br w:val="nil"/>
              <w:tr2bl w:val="nil"/>
            </w:tcBorders>
            <w:noWrap w:val="0"/>
            <w:vAlign w:val="center"/>
          </w:tcPr>
          <w:p w14:paraId="1CCA43A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固废</w:t>
            </w:r>
          </w:p>
        </w:tc>
        <w:tc>
          <w:tcPr>
            <w:tcW w:w="719" w:type="pct"/>
            <w:tcBorders>
              <w:tl2br w:val="nil"/>
              <w:tr2bl w:val="nil"/>
            </w:tcBorders>
            <w:noWrap w:val="0"/>
            <w:vAlign w:val="center"/>
          </w:tcPr>
          <w:p w14:paraId="277831A4">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18"/>
                <w:szCs w:val="18"/>
                <w:highlight w:val="none"/>
                <w:lang w:val="zh-CN" w:eastAsia="zh-CN" w:bidi="ar-SA"/>
              </w:rPr>
            </w:pPr>
            <w:r>
              <w:rPr>
                <w:rFonts w:hint="default" w:ascii="Times New Roman" w:hAnsi="Times New Roman" w:cs="Times New Roman"/>
                <w:color w:val="auto"/>
                <w:sz w:val="18"/>
                <w:szCs w:val="18"/>
                <w:lang w:val="en-US" w:eastAsia="zh-CN"/>
              </w:rPr>
              <w:t>除尘灰</w:t>
            </w:r>
          </w:p>
        </w:tc>
        <w:tc>
          <w:tcPr>
            <w:tcW w:w="1848" w:type="pct"/>
            <w:tcBorders>
              <w:tl2br w:val="nil"/>
              <w:tr2bl w:val="nil"/>
            </w:tcBorders>
            <w:noWrap w:val="0"/>
            <w:vAlign w:val="center"/>
          </w:tcPr>
          <w:p w14:paraId="6913206B">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sz w:val="18"/>
                <w:szCs w:val="18"/>
                <w:lang w:val="en-US" w:eastAsia="zh-CN"/>
              </w:rPr>
              <w:t>外售新平甬福环保有限公司</w:t>
            </w:r>
          </w:p>
        </w:tc>
        <w:tc>
          <w:tcPr>
            <w:tcW w:w="1036" w:type="pct"/>
            <w:tcBorders>
              <w:tl2br w:val="nil"/>
              <w:tr2bl w:val="nil"/>
            </w:tcBorders>
            <w:noWrap w:val="0"/>
            <w:vAlign w:val="center"/>
          </w:tcPr>
          <w:p w14:paraId="516C83B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除尘灰</w:t>
            </w:r>
          </w:p>
        </w:tc>
        <w:tc>
          <w:tcPr>
            <w:tcW w:w="1097" w:type="pct"/>
            <w:tcBorders>
              <w:tl2br w:val="nil"/>
              <w:tr2bl w:val="nil"/>
            </w:tcBorders>
            <w:noWrap w:val="0"/>
            <w:vAlign w:val="center"/>
          </w:tcPr>
          <w:p w14:paraId="4CD53C1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处置率100%</w:t>
            </w:r>
          </w:p>
        </w:tc>
      </w:tr>
      <w:tr w14:paraId="271490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8" w:type="pct"/>
            <w:vMerge w:val="continue"/>
            <w:tcBorders>
              <w:tl2br w:val="nil"/>
              <w:tr2bl w:val="nil"/>
            </w:tcBorders>
            <w:noWrap w:val="0"/>
            <w:vAlign w:val="center"/>
          </w:tcPr>
          <w:p w14:paraId="7373FC9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lang w:val="en-US" w:eastAsia="zh-CN"/>
              </w:rPr>
            </w:pPr>
          </w:p>
        </w:tc>
        <w:tc>
          <w:tcPr>
            <w:tcW w:w="719" w:type="pct"/>
            <w:tcBorders>
              <w:tl2br w:val="nil"/>
              <w:tr2bl w:val="nil"/>
            </w:tcBorders>
            <w:noWrap w:val="0"/>
            <w:vAlign w:val="center"/>
          </w:tcPr>
          <w:p w14:paraId="4FF6AF04">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危废暂存间</w:t>
            </w:r>
          </w:p>
        </w:tc>
        <w:tc>
          <w:tcPr>
            <w:tcW w:w="1848" w:type="pct"/>
            <w:tcBorders>
              <w:tl2br w:val="nil"/>
              <w:tr2bl w:val="nil"/>
            </w:tcBorders>
            <w:noWrap w:val="0"/>
            <w:vAlign w:val="center"/>
          </w:tcPr>
          <w:p w14:paraId="0F8F74A9">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sz w:val="18"/>
                <w:szCs w:val="18"/>
                <w:highlight w:val="none"/>
                <w:lang w:val="en-US" w:eastAsia="zh-CN"/>
              </w:rPr>
              <w:t>依托矿山</w:t>
            </w:r>
            <w:r>
              <w:rPr>
                <w:rFonts w:hint="default" w:ascii="Times New Roman" w:hAnsi="Times New Roman" w:eastAsia="宋体" w:cs="Times New Roman"/>
                <w:color w:val="auto"/>
                <w:sz w:val="18"/>
                <w:szCs w:val="18"/>
                <w:highlight w:val="none"/>
              </w:rPr>
              <w:t>危废暂存间</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矿山危废暂存间按照</w:t>
            </w:r>
            <w:r>
              <w:rPr>
                <w:rFonts w:hint="default" w:ascii="Times New Roman" w:hAnsi="Times New Roman" w:eastAsia="宋体" w:cs="Times New Roman"/>
                <w:color w:val="auto"/>
                <w:sz w:val="18"/>
                <w:szCs w:val="18"/>
                <w:highlight w:val="none"/>
              </w:rPr>
              <w:t>《危险废物贮存污染控制标准》（GB18597-</w:t>
            </w:r>
            <w:r>
              <w:rPr>
                <w:rFonts w:hint="default" w:ascii="Times New Roman" w:hAnsi="Times New Roman" w:cs="Times New Roman"/>
                <w:color w:val="auto"/>
                <w:sz w:val="18"/>
                <w:szCs w:val="18"/>
                <w:highlight w:val="none"/>
                <w:lang w:val="en-US" w:eastAsia="zh-CN"/>
              </w:rPr>
              <w:t>2023</w:t>
            </w:r>
            <w:r>
              <w:rPr>
                <w:rFonts w:hint="default" w:ascii="Times New Roman" w:hAnsi="Times New Roman" w:eastAsia="宋体" w:cs="Times New Roman"/>
                <w:color w:val="auto"/>
                <w:sz w:val="18"/>
                <w:szCs w:val="18"/>
                <w:highlight w:val="none"/>
              </w:rPr>
              <w:t>）的要求进行</w:t>
            </w:r>
            <w:r>
              <w:rPr>
                <w:rFonts w:hint="default" w:ascii="Times New Roman" w:hAnsi="Times New Roman" w:eastAsia="宋体" w:cs="Times New Roman"/>
                <w:color w:val="auto"/>
                <w:sz w:val="18"/>
                <w:szCs w:val="18"/>
                <w:highlight w:val="none"/>
                <w:lang w:val="en-US" w:eastAsia="zh-CN"/>
              </w:rPr>
              <w:t>改建</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墙体等应采用坚固的材料建造，表面无裂缝。达到防风、防雨、防晒、防渗、防流失及扬散要求。地面与裙脚应采取表面防渗措施；表面防渗材料应与所接触的物料或污染物相容，可采用抗渗混凝土、高密度聚乙烯膜、钠基膨润土防水毯或其他防渗性能等效的材料。</w:t>
            </w:r>
          </w:p>
        </w:tc>
        <w:tc>
          <w:tcPr>
            <w:tcW w:w="1036" w:type="pct"/>
            <w:tcBorders>
              <w:tl2br w:val="nil"/>
              <w:tr2bl w:val="nil"/>
            </w:tcBorders>
            <w:noWrap w:val="0"/>
            <w:vAlign w:val="center"/>
          </w:tcPr>
          <w:p w14:paraId="3AA415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废机油</w:t>
            </w:r>
          </w:p>
        </w:tc>
        <w:tc>
          <w:tcPr>
            <w:tcW w:w="1097" w:type="pct"/>
            <w:tcBorders>
              <w:tl2br w:val="nil"/>
              <w:tr2bl w:val="nil"/>
            </w:tcBorders>
            <w:noWrap w:val="0"/>
            <w:vAlign w:val="center"/>
          </w:tcPr>
          <w:p w14:paraId="2503C71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处置率100%</w:t>
            </w:r>
          </w:p>
        </w:tc>
      </w:tr>
      <w:tr w14:paraId="40E8ED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1017" w:type="pct"/>
            <w:gridSpan w:val="2"/>
            <w:tcBorders>
              <w:tl2br w:val="nil"/>
              <w:tr2bl w:val="nil"/>
            </w:tcBorders>
            <w:noWrap w:val="0"/>
            <w:vAlign w:val="center"/>
          </w:tcPr>
          <w:p w14:paraId="2A8CADA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环境风险</w:t>
            </w:r>
          </w:p>
        </w:tc>
        <w:tc>
          <w:tcPr>
            <w:tcW w:w="2884" w:type="pct"/>
            <w:gridSpan w:val="2"/>
            <w:tcBorders>
              <w:tl2br w:val="nil"/>
              <w:tr2bl w:val="nil"/>
            </w:tcBorders>
            <w:noWrap w:val="0"/>
            <w:vAlign w:val="center"/>
          </w:tcPr>
          <w:p w14:paraId="31A8D75E">
            <w:pPr>
              <w:keepNext w:val="0"/>
              <w:keepLines w:val="0"/>
              <w:pageBreakBefore w:val="0"/>
              <w:kinsoku/>
              <w:wordWrap/>
              <w:overflowPunct/>
              <w:topLinePunct w:val="0"/>
              <w:autoSpaceDE/>
              <w:autoSpaceDN/>
              <w:bidi w:val="0"/>
              <w:adjustRightInd/>
              <w:snapToGrid/>
              <w:spacing w:line="240" w:lineRule="auto"/>
              <w:ind w:left="0" w:leftChars="0" w:firstLine="462" w:firstLineChars="25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r>
              <w:rPr>
                <w:rFonts w:hint="default" w:ascii="Times New Roman" w:hAnsi="Times New Roman" w:cs="Times New Roman"/>
                <w:color w:val="auto"/>
                <w:sz w:val="18"/>
                <w:szCs w:val="18"/>
                <w:lang w:val="en-US" w:eastAsia="zh-CN"/>
              </w:rPr>
              <w:t>危废暂存间设置应严格按照《危险废物贮存污染控制标准》（GB18597-2023）中的相关要求，做好防雨、防渗，防止二次污染，按规定设置警示标志，分类管理，分类存放。</w:t>
            </w:r>
          </w:p>
          <w:p w14:paraId="10A90DAF">
            <w:pPr>
              <w:keepNext w:val="0"/>
              <w:keepLines w:val="0"/>
              <w:pageBreakBefore w:val="0"/>
              <w:widowControl w:val="0"/>
              <w:kinsoku/>
              <w:wordWrap/>
              <w:overflowPunct/>
              <w:topLinePunct w:val="0"/>
              <w:autoSpaceDE/>
              <w:autoSpaceDN/>
              <w:bidi w:val="0"/>
              <w:adjustRightInd/>
              <w:snapToGrid/>
              <w:spacing w:line="240" w:lineRule="auto"/>
              <w:ind w:left="0" w:leftChars="0" w:firstLine="370" w:firstLineChars="200"/>
              <w:jc w:val="both"/>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（2）废</w:t>
            </w:r>
            <w:r>
              <w:rPr>
                <w:rFonts w:hint="default" w:ascii="Times New Roman" w:hAnsi="Times New Roman" w:cs="Times New Roman"/>
                <w:color w:val="auto"/>
                <w:sz w:val="18"/>
                <w:szCs w:val="18"/>
                <w:highlight w:val="none"/>
                <w:lang w:val="en-US" w:eastAsia="zh-CN"/>
              </w:rPr>
              <w:t>机油</w:t>
            </w:r>
            <w:r>
              <w:rPr>
                <w:rFonts w:hint="default" w:ascii="Times New Roman" w:hAnsi="Times New Roman" w:cs="Times New Roman"/>
                <w:color w:val="auto"/>
                <w:sz w:val="18"/>
                <w:szCs w:val="18"/>
                <w:highlight w:val="none"/>
              </w:rPr>
              <w:t>收集及送至暂存间由专职人员负责，废矿物油产生及处置须记录有台账，定时进行废矿物油暂存间的检查巡视</w:t>
            </w:r>
            <w:r>
              <w:rPr>
                <w:rFonts w:hint="default" w:ascii="Times New Roman" w:hAnsi="Times New Roman" w:cs="Times New Roman"/>
                <w:color w:val="auto"/>
                <w:sz w:val="18"/>
                <w:szCs w:val="18"/>
                <w:highlight w:val="none"/>
                <w:lang w:eastAsia="zh-CN"/>
              </w:rPr>
              <w:t>。</w:t>
            </w:r>
          </w:p>
          <w:p w14:paraId="2B875CCB">
            <w:pPr>
              <w:keepNext w:val="0"/>
              <w:keepLines w:val="0"/>
              <w:pageBreakBefore w:val="0"/>
              <w:widowControl/>
              <w:kinsoku/>
              <w:wordWrap/>
              <w:overflowPunct/>
              <w:topLinePunct w:val="0"/>
              <w:autoSpaceDE/>
              <w:autoSpaceDN/>
              <w:bidi w:val="0"/>
              <w:adjustRightInd/>
              <w:snapToGrid/>
              <w:spacing w:line="240" w:lineRule="auto"/>
              <w:ind w:firstLine="370" w:firstLineChars="20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须配备有应急桶、铲子、沙子等应急物资。</w:t>
            </w:r>
          </w:p>
        </w:tc>
        <w:tc>
          <w:tcPr>
            <w:tcW w:w="1097" w:type="pct"/>
            <w:tcBorders>
              <w:tl2br w:val="nil"/>
              <w:tr2bl w:val="nil"/>
            </w:tcBorders>
            <w:noWrap w:val="0"/>
            <w:vAlign w:val="center"/>
          </w:tcPr>
          <w:p w14:paraId="666DE3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措施落实且满足发生风险事故时对环境影响最小</w:t>
            </w:r>
          </w:p>
        </w:tc>
      </w:tr>
      <w:tr w14:paraId="4AE4F6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pct"/>
            <w:gridSpan w:val="2"/>
            <w:tcBorders>
              <w:tl2br w:val="nil"/>
              <w:tr2bl w:val="nil"/>
            </w:tcBorders>
            <w:noWrap w:val="0"/>
            <w:vAlign w:val="center"/>
          </w:tcPr>
          <w:p w14:paraId="75AB32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地下水</w:t>
            </w:r>
          </w:p>
        </w:tc>
        <w:tc>
          <w:tcPr>
            <w:tcW w:w="2884" w:type="pct"/>
            <w:gridSpan w:val="2"/>
            <w:tcBorders>
              <w:tl2br w:val="nil"/>
              <w:tr2bl w:val="nil"/>
            </w:tcBorders>
            <w:noWrap w:val="0"/>
            <w:vAlign w:val="center"/>
          </w:tcPr>
          <w:p w14:paraId="090B39F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重点防渗区：</w:t>
            </w:r>
            <w:r>
              <w:rPr>
                <w:rFonts w:hint="default" w:ascii="Times New Roman" w:hAnsi="Times New Roman" w:eastAsia="宋体" w:cs="Times New Roman"/>
                <w:color w:val="auto"/>
                <w:sz w:val="18"/>
                <w:szCs w:val="18"/>
                <w:highlight w:val="none"/>
                <w:lang w:val="en-US" w:eastAsia="zh-CN"/>
              </w:rPr>
              <w:t>鲁奎山铁矿</w:t>
            </w:r>
            <w:r>
              <w:rPr>
                <w:rFonts w:hint="default" w:ascii="Times New Roman" w:hAnsi="Times New Roman" w:cs="Times New Roman"/>
                <w:color w:val="auto"/>
                <w:sz w:val="18"/>
                <w:szCs w:val="18"/>
              </w:rPr>
              <w:t>危废暂存间</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表面防渗材料应与所接触的物料或污染物相容，可采用抗渗混凝土、高密度聚乙烯膜、钠基膨润土防水毯或其他防渗性能等效的材料</w:t>
            </w:r>
            <w:r>
              <w:rPr>
                <w:rFonts w:hint="default" w:ascii="Times New Roman" w:hAnsi="Times New Roman" w:cs="Times New Roman"/>
                <w:color w:val="auto"/>
                <w:kern w:val="24"/>
                <w:sz w:val="18"/>
                <w:szCs w:val="18"/>
                <w:lang w:eastAsia="zh-CN"/>
              </w:rPr>
              <w:t>；</w:t>
            </w:r>
            <w:r>
              <w:rPr>
                <w:rFonts w:hint="default" w:ascii="Times New Roman" w:hAnsi="Times New Roman" w:cs="Times New Roman"/>
                <w:color w:val="auto"/>
                <w:kern w:val="24"/>
                <w:sz w:val="18"/>
                <w:szCs w:val="18"/>
                <w:lang w:val="en-US" w:eastAsia="zh-CN"/>
              </w:rPr>
              <w:t>等效黏土防渗层 Mb≥6.0m，K≤1.0×10</w:t>
            </w:r>
            <w:r>
              <w:rPr>
                <w:rFonts w:hint="default" w:ascii="Times New Roman" w:hAnsi="Times New Roman" w:cs="Times New Roman"/>
                <w:color w:val="auto"/>
                <w:kern w:val="24"/>
                <w:sz w:val="18"/>
                <w:szCs w:val="18"/>
                <w:vertAlign w:val="superscript"/>
                <w:lang w:val="en-US" w:eastAsia="zh-CN"/>
              </w:rPr>
              <w:t>-7</w:t>
            </w:r>
            <w:r>
              <w:rPr>
                <w:rFonts w:hint="default" w:ascii="Times New Roman" w:hAnsi="Times New Roman" w:cs="Times New Roman"/>
                <w:color w:val="auto"/>
                <w:kern w:val="24"/>
                <w:sz w:val="18"/>
                <w:szCs w:val="18"/>
                <w:lang w:val="en-US" w:eastAsia="zh-CN"/>
              </w:rPr>
              <w:t xml:space="preserve"> cm/s；或参照 GB 18598 执行。</w:t>
            </w:r>
          </w:p>
          <w:p w14:paraId="715121F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一般防渗区：</w:t>
            </w:r>
            <w:r>
              <w:rPr>
                <w:rFonts w:hint="default" w:ascii="Times New Roman" w:hAnsi="Times New Roman" w:cs="Times New Roman"/>
                <w:color w:val="auto"/>
                <w:sz w:val="18"/>
                <w:szCs w:val="18"/>
                <w:highlight w:val="none"/>
                <w:lang w:val="en-US" w:eastAsia="zh-CN"/>
              </w:rPr>
              <w:t>生产区域、原料堆场及成品堆场、</w:t>
            </w:r>
            <w:r>
              <w:rPr>
                <w:rFonts w:hint="default" w:ascii="Times New Roman" w:hAnsi="Times New Roman" w:cs="Times New Roman"/>
                <w:color w:val="auto"/>
                <w:sz w:val="18"/>
                <w:szCs w:val="18"/>
              </w:rPr>
              <w:t>初期雨水收集池</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防渗技术要求：等效黏土防渗层Mb≥1.5m，K≤1.0×10</w:t>
            </w:r>
            <w:r>
              <w:rPr>
                <w:rFonts w:hint="default" w:ascii="Times New Roman" w:hAnsi="Times New Roman" w:cs="Times New Roman"/>
                <w:color w:val="auto"/>
                <w:sz w:val="18"/>
                <w:szCs w:val="18"/>
                <w:vertAlign w:val="superscript"/>
                <w:lang w:val="en-US" w:eastAsia="zh-CN"/>
              </w:rPr>
              <w:t>-7</w:t>
            </w:r>
            <w:r>
              <w:rPr>
                <w:rFonts w:hint="default" w:ascii="Times New Roman" w:hAnsi="Times New Roman" w:cs="Times New Roman"/>
                <w:color w:val="auto"/>
                <w:sz w:val="18"/>
                <w:szCs w:val="18"/>
                <w:lang w:val="en-US" w:eastAsia="zh-CN"/>
              </w:rPr>
              <w:t>cm/s；或参照GB 16889 执行</w:t>
            </w:r>
            <w:r>
              <w:rPr>
                <w:rFonts w:hint="default" w:ascii="Times New Roman" w:hAnsi="Times New Roman" w:cs="Times New Roman"/>
                <w:color w:val="auto"/>
                <w:kern w:val="24"/>
                <w:sz w:val="18"/>
                <w:szCs w:val="18"/>
                <w:lang w:eastAsia="zh-CN"/>
              </w:rPr>
              <w:t>；</w:t>
            </w:r>
          </w:p>
          <w:p w14:paraId="4E25BB0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简单防渗区：</w:t>
            </w:r>
            <w:r>
              <w:rPr>
                <w:rFonts w:hint="default" w:ascii="Times New Roman" w:hAnsi="Times New Roman" w:cs="Times New Roman"/>
                <w:sz w:val="18"/>
                <w:szCs w:val="18"/>
                <w:lang w:val="en-US" w:eastAsia="zh-CN"/>
              </w:rPr>
              <w:t>办公生活区，</w:t>
            </w:r>
            <w:r>
              <w:rPr>
                <w:rFonts w:hint="default" w:ascii="Times New Roman" w:hAnsi="Times New Roman" w:eastAsia="宋体" w:cs="Times New Roman"/>
                <w:color w:val="auto"/>
                <w:sz w:val="18"/>
                <w:szCs w:val="18"/>
                <w:highlight w:val="none"/>
              </w:rPr>
              <w:t>进行一般地面硬化。</w:t>
            </w:r>
          </w:p>
        </w:tc>
        <w:tc>
          <w:tcPr>
            <w:tcW w:w="1097" w:type="pct"/>
            <w:tcBorders>
              <w:tl2br w:val="nil"/>
              <w:tr2bl w:val="nil"/>
            </w:tcBorders>
            <w:noWrap w:val="0"/>
            <w:vAlign w:val="center"/>
          </w:tcPr>
          <w:p w14:paraId="66825DC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对地下水影响小。</w:t>
            </w:r>
          </w:p>
        </w:tc>
      </w:tr>
    </w:tbl>
    <w:p w14:paraId="1CA7BB3A">
      <w:pPr>
        <w:pStyle w:val="5"/>
        <w:bidi w:val="0"/>
        <w:rPr>
          <w:rFonts w:hint="default" w:ascii="Times New Roman" w:hAnsi="Times New Roman" w:cs="Times New Roman"/>
          <w:lang w:val="en-US" w:eastAsia="zh-CN"/>
        </w:rPr>
      </w:pPr>
      <w:bookmarkStart w:id="703" w:name="_Toc6515"/>
      <w:bookmarkStart w:id="704" w:name="_Toc22704"/>
      <w:bookmarkStart w:id="705" w:name="_Toc2949"/>
      <w:bookmarkStart w:id="706" w:name="_Toc21691"/>
      <w:bookmarkStart w:id="707" w:name="_Toc25116"/>
      <w:bookmarkStart w:id="708" w:name="_Toc15390"/>
      <w:bookmarkStart w:id="709" w:name="_Toc16780"/>
      <w:r>
        <w:rPr>
          <w:rFonts w:hint="default" w:ascii="Times New Roman" w:hAnsi="Times New Roman" w:cs="Times New Roman"/>
          <w:lang w:val="en-US" w:eastAsia="zh-CN"/>
        </w:rPr>
        <w:t>8.8排污口规范化及污染物排放清单</w:t>
      </w:r>
      <w:bookmarkEnd w:id="703"/>
      <w:bookmarkEnd w:id="704"/>
      <w:bookmarkEnd w:id="705"/>
      <w:bookmarkEnd w:id="706"/>
      <w:bookmarkEnd w:id="707"/>
      <w:bookmarkEnd w:id="708"/>
      <w:bookmarkEnd w:id="709"/>
    </w:p>
    <w:p w14:paraId="38C81AEB">
      <w:pPr>
        <w:pStyle w:val="6"/>
        <w:bidi w:val="0"/>
        <w:rPr>
          <w:rFonts w:hint="default" w:ascii="Times New Roman" w:hAnsi="Times New Roman" w:cs="Times New Roman"/>
          <w:lang w:val="en-US" w:eastAsia="zh-CN"/>
        </w:rPr>
      </w:pPr>
      <w:bookmarkStart w:id="710" w:name="_Toc24708"/>
      <w:bookmarkStart w:id="711" w:name="_Toc23636"/>
      <w:bookmarkStart w:id="712" w:name="_Toc4463"/>
      <w:r>
        <w:rPr>
          <w:rFonts w:hint="default" w:ascii="Times New Roman" w:hAnsi="Times New Roman" w:cs="Times New Roman"/>
          <w:lang w:val="en-US" w:eastAsia="zh-CN"/>
        </w:rPr>
        <w:t>8.8.1排污口规范化</w:t>
      </w:r>
      <w:bookmarkEnd w:id="710"/>
      <w:bookmarkEnd w:id="711"/>
      <w:bookmarkEnd w:id="712"/>
    </w:p>
    <w:p w14:paraId="699932DA">
      <w:pPr>
        <w:pStyle w:val="9"/>
        <w:keepNext w:val="0"/>
        <w:keepLines w:val="0"/>
        <w:pageBreakBefore w:val="0"/>
        <w:widowControl w:val="0"/>
        <w:kinsoku/>
        <w:wordWrap/>
        <w:overflowPunct/>
        <w:topLinePunct w:val="0"/>
        <w:bidi w:val="0"/>
        <w:adjustRightInd/>
        <w:snapToGrid/>
        <w:spacing w:line="360" w:lineRule="auto"/>
        <w:ind w:firstLine="49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（1）废气排放口</w:t>
      </w:r>
    </w:p>
    <w:p w14:paraId="6130D519">
      <w:pPr>
        <w:keepNext w:val="0"/>
        <w:keepLines w:val="0"/>
        <w:pageBreakBefore w:val="0"/>
        <w:widowControl w:val="0"/>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rPr>
        <w:t>废气排放口必须</w:t>
      </w:r>
      <w:r>
        <w:rPr>
          <w:rFonts w:hint="default" w:ascii="Times New Roman" w:hAnsi="Times New Roman" w:cs="Times New Roman"/>
          <w:color w:val="auto"/>
          <w:kern w:val="2"/>
          <w:sz w:val="24"/>
          <w:szCs w:val="24"/>
          <w:lang w:val="en-US" w:eastAsia="zh-CN"/>
        </w:rPr>
        <w:t>按照《固定污染源排气中颗粒物测定与气态污染物采样方法》（GB/T 1617-1996）设立采样孔和采样平台</w:t>
      </w:r>
      <w:r>
        <w:rPr>
          <w:rFonts w:hint="default" w:ascii="Times New Roman" w:hAnsi="Times New Roman" w:cs="Times New Roman"/>
          <w:color w:val="auto"/>
          <w:sz w:val="24"/>
          <w:szCs w:val="24"/>
        </w:rPr>
        <w:t>。</w:t>
      </w:r>
      <w:r>
        <w:rPr>
          <w:rFonts w:hint="default" w:ascii="Times New Roman" w:hAnsi="Times New Roman" w:eastAsia="宋体" w:cs="Times New Roman"/>
          <w:color w:val="auto"/>
          <w:kern w:val="0"/>
          <w:sz w:val="24"/>
          <w:szCs w:val="24"/>
          <w:highlight w:val="none"/>
        </w:rPr>
        <w:t>在废气排放筒应设置便于采样、监测的永久性采样口和采样监测平台，并在排气筒附近地面醒目处设置环保图形标志牌，标明排气筒高度、出口内径、排放污染物种类等。</w:t>
      </w:r>
    </w:p>
    <w:p w14:paraId="094486C0">
      <w:pPr>
        <w:pStyle w:val="9"/>
        <w:keepNext w:val="0"/>
        <w:keepLines w:val="0"/>
        <w:pageBreakBefore w:val="0"/>
        <w:widowControl w:val="0"/>
        <w:kinsoku/>
        <w:wordWrap/>
        <w:overflowPunct/>
        <w:topLinePunct w:val="0"/>
        <w:bidi w:val="0"/>
        <w:adjustRightInd/>
        <w:snapToGrid/>
        <w:spacing w:line="360" w:lineRule="auto"/>
        <w:ind w:firstLine="49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）环境保护图形标志</w:t>
      </w:r>
    </w:p>
    <w:p w14:paraId="3E3AA096">
      <w:pPr>
        <w:pStyle w:val="27"/>
        <w:keepNext w:val="0"/>
        <w:keepLines w:val="0"/>
        <w:pageBreakBefore w:val="0"/>
        <w:widowControl w:val="0"/>
        <w:kinsoku/>
        <w:wordWrap/>
        <w:overflowPunct/>
        <w:topLinePunct w:val="0"/>
        <w:autoSpaceDE/>
        <w:autoSpaceDN/>
        <w:bidi w:val="0"/>
        <w:adjustRightInd/>
        <w:snapToGrid/>
        <w:spacing w:after="0" w:line="360" w:lineRule="auto"/>
        <w:ind w:firstLine="49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在厂区的废气排放源、固体废物贮存处置场应设置环境保护图形标志，图形符号分为提示图形和警告图形符号两种，分别按环境保护图形标志（GB15562.1-1995）、环境保护图形标志</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固体废物贮存（处置）场（GB15562.2-2020）执行。</w:t>
      </w:r>
    </w:p>
    <w:p w14:paraId="4FD084DB">
      <w:pPr>
        <w:pStyle w:val="27"/>
        <w:keepNext w:val="0"/>
        <w:keepLines w:val="0"/>
        <w:pageBreakBefore w:val="0"/>
        <w:widowControl w:val="0"/>
        <w:kinsoku/>
        <w:wordWrap/>
        <w:overflowPunct/>
        <w:topLinePunct w:val="0"/>
        <w:autoSpaceDE/>
        <w:autoSpaceDN/>
        <w:bidi w:val="0"/>
        <w:adjustRightInd/>
        <w:snapToGrid/>
        <w:spacing w:after="0" w:line="360" w:lineRule="auto"/>
        <w:ind w:firstLine="490" w:firstLineChars="200"/>
        <w:jc w:val="both"/>
        <w:textAlignment w:val="auto"/>
        <w:rPr>
          <w:rFonts w:hint="default" w:ascii="Times New Roman" w:hAnsi="Times New Roman" w:eastAsia="宋体" w:cs="Times New Roman"/>
          <w:color w:val="auto"/>
          <w:kern w:val="0"/>
          <w:sz w:val="24"/>
          <w:szCs w:val="28"/>
          <w:highlight w:val="none"/>
        </w:rPr>
      </w:pPr>
      <w:r>
        <w:rPr>
          <w:rFonts w:hint="default" w:ascii="Times New Roman" w:hAnsi="Times New Roman" w:eastAsia="宋体" w:cs="Times New Roman"/>
          <w:color w:val="auto"/>
          <w:sz w:val="24"/>
          <w:szCs w:val="28"/>
          <w:highlight w:val="none"/>
        </w:rPr>
        <w:t>项目排污口信息详见表</w:t>
      </w:r>
      <w:r>
        <w:rPr>
          <w:rFonts w:hint="default" w:ascii="Times New Roman" w:hAnsi="Times New Roman" w:cs="Times New Roman"/>
          <w:color w:val="auto"/>
          <w:sz w:val="24"/>
          <w:szCs w:val="28"/>
          <w:highlight w:val="none"/>
          <w:lang w:val="en-US" w:eastAsia="zh-CN"/>
        </w:rPr>
        <w:t>8</w:t>
      </w:r>
      <w:r>
        <w:rPr>
          <w:rFonts w:hint="default" w:ascii="Times New Roman" w:hAnsi="Times New Roman" w:eastAsia="宋体" w:cs="Times New Roman"/>
          <w:color w:val="auto"/>
          <w:sz w:val="24"/>
          <w:szCs w:val="28"/>
          <w:highlight w:val="none"/>
          <w:lang w:val="en-US" w:eastAsia="zh-CN"/>
        </w:rPr>
        <w:t>.</w:t>
      </w:r>
      <w:r>
        <w:rPr>
          <w:rFonts w:hint="default" w:ascii="Times New Roman" w:hAnsi="Times New Roman" w:cs="Times New Roman"/>
          <w:color w:val="auto"/>
          <w:sz w:val="24"/>
          <w:szCs w:val="28"/>
          <w:highlight w:val="none"/>
          <w:lang w:val="en-US" w:eastAsia="zh-CN"/>
        </w:rPr>
        <w:t>8.1</w:t>
      </w:r>
      <w:r>
        <w:rPr>
          <w:rFonts w:hint="default" w:ascii="Times New Roman" w:hAnsi="Times New Roman" w:eastAsia="宋体" w:cs="Times New Roman"/>
          <w:color w:val="auto"/>
          <w:sz w:val="24"/>
          <w:szCs w:val="28"/>
          <w:highlight w:val="none"/>
        </w:rPr>
        <w:t>-1、</w:t>
      </w:r>
      <w:r>
        <w:rPr>
          <w:rFonts w:hint="default" w:ascii="Times New Roman" w:hAnsi="Times New Roman" w:eastAsia="宋体" w:cs="Times New Roman"/>
          <w:color w:val="auto"/>
          <w:kern w:val="0"/>
          <w:sz w:val="24"/>
          <w:szCs w:val="28"/>
          <w:highlight w:val="none"/>
        </w:rPr>
        <w:t>环境保护图形标志的形状及颜色见表</w:t>
      </w:r>
      <w:r>
        <w:rPr>
          <w:rFonts w:hint="default" w:ascii="Times New Roman" w:hAnsi="Times New Roman" w:cs="Times New Roman"/>
          <w:color w:val="auto"/>
          <w:sz w:val="24"/>
          <w:szCs w:val="28"/>
          <w:highlight w:val="none"/>
          <w:lang w:val="en-US" w:eastAsia="zh-CN"/>
        </w:rPr>
        <w:t>8.8.1</w:t>
      </w:r>
      <w:r>
        <w:rPr>
          <w:rFonts w:hint="default" w:ascii="Times New Roman" w:hAnsi="Times New Roman" w:eastAsia="宋体" w:cs="Times New Roman"/>
          <w:color w:val="auto"/>
          <w:sz w:val="24"/>
          <w:szCs w:val="28"/>
          <w:highlight w:val="none"/>
        </w:rPr>
        <w:t>-2</w:t>
      </w:r>
      <w:r>
        <w:rPr>
          <w:rFonts w:hint="default" w:ascii="Times New Roman" w:hAnsi="Times New Roman" w:eastAsia="宋体" w:cs="Times New Roman"/>
          <w:color w:val="auto"/>
          <w:kern w:val="0"/>
          <w:sz w:val="24"/>
          <w:szCs w:val="28"/>
          <w:highlight w:val="none"/>
        </w:rPr>
        <w:t>，环境保护图形符号见表</w:t>
      </w:r>
      <w:r>
        <w:rPr>
          <w:rFonts w:hint="default" w:ascii="Times New Roman" w:hAnsi="Times New Roman" w:cs="Times New Roman"/>
          <w:color w:val="auto"/>
          <w:sz w:val="24"/>
          <w:szCs w:val="28"/>
          <w:highlight w:val="none"/>
          <w:lang w:val="en-US" w:eastAsia="zh-CN"/>
        </w:rPr>
        <w:t>8.8.1</w:t>
      </w:r>
      <w:r>
        <w:rPr>
          <w:rFonts w:hint="default" w:ascii="Times New Roman" w:hAnsi="Times New Roman" w:eastAsia="宋体" w:cs="Times New Roman"/>
          <w:color w:val="auto"/>
          <w:sz w:val="24"/>
          <w:szCs w:val="28"/>
          <w:highlight w:val="none"/>
        </w:rPr>
        <w:t>-3</w:t>
      </w:r>
      <w:r>
        <w:rPr>
          <w:rFonts w:hint="default" w:ascii="Times New Roman" w:hAnsi="Times New Roman" w:eastAsia="宋体" w:cs="Times New Roman"/>
          <w:color w:val="auto"/>
          <w:kern w:val="0"/>
          <w:sz w:val="24"/>
          <w:szCs w:val="28"/>
          <w:highlight w:val="none"/>
        </w:rPr>
        <w:t>。</w:t>
      </w:r>
    </w:p>
    <w:p w14:paraId="29207A3E">
      <w:pPr>
        <w:spacing w:line="360" w:lineRule="auto"/>
        <w:ind w:firstLine="480"/>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w:t>
      </w:r>
      <w:r>
        <w:rPr>
          <w:rFonts w:hint="default" w:ascii="Times New Roman" w:hAnsi="Times New Roman" w:eastAsia="黑体" w:cs="Times New Roman"/>
          <w:color w:val="auto"/>
          <w:sz w:val="21"/>
          <w:szCs w:val="21"/>
          <w:highlight w:val="none"/>
          <w:lang w:val="en-US" w:eastAsia="zh-CN"/>
        </w:rPr>
        <w:t>8.8.1</w:t>
      </w:r>
      <w:r>
        <w:rPr>
          <w:rFonts w:hint="default" w:ascii="Times New Roman" w:hAnsi="Times New Roman" w:eastAsia="黑体" w:cs="Times New Roman"/>
          <w:color w:val="auto"/>
          <w:sz w:val="21"/>
          <w:szCs w:val="21"/>
          <w:highlight w:val="none"/>
        </w:rPr>
        <w:t>-1  项目排污口信息表</w:t>
      </w:r>
    </w:p>
    <w:tbl>
      <w:tblPr>
        <w:tblStyle w:val="29"/>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1163"/>
        <w:gridCol w:w="1159"/>
        <w:gridCol w:w="1471"/>
        <w:gridCol w:w="1278"/>
        <w:gridCol w:w="1146"/>
        <w:gridCol w:w="1326"/>
      </w:tblGrid>
      <w:tr w14:paraId="775CBF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tcBorders>
              <w:tl2br w:val="nil"/>
              <w:tr2bl w:val="nil"/>
            </w:tcBorders>
            <w:noWrap w:val="0"/>
            <w:vAlign w:val="center"/>
          </w:tcPr>
          <w:p w14:paraId="5318989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排放源</w:t>
            </w:r>
          </w:p>
        </w:tc>
        <w:tc>
          <w:tcPr>
            <w:tcW w:w="626" w:type="pct"/>
            <w:tcBorders>
              <w:tl2br w:val="nil"/>
              <w:tr2bl w:val="nil"/>
            </w:tcBorders>
            <w:noWrap w:val="0"/>
            <w:vAlign w:val="center"/>
          </w:tcPr>
          <w:p w14:paraId="0655EEF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val="en-US" w:eastAsia="zh-CN" w:bidi="ar"/>
              </w:rPr>
              <w:t>排气筒</w:t>
            </w:r>
            <w:r>
              <w:rPr>
                <w:rFonts w:hint="default" w:ascii="Times New Roman" w:hAnsi="Times New Roman" w:cs="Times New Roman"/>
                <w:b w:val="0"/>
                <w:bCs w:val="0"/>
                <w:color w:val="auto"/>
                <w:kern w:val="0"/>
                <w:sz w:val="18"/>
                <w:szCs w:val="18"/>
                <w:highlight w:val="none"/>
                <w:lang w:bidi="ar"/>
              </w:rPr>
              <w:t>高度</w:t>
            </w:r>
          </w:p>
          <w:p w14:paraId="5C12180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r>
              <w:rPr>
                <w:rStyle w:val="71"/>
                <w:rFonts w:hint="default" w:ascii="Times New Roman" w:hAnsi="Times New Roman" w:cs="Times New Roman"/>
                <w:b w:val="0"/>
                <w:bCs w:val="0"/>
                <w:color w:val="auto"/>
                <w:sz w:val="18"/>
                <w:szCs w:val="18"/>
                <w:highlight w:val="none"/>
                <w:vertAlign w:val="baseline"/>
                <w:lang w:bidi="ar"/>
              </w:rPr>
              <w:t>m</w:t>
            </w:r>
            <w:r>
              <w:rPr>
                <w:rFonts w:hint="default" w:ascii="Times New Roman" w:hAnsi="Times New Roman" w:cs="Times New Roman"/>
                <w:b w:val="0"/>
                <w:bCs w:val="0"/>
                <w:color w:val="auto"/>
                <w:kern w:val="0"/>
                <w:sz w:val="18"/>
                <w:szCs w:val="18"/>
                <w:highlight w:val="none"/>
                <w:lang w:bidi="ar"/>
              </w:rPr>
              <w:t>）</w:t>
            </w:r>
          </w:p>
        </w:tc>
        <w:tc>
          <w:tcPr>
            <w:tcW w:w="624" w:type="pct"/>
            <w:tcBorders>
              <w:tl2br w:val="nil"/>
              <w:tr2bl w:val="nil"/>
            </w:tcBorders>
            <w:noWrap w:val="0"/>
            <w:vAlign w:val="center"/>
          </w:tcPr>
          <w:p w14:paraId="27E468E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val="en-US" w:eastAsia="zh-CN" w:bidi="ar"/>
              </w:rPr>
              <w:t>排气筒</w:t>
            </w:r>
            <w:r>
              <w:rPr>
                <w:rFonts w:hint="default" w:ascii="Times New Roman" w:hAnsi="Times New Roman" w:cs="Times New Roman"/>
                <w:b w:val="0"/>
                <w:bCs w:val="0"/>
                <w:color w:val="auto"/>
                <w:kern w:val="0"/>
                <w:sz w:val="18"/>
                <w:szCs w:val="18"/>
                <w:highlight w:val="none"/>
                <w:lang w:bidi="ar"/>
              </w:rPr>
              <w:t>内径</w:t>
            </w:r>
          </w:p>
          <w:p w14:paraId="75B37EE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r>
              <w:rPr>
                <w:rStyle w:val="71"/>
                <w:rFonts w:hint="default" w:ascii="Times New Roman" w:hAnsi="Times New Roman" w:cs="Times New Roman"/>
                <w:b w:val="0"/>
                <w:bCs w:val="0"/>
                <w:color w:val="auto"/>
                <w:sz w:val="18"/>
                <w:szCs w:val="18"/>
                <w:highlight w:val="none"/>
                <w:vertAlign w:val="baseline"/>
                <w:lang w:bidi="ar"/>
              </w:rPr>
              <w:t>m</w:t>
            </w:r>
            <w:r>
              <w:rPr>
                <w:rFonts w:hint="default" w:ascii="Times New Roman" w:hAnsi="Times New Roman" w:cs="Times New Roman"/>
                <w:b w:val="0"/>
                <w:bCs w:val="0"/>
                <w:color w:val="auto"/>
                <w:kern w:val="0"/>
                <w:sz w:val="18"/>
                <w:szCs w:val="18"/>
                <w:highlight w:val="none"/>
                <w:lang w:bidi="ar"/>
              </w:rPr>
              <w:t>）</w:t>
            </w:r>
          </w:p>
        </w:tc>
        <w:tc>
          <w:tcPr>
            <w:tcW w:w="792" w:type="pct"/>
            <w:tcBorders>
              <w:tl2br w:val="nil"/>
              <w:tr2bl w:val="nil"/>
            </w:tcBorders>
            <w:noWrap w:val="0"/>
            <w:vAlign w:val="center"/>
          </w:tcPr>
          <w:p w14:paraId="4039148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废气排放温度</w:t>
            </w:r>
          </w:p>
          <w:p w14:paraId="3FCD215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val="0"/>
                <w:bCs w:val="0"/>
                <w:color w:val="auto"/>
                <w:kern w:val="0"/>
                <w:sz w:val="18"/>
                <w:szCs w:val="18"/>
                <w:highlight w:val="none"/>
                <w:lang w:bidi="ar"/>
              </w:rPr>
            </w:pPr>
            <w:r>
              <w:rPr>
                <w:rStyle w:val="71"/>
                <w:rFonts w:hint="default" w:ascii="Times New Roman" w:hAnsi="Times New Roman" w:cs="Times New Roman"/>
                <w:b w:val="0"/>
                <w:bCs w:val="0"/>
                <w:color w:val="auto"/>
                <w:sz w:val="18"/>
                <w:szCs w:val="18"/>
                <w:highlight w:val="none"/>
                <w:vertAlign w:val="baseline"/>
                <w:lang w:bidi="ar"/>
              </w:rPr>
              <w:t>℃</w:t>
            </w:r>
          </w:p>
        </w:tc>
        <w:tc>
          <w:tcPr>
            <w:tcW w:w="688" w:type="pct"/>
            <w:tcBorders>
              <w:tl2br w:val="nil"/>
              <w:tr2bl w:val="nil"/>
            </w:tcBorders>
            <w:noWrap w:val="0"/>
            <w:vAlign w:val="center"/>
          </w:tcPr>
          <w:p w14:paraId="689E72E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废气量</w:t>
            </w:r>
          </w:p>
          <w:p w14:paraId="7AA3C62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r>
              <w:rPr>
                <w:rStyle w:val="71"/>
                <w:rFonts w:hint="default" w:ascii="Times New Roman" w:hAnsi="Times New Roman" w:cs="Times New Roman"/>
                <w:b w:val="0"/>
                <w:bCs w:val="0"/>
                <w:color w:val="auto"/>
                <w:sz w:val="18"/>
                <w:szCs w:val="18"/>
                <w:highlight w:val="none"/>
                <w:vertAlign w:val="baseline"/>
                <w:lang w:bidi="ar"/>
              </w:rPr>
              <w:t>Nm</w:t>
            </w:r>
            <w:r>
              <w:rPr>
                <w:rStyle w:val="72"/>
                <w:rFonts w:hint="default" w:ascii="Times New Roman" w:hAnsi="Times New Roman" w:cs="Times New Roman"/>
                <w:b w:val="0"/>
                <w:bCs w:val="0"/>
                <w:color w:val="auto"/>
                <w:sz w:val="18"/>
                <w:szCs w:val="18"/>
                <w:highlight w:val="none"/>
                <w:lang w:bidi="ar"/>
              </w:rPr>
              <w:t>3</w:t>
            </w:r>
            <w:r>
              <w:rPr>
                <w:rStyle w:val="71"/>
                <w:rFonts w:hint="default" w:ascii="Times New Roman" w:hAnsi="Times New Roman" w:cs="Times New Roman"/>
                <w:b w:val="0"/>
                <w:bCs w:val="0"/>
                <w:color w:val="auto"/>
                <w:sz w:val="18"/>
                <w:szCs w:val="18"/>
                <w:highlight w:val="none"/>
                <w:vertAlign w:val="baseline"/>
                <w:lang w:bidi="ar"/>
              </w:rPr>
              <w:t>/h</w:t>
            </w:r>
            <w:r>
              <w:rPr>
                <w:rFonts w:hint="default" w:ascii="Times New Roman" w:hAnsi="Times New Roman" w:cs="Times New Roman"/>
                <w:b w:val="0"/>
                <w:bCs w:val="0"/>
                <w:color w:val="auto"/>
                <w:kern w:val="0"/>
                <w:sz w:val="18"/>
                <w:szCs w:val="18"/>
                <w:highlight w:val="none"/>
                <w:lang w:bidi="ar"/>
              </w:rPr>
              <w:t>）</w:t>
            </w:r>
          </w:p>
        </w:tc>
        <w:tc>
          <w:tcPr>
            <w:tcW w:w="617" w:type="pct"/>
            <w:tcBorders>
              <w:tl2br w:val="nil"/>
              <w:tr2bl w:val="nil"/>
            </w:tcBorders>
            <w:noWrap w:val="0"/>
            <w:vAlign w:val="center"/>
          </w:tcPr>
          <w:p w14:paraId="135408C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w:t>
            </w:r>
          </w:p>
        </w:tc>
        <w:tc>
          <w:tcPr>
            <w:tcW w:w="713" w:type="pct"/>
            <w:tcBorders>
              <w:tl2br w:val="nil"/>
              <w:tr2bl w:val="nil"/>
            </w:tcBorders>
            <w:noWrap w:val="0"/>
            <w:vAlign w:val="center"/>
          </w:tcPr>
          <w:p w14:paraId="70A39ADF">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18"/>
                <w:szCs w:val="18"/>
                <w:highlight w:val="none"/>
                <w:lang w:val="en-US" w:eastAsia="zh-CN" w:bidi="ar"/>
              </w:rPr>
            </w:pPr>
            <w:r>
              <w:rPr>
                <w:rFonts w:hint="default" w:ascii="Times New Roman" w:hAnsi="Times New Roman" w:cs="Times New Roman"/>
                <w:b w:val="0"/>
                <w:bCs w:val="0"/>
                <w:color w:val="auto"/>
                <w:kern w:val="0"/>
                <w:sz w:val="18"/>
                <w:szCs w:val="18"/>
                <w:highlight w:val="none"/>
                <w:lang w:val="en-US" w:eastAsia="zh-CN" w:bidi="ar"/>
              </w:rPr>
              <w:t>排放口类型</w:t>
            </w:r>
          </w:p>
        </w:tc>
      </w:tr>
      <w:tr w14:paraId="3A53D6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tcBorders>
              <w:tl2br w:val="nil"/>
              <w:tr2bl w:val="nil"/>
            </w:tcBorders>
            <w:noWrap w:val="0"/>
            <w:vAlign w:val="center"/>
          </w:tcPr>
          <w:p w14:paraId="5139A3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破碎机废气排口（DA001）</w:t>
            </w:r>
          </w:p>
        </w:tc>
        <w:tc>
          <w:tcPr>
            <w:tcW w:w="626" w:type="pct"/>
            <w:tcBorders>
              <w:tl2br w:val="nil"/>
              <w:tr2bl w:val="nil"/>
            </w:tcBorders>
            <w:noWrap w:val="0"/>
            <w:vAlign w:val="center"/>
          </w:tcPr>
          <w:p w14:paraId="421908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15</w:t>
            </w:r>
          </w:p>
        </w:tc>
        <w:tc>
          <w:tcPr>
            <w:tcW w:w="624" w:type="pct"/>
            <w:tcBorders>
              <w:tl2br w:val="nil"/>
              <w:tr2bl w:val="nil"/>
            </w:tcBorders>
            <w:noWrap w:val="0"/>
            <w:vAlign w:val="center"/>
          </w:tcPr>
          <w:p w14:paraId="5C7230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1</w:t>
            </w:r>
          </w:p>
        </w:tc>
        <w:tc>
          <w:tcPr>
            <w:tcW w:w="792" w:type="pct"/>
            <w:tcBorders>
              <w:tl2br w:val="nil"/>
              <w:tr2bl w:val="nil"/>
            </w:tcBorders>
            <w:noWrap w:val="0"/>
            <w:vAlign w:val="center"/>
          </w:tcPr>
          <w:p w14:paraId="65A587E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25</w:t>
            </w:r>
          </w:p>
        </w:tc>
        <w:tc>
          <w:tcPr>
            <w:tcW w:w="688" w:type="pct"/>
            <w:tcBorders>
              <w:tl2br w:val="nil"/>
              <w:tr2bl w:val="nil"/>
            </w:tcBorders>
            <w:noWrap w:val="0"/>
            <w:vAlign w:val="center"/>
          </w:tcPr>
          <w:p w14:paraId="179FDF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kern w:val="0"/>
                <w:sz w:val="18"/>
                <w:szCs w:val="18"/>
                <w:highlight w:val="none"/>
                <w:lang w:val="en-US" w:bidi="ar"/>
              </w:rPr>
            </w:pPr>
            <w:r>
              <w:rPr>
                <w:rFonts w:hint="default" w:ascii="Times New Roman" w:hAnsi="Times New Roman" w:cs="Times New Roman"/>
                <w:b w:val="0"/>
                <w:bCs/>
                <w:color w:val="auto"/>
                <w:sz w:val="18"/>
                <w:szCs w:val="18"/>
                <w:highlight w:val="none"/>
                <w:lang w:val="en-US" w:eastAsia="zh-CN"/>
              </w:rPr>
              <w:t>40000</w:t>
            </w:r>
          </w:p>
        </w:tc>
        <w:tc>
          <w:tcPr>
            <w:tcW w:w="617" w:type="pct"/>
            <w:tcBorders>
              <w:tl2br w:val="nil"/>
              <w:tr2bl w:val="nil"/>
            </w:tcBorders>
            <w:noWrap w:val="0"/>
            <w:vAlign w:val="center"/>
          </w:tcPr>
          <w:p w14:paraId="68AF9B8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颗粒物</w:t>
            </w:r>
          </w:p>
        </w:tc>
        <w:tc>
          <w:tcPr>
            <w:tcW w:w="713" w:type="pct"/>
            <w:tcBorders>
              <w:tl2br w:val="nil"/>
              <w:tr2bl w:val="nil"/>
            </w:tcBorders>
            <w:noWrap w:val="0"/>
            <w:vAlign w:val="center"/>
          </w:tcPr>
          <w:p w14:paraId="206A6FF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rPr>
              <w:t>一般排放口</w:t>
            </w:r>
          </w:p>
        </w:tc>
      </w:tr>
    </w:tbl>
    <w:p w14:paraId="6152AA45">
      <w:pPr>
        <w:spacing w:line="360" w:lineRule="auto"/>
        <w:ind w:firstLine="480"/>
        <w:jc w:val="center"/>
        <w:rPr>
          <w:rFonts w:hint="default" w:ascii="Times New Roman" w:hAnsi="Times New Roman" w:eastAsia="黑体" w:cs="Times New Roman"/>
          <w:b w:val="0"/>
          <w:bCs w:val="0"/>
          <w:color w:val="auto"/>
          <w:sz w:val="21"/>
          <w:szCs w:val="21"/>
          <w:highlight w:val="none"/>
        </w:rPr>
      </w:pPr>
      <w:r>
        <w:rPr>
          <w:rFonts w:hint="default" w:ascii="Times New Roman" w:hAnsi="Times New Roman" w:eastAsia="黑体" w:cs="Times New Roman"/>
          <w:b w:val="0"/>
          <w:bCs w:val="0"/>
          <w:color w:val="auto"/>
          <w:sz w:val="21"/>
          <w:szCs w:val="21"/>
          <w:highlight w:val="none"/>
          <w:lang w:val="en-US" w:eastAsia="zh-CN"/>
        </w:rPr>
        <w:t>表8.8.1</w:t>
      </w:r>
      <w:r>
        <w:rPr>
          <w:rFonts w:hint="default" w:ascii="Times New Roman" w:hAnsi="Times New Roman" w:eastAsia="黑体" w:cs="Times New Roman"/>
          <w:b w:val="0"/>
          <w:bCs w:val="0"/>
          <w:color w:val="auto"/>
          <w:sz w:val="21"/>
          <w:szCs w:val="21"/>
          <w:highlight w:val="none"/>
        </w:rPr>
        <w:t>-</w:t>
      </w:r>
      <w:r>
        <w:rPr>
          <w:rFonts w:hint="default" w:ascii="Times New Roman" w:hAnsi="Times New Roman" w:eastAsia="黑体" w:cs="Times New Roman"/>
          <w:b w:val="0"/>
          <w:bCs w:val="0"/>
          <w:color w:val="auto"/>
          <w:sz w:val="21"/>
          <w:szCs w:val="21"/>
          <w:highlight w:val="none"/>
          <w:lang w:val="en-US" w:eastAsia="zh-CN"/>
        </w:rPr>
        <w:t>2</w:t>
      </w:r>
      <w:r>
        <w:rPr>
          <w:rFonts w:hint="default" w:ascii="Times New Roman" w:hAnsi="Times New Roman" w:eastAsia="黑体" w:cs="Times New Roman"/>
          <w:b w:val="0"/>
          <w:bCs w:val="0"/>
          <w:color w:val="auto"/>
          <w:sz w:val="21"/>
          <w:szCs w:val="21"/>
          <w:highlight w:val="none"/>
        </w:rPr>
        <w:t xml:space="preserve"> </w:t>
      </w:r>
      <w:r>
        <w:rPr>
          <w:rFonts w:hint="default" w:ascii="Times New Roman" w:hAnsi="Times New Roman" w:eastAsia="黑体" w:cs="Times New Roman"/>
          <w:b w:val="0"/>
          <w:bCs w:val="0"/>
          <w:color w:val="auto"/>
          <w:sz w:val="21"/>
          <w:szCs w:val="21"/>
          <w:highlight w:val="none"/>
          <w:lang w:val="en-US" w:eastAsia="zh-CN"/>
        </w:rPr>
        <w:t xml:space="preserve"> </w:t>
      </w:r>
      <w:r>
        <w:rPr>
          <w:rFonts w:hint="default" w:ascii="Times New Roman" w:hAnsi="Times New Roman" w:eastAsia="黑体" w:cs="Times New Roman"/>
          <w:b w:val="0"/>
          <w:bCs w:val="0"/>
          <w:color w:val="auto"/>
          <w:sz w:val="21"/>
          <w:szCs w:val="21"/>
          <w:highlight w:val="none"/>
        </w:rPr>
        <w:t>环境保护图形标志的形状及颜色表</w:t>
      </w:r>
    </w:p>
    <w:tbl>
      <w:tblPr>
        <w:tblStyle w:val="29"/>
        <w:tblW w:w="4999" w:type="pct"/>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054"/>
        <w:gridCol w:w="3054"/>
        <w:gridCol w:w="3178"/>
      </w:tblGrid>
      <w:tr w14:paraId="75AC1F1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0" w:hRule="atLeast"/>
          <w:jc w:val="center"/>
        </w:trPr>
        <w:tc>
          <w:tcPr>
            <w:tcW w:w="1644" w:type="pct"/>
            <w:tcBorders>
              <w:tl2br w:val="nil"/>
              <w:tr2bl w:val="nil"/>
            </w:tcBorders>
            <w:noWrap w:val="0"/>
            <w:vAlign w:val="center"/>
          </w:tcPr>
          <w:p w14:paraId="18207A7F">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标志名称</w:t>
            </w:r>
          </w:p>
        </w:tc>
        <w:tc>
          <w:tcPr>
            <w:tcW w:w="1644" w:type="pct"/>
            <w:tcBorders>
              <w:tl2br w:val="nil"/>
              <w:tr2bl w:val="nil"/>
            </w:tcBorders>
            <w:noWrap w:val="0"/>
            <w:vAlign w:val="center"/>
          </w:tcPr>
          <w:p w14:paraId="3CDF0A90">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形状</w:t>
            </w:r>
          </w:p>
        </w:tc>
        <w:tc>
          <w:tcPr>
            <w:tcW w:w="1711" w:type="pct"/>
            <w:tcBorders>
              <w:tl2br w:val="nil"/>
              <w:tr2bl w:val="nil"/>
            </w:tcBorders>
            <w:noWrap w:val="0"/>
            <w:vAlign w:val="center"/>
          </w:tcPr>
          <w:p w14:paraId="08164005">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背景颜色</w:t>
            </w:r>
          </w:p>
        </w:tc>
      </w:tr>
      <w:tr w14:paraId="407AC95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0" w:hRule="atLeast"/>
          <w:jc w:val="center"/>
        </w:trPr>
        <w:tc>
          <w:tcPr>
            <w:tcW w:w="1644" w:type="pct"/>
            <w:tcBorders>
              <w:tl2br w:val="nil"/>
              <w:tr2bl w:val="nil"/>
            </w:tcBorders>
            <w:noWrap w:val="0"/>
            <w:vAlign w:val="center"/>
          </w:tcPr>
          <w:p w14:paraId="54AD783F">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警告标志</w:t>
            </w:r>
          </w:p>
        </w:tc>
        <w:tc>
          <w:tcPr>
            <w:tcW w:w="1644" w:type="pct"/>
            <w:tcBorders>
              <w:tl2br w:val="nil"/>
              <w:tr2bl w:val="nil"/>
            </w:tcBorders>
            <w:noWrap w:val="0"/>
            <w:vAlign w:val="center"/>
          </w:tcPr>
          <w:p w14:paraId="38CD7FFB">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三角形边框</w:t>
            </w:r>
          </w:p>
        </w:tc>
        <w:tc>
          <w:tcPr>
            <w:tcW w:w="1711" w:type="pct"/>
            <w:tcBorders>
              <w:tl2br w:val="nil"/>
              <w:tr2bl w:val="nil"/>
            </w:tcBorders>
            <w:noWrap w:val="0"/>
            <w:vAlign w:val="center"/>
          </w:tcPr>
          <w:p w14:paraId="6AB058E0">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黑色</w:t>
            </w:r>
          </w:p>
        </w:tc>
      </w:tr>
      <w:tr w14:paraId="31C3A46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0" w:hRule="atLeast"/>
          <w:jc w:val="center"/>
        </w:trPr>
        <w:tc>
          <w:tcPr>
            <w:tcW w:w="1644" w:type="pct"/>
            <w:tcBorders>
              <w:tl2br w:val="nil"/>
              <w:tr2bl w:val="nil"/>
            </w:tcBorders>
            <w:noWrap w:val="0"/>
            <w:vAlign w:val="center"/>
          </w:tcPr>
          <w:p w14:paraId="616A4AF5">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提示标志</w:t>
            </w:r>
          </w:p>
        </w:tc>
        <w:tc>
          <w:tcPr>
            <w:tcW w:w="1644" w:type="pct"/>
            <w:tcBorders>
              <w:tl2br w:val="nil"/>
              <w:tr2bl w:val="nil"/>
            </w:tcBorders>
            <w:noWrap w:val="0"/>
            <w:vAlign w:val="center"/>
          </w:tcPr>
          <w:p w14:paraId="1589A7EE">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正方形边框</w:t>
            </w:r>
          </w:p>
        </w:tc>
        <w:tc>
          <w:tcPr>
            <w:tcW w:w="1711" w:type="pct"/>
            <w:tcBorders>
              <w:tl2br w:val="nil"/>
              <w:tr2bl w:val="nil"/>
            </w:tcBorders>
            <w:noWrap w:val="0"/>
            <w:vAlign w:val="center"/>
          </w:tcPr>
          <w:p w14:paraId="4B49BA44">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白色</w:t>
            </w:r>
          </w:p>
        </w:tc>
      </w:tr>
    </w:tbl>
    <w:p w14:paraId="558BE7A3">
      <w:pPr>
        <w:spacing w:line="360" w:lineRule="auto"/>
        <w:ind w:firstLine="480"/>
        <w:jc w:val="center"/>
        <w:rPr>
          <w:rFonts w:hint="default" w:ascii="Times New Roman" w:hAnsi="Times New Roman" w:eastAsia="黑体" w:cs="Times New Roman"/>
          <w:b w:val="0"/>
          <w:bCs w:val="0"/>
          <w:color w:val="auto"/>
          <w:sz w:val="21"/>
          <w:szCs w:val="21"/>
          <w:highlight w:val="none"/>
        </w:rPr>
      </w:pPr>
      <w:r>
        <w:rPr>
          <w:rFonts w:hint="default" w:ascii="Times New Roman" w:hAnsi="Times New Roman" w:eastAsia="黑体" w:cs="Times New Roman"/>
          <w:b w:val="0"/>
          <w:bCs w:val="0"/>
          <w:color w:val="auto"/>
          <w:kern w:val="0"/>
          <w:sz w:val="21"/>
          <w:szCs w:val="21"/>
          <w:highlight w:val="none"/>
        </w:rPr>
        <w:t>表</w:t>
      </w:r>
      <w:r>
        <w:rPr>
          <w:rFonts w:hint="default" w:ascii="Times New Roman" w:hAnsi="Times New Roman" w:eastAsia="黑体" w:cs="Times New Roman"/>
          <w:b w:val="0"/>
          <w:bCs w:val="0"/>
          <w:color w:val="auto"/>
          <w:sz w:val="21"/>
          <w:szCs w:val="21"/>
          <w:highlight w:val="none"/>
          <w:lang w:val="en-US" w:eastAsia="zh-CN"/>
        </w:rPr>
        <w:t>8.8.1</w:t>
      </w:r>
      <w:r>
        <w:rPr>
          <w:rFonts w:hint="default" w:ascii="Times New Roman" w:hAnsi="Times New Roman" w:eastAsia="黑体" w:cs="Times New Roman"/>
          <w:b w:val="0"/>
          <w:bCs w:val="0"/>
          <w:color w:val="auto"/>
          <w:sz w:val="21"/>
          <w:szCs w:val="21"/>
          <w:highlight w:val="none"/>
        </w:rPr>
        <w:t xml:space="preserve">-3 </w:t>
      </w:r>
      <w:r>
        <w:rPr>
          <w:rFonts w:hint="default" w:ascii="Times New Roman" w:hAnsi="Times New Roman" w:eastAsia="黑体" w:cs="Times New Roman"/>
          <w:b w:val="0"/>
          <w:bCs w:val="0"/>
          <w:color w:val="auto"/>
          <w:sz w:val="21"/>
          <w:szCs w:val="21"/>
          <w:highlight w:val="none"/>
          <w:lang w:val="en-US" w:eastAsia="zh-CN"/>
        </w:rPr>
        <w:t xml:space="preserve"> </w:t>
      </w:r>
      <w:r>
        <w:rPr>
          <w:rFonts w:hint="default" w:ascii="Times New Roman" w:hAnsi="Times New Roman" w:eastAsia="黑体" w:cs="Times New Roman"/>
          <w:b w:val="0"/>
          <w:bCs w:val="0"/>
          <w:color w:val="auto"/>
          <w:sz w:val="21"/>
          <w:szCs w:val="21"/>
          <w:highlight w:val="none"/>
        </w:rPr>
        <w:t>环境保护图形符号一览表</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2566"/>
        <w:gridCol w:w="2562"/>
        <w:gridCol w:w="1546"/>
        <w:gridCol w:w="1878"/>
      </w:tblGrid>
      <w:tr w14:paraId="020FA0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14:paraId="53B78CB5">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1381" w:type="pct"/>
            <w:tcBorders>
              <w:tl2br w:val="nil"/>
              <w:tr2bl w:val="nil"/>
            </w:tcBorders>
            <w:noWrap w:val="0"/>
            <w:vAlign w:val="center"/>
          </w:tcPr>
          <w:p w14:paraId="2461AA4A">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提示图形符号</w:t>
            </w:r>
          </w:p>
        </w:tc>
        <w:tc>
          <w:tcPr>
            <w:tcW w:w="1379" w:type="pct"/>
            <w:tcBorders>
              <w:tl2br w:val="nil"/>
              <w:tr2bl w:val="nil"/>
            </w:tcBorders>
            <w:noWrap w:val="0"/>
            <w:vAlign w:val="center"/>
          </w:tcPr>
          <w:p w14:paraId="47BE7E73">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警告图形符号</w:t>
            </w:r>
          </w:p>
        </w:tc>
        <w:tc>
          <w:tcPr>
            <w:tcW w:w="832" w:type="pct"/>
            <w:tcBorders>
              <w:tl2br w:val="nil"/>
              <w:tr2bl w:val="nil"/>
            </w:tcBorders>
            <w:noWrap w:val="0"/>
            <w:vAlign w:val="center"/>
          </w:tcPr>
          <w:p w14:paraId="672D6CD5">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1011" w:type="pct"/>
            <w:tcBorders>
              <w:tl2br w:val="nil"/>
              <w:tr2bl w:val="nil"/>
            </w:tcBorders>
            <w:noWrap w:val="0"/>
            <w:vAlign w:val="center"/>
          </w:tcPr>
          <w:p w14:paraId="4A511ABC">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功能</w:t>
            </w:r>
          </w:p>
        </w:tc>
      </w:tr>
      <w:tr w14:paraId="18EE84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14:paraId="29AE9C73">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1381" w:type="pct"/>
            <w:tcBorders>
              <w:tl2br w:val="nil"/>
              <w:tr2bl w:val="nil"/>
            </w:tcBorders>
            <w:noWrap w:val="0"/>
            <w:vAlign w:val="center"/>
          </w:tcPr>
          <w:p w14:paraId="4DB5F681">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fldChar w:fldCharType="begin"/>
            </w:r>
            <w:r>
              <w:rPr>
                <w:rFonts w:hint="default" w:ascii="Times New Roman" w:hAnsi="Times New Roman" w:cs="Times New Roman"/>
                <w:color w:val="auto"/>
                <w:sz w:val="18"/>
                <w:szCs w:val="18"/>
                <w:highlight w:val="none"/>
              </w:rPr>
              <w:instrText xml:space="preserve"> INCLUDEPICTURE "C:\\Users\\ADMINI~1\\AppData\\Local\\Temp\\ksohtml6404\\wps4.jpg" \* MERGEFORMATINET </w:instrText>
            </w:r>
            <w:r>
              <w:rPr>
                <w:rFonts w:hint="default" w:ascii="Times New Roman" w:hAnsi="Times New Roman" w:cs="Times New Roman"/>
                <w:color w:val="auto"/>
                <w:sz w:val="18"/>
                <w:szCs w:val="18"/>
                <w:highlight w:val="none"/>
              </w:rPr>
              <w:fldChar w:fldCharType="separate"/>
            </w:r>
            <w:r>
              <w:rPr>
                <w:rFonts w:hint="default" w:ascii="Times New Roman" w:hAnsi="Times New Roman" w:cs="Times New Roman"/>
                <w:color w:val="auto"/>
                <w:sz w:val="18"/>
                <w:szCs w:val="18"/>
                <w:highlight w:val="none"/>
              </w:rPr>
              <w:drawing>
                <wp:inline distT="0" distB="0" distL="114300" distR="114300">
                  <wp:extent cx="1294765" cy="972185"/>
                  <wp:effectExtent l="0" t="0" r="635" b="18415"/>
                  <wp:docPr id="37" name="图片 37" descr="wps4"/>
                  <wp:cNvGraphicFramePr/>
                  <a:graphic xmlns:a="http://schemas.openxmlformats.org/drawingml/2006/main">
                    <a:graphicData uri="http://schemas.openxmlformats.org/drawingml/2006/picture">
                      <pic:pic xmlns:pic="http://schemas.openxmlformats.org/drawingml/2006/picture">
                        <pic:nvPicPr>
                          <pic:cNvPr id="37" name="图片 37" descr="wps4"/>
                          <pic:cNvPicPr/>
                        </pic:nvPicPr>
                        <pic:blipFill>
                          <a:blip r:embed="rId46"/>
                          <a:stretch>
                            <a:fillRect/>
                          </a:stretch>
                        </pic:blipFill>
                        <pic:spPr>
                          <a:xfrm>
                            <a:off x="0" y="0"/>
                            <a:ext cx="1294765" cy="972185"/>
                          </a:xfrm>
                          <a:prstGeom prst="rect">
                            <a:avLst/>
                          </a:prstGeom>
                          <a:noFill/>
                          <a:ln>
                            <a:noFill/>
                          </a:ln>
                        </pic:spPr>
                      </pic:pic>
                    </a:graphicData>
                  </a:graphic>
                </wp:inline>
              </w:drawing>
            </w:r>
            <w:r>
              <w:rPr>
                <w:rFonts w:hint="default" w:ascii="Times New Roman" w:hAnsi="Times New Roman" w:cs="Times New Roman"/>
                <w:color w:val="auto"/>
                <w:sz w:val="18"/>
                <w:szCs w:val="18"/>
                <w:highlight w:val="none"/>
              </w:rPr>
              <w:fldChar w:fldCharType="end"/>
            </w:r>
          </w:p>
        </w:tc>
        <w:tc>
          <w:tcPr>
            <w:tcW w:w="1379" w:type="pct"/>
            <w:tcBorders>
              <w:tl2br w:val="nil"/>
              <w:tr2bl w:val="nil"/>
            </w:tcBorders>
            <w:noWrap w:val="0"/>
            <w:vAlign w:val="center"/>
          </w:tcPr>
          <w:p w14:paraId="4718C27A">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fldChar w:fldCharType="begin"/>
            </w:r>
            <w:r>
              <w:rPr>
                <w:rFonts w:hint="default" w:ascii="Times New Roman" w:hAnsi="Times New Roman" w:cs="Times New Roman"/>
                <w:color w:val="auto"/>
                <w:sz w:val="18"/>
                <w:szCs w:val="18"/>
                <w:highlight w:val="none"/>
              </w:rPr>
              <w:instrText xml:space="preserve"> INCLUDEPICTURE "C:\\Users\\ADMINI~1\\AppData\\Local\\Temp\\ksohtml6404\\wps5.png" \* MERGEFORMATINET </w:instrText>
            </w:r>
            <w:r>
              <w:rPr>
                <w:rFonts w:hint="default" w:ascii="Times New Roman" w:hAnsi="Times New Roman" w:cs="Times New Roman"/>
                <w:color w:val="auto"/>
                <w:sz w:val="18"/>
                <w:szCs w:val="18"/>
                <w:highlight w:val="none"/>
              </w:rPr>
              <w:fldChar w:fldCharType="separate"/>
            </w:r>
            <w:r>
              <w:rPr>
                <w:rFonts w:hint="default" w:ascii="Times New Roman" w:hAnsi="Times New Roman" w:cs="Times New Roman"/>
                <w:color w:val="auto"/>
                <w:sz w:val="18"/>
                <w:szCs w:val="18"/>
                <w:highlight w:val="none"/>
              </w:rPr>
              <w:drawing>
                <wp:inline distT="0" distB="0" distL="114300" distR="114300">
                  <wp:extent cx="1294765" cy="970915"/>
                  <wp:effectExtent l="0" t="0" r="635" b="635"/>
                  <wp:docPr id="38" name="图片 14"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descr="wps5"/>
                          <pic:cNvPicPr>
                            <a:picLocks noChangeAspect="1"/>
                          </pic:cNvPicPr>
                        </pic:nvPicPr>
                        <pic:blipFill>
                          <a:blip r:embed="rId47"/>
                          <a:stretch>
                            <a:fillRect/>
                          </a:stretch>
                        </pic:blipFill>
                        <pic:spPr>
                          <a:xfrm>
                            <a:off x="0" y="0"/>
                            <a:ext cx="1294765" cy="970915"/>
                          </a:xfrm>
                          <a:prstGeom prst="rect">
                            <a:avLst/>
                          </a:prstGeom>
                          <a:noFill/>
                          <a:ln>
                            <a:noFill/>
                          </a:ln>
                        </pic:spPr>
                      </pic:pic>
                    </a:graphicData>
                  </a:graphic>
                </wp:inline>
              </w:drawing>
            </w:r>
            <w:r>
              <w:rPr>
                <w:rFonts w:hint="default" w:ascii="Times New Roman" w:hAnsi="Times New Roman" w:cs="Times New Roman"/>
                <w:color w:val="auto"/>
                <w:sz w:val="18"/>
                <w:szCs w:val="18"/>
                <w:highlight w:val="none"/>
              </w:rPr>
              <w:fldChar w:fldCharType="end"/>
            </w:r>
          </w:p>
        </w:tc>
        <w:tc>
          <w:tcPr>
            <w:tcW w:w="832" w:type="pct"/>
            <w:tcBorders>
              <w:tl2br w:val="nil"/>
              <w:tr2bl w:val="nil"/>
            </w:tcBorders>
            <w:noWrap w:val="0"/>
            <w:vAlign w:val="center"/>
          </w:tcPr>
          <w:p w14:paraId="599B1253">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废气排放口</w:t>
            </w:r>
          </w:p>
        </w:tc>
        <w:tc>
          <w:tcPr>
            <w:tcW w:w="1011" w:type="pct"/>
            <w:tcBorders>
              <w:tl2br w:val="nil"/>
              <w:tr2bl w:val="nil"/>
            </w:tcBorders>
            <w:noWrap w:val="0"/>
            <w:vAlign w:val="center"/>
          </w:tcPr>
          <w:p w14:paraId="656ECE54">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表示废气向大气环境排放</w:t>
            </w:r>
          </w:p>
        </w:tc>
      </w:tr>
      <w:tr w14:paraId="2B60C0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14:paraId="0301CBA2">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2</w:t>
            </w:r>
          </w:p>
        </w:tc>
        <w:tc>
          <w:tcPr>
            <w:tcW w:w="1381" w:type="pct"/>
            <w:tcBorders>
              <w:tl2br w:val="nil"/>
              <w:tr2bl w:val="nil"/>
            </w:tcBorders>
            <w:noWrap w:val="0"/>
            <w:vAlign w:val="center"/>
          </w:tcPr>
          <w:p w14:paraId="717C091B">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fldChar w:fldCharType="begin"/>
            </w:r>
            <w:r>
              <w:rPr>
                <w:rFonts w:hint="default" w:ascii="Times New Roman" w:hAnsi="Times New Roman" w:cs="Times New Roman"/>
                <w:color w:val="auto"/>
                <w:sz w:val="18"/>
                <w:szCs w:val="18"/>
                <w:highlight w:val="none"/>
              </w:rPr>
              <w:instrText xml:space="preserve"> INCLUDEPICTURE "C:\\Users\\ADMINI~1\\AppData\\Local\\Temp\\ksohtml6404\\wps8.jpg" \* MERGEFORMATINET </w:instrText>
            </w:r>
            <w:r>
              <w:rPr>
                <w:rFonts w:hint="default" w:ascii="Times New Roman" w:hAnsi="Times New Roman" w:cs="Times New Roman"/>
                <w:color w:val="auto"/>
                <w:sz w:val="18"/>
                <w:szCs w:val="18"/>
                <w:highlight w:val="none"/>
              </w:rPr>
              <w:fldChar w:fldCharType="separate"/>
            </w:r>
            <w:r>
              <w:rPr>
                <w:rFonts w:hint="default" w:ascii="Times New Roman" w:hAnsi="Times New Roman" w:cs="Times New Roman"/>
                <w:color w:val="auto"/>
                <w:sz w:val="18"/>
                <w:szCs w:val="18"/>
                <w:highlight w:val="none"/>
              </w:rPr>
              <w:drawing>
                <wp:inline distT="0" distB="0" distL="114300" distR="114300">
                  <wp:extent cx="1294765" cy="970915"/>
                  <wp:effectExtent l="0" t="0" r="635" b="635"/>
                  <wp:docPr id="41" name="图片 17" descr="w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descr="wps8"/>
                          <pic:cNvPicPr>
                            <a:picLocks noChangeAspect="1"/>
                          </pic:cNvPicPr>
                        </pic:nvPicPr>
                        <pic:blipFill>
                          <a:blip r:embed="rId48"/>
                          <a:stretch>
                            <a:fillRect/>
                          </a:stretch>
                        </pic:blipFill>
                        <pic:spPr>
                          <a:xfrm>
                            <a:off x="0" y="0"/>
                            <a:ext cx="1294765" cy="970915"/>
                          </a:xfrm>
                          <a:prstGeom prst="rect">
                            <a:avLst/>
                          </a:prstGeom>
                          <a:noFill/>
                          <a:ln>
                            <a:noFill/>
                          </a:ln>
                        </pic:spPr>
                      </pic:pic>
                    </a:graphicData>
                  </a:graphic>
                </wp:inline>
              </w:drawing>
            </w:r>
            <w:r>
              <w:rPr>
                <w:rFonts w:hint="default" w:ascii="Times New Roman" w:hAnsi="Times New Roman" w:cs="Times New Roman"/>
                <w:color w:val="auto"/>
                <w:sz w:val="18"/>
                <w:szCs w:val="18"/>
                <w:highlight w:val="none"/>
              </w:rPr>
              <w:fldChar w:fldCharType="end"/>
            </w:r>
          </w:p>
        </w:tc>
        <w:tc>
          <w:tcPr>
            <w:tcW w:w="1379" w:type="pct"/>
            <w:tcBorders>
              <w:tl2br w:val="nil"/>
              <w:tr2bl w:val="nil"/>
            </w:tcBorders>
            <w:noWrap w:val="0"/>
            <w:vAlign w:val="center"/>
          </w:tcPr>
          <w:p w14:paraId="4CA3D351">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fldChar w:fldCharType="begin"/>
            </w:r>
            <w:r>
              <w:rPr>
                <w:rFonts w:hint="default" w:ascii="Times New Roman" w:hAnsi="Times New Roman" w:cs="Times New Roman"/>
                <w:color w:val="auto"/>
                <w:sz w:val="18"/>
                <w:szCs w:val="18"/>
                <w:highlight w:val="none"/>
              </w:rPr>
              <w:instrText xml:space="preserve"> INCLUDEPICTURE "C:\\Users\\ADMINI~1\\AppData\\Local\\Temp\\ksohtml6404\\wps9.png" \* MERGEFORMATINET </w:instrText>
            </w:r>
            <w:r>
              <w:rPr>
                <w:rFonts w:hint="default" w:ascii="Times New Roman" w:hAnsi="Times New Roman" w:cs="Times New Roman"/>
                <w:color w:val="auto"/>
                <w:sz w:val="18"/>
                <w:szCs w:val="18"/>
                <w:highlight w:val="none"/>
              </w:rPr>
              <w:fldChar w:fldCharType="separate"/>
            </w:r>
            <w:r>
              <w:rPr>
                <w:rFonts w:hint="default" w:ascii="Times New Roman" w:hAnsi="Times New Roman" w:cs="Times New Roman"/>
                <w:color w:val="auto"/>
                <w:sz w:val="18"/>
                <w:szCs w:val="18"/>
                <w:highlight w:val="none"/>
              </w:rPr>
              <w:drawing>
                <wp:inline distT="0" distB="0" distL="114300" distR="114300">
                  <wp:extent cx="1296035" cy="970915"/>
                  <wp:effectExtent l="0" t="0" r="18415" b="635"/>
                  <wp:docPr id="42" name="图片 18" descr="wps9"/>
                  <wp:cNvGraphicFramePr/>
                  <a:graphic xmlns:a="http://schemas.openxmlformats.org/drawingml/2006/main">
                    <a:graphicData uri="http://schemas.openxmlformats.org/drawingml/2006/picture">
                      <pic:pic xmlns:pic="http://schemas.openxmlformats.org/drawingml/2006/picture">
                        <pic:nvPicPr>
                          <pic:cNvPr id="42" name="图片 18" descr="wps9"/>
                          <pic:cNvPicPr/>
                        </pic:nvPicPr>
                        <pic:blipFill>
                          <a:blip r:embed="rId49"/>
                          <a:stretch>
                            <a:fillRect/>
                          </a:stretch>
                        </pic:blipFill>
                        <pic:spPr>
                          <a:xfrm>
                            <a:off x="0" y="0"/>
                            <a:ext cx="1296035" cy="970915"/>
                          </a:xfrm>
                          <a:prstGeom prst="rect">
                            <a:avLst/>
                          </a:prstGeom>
                          <a:noFill/>
                          <a:ln>
                            <a:noFill/>
                          </a:ln>
                        </pic:spPr>
                      </pic:pic>
                    </a:graphicData>
                  </a:graphic>
                </wp:inline>
              </w:drawing>
            </w:r>
            <w:r>
              <w:rPr>
                <w:rFonts w:hint="default" w:ascii="Times New Roman" w:hAnsi="Times New Roman" w:cs="Times New Roman"/>
                <w:color w:val="auto"/>
                <w:sz w:val="18"/>
                <w:szCs w:val="18"/>
                <w:highlight w:val="none"/>
              </w:rPr>
              <w:fldChar w:fldCharType="end"/>
            </w:r>
          </w:p>
        </w:tc>
        <w:tc>
          <w:tcPr>
            <w:tcW w:w="832" w:type="pct"/>
            <w:tcBorders>
              <w:tl2br w:val="nil"/>
              <w:tr2bl w:val="nil"/>
            </w:tcBorders>
            <w:noWrap w:val="0"/>
            <w:vAlign w:val="center"/>
          </w:tcPr>
          <w:p w14:paraId="532416A0">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噪声排放源</w:t>
            </w:r>
          </w:p>
        </w:tc>
        <w:tc>
          <w:tcPr>
            <w:tcW w:w="1011" w:type="pct"/>
            <w:tcBorders>
              <w:tl2br w:val="nil"/>
              <w:tr2bl w:val="nil"/>
            </w:tcBorders>
            <w:noWrap w:val="0"/>
            <w:vAlign w:val="center"/>
          </w:tcPr>
          <w:p w14:paraId="5CFF3705">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表示噪声向外环境排放</w:t>
            </w:r>
          </w:p>
        </w:tc>
      </w:tr>
      <w:tr w14:paraId="08E1D9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14:paraId="42473A5F">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3</w:t>
            </w:r>
          </w:p>
        </w:tc>
        <w:tc>
          <w:tcPr>
            <w:tcW w:w="1381" w:type="pct"/>
            <w:tcBorders>
              <w:tl2br w:val="nil"/>
              <w:tr2bl w:val="nil"/>
            </w:tcBorders>
            <w:noWrap w:val="0"/>
            <w:vAlign w:val="center"/>
          </w:tcPr>
          <w:p w14:paraId="1B863BE2">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379" w:type="pct"/>
            <w:tcBorders>
              <w:tl2br w:val="nil"/>
              <w:tr2bl w:val="nil"/>
            </w:tcBorders>
            <w:noWrap w:val="0"/>
            <w:vAlign w:val="center"/>
          </w:tcPr>
          <w:p w14:paraId="6F1E69FA">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drawing>
                <wp:inline distT="0" distB="0" distL="114300" distR="114300">
                  <wp:extent cx="1296035" cy="972185"/>
                  <wp:effectExtent l="0" t="0" r="18415" b="18415"/>
                  <wp:docPr id="43" name="图片 19"/>
                  <wp:cNvGraphicFramePr/>
                  <a:graphic xmlns:a="http://schemas.openxmlformats.org/drawingml/2006/main">
                    <a:graphicData uri="http://schemas.openxmlformats.org/drawingml/2006/picture">
                      <pic:pic xmlns:pic="http://schemas.openxmlformats.org/drawingml/2006/picture">
                        <pic:nvPicPr>
                          <pic:cNvPr id="43" name="图片 19"/>
                          <pic:cNvPicPr/>
                        </pic:nvPicPr>
                        <pic:blipFill>
                          <a:blip r:embed="rId50"/>
                          <a:stretch>
                            <a:fillRect/>
                          </a:stretch>
                        </pic:blipFill>
                        <pic:spPr>
                          <a:xfrm>
                            <a:off x="0" y="0"/>
                            <a:ext cx="1296035" cy="972185"/>
                          </a:xfrm>
                          <a:prstGeom prst="rect">
                            <a:avLst/>
                          </a:prstGeom>
                          <a:noFill/>
                          <a:ln>
                            <a:noFill/>
                          </a:ln>
                        </pic:spPr>
                      </pic:pic>
                    </a:graphicData>
                  </a:graphic>
                </wp:inline>
              </w:drawing>
            </w:r>
          </w:p>
        </w:tc>
        <w:tc>
          <w:tcPr>
            <w:tcW w:w="832" w:type="pct"/>
            <w:tcBorders>
              <w:tl2br w:val="nil"/>
              <w:tr2bl w:val="nil"/>
            </w:tcBorders>
            <w:noWrap w:val="0"/>
            <w:vAlign w:val="center"/>
          </w:tcPr>
          <w:p w14:paraId="2DFEA519">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危险废物</w:t>
            </w:r>
          </w:p>
        </w:tc>
        <w:tc>
          <w:tcPr>
            <w:tcW w:w="1011" w:type="pct"/>
            <w:tcBorders>
              <w:tl2br w:val="nil"/>
              <w:tr2bl w:val="nil"/>
            </w:tcBorders>
            <w:noWrap w:val="0"/>
            <w:vAlign w:val="center"/>
          </w:tcPr>
          <w:p w14:paraId="21E40A7E">
            <w:pPr>
              <w:pStyle w:val="17"/>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表示危险废物贮存</w:t>
            </w:r>
          </w:p>
        </w:tc>
      </w:tr>
    </w:tbl>
    <w:p w14:paraId="5D41AD55">
      <w:pPr>
        <w:pStyle w:val="6"/>
        <w:bidi w:val="0"/>
        <w:rPr>
          <w:rFonts w:hint="default" w:ascii="Times New Roman" w:hAnsi="Times New Roman" w:cs="Times New Roman"/>
          <w:lang w:val="en-US" w:eastAsia="zh-CN"/>
        </w:rPr>
      </w:pPr>
      <w:bookmarkStart w:id="713" w:name="_Toc4846"/>
      <w:bookmarkStart w:id="714" w:name="_Toc10656"/>
      <w:bookmarkStart w:id="715" w:name="_Toc10620"/>
      <w:r>
        <w:rPr>
          <w:rFonts w:hint="default" w:ascii="Times New Roman" w:hAnsi="Times New Roman" w:cs="Times New Roman"/>
          <w:lang w:val="en-US" w:eastAsia="zh-CN"/>
        </w:rPr>
        <w:t>8.8.2污染物排放清单</w:t>
      </w:r>
      <w:bookmarkEnd w:id="713"/>
      <w:bookmarkEnd w:id="714"/>
      <w:bookmarkEnd w:id="715"/>
    </w:p>
    <w:p w14:paraId="13C77EB3">
      <w:pPr>
        <w:spacing w:line="360" w:lineRule="auto"/>
        <w:jc w:val="center"/>
        <w:rPr>
          <w:rFonts w:hint="default" w:ascii="Times New Roman" w:hAnsi="Times New Roman" w:eastAsia="黑体" w:cs="Times New Roman"/>
          <w:b w:val="0"/>
          <w:bCs w:val="0"/>
          <w:color w:val="auto"/>
          <w:sz w:val="21"/>
          <w:szCs w:val="21"/>
          <w:highlight w:val="none"/>
        </w:rPr>
      </w:pPr>
      <w:r>
        <w:rPr>
          <w:rFonts w:hint="default" w:ascii="Times New Roman" w:hAnsi="Times New Roman" w:eastAsia="黑体" w:cs="Times New Roman"/>
          <w:b w:val="0"/>
          <w:bCs w:val="0"/>
          <w:color w:val="auto"/>
          <w:sz w:val="21"/>
          <w:szCs w:val="21"/>
          <w:highlight w:val="none"/>
        </w:rPr>
        <w:t>表</w:t>
      </w:r>
      <w:r>
        <w:rPr>
          <w:rFonts w:hint="default" w:ascii="Times New Roman" w:hAnsi="Times New Roman" w:eastAsia="黑体" w:cs="Times New Roman"/>
          <w:b w:val="0"/>
          <w:bCs w:val="0"/>
          <w:color w:val="auto"/>
          <w:sz w:val="21"/>
          <w:szCs w:val="21"/>
          <w:highlight w:val="none"/>
          <w:lang w:val="en-US" w:eastAsia="zh-CN"/>
        </w:rPr>
        <w:t xml:space="preserve">8.8.2-1 </w:t>
      </w:r>
      <w:r>
        <w:rPr>
          <w:rFonts w:hint="default" w:ascii="Times New Roman" w:hAnsi="Times New Roman" w:eastAsia="黑体" w:cs="Times New Roman"/>
          <w:b w:val="0"/>
          <w:bCs w:val="0"/>
          <w:color w:val="auto"/>
          <w:sz w:val="21"/>
          <w:szCs w:val="21"/>
          <w:highlight w:val="none"/>
        </w:rPr>
        <w:t xml:space="preserve"> 污染物排放清单表</w:t>
      </w:r>
    </w:p>
    <w:tbl>
      <w:tblPr>
        <w:tblStyle w:val="29"/>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440"/>
        <w:gridCol w:w="1002"/>
        <w:gridCol w:w="935"/>
        <w:gridCol w:w="911"/>
        <w:gridCol w:w="1039"/>
        <w:gridCol w:w="2469"/>
        <w:gridCol w:w="646"/>
        <w:gridCol w:w="1415"/>
      </w:tblGrid>
      <w:tr w14:paraId="7F6734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5" w:type="pct"/>
            <w:gridSpan w:val="3"/>
            <w:vMerge w:val="restart"/>
            <w:tcBorders>
              <w:tl2br w:val="nil"/>
              <w:tr2bl w:val="nil"/>
            </w:tcBorders>
            <w:noWrap w:val="0"/>
            <w:vAlign w:val="center"/>
          </w:tcPr>
          <w:p w14:paraId="3F0FFE2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污染源</w:t>
            </w:r>
          </w:p>
        </w:tc>
        <w:tc>
          <w:tcPr>
            <w:tcW w:w="503" w:type="pct"/>
            <w:vMerge w:val="restart"/>
            <w:tcBorders>
              <w:tl2br w:val="nil"/>
              <w:tr2bl w:val="nil"/>
            </w:tcBorders>
            <w:noWrap w:val="0"/>
            <w:vAlign w:val="center"/>
          </w:tcPr>
          <w:p w14:paraId="3BCAD5C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1050" w:type="pct"/>
            <w:gridSpan w:val="2"/>
            <w:tcBorders>
              <w:tl2br w:val="nil"/>
              <w:tr2bl w:val="nil"/>
            </w:tcBorders>
            <w:noWrap w:val="0"/>
            <w:vAlign w:val="center"/>
          </w:tcPr>
          <w:p w14:paraId="7186FC6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污染物排放情况</w:t>
            </w:r>
          </w:p>
        </w:tc>
        <w:tc>
          <w:tcPr>
            <w:tcW w:w="1329" w:type="pct"/>
            <w:vMerge w:val="restart"/>
            <w:tcBorders>
              <w:tl2br w:val="nil"/>
              <w:tr2bl w:val="nil"/>
            </w:tcBorders>
            <w:noWrap w:val="0"/>
            <w:vAlign w:val="center"/>
          </w:tcPr>
          <w:p w14:paraId="7CEC2EF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处理措施</w:t>
            </w:r>
          </w:p>
        </w:tc>
        <w:tc>
          <w:tcPr>
            <w:tcW w:w="347" w:type="pct"/>
            <w:vMerge w:val="restart"/>
            <w:tcBorders>
              <w:tl2br w:val="nil"/>
              <w:tr2bl w:val="nil"/>
            </w:tcBorders>
            <w:noWrap w:val="0"/>
            <w:vAlign w:val="center"/>
          </w:tcPr>
          <w:p w14:paraId="1FD5E4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val="0"/>
                <w:bCs w:val="0"/>
                <w:color w:val="auto"/>
                <w:sz w:val="18"/>
                <w:szCs w:val="18"/>
                <w:highlight w:val="none"/>
              </w:rPr>
              <w:t>排放方式</w:t>
            </w:r>
          </w:p>
        </w:tc>
        <w:tc>
          <w:tcPr>
            <w:tcW w:w="762" w:type="pct"/>
            <w:vMerge w:val="restart"/>
            <w:tcBorders>
              <w:tl2br w:val="nil"/>
              <w:tr2bl w:val="nil"/>
            </w:tcBorders>
            <w:noWrap w:val="0"/>
            <w:vAlign w:val="center"/>
          </w:tcPr>
          <w:p w14:paraId="5D3B8EA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val="0"/>
                <w:bCs w:val="0"/>
                <w:color w:val="auto"/>
                <w:sz w:val="18"/>
                <w:szCs w:val="18"/>
                <w:highlight w:val="none"/>
              </w:rPr>
              <w:t>排污口设置</w:t>
            </w:r>
          </w:p>
        </w:tc>
      </w:tr>
      <w:tr w14:paraId="35374B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5" w:type="pct"/>
            <w:gridSpan w:val="3"/>
            <w:vMerge w:val="continue"/>
            <w:tcBorders>
              <w:tl2br w:val="nil"/>
              <w:tr2bl w:val="nil"/>
            </w:tcBorders>
            <w:noWrap w:val="0"/>
            <w:vAlign w:val="center"/>
          </w:tcPr>
          <w:p w14:paraId="436A5E3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p>
        </w:tc>
        <w:tc>
          <w:tcPr>
            <w:tcW w:w="503" w:type="pct"/>
            <w:vMerge w:val="continue"/>
            <w:tcBorders>
              <w:tl2br w:val="nil"/>
              <w:tr2bl w:val="nil"/>
            </w:tcBorders>
            <w:noWrap w:val="0"/>
            <w:vAlign w:val="center"/>
          </w:tcPr>
          <w:p w14:paraId="3F55334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490" w:type="pct"/>
            <w:tcBorders>
              <w:tl2br w:val="nil"/>
              <w:tr2bl w:val="nil"/>
            </w:tcBorders>
            <w:noWrap w:val="0"/>
            <w:vAlign w:val="center"/>
          </w:tcPr>
          <w:p w14:paraId="48F84E0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产生量（t/a）</w:t>
            </w:r>
          </w:p>
        </w:tc>
        <w:tc>
          <w:tcPr>
            <w:tcW w:w="559" w:type="pct"/>
            <w:tcBorders>
              <w:tl2br w:val="nil"/>
              <w:tr2bl w:val="nil"/>
            </w:tcBorders>
            <w:noWrap w:val="0"/>
            <w:vAlign w:val="center"/>
          </w:tcPr>
          <w:p w14:paraId="1B5B968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排放量（t/a）</w:t>
            </w:r>
          </w:p>
        </w:tc>
        <w:tc>
          <w:tcPr>
            <w:tcW w:w="1329" w:type="pct"/>
            <w:vMerge w:val="continue"/>
            <w:tcBorders>
              <w:tl2br w:val="nil"/>
              <w:tr2bl w:val="nil"/>
            </w:tcBorders>
            <w:noWrap w:val="0"/>
            <w:vAlign w:val="center"/>
          </w:tcPr>
          <w:p w14:paraId="22FC19D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347" w:type="pct"/>
            <w:vMerge w:val="continue"/>
            <w:tcBorders>
              <w:tl2br w:val="nil"/>
              <w:tr2bl w:val="nil"/>
            </w:tcBorders>
            <w:noWrap w:val="0"/>
            <w:vAlign w:val="center"/>
          </w:tcPr>
          <w:p w14:paraId="58EEBFB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762" w:type="pct"/>
            <w:vMerge w:val="continue"/>
            <w:tcBorders>
              <w:tl2br w:val="nil"/>
              <w:tr2bl w:val="nil"/>
            </w:tcBorders>
            <w:noWrap w:val="0"/>
            <w:vAlign w:val="center"/>
          </w:tcPr>
          <w:p w14:paraId="08802E6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r>
      <w:tr w14:paraId="6E6B3B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restart"/>
            <w:tcBorders>
              <w:tl2br w:val="nil"/>
              <w:tr2bl w:val="nil"/>
            </w:tcBorders>
            <w:noWrap w:val="0"/>
            <w:vAlign w:val="center"/>
          </w:tcPr>
          <w:p w14:paraId="6603BBC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w:t>
            </w:r>
          </w:p>
        </w:tc>
        <w:tc>
          <w:tcPr>
            <w:tcW w:w="237" w:type="pct"/>
            <w:tcBorders>
              <w:tl2br w:val="nil"/>
              <w:tr2bl w:val="nil"/>
            </w:tcBorders>
            <w:noWrap w:val="0"/>
            <w:vAlign w:val="center"/>
          </w:tcPr>
          <w:p w14:paraId="4AF4A6B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有组织</w:t>
            </w:r>
          </w:p>
        </w:tc>
        <w:tc>
          <w:tcPr>
            <w:tcW w:w="539" w:type="pct"/>
            <w:tcBorders>
              <w:tl2br w:val="nil"/>
              <w:tr2bl w:val="nil"/>
            </w:tcBorders>
            <w:noWrap w:val="0"/>
            <w:vAlign w:val="center"/>
          </w:tcPr>
          <w:p w14:paraId="6AF66FD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DA001</w:t>
            </w:r>
          </w:p>
        </w:tc>
        <w:tc>
          <w:tcPr>
            <w:tcW w:w="503" w:type="pct"/>
            <w:tcBorders>
              <w:tl2br w:val="nil"/>
              <w:tr2bl w:val="nil"/>
            </w:tcBorders>
            <w:noWrap w:val="0"/>
            <w:vAlign w:val="center"/>
          </w:tcPr>
          <w:p w14:paraId="1F5B480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490" w:type="pct"/>
            <w:tcBorders>
              <w:tl2br w:val="nil"/>
              <w:tr2bl w:val="nil"/>
            </w:tcBorders>
            <w:noWrap w:val="0"/>
            <w:vAlign w:val="center"/>
          </w:tcPr>
          <w:p w14:paraId="70FD4A95">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97.79</w:t>
            </w:r>
          </w:p>
        </w:tc>
        <w:tc>
          <w:tcPr>
            <w:tcW w:w="559" w:type="pct"/>
            <w:tcBorders>
              <w:tl2br w:val="nil"/>
              <w:tr2bl w:val="nil"/>
            </w:tcBorders>
            <w:noWrap w:val="0"/>
            <w:vAlign w:val="center"/>
          </w:tcPr>
          <w:p w14:paraId="2E210EC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0.489</w:t>
            </w:r>
          </w:p>
        </w:tc>
        <w:tc>
          <w:tcPr>
            <w:tcW w:w="1329" w:type="pct"/>
            <w:tcBorders>
              <w:tl2br w:val="nil"/>
              <w:tr2bl w:val="nil"/>
            </w:tcBorders>
            <w:noWrap w:val="0"/>
            <w:vAlign w:val="center"/>
          </w:tcPr>
          <w:p w14:paraId="2E9062E2">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“集气罩</w:t>
            </w:r>
            <w:r>
              <w:rPr>
                <w:rFonts w:hint="default" w:ascii="Times New Roman" w:hAnsi="Times New Roman" w:cs="Times New Roman"/>
                <w:color w:val="auto"/>
                <w:kern w:val="0"/>
                <w:sz w:val="18"/>
                <w:szCs w:val="18"/>
                <w:highlight w:val="none"/>
                <w:lang w:val="en-US" w:eastAsia="zh-CN"/>
              </w:rPr>
              <w:t>+</w:t>
            </w:r>
            <w:r>
              <w:rPr>
                <w:rFonts w:hint="default" w:ascii="Times New Roman" w:hAnsi="Times New Roman" w:eastAsia="宋体" w:cs="Times New Roman"/>
                <w:color w:val="auto"/>
                <w:kern w:val="0"/>
                <w:sz w:val="18"/>
                <w:szCs w:val="18"/>
                <w:highlight w:val="none"/>
                <w:lang w:val="en-US" w:eastAsia="zh-CN"/>
              </w:rPr>
              <w:t>布袋收尘器”（收集效率</w:t>
            </w:r>
            <w:r>
              <w:rPr>
                <w:rFonts w:hint="default" w:ascii="Times New Roman" w:hAnsi="Times New Roman" w:cs="Times New Roman"/>
                <w:color w:val="auto"/>
                <w:kern w:val="0"/>
                <w:sz w:val="18"/>
                <w:szCs w:val="18"/>
                <w:highlight w:val="none"/>
                <w:lang w:val="en-US" w:eastAsia="zh-CN"/>
              </w:rPr>
              <w:t>85</w:t>
            </w:r>
            <w:r>
              <w:rPr>
                <w:rFonts w:hint="default" w:ascii="Times New Roman" w:hAnsi="Times New Roman" w:eastAsia="宋体" w:cs="Times New Roman"/>
                <w:color w:val="auto"/>
                <w:kern w:val="0"/>
                <w:sz w:val="18"/>
                <w:szCs w:val="18"/>
                <w:highlight w:val="none"/>
                <w:lang w:val="en-US" w:eastAsia="zh-CN"/>
              </w:rPr>
              <w:t>%、去除率99</w:t>
            </w:r>
            <w:r>
              <w:rPr>
                <w:rFonts w:hint="default" w:ascii="Times New Roman" w:hAnsi="Times New Roman" w:cs="Times New Roman"/>
                <w:color w:val="auto"/>
                <w:kern w:val="0"/>
                <w:sz w:val="18"/>
                <w:szCs w:val="18"/>
                <w:highlight w:val="none"/>
                <w:lang w:val="en-US" w:eastAsia="zh-CN"/>
              </w:rPr>
              <w:t>.5</w:t>
            </w:r>
            <w:r>
              <w:rPr>
                <w:rFonts w:hint="default" w:ascii="Times New Roman" w:hAnsi="Times New Roman" w:eastAsia="宋体" w:cs="Times New Roman"/>
                <w:color w:val="auto"/>
                <w:kern w:val="0"/>
                <w:sz w:val="18"/>
                <w:szCs w:val="18"/>
                <w:highlight w:val="none"/>
                <w:lang w:val="en-US" w:eastAsia="zh-CN"/>
              </w:rPr>
              <w:t>%），处理后废气经过15m高排气筒排放</w:t>
            </w:r>
            <w:r>
              <w:rPr>
                <w:rFonts w:hint="default" w:ascii="Times New Roman" w:hAnsi="Times New Roman" w:cs="Times New Roman"/>
                <w:color w:val="auto"/>
                <w:kern w:val="0"/>
                <w:sz w:val="18"/>
                <w:szCs w:val="18"/>
                <w:highlight w:val="none"/>
                <w:lang w:val="en-US" w:eastAsia="zh-CN"/>
              </w:rPr>
              <w:t>。</w:t>
            </w:r>
          </w:p>
        </w:tc>
        <w:tc>
          <w:tcPr>
            <w:tcW w:w="347" w:type="pct"/>
            <w:tcBorders>
              <w:tl2br w:val="nil"/>
              <w:tr2bl w:val="nil"/>
            </w:tcBorders>
            <w:noWrap w:val="0"/>
            <w:vAlign w:val="center"/>
          </w:tcPr>
          <w:p w14:paraId="273EBA2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连续</w:t>
            </w:r>
          </w:p>
        </w:tc>
        <w:tc>
          <w:tcPr>
            <w:tcW w:w="762" w:type="pct"/>
            <w:tcBorders>
              <w:tl2br w:val="nil"/>
              <w:tr2bl w:val="nil"/>
            </w:tcBorders>
            <w:noWrap w:val="0"/>
            <w:vAlign w:val="center"/>
          </w:tcPr>
          <w:p w14:paraId="32C4F36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DA001</w:t>
            </w:r>
          </w:p>
        </w:tc>
      </w:tr>
      <w:tr w14:paraId="266A0E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13A19F2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237" w:type="pct"/>
            <w:vMerge w:val="restart"/>
            <w:tcBorders>
              <w:tl2br w:val="nil"/>
              <w:tr2bl w:val="nil"/>
            </w:tcBorders>
            <w:noWrap w:val="0"/>
            <w:vAlign w:val="center"/>
          </w:tcPr>
          <w:p w14:paraId="0307664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无组织</w:t>
            </w:r>
          </w:p>
        </w:tc>
        <w:tc>
          <w:tcPr>
            <w:tcW w:w="539" w:type="pct"/>
            <w:tcBorders>
              <w:tl2br w:val="nil"/>
              <w:tr2bl w:val="nil"/>
            </w:tcBorders>
            <w:noWrap w:val="0"/>
            <w:vAlign w:val="center"/>
          </w:tcPr>
          <w:p w14:paraId="162F891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lang w:val="en-US" w:eastAsia="zh-CN"/>
              </w:rPr>
              <w:t>生产工艺过程无组织</w:t>
            </w:r>
            <w:r>
              <w:rPr>
                <w:rFonts w:hint="default" w:ascii="Times New Roman" w:hAnsi="Times New Roman" w:cs="Times New Roman"/>
                <w:color w:val="auto"/>
                <w:sz w:val="18"/>
                <w:szCs w:val="18"/>
              </w:rPr>
              <w:t>粉尘</w:t>
            </w:r>
          </w:p>
        </w:tc>
        <w:tc>
          <w:tcPr>
            <w:tcW w:w="503" w:type="pct"/>
            <w:tcBorders>
              <w:tl2br w:val="nil"/>
              <w:tr2bl w:val="nil"/>
            </w:tcBorders>
            <w:noWrap w:val="0"/>
            <w:vAlign w:val="center"/>
          </w:tcPr>
          <w:p w14:paraId="6995C95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颗粒物</w:t>
            </w:r>
          </w:p>
        </w:tc>
        <w:tc>
          <w:tcPr>
            <w:tcW w:w="490" w:type="pct"/>
            <w:tcBorders>
              <w:tl2br w:val="nil"/>
              <w:tr2bl w:val="nil"/>
            </w:tcBorders>
            <w:noWrap w:val="0"/>
            <w:vAlign w:val="center"/>
          </w:tcPr>
          <w:p w14:paraId="3A492668">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17.26</w:t>
            </w:r>
          </w:p>
        </w:tc>
        <w:tc>
          <w:tcPr>
            <w:tcW w:w="559" w:type="pct"/>
            <w:tcBorders>
              <w:tl2br w:val="nil"/>
              <w:tr2bl w:val="nil"/>
            </w:tcBorders>
            <w:noWrap w:val="0"/>
            <w:vAlign w:val="center"/>
          </w:tcPr>
          <w:p w14:paraId="03E9B02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0.449</w:t>
            </w:r>
          </w:p>
        </w:tc>
        <w:tc>
          <w:tcPr>
            <w:tcW w:w="1329" w:type="pct"/>
            <w:tcBorders>
              <w:tl2br w:val="nil"/>
              <w:tr2bl w:val="nil"/>
            </w:tcBorders>
            <w:noWrap w:val="0"/>
            <w:vAlign w:val="center"/>
          </w:tcPr>
          <w:p w14:paraId="6C386B1D">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sz w:val="18"/>
                <w:szCs w:val="18"/>
                <w:lang w:val="en-US" w:eastAsia="zh-CN"/>
              </w:rPr>
              <w:t>设备封闭</w:t>
            </w:r>
            <w:r>
              <w:rPr>
                <w:rFonts w:hint="default" w:ascii="Times New Roman" w:hAnsi="Times New Roman" w:cs="Times New Roman"/>
                <w:color w:val="auto"/>
                <w:sz w:val="18"/>
                <w:szCs w:val="18"/>
              </w:rPr>
              <w:t>和喷雾降尘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无组织粉尘</w:t>
            </w:r>
            <w:r>
              <w:rPr>
                <w:rFonts w:hint="default" w:ascii="Times New Roman" w:hAnsi="Times New Roman" w:cs="Times New Roman"/>
                <w:color w:val="auto"/>
                <w:sz w:val="18"/>
                <w:szCs w:val="18"/>
                <w:lang w:val="en-US" w:eastAsia="zh-CN"/>
              </w:rPr>
              <w:t>综合</w:t>
            </w:r>
            <w:r>
              <w:rPr>
                <w:rFonts w:hint="default" w:ascii="Times New Roman" w:hAnsi="Times New Roman" w:cs="Times New Roman"/>
                <w:color w:val="auto"/>
                <w:sz w:val="18"/>
                <w:szCs w:val="18"/>
              </w:rPr>
              <w:t>控制效率</w:t>
            </w:r>
            <w:r>
              <w:rPr>
                <w:rFonts w:hint="default" w:ascii="Times New Roman" w:hAnsi="Times New Roman" w:cs="Times New Roman"/>
                <w:color w:val="auto"/>
                <w:sz w:val="18"/>
                <w:szCs w:val="18"/>
                <w:lang w:val="en-US" w:eastAsia="zh-CN"/>
              </w:rPr>
              <w:t>97.4</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w:t>
            </w:r>
          </w:p>
        </w:tc>
        <w:tc>
          <w:tcPr>
            <w:tcW w:w="347" w:type="pct"/>
            <w:tcBorders>
              <w:tl2br w:val="nil"/>
              <w:tr2bl w:val="nil"/>
            </w:tcBorders>
            <w:noWrap w:val="0"/>
            <w:vAlign w:val="center"/>
          </w:tcPr>
          <w:p w14:paraId="0D7A144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连续</w:t>
            </w:r>
          </w:p>
        </w:tc>
        <w:tc>
          <w:tcPr>
            <w:tcW w:w="762" w:type="pct"/>
            <w:tcBorders>
              <w:tl2br w:val="nil"/>
              <w:tr2bl w:val="nil"/>
            </w:tcBorders>
            <w:noWrap w:val="0"/>
            <w:vAlign w:val="center"/>
          </w:tcPr>
          <w:p w14:paraId="11082A3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无组织排放，不设排污口</w:t>
            </w:r>
          </w:p>
        </w:tc>
      </w:tr>
      <w:tr w14:paraId="6D0269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067C687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237" w:type="pct"/>
            <w:vMerge w:val="continue"/>
            <w:tcBorders>
              <w:tl2br w:val="nil"/>
              <w:tr2bl w:val="nil"/>
            </w:tcBorders>
            <w:noWrap w:val="0"/>
            <w:vAlign w:val="center"/>
          </w:tcPr>
          <w:p w14:paraId="190AC30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539" w:type="pct"/>
            <w:tcBorders>
              <w:tl2br w:val="nil"/>
              <w:tr2bl w:val="nil"/>
            </w:tcBorders>
            <w:noWrap w:val="0"/>
            <w:vAlign w:val="center"/>
          </w:tcPr>
          <w:p w14:paraId="0444C07E">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原矿料</w:t>
            </w:r>
            <w:r>
              <w:rPr>
                <w:rFonts w:hint="default" w:ascii="Times New Roman" w:hAnsi="Times New Roman" w:cs="Times New Roman"/>
                <w:color w:val="auto"/>
                <w:sz w:val="18"/>
                <w:szCs w:val="18"/>
                <w:lang w:val="en-US" w:eastAsia="zh-CN"/>
              </w:rPr>
              <w:t>斗</w:t>
            </w:r>
            <w:r>
              <w:rPr>
                <w:rFonts w:hint="default" w:ascii="Times New Roman" w:hAnsi="Times New Roman" w:cs="Times New Roman"/>
                <w:color w:val="auto"/>
                <w:sz w:val="18"/>
                <w:szCs w:val="18"/>
              </w:rPr>
              <w:t>给料粉尘</w:t>
            </w:r>
          </w:p>
        </w:tc>
        <w:tc>
          <w:tcPr>
            <w:tcW w:w="503" w:type="pct"/>
            <w:tcBorders>
              <w:tl2br w:val="nil"/>
              <w:tr2bl w:val="nil"/>
            </w:tcBorders>
            <w:noWrap w:val="0"/>
            <w:vAlign w:val="center"/>
          </w:tcPr>
          <w:p w14:paraId="72B0C33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490" w:type="pct"/>
            <w:tcBorders>
              <w:tl2br w:val="nil"/>
              <w:tr2bl w:val="nil"/>
            </w:tcBorders>
            <w:noWrap w:val="0"/>
            <w:vAlign w:val="center"/>
          </w:tcPr>
          <w:p w14:paraId="3DBFA84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559" w:type="pct"/>
            <w:tcBorders>
              <w:tl2br w:val="nil"/>
              <w:tr2bl w:val="nil"/>
            </w:tcBorders>
            <w:noWrap w:val="0"/>
            <w:vAlign w:val="center"/>
          </w:tcPr>
          <w:p w14:paraId="70D4569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0.208</w:t>
            </w:r>
          </w:p>
        </w:tc>
        <w:tc>
          <w:tcPr>
            <w:tcW w:w="1329" w:type="pct"/>
            <w:tcBorders>
              <w:tl2br w:val="nil"/>
              <w:tr2bl w:val="nil"/>
            </w:tcBorders>
            <w:noWrap w:val="0"/>
            <w:vAlign w:val="center"/>
          </w:tcPr>
          <w:p w14:paraId="07C016C1">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原矿料</w:t>
            </w:r>
            <w:r>
              <w:rPr>
                <w:rFonts w:hint="default" w:ascii="Times New Roman" w:hAnsi="Times New Roman" w:cs="Times New Roman"/>
                <w:color w:val="auto"/>
                <w:sz w:val="18"/>
                <w:szCs w:val="18"/>
                <w:lang w:val="en-US" w:eastAsia="zh-CN"/>
              </w:rPr>
              <w:t>斗</w:t>
            </w:r>
            <w:r>
              <w:rPr>
                <w:rFonts w:hint="default" w:ascii="Times New Roman" w:hAnsi="Times New Roman" w:eastAsia="宋体" w:cs="Times New Roman"/>
                <w:color w:val="auto"/>
                <w:sz w:val="18"/>
                <w:szCs w:val="18"/>
                <w:lang w:val="en-US" w:eastAsia="zh-CN"/>
              </w:rPr>
              <w:t>设置</w:t>
            </w:r>
            <w:r>
              <w:rPr>
                <w:rFonts w:hint="default" w:ascii="Times New Roman" w:hAnsi="Times New Roman" w:cs="Times New Roman"/>
                <w:color w:val="auto"/>
                <w:sz w:val="18"/>
                <w:szCs w:val="18"/>
                <w:lang w:val="en-US" w:eastAsia="zh-CN"/>
              </w:rPr>
              <w:t>三面围挡</w:t>
            </w:r>
            <w:r>
              <w:rPr>
                <w:rFonts w:hint="default" w:ascii="Times New Roman" w:hAnsi="Times New Roman" w:eastAsia="宋体" w:cs="Times New Roman"/>
                <w:color w:val="auto"/>
                <w:sz w:val="18"/>
                <w:szCs w:val="18"/>
                <w:lang w:val="en-US" w:eastAsia="zh-CN"/>
              </w:rPr>
              <w:t>，同时设置喷雾除尘；无组织粉尘综合控制效率8</w:t>
            </w:r>
            <w:r>
              <w:rPr>
                <w:rFonts w:hint="default" w:ascii="Times New Roman" w:hAnsi="Times New Roman" w:cs="Times New Roman"/>
                <w:color w:val="auto"/>
                <w:sz w:val="18"/>
                <w:szCs w:val="18"/>
                <w:lang w:val="en-US" w:eastAsia="zh-CN"/>
              </w:rPr>
              <w:t>9.6</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w:t>
            </w:r>
          </w:p>
        </w:tc>
        <w:tc>
          <w:tcPr>
            <w:tcW w:w="347" w:type="pct"/>
            <w:tcBorders>
              <w:tl2br w:val="nil"/>
              <w:tr2bl w:val="nil"/>
            </w:tcBorders>
            <w:noWrap w:val="0"/>
            <w:vAlign w:val="center"/>
          </w:tcPr>
          <w:p w14:paraId="7A4035C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连续</w:t>
            </w:r>
          </w:p>
        </w:tc>
        <w:tc>
          <w:tcPr>
            <w:tcW w:w="762" w:type="pct"/>
            <w:tcBorders>
              <w:tl2br w:val="nil"/>
              <w:tr2bl w:val="nil"/>
            </w:tcBorders>
            <w:noWrap w:val="0"/>
            <w:vAlign w:val="center"/>
          </w:tcPr>
          <w:p w14:paraId="4F72E775">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无组织排放，不设排污口</w:t>
            </w:r>
          </w:p>
        </w:tc>
      </w:tr>
      <w:tr w14:paraId="5D0FF9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657DBC9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237" w:type="pct"/>
            <w:vMerge w:val="continue"/>
            <w:tcBorders>
              <w:tl2br w:val="nil"/>
              <w:tr2bl w:val="nil"/>
            </w:tcBorders>
            <w:noWrap w:val="0"/>
            <w:vAlign w:val="center"/>
          </w:tcPr>
          <w:p w14:paraId="01DD698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539" w:type="pct"/>
            <w:tcBorders>
              <w:tl2br w:val="nil"/>
              <w:tr2bl w:val="nil"/>
            </w:tcBorders>
            <w:noWrap w:val="0"/>
            <w:vAlign w:val="center"/>
          </w:tcPr>
          <w:p w14:paraId="40816D05">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一次筛分大块料落料粉尘</w:t>
            </w:r>
          </w:p>
        </w:tc>
        <w:tc>
          <w:tcPr>
            <w:tcW w:w="503" w:type="pct"/>
            <w:tcBorders>
              <w:tl2br w:val="nil"/>
              <w:tr2bl w:val="nil"/>
            </w:tcBorders>
            <w:noWrap w:val="0"/>
            <w:vAlign w:val="center"/>
          </w:tcPr>
          <w:p w14:paraId="39A3159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490" w:type="pct"/>
            <w:tcBorders>
              <w:tl2br w:val="nil"/>
              <w:tr2bl w:val="nil"/>
            </w:tcBorders>
            <w:noWrap w:val="0"/>
            <w:vAlign w:val="center"/>
          </w:tcPr>
          <w:p w14:paraId="2315C6D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w:t>
            </w:r>
          </w:p>
        </w:tc>
        <w:tc>
          <w:tcPr>
            <w:tcW w:w="559" w:type="pct"/>
            <w:tcBorders>
              <w:tl2br w:val="nil"/>
              <w:tr2bl w:val="nil"/>
            </w:tcBorders>
            <w:noWrap w:val="0"/>
            <w:vAlign w:val="center"/>
          </w:tcPr>
          <w:p w14:paraId="0B052565">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0.021</w:t>
            </w:r>
          </w:p>
        </w:tc>
        <w:tc>
          <w:tcPr>
            <w:tcW w:w="1329" w:type="pct"/>
            <w:tcBorders>
              <w:tl2br w:val="nil"/>
              <w:tr2bl w:val="nil"/>
            </w:tcBorders>
            <w:noWrap w:val="0"/>
            <w:vAlign w:val="center"/>
          </w:tcPr>
          <w:p w14:paraId="12CB0965">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三面围挡+</w:t>
            </w:r>
            <w:r>
              <w:rPr>
                <w:rFonts w:hint="default" w:ascii="Times New Roman" w:hAnsi="Times New Roman" w:eastAsia="宋体" w:cs="Times New Roman"/>
                <w:color w:val="auto"/>
                <w:sz w:val="18"/>
                <w:szCs w:val="18"/>
                <w:lang w:val="en-US" w:eastAsia="zh-CN"/>
              </w:rPr>
              <w:t>喷雾除尘</w:t>
            </w:r>
            <w:r>
              <w:rPr>
                <w:rFonts w:hint="default" w:ascii="Times New Roman" w:hAnsi="Times New Roman"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无组织粉尘综合控制效率8</w:t>
            </w:r>
            <w:r>
              <w:rPr>
                <w:rFonts w:hint="default" w:ascii="Times New Roman" w:hAnsi="Times New Roman" w:cs="Times New Roman"/>
                <w:color w:val="auto"/>
                <w:sz w:val="18"/>
                <w:szCs w:val="18"/>
                <w:lang w:val="en-US" w:eastAsia="zh-CN"/>
              </w:rPr>
              <w:t>9.6</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w:t>
            </w:r>
          </w:p>
        </w:tc>
        <w:tc>
          <w:tcPr>
            <w:tcW w:w="347" w:type="pct"/>
            <w:tcBorders>
              <w:tl2br w:val="nil"/>
              <w:tr2bl w:val="nil"/>
            </w:tcBorders>
            <w:noWrap w:val="0"/>
            <w:vAlign w:val="center"/>
          </w:tcPr>
          <w:p w14:paraId="7C10EC4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连续</w:t>
            </w:r>
          </w:p>
        </w:tc>
        <w:tc>
          <w:tcPr>
            <w:tcW w:w="762" w:type="pct"/>
            <w:tcBorders>
              <w:tl2br w:val="nil"/>
              <w:tr2bl w:val="nil"/>
            </w:tcBorders>
            <w:noWrap w:val="0"/>
            <w:vAlign w:val="center"/>
          </w:tcPr>
          <w:p w14:paraId="2245733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无组织排放，不设排污口</w:t>
            </w:r>
          </w:p>
        </w:tc>
      </w:tr>
      <w:tr w14:paraId="014A52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28" w:type="pct"/>
            <w:vMerge w:val="continue"/>
            <w:tcBorders>
              <w:tl2br w:val="nil"/>
              <w:tr2bl w:val="nil"/>
            </w:tcBorders>
            <w:noWrap w:val="0"/>
            <w:vAlign w:val="center"/>
          </w:tcPr>
          <w:p w14:paraId="73F20DB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237" w:type="pct"/>
            <w:vMerge w:val="continue"/>
            <w:tcBorders>
              <w:tl2br w:val="nil"/>
              <w:tr2bl w:val="nil"/>
            </w:tcBorders>
            <w:noWrap w:val="0"/>
            <w:vAlign w:val="center"/>
          </w:tcPr>
          <w:p w14:paraId="3A6E3FD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539" w:type="pct"/>
            <w:tcBorders>
              <w:tl2br w:val="nil"/>
              <w:tr2bl w:val="nil"/>
            </w:tcBorders>
            <w:noWrap w:val="0"/>
            <w:vAlign w:val="center"/>
          </w:tcPr>
          <w:p w14:paraId="7A12FB46">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铁矿石</w:t>
            </w:r>
            <w:r>
              <w:rPr>
                <w:rFonts w:hint="default" w:ascii="Times New Roman" w:hAnsi="Times New Roman" w:cs="Times New Roman"/>
                <w:color w:val="auto"/>
                <w:sz w:val="18"/>
                <w:szCs w:val="18"/>
              </w:rPr>
              <w:t>堆场扬尘</w:t>
            </w:r>
          </w:p>
        </w:tc>
        <w:tc>
          <w:tcPr>
            <w:tcW w:w="503" w:type="pct"/>
            <w:tcBorders>
              <w:tl2br w:val="nil"/>
              <w:tr2bl w:val="nil"/>
            </w:tcBorders>
            <w:noWrap w:val="0"/>
            <w:vAlign w:val="center"/>
          </w:tcPr>
          <w:p w14:paraId="193C39E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490" w:type="pct"/>
            <w:tcBorders>
              <w:tl2br w:val="nil"/>
              <w:tr2bl w:val="nil"/>
            </w:tcBorders>
            <w:noWrap w:val="0"/>
            <w:vAlign w:val="center"/>
          </w:tcPr>
          <w:p w14:paraId="18668CC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3.28</w:t>
            </w:r>
          </w:p>
        </w:tc>
        <w:tc>
          <w:tcPr>
            <w:tcW w:w="559" w:type="pct"/>
            <w:tcBorders>
              <w:tl2br w:val="nil"/>
              <w:tr2bl w:val="nil"/>
            </w:tcBorders>
            <w:noWrap w:val="0"/>
            <w:vAlign w:val="center"/>
          </w:tcPr>
          <w:p w14:paraId="56697A38">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0.02</w:t>
            </w:r>
          </w:p>
        </w:tc>
        <w:tc>
          <w:tcPr>
            <w:tcW w:w="1329" w:type="pct"/>
            <w:vMerge w:val="restart"/>
            <w:tcBorders>
              <w:tl2br w:val="nil"/>
              <w:tr2bl w:val="nil"/>
            </w:tcBorders>
            <w:noWrap w:val="0"/>
            <w:vAlign w:val="center"/>
          </w:tcPr>
          <w:p w14:paraId="3F5844E5">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“三面围挡+彩钢瓦顶棚”（粉尘控制效率60%），设置喷雾降尘措施（粉尘控制效率74%），同时采取编织物覆盖措施（粉尘控制效率86%）。</w:t>
            </w:r>
          </w:p>
        </w:tc>
        <w:tc>
          <w:tcPr>
            <w:tcW w:w="347" w:type="pct"/>
            <w:tcBorders>
              <w:tl2br w:val="nil"/>
              <w:tr2bl w:val="nil"/>
            </w:tcBorders>
            <w:noWrap w:val="0"/>
            <w:vAlign w:val="center"/>
          </w:tcPr>
          <w:p w14:paraId="6B00B49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连续</w:t>
            </w:r>
          </w:p>
        </w:tc>
        <w:tc>
          <w:tcPr>
            <w:tcW w:w="762" w:type="pct"/>
            <w:tcBorders>
              <w:tl2br w:val="nil"/>
              <w:tr2bl w:val="nil"/>
            </w:tcBorders>
            <w:noWrap w:val="0"/>
            <w:vAlign w:val="center"/>
          </w:tcPr>
          <w:p w14:paraId="6F17355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无组织排放，不设排污口</w:t>
            </w:r>
          </w:p>
        </w:tc>
      </w:tr>
      <w:tr w14:paraId="3EB262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28" w:type="pct"/>
            <w:vMerge w:val="continue"/>
            <w:tcBorders>
              <w:tl2br w:val="nil"/>
              <w:tr2bl w:val="nil"/>
            </w:tcBorders>
            <w:noWrap w:val="0"/>
            <w:vAlign w:val="center"/>
          </w:tcPr>
          <w:p w14:paraId="6D6429F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rPr>
            </w:pPr>
          </w:p>
        </w:tc>
        <w:tc>
          <w:tcPr>
            <w:tcW w:w="237" w:type="pct"/>
            <w:vMerge w:val="continue"/>
            <w:tcBorders>
              <w:tl2br w:val="nil"/>
              <w:tr2bl w:val="nil"/>
            </w:tcBorders>
            <w:noWrap w:val="0"/>
            <w:vAlign w:val="center"/>
          </w:tcPr>
          <w:p w14:paraId="0A671D6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rPr>
            </w:pPr>
          </w:p>
        </w:tc>
        <w:tc>
          <w:tcPr>
            <w:tcW w:w="539" w:type="pct"/>
            <w:tcBorders>
              <w:tl2br w:val="nil"/>
              <w:tr2bl w:val="nil"/>
            </w:tcBorders>
            <w:noWrap w:val="0"/>
            <w:vAlign w:val="center"/>
          </w:tcPr>
          <w:p w14:paraId="74E72788">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砂石料堆场扬尘</w:t>
            </w:r>
          </w:p>
        </w:tc>
        <w:tc>
          <w:tcPr>
            <w:tcW w:w="503" w:type="pct"/>
            <w:tcBorders>
              <w:tl2br w:val="nil"/>
              <w:tr2bl w:val="nil"/>
            </w:tcBorders>
            <w:noWrap w:val="0"/>
            <w:vAlign w:val="center"/>
          </w:tcPr>
          <w:p w14:paraId="28E12DE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eastAsia="zh-CN"/>
              </w:rPr>
              <w:t>颗粒物</w:t>
            </w:r>
          </w:p>
        </w:tc>
        <w:tc>
          <w:tcPr>
            <w:tcW w:w="490" w:type="pct"/>
            <w:tcBorders>
              <w:tl2br w:val="nil"/>
              <w:tr2bl w:val="nil"/>
            </w:tcBorders>
            <w:noWrap w:val="0"/>
            <w:vAlign w:val="center"/>
          </w:tcPr>
          <w:p w14:paraId="0DF67CB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7.66</w:t>
            </w:r>
          </w:p>
        </w:tc>
        <w:tc>
          <w:tcPr>
            <w:tcW w:w="559" w:type="pct"/>
            <w:tcBorders>
              <w:tl2br w:val="nil"/>
              <w:tr2bl w:val="nil"/>
            </w:tcBorders>
            <w:noWrap w:val="0"/>
            <w:vAlign w:val="center"/>
          </w:tcPr>
          <w:p w14:paraId="43E315D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0.046</w:t>
            </w:r>
          </w:p>
        </w:tc>
        <w:tc>
          <w:tcPr>
            <w:tcW w:w="1329" w:type="pct"/>
            <w:vMerge w:val="continue"/>
            <w:tcBorders>
              <w:tl2br w:val="nil"/>
              <w:tr2bl w:val="nil"/>
            </w:tcBorders>
            <w:noWrap w:val="0"/>
            <w:vAlign w:val="center"/>
          </w:tcPr>
          <w:p w14:paraId="4DFEBFD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p>
        </w:tc>
        <w:tc>
          <w:tcPr>
            <w:tcW w:w="347" w:type="pct"/>
            <w:tcBorders>
              <w:tl2br w:val="nil"/>
              <w:tr2bl w:val="nil"/>
            </w:tcBorders>
            <w:noWrap w:val="0"/>
            <w:vAlign w:val="center"/>
          </w:tcPr>
          <w:p w14:paraId="0D0DC315">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color w:val="auto"/>
                <w:kern w:val="0"/>
                <w:sz w:val="18"/>
                <w:szCs w:val="18"/>
                <w:highlight w:val="none"/>
                <w:lang w:val="en-US" w:eastAsia="zh-CN"/>
              </w:rPr>
              <w:t>连续</w:t>
            </w:r>
          </w:p>
        </w:tc>
        <w:tc>
          <w:tcPr>
            <w:tcW w:w="762" w:type="pct"/>
            <w:tcBorders>
              <w:tl2br w:val="nil"/>
              <w:tr2bl w:val="nil"/>
            </w:tcBorders>
            <w:noWrap w:val="0"/>
            <w:vAlign w:val="center"/>
          </w:tcPr>
          <w:p w14:paraId="4C182E8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color w:val="auto"/>
                <w:kern w:val="0"/>
                <w:sz w:val="18"/>
                <w:szCs w:val="18"/>
                <w:highlight w:val="none"/>
                <w:lang w:val="en-US" w:eastAsia="zh-CN"/>
              </w:rPr>
              <w:t>无组织排放，不设排污口</w:t>
            </w:r>
          </w:p>
        </w:tc>
      </w:tr>
      <w:tr w14:paraId="76C213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28" w:type="pct"/>
            <w:vMerge w:val="continue"/>
            <w:tcBorders>
              <w:tl2br w:val="nil"/>
              <w:tr2bl w:val="nil"/>
            </w:tcBorders>
            <w:noWrap w:val="0"/>
            <w:vAlign w:val="center"/>
          </w:tcPr>
          <w:p w14:paraId="7C6672B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rPr>
            </w:pPr>
          </w:p>
        </w:tc>
        <w:tc>
          <w:tcPr>
            <w:tcW w:w="237" w:type="pct"/>
            <w:vMerge w:val="continue"/>
            <w:tcBorders>
              <w:tl2br w:val="nil"/>
              <w:tr2bl w:val="nil"/>
            </w:tcBorders>
            <w:noWrap w:val="0"/>
            <w:vAlign w:val="center"/>
          </w:tcPr>
          <w:p w14:paraId="505D4A6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rPr>
            </w:pPr>
          </w:p>
        </w:tc>
        <w:tc>
          <w:tcPr>
            <w:tcW w:w="539" w:type="pct"/>
            <w:tcBorders>
              <w:tl2br w:val="nil"/>
              <w:tr2bl w:val="nil"/>
            </w:tcBorders>
            <w:noWrap w:val="0"/>
            <w:vAlign w:val="center"/>
          </w:tcPr>
          <w:p w14:paraId="63514E1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原料堆场</w:t>
            </w:r>
          </w:p>
        </w:tc>
        <w:tc>
          <w:tcPr>
            <w:tcW w:w="503" w:type="pct"/>
            <w:tcBorders>
              <w:tl2br w:val="nil"/>
              <w:tr2bl w:val="nil"/>
            </w:tcBorders>
            <w:noWrap w:val="0"/>
            <w:vAlign w:val="center"/>
          </w:tcPr>
          <w:p w14:paraId="5DDB119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490" w:type="pct"/>
            <w:tcBorders>
              <w:tl2br w:val="nil"/>
              <w:tr2bl w:val="nil"/>
            </w:tcBorders>
            <w:noWrap w:val="0"/>
            <w:vAlign w:val="center"/>
          </w:tcPr>
          <w:p w14:paraId="6CE0130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12.16</w:t>
            </w:r>
          </w:p>
        </w:tc>
        <w:tc>
          <w:tcPr>
            <w:tcW w:w="559" w:type="pct"/>
            <w:tcBorders>
              <w:tl2br w:val="nil"/>
              <w:tr2bl w:val="nil"/>
            </w:tcBorders>
            <w:noWrap w:val="0"/>
            <w:vAlign w:val="center"/>
          </w:tcPr>
          <w:p w14:paraId="5533A16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0.18</w:t>
            </w:r>
          </w:p>
        </w:tc>
        <w:tc>
          <w:tcPr>
            <w:tcW w:w="1329" w:type="pct"/>
            <w:vMerge w:val="continue"/>
            <w:tcBorders>
              <w:tl2br w:val="nil"/>
              <w:tr2bl w:val="nil"/>
            </w:tcBorders>
            <w:noWrap w:val="0"/>
            <w:vAlign w:val="center"/>
          </w:tcPr>
          <w:p w14:paraId="22A86D0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rPr>
            </w:pPr>
          </w:p>
        </w:tc>
        <w:tc>
          <w:tcPr>
            <w:tcW w:w="347" w:type="pct"/>
            <w:tcBorders>
              <w:tl2br w:val="nil"/>
              <w:tr2bl w:val="nil"/>
            </w:tcBorders>
            <w:noWrap w:val="0"/>
            <w:vAlign w:val="center"/>
          </w:tcPr>
          <w:p w14:paraId="73656F2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连续</w:t>
            </w:r>
          </w:p>
        </w:tc>
        <w:tc>
          <w:tcPr>
            <w:tcW w:w="762" w:type="pct"/>
            <w:tcBorders>
              <w:tl2br w:val="nil"/>
              <w:tr2bl w:val="nil"/>
            </w:tcBorders>
            <w:noWrap w:val="0"/>
            <w:vAlign w:val="center"/>
          </w:tcPr>
          <w:p w14:paraId="0BD4A84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无组织排放，不设排污口</w:t>
            </w:r>
          </w:p>
        </w:tc>
      </w:tr>
      <w:tr w14:paraId="13148A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3D91A3A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237" w:type="pct"/>
            <w:vMerge w:val="continue"/>
            <w:tcBorders>
              <w:tl2br w:val="nil"/>
              <w:tr2bl w:val="nil"/>
            </w:tcBorders>
            <w:noWrap w:val="0"/>
            <w:vAlign w:val="center"/>
          </w:tcPr>
          <w:p w14:paraId="18A39D7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539" w:type="pct"/>
            <w:tcBorders>
              <w:tl2br w:val="nil"/>
              <w:tr2bl w:val="nil"/>
            </w:tcBorders>
            <w:noWrap w:val="0"/>
            <w:vAlign w:val="center"/>
          </w:tcPr>
          <w:p w14:paraId="7B7858AF">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车辆运输道路扬尘</w:t>
            </w:r>
          </w:p>
        </w:tc>
        <w:tc>
          <w:tcPr>
            <w:tcW w:w="503" w:type="pct"/>
            <w:tcBorders>
              <w:tl2br w:val="nil"/>
              <w:tr2bl w:val="nil"/>
            </w:tcBorders>
            <w:noWrap w:val="0"/>
            <w:vAlign w:val="center"/>
          </w:tcPr>
          <w:p w14:paraId="1D2EA6A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490" w:type="pct"/>
            <w:tcBorders>
              <w:tl2br w:val="nil"/>
              <w:tr2bl w:val="nil"/>
            </w:tcBorders>
            <w:noWrap w:val="0"/>
            <w:vAlign w:val="center"/>
          </w:tcPr>
          <w:p w14:paraId="3F6E4D4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0.12</w:t>
            </w:r>
          </w:p>
        </w:tc>
        <w:tc>
          <w:tcPr>
            <w:tcW w:w="559" w:type="pct"/>
            <w:tcBorders>
              <w:tl2br w:val="nil"/>
              <w:tr2bl w:val="nil"/>
            </w:tcBorders>
            <w:noWrap w:val="0"/>
            <w:vAlign w:val="center"/>
          </w:tcPr>
          <w:p w14:paraId="5428B859">
            <w:pPr>
              <w:pStyle w:val="28"/>
              <w:keepNext w:val="0"/>
              <w:keepLines w:val="0"/>
              <w:pageBreakBefore w:val="0"/>
              <w:kinsoku/>
              <w:wordWrap/>
              <w:overflowPunct/>
              <w:topLinePunct w:val="0"/>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lang w:val="en-US" w:eastAsia="zh-CN"/>
              </w:rPr>
              <w:t>0.042</w:t>
            </w:r>
          </w:p>
        </w:tc>
        <w:tc>
          <w:tcPr>
            <w:tcW w:w="1329" w:type="pct"/>
            <w:tcBorders>
              <w:tl2br w:val="nil"/>
              <w:tr2bl w:val="nil"/>
            </w:tcBorders>
            <w:noWrap w:val="0"/>
            <w:vAlign w:val="center"/>
          </w:tcPr>
          <w:p w14:paraId="1B8EA38F">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晴天时</w:t>
            </w:r>
            <w:r>
              <w:rPr>
                <w:rFonts w:hint="default" w:ascii="Times New Roman" w:hAnsi="Times New Roman" w:cs="Times New Roman"/>
                <w:color w:val="auto"/>
                <w:sz w:val="18"/>
                <w:szCs w:val="18"/>
              </w:rPr>
              <w:t>洒水</w:t>
            </w:r>
            <w:r>
              <w:rPr>
                <w:rFonts w:hint="default" w:ascii="Times New Roman" w:hAnsi="Times New Roman" w:cs="Times New Roman"/>
                <w:color w:val="auto"/>
                <w:sz w:val="18"/>
                <w:szCs w:val="18"/>
                <w:lang w:val="en-US" w:eastAsia="zh-CN"/>
              </w:rPr>
              <w:t>降尘（</w:t>
            </w:r>
            <w:r>
              <w:rPr>
                <w:rFonts w:hint="default" w:ascii="Times New Roman" w:hAnsi="Times New Roman" w:cs="Times New Roman"/>
                <w:color w:val="auto"/>
                <w:sz w:val="18"/>
                <w:szCs w:val="18"/>
              </w:rPr>
              <w:t>2次/天</w:t>
            </w:r>
            <w:r>
              <w:rPr>
                <w:rFonts w:hint="default" w:ascii="Times New Roman" w:hAnsi="Times New Roman" w:cs="Times New Roman"/>
                <w:color w:val="auto"/>
                <w:sz w:val="18"/>
                <w:szCs w:val="18"/>
                <w:lang w:val="en-US" w:eastAsia="zh-CN"/>
              </w:rPr>
              <w:t>），无组织扬尘</w:t>
            </w:r>
            <w:r>
              <w:rPr>
                <w:rFonts w:hint="default" w:ascii="Times New Roman" w:hAnsi="Times New Roman" w:cs="Times New Roman"/>
                <w:color w:val="auto"/>
                <w:sz w:val="18"/>
                <w:szCs w:val="18"/>
              </w:rPr>
              <w:t>控制效率66%</w:t>
            </w:r>
          </w:p>
        </w:tc>
        <w:tc>
          <w:tcPr>
            <w:tcW w:w="347" w:type="pct"/>
            <w:tcBorders>
              <w:tl2br w:val="nil"/>
              <w:tr2bl w:val="nil"/>
            </w:tcBorders>
            <w:noWrap w:val="0"/>
            <w:vAlign w:val="center"/>
          </w:tcPr>
          <w:p w14:paraId="38DE9E2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bCs w:val="0"/>
                <w:color w:val="auto"/>
                <w:kern w:val="0"/>
                <w:sz w:val="18"/>
                <w:szCs w:val="18"/>
                <w:highlight w:val="none"/>
              </w:rPr>
              <w:t>间断</w:t>
            </w:r>
          </w:p>
        </w:tc>
        <w:tc>
          <w:tcPr>
            <w:tcW w:w="762" w:type="pct"/>
            <w:tcBorders>
              <w:tl2br w:val="nil"/>
              <w:tr2bl w:val="nil"/>
            </w:tcBorders>
            <w:noWrap w:val="0"/>
            <w:vAlign w:val="center"/>
          </w:tcPr>
          <w:p w14:paraId="58D8DA3E">
            <w:pPr>
              <w:keepNext w:val="0"/>
              <w:keepLines w:val="0"/>
              <w:pageBreakBefore w:val="0"/>
              <w:kinsoku/>
              <w:wordWrap/>
              <w:overflowPunct/>
              <w:topLinePunct w:val="0"/>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b w:val="0"/>
                <w:bCs w:val="0"/>
                <w:color w:val="auto"/>
                <w:kern w:val="0"/>
                <w:sz w:val="18"/>
                <w:szCs w:val="18"/>
                <w:highlight w:val="none"/>
                <w:lang w:val="en-US" w:eastAsia="zh-CN"/>
              </w:rPr>
              <w:t>无组织排放，不设排污口</w:t>
            </w:r>
          </w:p>
        </w:tc>
      </w:tr>
      <w:tr w14:paraId="4FCAA9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gridSpan w:val="2"/>
            <w:vMerge w:val="restart"/>
            <w:tcBorders>
              <w:tl2br w:val="nil"/>
              <w:tr2bl w:val="nil"/>
            </w:tcBorders>
            <w:noWrap w:val="0"/>
            <w:vAlign w:val="center"/>
          </w:tcPr>
          <w:p w14:paraId="19B239A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废水</w:t>
            </w:r>
          </w:p>
        </w:tc>
        <w:tc>
          <w:tcPr>
            <w:tcW w:w="539" w:type="pct"/>
            <w:tcBorders>
              <w:tl2br w:val="nil"/>
              <w:tr2bl w:val="nil"/>
            </w:tcBorders>
            <w:noWrap w:val="0"/>
            <w:vAlign w:val="center"/>
          </w:tcPr>
          <w:p w14:paraId="67ECE45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初期雨水</w:t>
            </w:r>
          </w:p>
        </w:tc>
        <w:tc>
          <w:tcPr>
            <w:tcW w:w="503" w:type="pct"/>
            <w:tcBorders>
              <w:tl2br w:val="nil"/>
              <w:tr2bl w:val="nil"/>
            </w:tcBorders>
            <w:noWrap w:val="0"/>
            <w:vAlign w:val="center"/>
          </w:tcPr>
          <w:p w14:paraId="5F871E0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SS、Fe等</w:t>
            </w:r>
          </w:p>
        </w:tc>
        <w:tc>
          <w:tcPr>
            <w:tcW w:w="490" w:type="pct"/>
            <w:tcBorders>
              <w:tl2br w:val="nil"/>
              <w:tr2bl w:val="nil"/>
            </w:tcBorders>
            <w:noWrap w:val="0"/>
            <w:vAlign w:val="center"/>
          </w:tcPr>
          <w:p w14:paraId="6F60B1E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kern w:val="0"/>
                <w:sz w:val="18"/>
                <w:szCs w:val="18"/>
                <w:lang w:val="en-US" w:eastAsia="zh-CN" w:bidi="ar"/>
              </w:rPr>
              <w:t>45</w:t>
            </w:r>
            <w:r>
              <w:rPr>
                <w:rFonts w:hint="default" w:ascii="Times New Roman" w:hAnsi="Times New Roman" w:eastAsia="宋体" w:cs="Times New Roman"/>
                <w:color w:val="auto"/>
                <w:kern w:val="0"/>
                <w:sz w:val="18"/>
                <w:szCs w:val="18"/>
                <w:lang w:val="en-US" w:eastAsia="zh-CN" w:bidi="ar"/>
              </w:rPr>
              <w:t>m³/次</w:t>
            </w:r>
          </w:p>
        </w:tc>
        <w:tc>
          <w:tcPr>
            <w:tcW w:w="559" w:type="pct"/>
            <w:tcBorders>
              <w:tl2br w:val="nil"/>
              <w:tr2bl w:val="nil"/>
            </w:tcBorders>
            <w:noWrap w:val="0"/>
            <w:vAlign w:val="center"/>
          </w:tcPr>
          <w:p w14:paraId="70808C9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1329" w:type="pct"/>
            <w:tcBorders>
              <w:tl2br w:val="nil"/>
              <w:tr2bl w:val="nil"/>
            </w:tcBorders>
            <w:noWrap w:val="0"/>
            <w:vAlign w:val="center"/>
          </w:tcPr>
          <w:p w14:paraId="7B3FF53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在6号料场新建325m³初期雨水收集池，</w:t>
            </w:r>
            <w:r>
              <w:rPr>
                <w:rFonts w:hint="default" w:ascii="Times New Roman" w:hAnsi="Times New Roman" w:eastAsia="宋体" w:cs="Times New Roman"/>
                <w:color w:val="auto"/>
                <w:kern w:val="0"/>
                <w:sz w:val="18"/>
                <w:szCs w:val="18"/>
                <w:lang w:val="en-US" w:eastAsia="zh-CN" w:bidi="ar"/>
              </w:rPr>
              <w:t>收集的初期雨水回用于</w:t>
            </w:r>
            <w:r>
              <w:rPr>
                <w:rFonts w:hint="default" w:ascii="Times New Roman" w:hAnsi="Times New Roman" w:cs="Times New Roman"/>
                <w:color w:val="auto"/>
                <w:kern w:val="0"/>
                <w:sz w:val="18"/>
                <w:szCs w:val="18"/>
                <w:lang w:val="en-US" w:eastAsia="zh-CN" w:bidi="ar"/>
              </w:rPr>
              <w:t>降尘</w:t>
            </w:r>
            <w:r>
              <w:rPr>
                <w:rFonts w:hint="default" w:ascii="Times New Roman" w:hAnsi="Times New Roman" w:eastAsia="宋体" w:cs="Times New Roman"/>
                <w:color w:val="auto"/>
                <w:kern w:val="0"/>
                <w:sz w:val="18"/>
                <w:szCs w:val="18"/>
                <w:lang w:val="en-US" w:eastAsia="zh-CN" w:bidi="ar"/>
              </w:rPr>
              <w:t>，不外排</w:t>
            </w:r>
          </w:p>
        </w:tc>
        <w:tc>
          <w:tcPr>
            <w:tcW w:w="347" w:type="pct"/>
            <w:tcBorders>
              <w:tl2br w:val="nil"/>
              <w:tr2bl w:val="nil"/>
            </w:tcBorders>
            <w:noWrap w:val="0"/>
            <w:vAlign w:val="center"/>
          </w:tcPr>
          <w:p w14:paraId="77AAB4A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间断</w:t>
            </w:r>
          </w:p>
        </w:tc>
        <w:tc>
          <w:tcPr>
            <w:tcW w:w="762" w:type="pct"/>
            <w:tcBorders>
              <w:tl2br w:val="nil"/>
              <w:tr2bl w:val="nil"/>
            </w:tcBorders>
            <w:noWrap w:val="0"/>
            <w:vAlign w:val="center"/>
          </w:tcPr>
          <w:p w14:paraId="46AA895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不设排污口</w:t>
            </w:r>
          </w:p>
        </w:tc>
      </w:tr>
      <w:tr w14:paraId="2E0FDA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gridSpan w:val="2"/>
            <w:vMerge w:val="continue"/>
            <w:tcBorders>
              <w:tl2br w:val="nil"/>
              <w:tr2bl w:val="nil"/>
            </w:tcBorders>
            <w:noWrap w:val="0"/>
            <w:vAlign w:val="center"/>
          </w:tcPr>
          <w:p w14:paraId="7D8EBAC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539" w:type="pct"/>
            <w:tcBorders>
              <w:tl2br w:val="nil"/>
              <w:tr2bl w:val="nil"/>
            </w:tcBorders>
            <w:noWrap w:val="0"/>
            <w:vAlign w:val="center"/>
          </w:tcPr>
          <w:p w14:paraId="2A2B740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生活污水</w:t>
            </w:r>
          </w:p>
        </w:tc>
        <w:tc>
          <w:tcPr>
            <w:tcW w:w="503" w:type="pct"/>
            <w:tcBorders>
              <w:tl2br w:val="nil"/>
              <w:tr2bl w:val="nil"/>
            </w:tcBorders>
            <w:noWrap w:val="0"/>
            <w:vAlign w:val="center"/>
          </w:tcPr>
          <w:p w14:paraId="033BE8E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SS</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rPr>
              <w:t>COD</w:t>
            </w:r>
            <w:r>
              <w:rPr>
                <w:rFonts w:hint="default" w:ascii="Times New Roman" w:hAnsi="Times New Roman" w:cs="Times New Roman"/>
                <w:color w:val="auto"/>
                <w:sz w:val="18"/>
                <w:szCs w:val="18"/>
                <w:highlight w:val="none"/>
                <w:vertAlign w:val="subscript"/>
              </w:rPr>
              <w:t>Cr</w:t>
            </w:r>
            <w:r>
              <w:rPr>
                <w:rFonts w:hint="default" w:ascii="Times New Roman" w:hAnsi="Times New Roman" w:cs="Times New Roman"/>
                <w:color w:val="auto"/>
                <w:sz w:val="18"/>
                <w:szCs w:val="18"/>
                <w:highlight w:val="none"/>
                <w:vertAlign w:val="baseline"/>
                <w:lang w:val="en-US" w:eastAsia="zh-CN"/>
              </w:rPr>
              <w:t>、</w:t>
            </w:r>
            <w:r>
              <w:rPr>
                <w:rFonts w:hint="default" w:ascii="Times New Roman" w:hAnsi="Times New Roman" w:cs="Times New Roman"/>
                <w:color w:val="auto"/>
                <w:sz w:val="18"/>
                <w:szCs w:val="18"/>
                <w:highlight w:val="none"/>
              </w:rPr>
              <w:t>BOD</w:t>
            </w:r>
            <w:r>
              <w:rPr>
                <w:rFonts w:hint="default" w:ascii="Times New Roman" w:hAnsi="Times New Roman" w:cs="Times New Roman"/>
                <w:color w:val="auto"/>
                <w:sz w:val="18"/>
                <w:szCs w:val="18"/>
                <w:highlight w:val="none"/>
                <w:vertAlign w:val="subscript"/>
              </w:rPr>
              <w:t>5</w:t>
            </w:r>
            <w:r>
              <w:rPr>
                <w:rFonts w:hint="default" w:ascii="Times New Roman" w:hAnsi="Times New Roman" w:cs="Times New Roman"/>
                <w:color w:val="auto"/>
                <w:sz w:val="18"/>
                <w:szCs w:val="18"/>
                <w:highlight w:val="none"/>
                <w:vertAlign w:val="baseline"/>
                <w:lang w:val="en-US" w:eastAsia="zh-CN"/>
              </w:rPr>
              <w:t>、</w:t>
            </w:r>
            <w:r>
              <w:rPr>
                <w:rFonts w:hint="default" w:ascii="Times New Roman" w:hAnsi="Times New Roman" w:cs="Times New Roman"/>
                <w:color w:val="auto"/>
                <w:sz w:val="18"/>
                <w:szCs w:val="18"/>
                <w:highlight w:val="none"/>
              </w:rPr>
              <w:t>氨氮</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总磷</w:t>
            </w:r>
          </w:p>
        </w:tc>
        <w:tc>
          <w:tcPr>
            <w:tcW w:w="490" w:type="pct"/>
            <w:tcBorders>
              <w:tl2br w:val="nil"/>
              <w:tr2bl w:val="nil"/>
            </w:tcBorders>
            <w:noWrap w:val="0"/>
            <w:vAlign w:val="center"/>
          </w:tcPr>
          <w:p w14:paraId="55276CF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0.4</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/d</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120</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/a</w:t>
            </w:r>
          </w:p>
        </w:tc>
        <w:tc>
          <w:tcPr>
            <w:tcW w:w="559" w:type="pct"/>
            <w:tcBorders>
              <w:tl2br w:val="nil"/>
              <w:tr2bl w:val="nil"/>
            </w:tcBorders>
            <w:noWrap w:val="0"/>
            <w:vAlign w:val="center"/>
          </w:tcPr>
          <w:p w14:paraId="12F90358">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0</w:t>
            </w:r>
          </w:p>
        </w:tc>
        <w:tc>
          <w:tcPr>
            <w:tcW w:w="1329" w:type="pct"/>
            <w:tcBorders>
              <w:tl2br w:val="nil"/>
              <w:tr2bl w:val="nil"/>
            </w:tcBorders>
            <w:noWrap w:val="0"/>
            <w:vAlign w:val="center"/>
          </w:tcPr>
          <w:p w14:paraId="051B539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依托鲁奎山铁矿污水处理设施</w:t>
            </w:r>
          </w:p>
        </w:tc>
        <w:tc>
          <w:tcPr>
            <w:tcW w:w="347" w:type="pct"/>
            <w:tcBorders>
              <w:tl2br w:val="nil"/>
              <w:tr2bl w:val="nil"/>
            </w:tcBorders>
            <w:noWrap w:val="0"/>
            <w:vAlign w:val="center"/>
          </w:tcPr>
          <w:p w14:paraId="5753417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间断</w:t>
            </w:r>
          </w:p>
        </w:tc>
        <w:tc>
          <w:tcPr>
            <w:tcW w:w="762" w:type="pct"/>
            <w:tcBorders>
              <w:tl2br w:val="nil"/>
              <w:tr2bl w:val="nil"/>
            </w:tcBorders>
            <w:noWrap w:val="0"/>
            <w:vAlign w:val="center"/>
          </w:tcPr>
          <w:p w14:paraId="086EFC9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kern w:val="2"/>
                <w:sz w:val="18"/>
                <w:szCs w:val="18"/>
                <w:highlight w:val="none"/>
                <w:lang w:val="en-US" w:eastAsia="zh-CN" w:bidi="ar-SA"/>
              </w:rPr>
              <w:t>不设排污口</w:t>
            </w:r>
          </w:p>
        </w:tc>
      </w:tr>
      <w:tr w14:paraId="62890A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465" w:type="pct"/>
            <w:gridSpan w:val="2"/>
            <w:vMerge w:val="restart"/>
            <w:tcBorders>
              <w:tl2br w:val="nil"/>
              <w:tr2bl w:val="nil"/>
            </w:tcBorders>
            <w:noWrap w:val="0"/>
            <w:vAlign w:val="center"/>
          </w:tcPr>
          <w:p w14:paraId="481FE47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固废</w:t>
            </w:r>
          </w:p>
        </w:tc>
        <w:tc>
          <w:tcPr>
            <w:tcW w:w="539" w:type="pct"/>
            <w:tcBorders>
              <w:tl2br w:val="nil"/>
              <w:tr2bl w:val="nil"/>
            </w:tcBorders>
            <w:noWrap w:val="0"/>
            <w:vAlign w:val="center"/>
          </w:tcPr>
          <w:p w14:paraId="09C9DF1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除尘器</w:t>
            </w:r>
          </w:p>
        </w:tc>
        <w:tc>
          <w:tcPr>
            <w:tcW w:w="503" w:type="pct"/>
            <w:tcBorders>
              <w:tl2br w:val="nil"/>
              <w:tr2bl w:val="nil"/>
            </w:tcBorders>
            <w:noWrap w:val="0"/>
            <w:vAlign w:val="center"/>
          </w:tcPr>
          <w:p w14:paraId="579F680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rPr>
              <w:t>除尘</w:t>
            </w:r>
            <w:r>
              <w:rPr>
                <w:rFonts w:hint="default" w:ascii="Times New Roman" w:hAnsi="Times New Roman" w:eastAsia="宋体" w:cs="Times New Roman"/>
                <w:snapToGrid w:val="0"/>
                <w:color w:val="auto"/>
                <w:kern w:val="0"/>
                <w:sz w:val="18"/>
                <w:szCs w:val="18"/>
                <w:highlight w:val="none"/>
                <w:lang w:val="en-US" w:eastAsia="zh-CN"/>
              </w:rPr>
              <w:t>灰</w:t>
            </w:r>
          </w:p>
        </w:tc>
        <w:tc>
          <w:tcPr>
            <w:tcW w:w="490" w:type="pct"/>
            <w:tcBorders>
              <w:tl2br w:val="nil"/>
              <w:tr2bl w:val="nil"/>
            </w:tcBorders>
            <w:noWrap w:val="0"/>
            <w:vAlign w:val="center"/>
          </w:tcPr>
          <w:p w14:paraId="06EC62A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97.30</w:t>
            </w:r>
            <w:r>
              <w:rPr>
                <w:rFonts w:hint="default" w:ascii="Times New Roman" w:hAnsi="Times New Roman" w:eastAsia="宋体" w:cs="Times New Roman"/>
                <w:snapToGrid w:val="0"/>
                <w:color w:val="auto"/>
                <w:kern w:val="0"/>
                <w:sz w:val="18"/>
                <w:szCs w:val="18"/>
                <w:highlight w:val="none"/>
              </w:rPr>
              <w:t>t/a</w:t>
            </w:r>
          </w:p>
        </w:tc>
        <w:tc>
          <w:tcPr>
            <w:tcW w:w="559" w:type="pct"/>
            <w:tcBorders>
              <w:tl2br w:val="nil"/>
              <w:tr2bl w:val="nil"/>
            </w:tcBorders>
            <w:noWrap w:val="0"/>
            <w:vAlign w:val="center"/>
          </w:tcPr>
          <w:p w14:paraId="524B6FC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0</w:t>
            </w:r>
          </w:p>
        </w:tc>
        <w:tc>
          <w:tcPr>
            <w:tcW w:w="1329" w:type="pct"/>
            <w:tcBorders>
              <w:tl2br w:val="nil"/>
              <w:tr2bl w:val="nil"/>
            </w:tcBorders>
            <w:noWrap w:val="0"/>
            <w:vAlign w:val="center"/>
          </w:tcPr>
          <w:p w14:paraId="534593A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收集后外售新平甬福环保有限公司用于矿渣微粉生产线使用</w:t>
            </w:r>
          </w:p>
        </w:tc>
        <w:tc>
          <w:tcPr>
            <w:tcW w:w="1110" w:type="pct"/>
            <w:gridSpan w:val="2"/>
            <w:tcBorders>
              <w:tl2br w:val="nil"/>
              <w:tr2bl w:val="nil"/>
            </w:tcBorders>
            <w:noWrap w:val="0"/>
            <w:vAlign w:val="center"/>
          </w:tcPr>
          <w:p w14:paraId="16EBF4B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处置率100%</w:t>
            </w:r>
          </w:p>
        </w:tc>
      </w:tr>
      <w:tr w14:paraId="0A32C3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gridSpan w:val="2"/>
            <w:vMerge w:val="continue"/>
            <w:tcBorders>
              <w:tl2br w:val="nil"/>
              <w:tr2bl w:val="nil"/>
            </w:tcBorders>
            <w:noWrap w:val="0"/>
            <w:vAlign w:val="center"/>
          </w:tcPr>
          <w:p w14:paraId="144179C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539" w:type="pct"/>
            <w:tcBorders>
              <w:tl2br w:val="nil"/>
              <w:tr2bl w:val="nil"/>
            </w:tcBorders>
            <w:noWrap w:val="0"/>
            <w:vAlign w:val="center"/>
          </w:tcPr>
          <w:p w14:paraId="0211F0F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rPr>
              <w:t>设备维修</w:t>
            </w:r>
          </w:p>
        </w:tc>
        <w:tc>
          <w:tcPr>
            <w:tcW w:w="503" w:type="pct"/>
            <w:tcBorders>
              <w:tl2br w:val="nil"/>
              <w:tr2bl w:val="nil"/>
            </w:tcBorders>
            <w:noWrap w:val="0"/>
            <w:vAlign w:val="center"/>
          </w:tcPr>
          <w:p w14:paraId="20AF326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rPr>
              <w:t>废</w:t>
            </w:r>
            <w:r>
              <w:rPr>
                <w:rFonts w:hint="default" w:ascii="Times New Roman" w:hAnsi="Times New Roman" w:cs="Times New Roman"/>
                <w:color w:val="auto"/>
                <w:sz w:val="18"/>
                <w:szCs w:val="18"/>
                <w:highlight w:val="none"/>
                <w:lang w:val="en-US" w:eastAsia="zh-CN"/>
              </w:rPr>
              <w:t>机油</w:t>
            </w:r>
          </w:p>
        </w:tc>
        <w:tc>
          <w:tcPr>
            <w:tcW w:w="490" w:type="pct"/>
            <w:tcBorders>
              <w:tl2br w:val="nil"/>
              <w:tr2bl w:val="nil"/>
            </w:tcBorders>
            <w:noWrap w:val="0"/>
            <w:vAlign w:val="center"/>
          </w:tcPr>
          <w:p w14:paraId="359E53A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0.01t/a</w:t>
            </w:r>
          </w:p>
        </w:tc>
        <w:tc>
          <w:tcPr>
            <w:tcW w:w="559" w:type="pct"/>
            <w:tcBorders>
              <w:tl2br w:val="nil"/>
              <w:tr2bl w:val="nil"/>
            </w:tcBorders>
            <w:noWrap w:val="0"/>
            <w:vAlign w:val="center"/>
          </w:tcPr>
          <w:p w14:paraId="1DCC4F8E">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0</w:t>
            </w:r>
          </w:p>
        </w:tc>
        <w:tc>
          <w:tcPr>
            <w:tcW w:w="1329" w:type="pct"/>
            <w:tcBorders>
              <w:tl2br w:val="nil"/>
              <w:tr2bl w:val="nil"/>
            </w:tcBorders>
            <w:noWrap w:val="0"/>
            <w:vAlign w:val="center"/>
          </w:tcPr>
          <w:p w14:paraId="3496BD3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bCs/>
                <w:color w:val="auto"/>
                <w:sz w:val="18"/>
                <w:szCs w:val="18"/>
                <w:highlight w:val="none"/>
                <w:lang w:val="en-US" w:eastAsia="zh-CN" w:bidi="en-US"/>
              </w:rPr>
            </w:pPr>
            <w:r>
              <w:rPr>
                <w:rFonts w:hint="default" w:ascii="Times New Roman" w:hAnsi="Times New Roman" w:cs="Times New Roman"/>
                <w:bCs/>
                <w:color w:val="auto"/>
                <w:sz w:val="18"/>
                <w:szCs w:val="18"/>
                <w:highlight w:val="none"/>
                <w:lang w:val="en-US" w:eastAsia="zh-CN" w:bidi="en-US"/>
              </w:rPr>
              <w:t>依托矿山危废暂存间暂存，由集团公司统一委托</w:t>
            </w:r>
            <w:r>
              <w:rPr>
                <w:rFonts w:hint="default" w:ascii="Times New Roman" w:hAnsi="Times New Roman" w:eastAsia="宋体" w:cs="Times New Roman"/>
                <w:bCs/>
                <w:color w:val="auto"/>
                <w:sz w:val="18"/>
                <w:szCs w:val="18"/>
                <w:highlight w:val="none"/>
                <w:lang w:bidi="en-US"/>
              </w:rPr>
              <w:t>有资质单位</w:t>
            </w:r>
            <w:r>
              <w:rPr>
                <w:rFonts w:hint="default" w:ascii="Times New Roman" w:hAnsi="Times New Roman" w:cs="Times New Roman"/>
                <w:bCs/>
                <w:color w:val="auto"/>
                <w:sz w:val="18"/>
                <w:szCs w:val="18"/>
                <w:highlight w:val="none"/>
                <w:lang w:val="en-US" w:eastAsia="zh-CN" w:bidi="en-US"/>
              </w:rPr>
              <w:t>清运</w:t>
            </w:r>
            <w:r>
              <w:rPr>
                <w:rFonts w:hint="default" w:ascii="Times New Roman" w:hAnsi="Times New Roman" w:eastAsia="宋体" w:cs="Times New Roman"/>
                <w:bCs/>
                <w:color w:val="auto"/>
                <w:sz w:val="18"/>
                <w:szCs w:val="18"/>
                <w:highlight w:val="none"/>
                <w:lang w:bidi="en-US"/>
              </w:rPr>
              <w:t>处置</w:t>
            </w:r>
          </w:p>
        </w:tc>
        <w:tc>
          <w:tcPr>
            <w:tcW w:w="1110" w:type="pct"/>
            <w:gridSpan w:val="2"/>
            <w:tcBorders>
              <w:tl2br w:val="nil"/>
              <w:tr2bl w:val="nil"/>
            </w:tcBorders>
            <w:noWrap w:val="0"/>
            <w:vAlign w:val="center"/>
          </w:tcPr>
          <w:p w14:paraId="679CBFE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处置率100%</w:t>
            </w:r>
          </w:p>
        </w:tc>
      </w:tr>
      <w:tr w14:paraId="5CB628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gridSpan w:val="2"/>
            <w:vMerge w:val="continue"/>
            <w:tcBorders>
              <w:tl2br w:val="nil"/>
              <w:tr2bl w:val="nil"/>
            </w:tcBorders>
            <w:noWrap w:val="0"/>
            <w:vAlign w:val="center"/>
          </w:tcPr>
          <w:p w14:paraId="1094ECD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p>
        </w:tc>
        <w:tc>
          <w:tcPr>
            <w:tcW w:w="539" w:type="pct"/>
            <w:tcBorders>
              <w:tl2br w:val="nil"/>
              <w:tr2bl w:val="nil"/>
            </w:tcBorders>
            <w:noWrap w:val="0"/>
            <w:vAlign w:val="center"/>
          </w:tcPr>
          <w:p w14:paraId="3E96B84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员工</w:t>
            </w:r>
          </w:p>
        </w:tc>
        <w:tc>
          <w:tcPr>
            <w:tcW w:w="503" w:type="pct"/>
            <w:tcBorders>
              <w:tl2br w:val="nil"/>
              <w:tr2bl w:val="nil"/>
            </w:tcBorders>
            <w:noWrap w:val="0"/>
            <w:vAlign w:val="center"/>
          </w:tcPr>
          <w:p w14:paraId="42CA59E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val="en-US" w:eastAsia="zh-CN"/>
              </w:rPr>
              <w:t>生活</w:t>
            </w:r>
            <w:r>
              <w:rPr>
                <w:rFonts w:hint="default" w:ascii="Times New Roman" w:hAnsi="Times New Roman" w:cs="Times New Roman"/>
                <w:color w:val="auto"/>
                <w:kern w:val="0"/>
                <w:sz w:val="18"/>
                <w:szCs w:val="18"/>
                <w:highlight w:val="none"/>
              </w:rPr>
              <w:t>垃圾</w:t>
            </w:r>
          </w:p>
        </w:tc>
        <w:tc>
          <w:tcPr>
            <w:tcW w:w="490" w:type="pct"/>
            <w:tcBorders>
              <w:tl2br w:val="nil"/>
              <w:tr2bl w:val="nil"/>
            </w:tcBorders>
            <w:noWrap w:val="0"/>
            <w:vAlign w:val="center"/>
          </w:tcPr>
          <w:p w14:paraId="3799752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1.5</w:t>
            </w:r>
            <w:r>
              <w:rPr>
                <w:rFonts w:hint="default" w:ascii="Times New Roman" w:hAnsi="Times New Roman" w:cs="Times New Roman"/>
                <w:color w:val="auto"/>
                <w:kern w:val="0"/>
                <w:sz w:val="18"/>
                <w:szCs w:val="18"/>
                <w:highlight w:val="none"/>
              </w:rPr>
              <w:t>t/a</w:t>
            </w:r>
          </w:p>
        </w:tc>
        <w:tc>
          <w:tcPr>
            <w:tcW w:w="559" w:type="pct"/>
            <w:tcBorders>
              <w:tl2br w:val="nil"/>
              <w:tr2bl w:val="nil"/>
            </w:tcBorders>
            <w:noWrap w:val="0"/>
            <w:vAlign w:val="center"/>
          </w:tcPr>
          <w:p w14:paraId="168F39C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1329" w:type="pct"/>
            <w:tcBorders>
              <w:tl2br w:val="nil"/>
              <w:tr2bl w:val="nil"/>
            </w:tcBorders>
            <w:noWrap w:val="0"/>
            <w:vAlign w:val="center"/>
          </w:tcPr>
          <w:p w14:paraId="14E89B4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依托鲁奎山铁矿垃圾池收集，定期清运至扬武镇生活垃圾集中收集点，统一处置。</w:t>
            </w:r>
          </w:p>
        </w:tc>
        <w:tc>
          <w:tcPr>
            <w:tcW w:w="1110" w:type="pct"/>
            <w:gridSpan w:val="2"/>
            <w:tcBorders>
              <w:tl2br w:val="nil"/>
              <w:tr2bl w:val="nil"/>
            </w:tcBorders>
            <w:noWrap w:val="0"/>
            <w:vAlign w:val="center"/>
          </w:tcPr>
          <w:p w14:paraId="22EAA2A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处置率100%</w:t>
            </w:r>
          </w:p>
        </w:tc>
      </w:tr>
    </w:tbl>
    <w:p w14:paraId="00159EE6">
      <w:pPr>
        <w:pStyle w:val="5"/>
        <w:bidi w:val="0"/>
        <w:rPr>
          <w:rFonts w:hint="default" w:ascii="Times New Roman" w:hAnsi="Times New Roman" w:cs="Times New Roman"/>
          <w:lang w:val="en-US" w:eastAsia="zh-CN"/>
        </w:rPr>
      </w:pPr>
      <w:bookmarkStart w:id="716" w:name="_Toc17162"/>
      <w:bookmarkStart w:id="717" w:name="_Toc7904"/>
      <w:bookmarkStart w:id="718" w:name="_Toc810"/>
      <w:bookmarkStart w:id="719" w:name="_Toc20502"/>
      <w:bookmarkStart w:id="720" w:name="_Toc30689"/>
      <w:bookmarkStart w:id="721" w:name="_Toc30990"/>
      <w:bookmarkStart w:id="722" w:name="_Toc12678"/>
      <w:bookmarkStart w:id="723" w:name="_Toc29170"/>
      <w:bookmarkStart w:id="724" w:name="_Toc6614"/>
      <w:r>
        <w:rPr>
          <w:rFonts w:hint="default" w:ascii="Times New Roman" w:hAnsi="Times New Roman" w:cs="Times New Roman"/>
          <w:lang w:val="en-US" w:eastAsia="zh-CN"/>
        </w:rPr>
        <w:t>8.9污染物排放总量控制</w:t>
      </w:r>
      <w:bookmarkEnd w:id="716"/>
      <w:bookmarkEnd w:id="717"/>
      <w:bookmarkEnd w:id="718"/>
      <w:bookmarkEnd w:id="719"/>
      <w:bookmarkEnd w:id="720"/>
      <w:bookmarkEnd w:id="721"/>
      <w:bookmarkEnd w:id="722"/>
    </w:p>
    <w:p w14:paraId="0937235F">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left"/>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（1）大气污染物排放总量</w:t>
      </w:r>
    </w:p>
    <w:p w14:paraId="507C609D">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eastAsia="宋体" w:cs="Times New Roman"/>
          <w:color w:val="auto"/>
          <w:sz w:val="24"/>
          <w:highlight w:val="none"/>
          <w:lang w:val="en-US" w:eastAsia="zh-CN"/>
        </w:rPr>
        <w:t>本项目废气污染物主要为</w:t>
      </w:r>
      <w:r>
        <w:rPr>
          <w:rFonts w:hint="default" w:ascii="Times New Roman" w:hAnsi="Times New Roman" w:cs="Times New Roman"/>
          <w:color w:val="auto"/>
          <w:sz w:val="24"/>
          <w:szCs w:val="24"/>
          <w:highlight w:val="none"/>
          <w:lang w:val="en-US" w:eastAsia="zh-CN"/>
        </w:rPr>
        <w:t>破碎、筛分、磁选、铁矿石堆场、砂石料堆场粉尘、原料堆场粉尘、</w:t>
      </w:r>
      <w:r>
        <w:rPr>
          <w:rFonts w:hint="default" w:ascii="Times New Roman" w:hAnsi="Times New Roman" w:cs="Times New Roman"/>
          <w:color w:val="auto"/>
          <w:sz w:val="24"/>
          <w:highlight w:val="none"/>
        </w:rPr>
        <w:t>车辆运输道路扬尘</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有组织粉尘排放量为</w:t>
      </w:r>
      <w:r>
        <w:rPr>
          <w:rFonts w:hint="default" w:ascii="Times New Roman" w:hAnsi="Times New Roman" w:cs="Times New Roman"/>
          <w:color w:val="auto"/>
          <w:kern w:val="2"/>
          <w:sz w:val="24"/>
          <w:szCs w:val="24"/>
          <w:highlight w:val="none"/>
          <w:lang w:val="en-US" w:eastAsia="zh-CN" w:bidi="ar"/>
        </w:rPr>
        <w:t>0.489</w:t>
      </w:r>
      <w:r>
        <w:rPr>
          <w:rFonts w:hint="default" w:ascii="Times New Roman" w:hAnsi="Times New Roman" w:eastAsia="宋体" w:cs="Times New Roman"/>
          <w:color w:val="auto"/>
          <w:kern w:val="2"/>
          <w:sz w:val="24"/>
          <w:szCs w:val="24"/>
          <w:highlight w:val="none"/>
          <w:lang w:val="en-US" w:eastAsia="zh-CN" w:bidi="ar"/>
        </w:rPr>
        <w:t>t/a，无组织粉尘排放量为</w:t>
      </w:r>
      <w:r>
        <w:rPr>
          <w:rFonts w:hint="default" w:ascii="Times New Roman" w:hAnsi="Times New Roman" w:cs="Times New Roman"/>
          <w:color w:val="auto"/>
          <w:kern w:val="2"/>
          <w:sz w:val="24"/>
          <w:szCs w:val="24"/>
          <w:highlight w:val="none"/>
          <w:lang w:val="en-US" w:eastAsia="zh-CN" w:bidi="ar"/>
        </w:rPr>
        <w:t>1.059</w:t>
      </w:r>
      <w:r>
        <w:rPr>
          <w:rFonts w:hint="default" w:ascii="Times New Roman" w:hAnsi="Times New Roman" w:eastAsia="宋体" w:cs="Times New Roman"/>
          <w:color w:val="auto"/>
          <w:kern w:val="2"/>
          <w:sz w:val="24"/>
          <w:szCs w:val="24"/>
          <w:highlight w:val="none"/>
          <w:lang w:val="en-US" w:eastAsia="zh-CN" w:bidi="ar"/>
        </w:rPr>
        <w:t>t/a。由于颗粒物</w:t>
      </w:r>
      <w:r>
        <w:rPr>
          <w:rFonts w:hint="default" w:ascii="Times New Roman" w:hAnsi="Times New Roman" w:cs="Times New Roman"/>
          <w:color w:val="auto"/>
          <w:kern w:val="0"/>
          <w:sz w:val="24"/>
          <w:szCs w:val="24"/>
          <w:highlight w:val="none"/>
        </w:rPr>
        <w:t>不属于总量控制指标，因此本项目不设大气污染物排放总量指标。</w:t>
      </w:r>
    </w:p>
    <w:p w14:paraId="6D6F6FC7">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left"/>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（2）水污染物排放总量</w:t>
      </w:r>
    </w:p>
    <w:p w14:paraId="61C4DC96">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szCs w:val="24"/>
        </w:rPr>
      </w:pPr>
      <w:r>
        <w:rPr>
          <w:rFonts w:hint="default" w:ascii="Times New Roman" w:hAnsi="Times New Roman" w:cs="Times New Roman"/>
          <w:szCs w:val="24"/>
        </w:rPr>
        <w:t>项目生活污水经处理后回用，不设总量控制指标。</w:t>
      </w:r>
    </w:p>
    <w:p w14:paraId="1BF21A08">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（3）固体废物排放总量</w:t>
      </w:r>
    </w:p>
    <w:p w14:paraId="7CF6E54B">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运营期固废均得到妥善处置，处置率100%。</w:t>
      </w:r>
    </w:p>
    <w:p w14:paraId="1985C64D">
      <w:pPr>
        <w:pStyle w:val="4"/>
        <w:bidi w:val="0"/>
        <w:rPr>
          <w:rFonts w:hint="default" w:ascii="Times New Roman" w:hAnsi="Times New Roman" w:cs="Times New Roman"/>
          <w:lang w:val="en-US" w:eastAsia="zh-CN"/>
        </w:rPr>
      </w:pPr>
      <w:bookmarkStart w:id="725" w:name="_Toc5171"/>
      <w:bookmarkStart w:id="726" w:name="_Toc14781"/>
      <w:bookmarkStart w:id="727" w:name="_Toc1408"/>
      <w:bookmarkStart w:id="728" w:name="_Toc5081"/>
      <w:bookmarkStart w:id="729" w:name="_Toc29634"/>
      <w:r>
        <w:rPr>
          <w:rFonts w:hint="default" w:ascii="Times New Roman" w:hAnsi="Times New Roman" w:cs="Times New Roman"/>
          <w:lang w:val="en-US" w:eastAsia="zh-CN"/>
        </w:rPr>
        <w:t>9环境经济损益分析</w:t>
      </w:r>
      <w:bookmarkEnd w:id="723"/>
      <w:bookmarkEnd w:id="724"/>
      <w:bookmarkEnd w:id="725"/>
      <w:bookmarkEnd w:id="726"/>
      <w:bookmarkEnd w:id="727"/>
      <w:bookmarkEnd w:id="728"/>
      <w:bookmarkEnd w:id="729"/>
    </w:p>
    <w:p w14:paraId="1DB9B511">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24"/>
          <w:szCs w:val="24"/>
          <w:highlight w:val="none"/>
        </w:rPr>
      </w:pPr>
      <w:bookmarkStart w:id="730" w:name="_Toc502746056"/>
      <w:bookmarkStart w:id="731" w:name="_Toc11071"/>
      <w:r>
        <w:rPr>
          <w:rFonts w:hint="default" w:ascii="Times New Roman" w:hAnsi="Times New Roman" w:cs="Times New Roman"/>
          <w:color w:val="auto"/>
          <w:kern w:val="0"/>
          <w:sz w:val="24"/>
          <w:szCs w:val="24"/>
          <w:highlight w:val="none"/>
        </w:rPr>
        <w:t>环境经济损益分析是要对项目的经济效益、社会效益和环境效益进行分析，揭示三效益的依存关系，分析本项目既可发展经济又能实现环境保护的双重目的，使三效益协调统一，走可持续发展道路，即在发展经济的同时保护好环境，从而促进社会的稳定。</w:t>
      </w:r>
    </w:p>
    <w:p w14:paraId="1262F787">
      <w:pPr>
        <w:pStyle w:val="5"/>
        <w:bidi w:val="0"/>
        <w:rPr>
          <w:rFonts w:hint="default" w:ascii="Times New Roman" w:hAnsi="Times New Roman" w:cs="Times New Roman"/>
        </w:rPr>
      </w:pPr>
      <w:bookmarkStart w:id="732" w:name="_Toc15506"/>
      <w:bookmarkStart w:id="733" w:name="_Toc15980"/>
      <w:bookmarkStart w:id="734" w:name="_Toc15101"/>
      <w:bookmarkStart w:id="735" w:name="_Toc5565"/>
      <w:bookmarkStart w:id="736" w:name="_Toc23832"/>
      <w:bookmarkStart w:id="737" w:name="_Toc11296"/>
      <w:bookmarkStart w:id="738" w:name="_Toc25999"/>
      <w:r>
        <w:rPr>
          <w:rFonts w:hint="default" w:ascii="Times New Roman" w:hAnsi="Times New Roman" w:cs="Times New Roman"/>
          <w:lang w:val="en-US" w:eastAsia="zh-CN"/>
        </w:rPr>
        <w:t>9.1</w:t>
      </w:r>
      <w:r>
        <w:rPr>
          <w:rFonts w:hint="default" w:ascii="Times New Roman" w:hAnsi="Times New Roman" w:cs="Times New Roman"/>
        </w:rPr>
        <w:t>环保投资估算</w:t>
      </w:r>
      <w:bookmarkEnd w:id="732"/>
      <w:bookmarkEnd w:id="733"/>
      <w:bookmarkEnd w:id="734"/>
      <w:bookmarkEnd w:id="735"/>
      <w:bookmarkEnd w:id="736"/>
      <w:bookmarkEnd w:id="737"/>
      <w:bookmarkEnd w:id="738"/>
    </w:p>
    <w:p w14:paraId="491BA6C8">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以工程设计估算编制的有关规定为基础，估算本工程为减免、降低不利环境影响所采取的环境保护工程和管理等措施所投资，它既包括治理污染保护环境的设施费用，又包括既为生产所需，又为治理污染服务，但主要目的是为改善环境的设施费用，计算公式为：</w:t>
      </w:r>
    </w:p>
    <w:p w14:paraId="786DD3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position w:val="-30"/>
          <w:sz w:val="24"/>
        </w:rPr>
        <w:object>
          <v:shape id="_x0000_i1033" o:spt="75" type="#_x0000_t75" style="height:36.3pt;width:122.7pt;" o:ole="t" filled="f" o:preferrelative="t" stroked="f" coordsize="21600,21600">
            <v:path/>
            <v:fill on="f" focussize="0,0"/>
            <v:stroke on="f"/>
            <v:imagedata r:id="rId52" o:title=""/>
            <o:lock v:ext="edit" aspectratio="t"/>
            <w10:wrap type="none"/>
            <w10:anchorlock/>
          </v:shape>
          <o:OLEObject Type="Embed" ProgID="Equation.3" ShapeID="_x0000_i1033" DrawAspect="Content" ObjectID="_1468075733" r:id="rId51">
            <o:LockedField>false</o:LockedField>
          </o:OLEObject>
        </w:object>
      </w:r>
    </w:p>
    <w:p w14:paraId="4AD9F61F">
      <w:pPr>
        <w:spacing w:line="360" w:lineRule="auto"/>
        <w:ind w:firstLine="49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式中：X</w:t>
      </w:r>
      <w:r>
        <w:rPr>
          <w:rFonts w:hint="default" w:ascii="Times New Roman" w:hAnsi="Times New Roman" w:cs="Times New Roman"/>
          <w:color w:val="auto"/>
          <w:sz w:val="24"/>
          <w:szCs w:val="24"/>
          <w:vertAlign w:val="subscript"/>
        </w:rPr>
        <w:t>ij</w:t>
      </w:r>
      <w:r>
        <w:rPr>
          <w:rFonts w:hint="default" w:ascii="Times New Roman" w:hAnsi="Times New Roman" w:cs="Times New Roman"/>
          <w:color w:val="auto"/>
          <w:sz w:val="24"/>
          <w:szCs w:val="24"/>
        </w:rPr>
        <w:t>—包括“三同时”在内的用于防治污染，“三废”综合利用等项目费用；</w:t>
      </w:r>
    </w:p>
    <w:p w14:paraId="2F125753">
      <w:pPr>
        <w:spacing w:line="360" w:lineRule="auto"/>
        <w:ind w:firstLine="1225" w:firstLineChars="5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k</w:t>
      </w:r>
      <w:r>
        <w:rPr>
          <w:rFonts w:hint="default" w:ascii="Times New Roman" w:hAnsi="Times New Roman" w:cs="Times New Roman"/>
          <w:color w:val="auto"/>
          <w:sz w:val="24"/>
          <w:szCs w:val="24"/>
        </w:rPr>
        <w:t>—环保建设过程中的软件费（包括设计费、管理费、环境影响评价费等）；</w:t>
      </w:r>
    </w:p>
    <w:p w14:paraId="0D324451">
      <w:pPr>
        <w:spacing w:line="360" w:lineRule="auto"/>
        <w:ind w:firstLine="1225" w:firstLineChars="5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i—“三同时”项目个数（i=1、2、3……m）；</w:t>
      </w:r>
    </w:p>
    <w:p w14:paraId="2810798A">
      <w:pPr>
        <w:spacing w:line="360" w:lineRule="auto"/>
        <w:ind w:firstLine="1225" w:firstLineChars="5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j—“三同时”以外项目（i=1、2、3……n）；</w:t>
      </w:r>
    </w:p>
    <w:p w14:paraId="12C1343F">
      <w:pPr>
        <w:spacing w:line="360" w:lineRule="auto"/>
        <w:ind w:firstLine="1225" w:firstLineChars="5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k—建设过程中软费用类目数（k=1、2、3……Q）。</w:t>
      </w:r>
    </w:p>
    <w:p w14:paraId="2AEC254C">
      <w:pPr>
        <w:spacing w:line="360" w:lineRule="auto"/>
        <w:ind w:firstLine="49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具体分项投资详见表</w:t>
      </w:r>
      <w:r>
        <w:rPr>
          <w:rFonts w:hint="default" w:ascii="Times New Roman" w:hAnsi="Times New Roman" w:cs="Times New Roman"/>
          <w:color w:val="auto"/>
          <w:sz w:val="24"/>
          <w:szCs w:val="24"/>
          <w:lang w:val="en-US" w:eastAsia="zh-CN"/>
        </w:rPr>
        <w:t>9.1-1</w:t>
      </w:r>
      <w:r>
        <w:rPr>
          <w:rFonts w:hint="default" w:ascii="Times New Roman" w:hAnsi="Times New Roman" w:cs="Times New Roman"/>
          <w:color w:val="auto"/>
          <w:sz w:val="24"/>
          <w:szCs w:val="24"/>
        </w:rPr>
        <w:t>。</w:t>
      </w:r>
    </w:p>
    <w:p w14:paraId="18973A0D">
      <w:pPr>
        <w:spacing w:line="360" w:lineRule="auto"/>
        <w:jc w:val="center"/>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表9.1-1    环保投资分项估算表    单位：万元</w:t>
      </w:r>
    </w:p>
    <w:tbl>
      <w:tblPr>
        <w:tblStyle w:val="29"/>
        <w:tblW w:w="4996" w:type="pct"/>
        <w:jc w:val="center"/>
        <w:tblBorders>
          <w:top w:val="single" w:color="auto" w:sz="4" w:space="0"/>
          <w:left w:val="none" w:color="auto" w:sz="0" w:space="0"/>
          <w:bottom w:val="single" w:color="auto" w:sz="4" w:space="0"/>
          <w:right w:val="none" w:color="auto" w:sz="0" w:space="0"/>
          <w:insideH w:val="single" w:color="auto" w:sz="6" w:space="0"/>
          <w:insideV w:val="single" w:color="auto" w:sz="4" w:space="0"/>
        </w:tblBorders>
        <w:tblLayout w:type="autofit"/>
        <w:tblCellMar>
          <w:top w:w="0" w:type="dxa"/>
          <w:left w:w="57" w:type="dxa"/>
          <w:bottom w:w="0" w:type="dxa"/>
          <w:right w:w="57" w:type="dxa"/>
        </w:tblCellMar>
      </w:tblPr>
      <w:tblGrid>
        <w:gridCol w:w="546"/>
        <w:gridCol w:w="716"/>
        <w:gridCol w:w="907"/>
        <w:gridCol w:w="5070"/>
        <w:gridCol w:w="970"/>
        <w:gridCol w:w="970"/>
      </w:tblGrid>
      <w:tr w14:paraId="73B0F5DC">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225" w:hRule="atLeast"/>
          <w:jc w:val="center"/>
        </w:trPr>
        <w:tc>
          <w:tcPr>
            <w:tcW w:w="688" w:type="pct"/>
            <w:gridSpan w:val="2"/>
            <w:vMerge w:val="restart"/>
            <w:tcBorders>
              <w:tl2br w:val="nil"/>
              <w:tr2bl w:val="nil"/>
            </w:tcBorders>
            <w:noWrap w:val="0"/>
            <w:tcMar>
              <w:left w:w="57" w:type="dxa"/>
              <w:right w:w="57" w:type="dxa"/>
            </w:tcMar>
            <w:vAlign w:val="center"/>
          </w:tcPr>
          <w:p w14:paraId="175B584D">
            <w:pPr>
              <w:adjustRightInd w:val="0"/>
              <w:snapToGrid w:val="0"/>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项目</w:t>
            </w:r>
          </w:p>
        </w:tc>
        <w:tc>
          <w:tcPr>
            <w:tcW w:w="3254" w:type="pct"/>
            <w:gridSpan w:val="2"/>
            <w:vMerge w:val="restart"/>
            <w:tcBorders>
              <w:tl2br w:val="nil"/>
              <w:tr2bl w:val="nil"/>
            </w:tcBorders>
            <w:noWrap w:val="0"/>
            <w:tcMar>
              <w:left w:w="57" w:type="dxa"/>
              <w:right w:w="57" w:type="dxa"/>
            </w:tcMar>
            <w:vAlign w:val="center"/>
          </w:tcPr>
          <w:p w14:paraId="709096DB">
            <w:pPr>
              <w:adjustRightInd w:val="0"/>
              <w:snapToGrid w:val="0"/>
              <w:spacing w:line="240" w:lineRule="auto"/>
              <w:jc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防治措施</w:t>
            </w:r>
          </w:p>
        </w:tc>
        <w:tc>
          <w:tcPr>
            <w:tcW w:w="1056" w:type="pct"/>
            <w:gridSpan w:val="2"/>
            <w:tcBorders>
              <w:tl2br w:val="nil"/>
              <w:tr2bl w:val="nil"/>
            </w:tcBorders>
            <w:noWrap w:val="0"/>
            <w:vAlign w:val="center"/>
          </w:tcPr>
          <w:p w14:paraId="0D7310B6">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环保投资</w:t>
            </w:r>
          </w:p>
          <w:p w14:paraId="576FCE77">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w:t>
            </w:r>
            <w:r>
              <w:rPr>
                <w:rFonts w:hint="default" w:ascii="Times New Roman" w:hAnsi="Times New Roman" w:cs="Times New Roman"/>
                <w:b w:val="0"/>
                <w:bCs w:val="0"/>
                <w:color w:val="auto"/>
                <w:sz w:val="18"/>
                <w:szCs w:val="18"/>
                <w:highlight w:val="none"/>
              </w:rPr>
              <w:t>万元</w:t>
            </w:r>
            <w:r>
              <w:rPr>
                <w:rFonts w:hint="default" w:ascii="Times New Roman" w:hAnsi="Times New Roman" w:cs="Times New Roman"/>
                <w:b w:val="0"/>
                <w:bCs w:val="0"/>
                <w:color w:val="auto"/>
                <w:sz w:val="18"/>
                <w:szCs w:val="18"/>
                <w:highlight w:val="none"/>
                <w:lang w:eastAsia="zh-CN"/>
              </w:rPr>
              <w:t>）</w:t>
            </w:r>
          </w:p>
        </w:tc>
      </w:tr>
      <w:tr w14:paraId="4C9A9409">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225" w:hRule="atLeast"/>
          <w:jc w:val="center"/>
        </w:trPr>
        <w:tc>
          <w:tcPr>
            <w:tcW w:w="688" w:type="pct"/>
            <w:gridSpan w:val="2"/>
            <w:vMerge w:val="continue"/>
            <w:tcBorders>
              <w:tl2br w:val="nil"/>
              <w:tr2bl w:val="nil"/>
            </w:tcBorders>
            <w:noWrap w:val="0"/>
            <w:tcMar>
              <w:left w:w="57" w:type="dxa"/>
              <w:right w:w="57" w:type="dxa"/>
            </w:tcMar>
            <w:vAlign w:val="center"/>
          </w:tcPr>
          <w:p w14:paraId="14D9AD75">
            <w:pPr>
              <w:adjustRightInd w:val="0"/>
              <w:snapToGrid w:val="0"/>
              <w:spacing w:line="240" w:lineRule="auto"/>
              <w:jc w:val="center"/>
              <w:rPr>
                <w:rFonts w:hint="default" w:ascii="Times New Roman" w:hAnsi="Times New Roman" w:cs="Times New Roman"/>
              </w:rPr>
            </w:pPr>
          </w:p>
        </w:tc>
        <w:tc>
          <w:tcPr>
            <w:tcW w:w="3254" w:type="pct"/>
            <w:gridSpan w:val="2"/>
            <w:vMerge w:val="continue"/>
            <w:tcBorders>
              <w:tl2br w:val="nil"/>
              <w:tr2bl w:val="nil"/>
            </w:tcBorders>
            <w:noWrap w:val="0"/>
            <w:tcMar>
              <w:left w:w="57" w:type="dxa"/>
              <w:right w:w="57" w:type="dxa"/>
            </w:tcMar>
            <w:vAlign w:val="center"/>
          </w:tcPr>
          <w:p w14:paraId="0CEF6CBA">
            <w:pPr>
              <w:adjustRightInd w:val="0"/>
              <w:snapToGrid w:val="0"/>
              <w:spacing w:line="240" w:lineRule="auto"/>
              <w:jc w:val="center"/>
              <w:rPr>
                <w:rFonts w:hint="default" w:ascii="Times New Roman" w:hAnsi="Times New Roman" w:cs="Times New Roman"/>
              </w:rPr>
            </w:pPr>
          </w:p>
        </w:tc>
        <w:tc>
          <w:tcPr>
            <w:tcW w:w="528" w:type="pct"/>
            <w:tcBorders>
              <w:tl2br w:val="nil"/>
              <w:tr2bl w:val="nil"/>
            </w:tcBorders>
            <w:noWrap w:val="0"/>
            <w:vAlign w:val="center"/>
          </w:tcPr>
          <w:p w14:paraId="314410F9">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已投资</w:t>
            </w:r>
          </w:p>
        </w:tc>
        <w:tc>
          <w:tcPr>
            <w:tcW w:w="528" w:type="pct"/>
            <w:tcBorders>
              <w:tl2br w:val="nil"/>
              <w:tr2bl w:val="nil"/>
            </w:tcBorders>
            <w:noWrap w:val="0"/>
            <w:vAlign w:val="center"/>
          </w:tcPr>
          <w:p w14:paraId="453FBFFC">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新增投资</w:t>
            </w:r>
          </w:p>
        </w:tc>
      </w:tr>
      <w:tr w14:paraId="5DF1648B">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jc w:val="center"/>
        </w:trPr>
        <w:tc>
          <w:tcPr>
            <w:tcW w:w="298" w:type="pct"/>
            <w:vMerge w:val="restart"/>
            <w:tcBorders>
              <w:tl2br w:val="nil"/>
              <w:tr2bl w:val="nil"/>
            </w:tcBorders>
            <w:noWrap w:val="0"/>
            <w:tcMar>
              <w:top w:w="15" w:type="dxa"/>
              <w:left w:w="57" w:type="dxa"/>
              <w:bottom w:w="0" w:type="dxa"/>
              <w:right w:w="57" w:type="dxa"/>
            </w:tcMar>
            <w:vAlign w:val="center"/>
          </w:tcPr>
          <w:p w14:paraId="6BA012C0">
            <w:pPr>
              <w:adjustRightInd w:val="0"/>
              <w:snapToGrid w:val="0"/>
              <w:spacing w:line="240" w:lineRule="auto"/>
              <w:jc w:val="center"/>
              <w:rPr>
                <w:rFonts w:hint="default" w:ascii="Times New Roman" w:hAnsi="Times New Roman" w:eastAsia="宋体" w:cs="Times New Roman"/>
                <w:b w:val="0"/>
                <w:bCs w:val="0"/>
                <w:color w:val="auto"/>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bidi="ar-SA"/>
              </w:rPr>
              <w:t>施工期</w:t>
            </w:r>
          </w:p>
        </w:tc>
        <w:tc>
          <w:tcPr>
            <w:tcW w:w="390" w:type="pct"/>
            <w:tcBorders>
              <w:tl2br w:val="nil"/>
              <w:tr2bl w:val="nil"/>
            </w:tcBorders>
            <w:noWrap w:val="0"/>
            <w:tcMar>
              <w:top w:w="15" w:type="dxa"/>
              <w:left w:w="57" w:type="dxa"/>
              <w:bottom w:w="0" w:type="dxa"/>
              <w:right w:w="57" w:type="dxa"/>
            </w:tcMar>
            <w:vAlign w:val="center"/>
          </w:tcPr>
          <w:p w14:paraId="653C68A5">
            <w:pPr>
              <w:adjustRightInd w:val="0"/>
              <w:snapToGrid w:val="0"/>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废气</w:t>
            </w:r>
          </w:p>
        </w:tc>
        <w:tc>
          <w:tcPr>
            <w:tcW w:w="3254" w:type="pct"/>
            <w:gridSpan w:val="2"/>
            <w:tcBorders>
              <w:tl2br w:val="nil"/>
              <w:tr2bl w:val="nil"/>
            </w:tcBorders>
            <w:noWrap w:val="0"/>
            <w:tcMar>
              <w:top w:w="15" w:type="dxa"/>
              <w:left w:w="57" w:type="dxa"/>
              <w:bottom w:w="0" w:type="dxa"/>
              <w:right w:w="57" w:type="dxa"/>
            </w:tcMar>
            <w:vAlign w:val="center"/>
          </w:tcPr>
          <w:p w14:paraId="494E3015">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bidi="ar-SA"/>
              </w:rPr>
              <w:t>洒水降尘</w:t>
            </w:r>
          </w:p>
        </w:tc>
        <w:tc>
          <w:tcPr>
            <w:tcW w:w="528" w:type="pct"/>
            <w:tcBorders>
              <w:tl2br w:val="nil"/>
              <w:tr2bl w:val="nil"/>
            </w:tcBorders>
            <w:noWrap w:val="0"/>
            <w:vAlign w:val="center"/>
          </w:tcPr>
          <w:p w14:paraId="6D501B8C">
            <w:pPr>
              <w:widowControl/>
              <w:adjustRightInd w:val="0"/>
              <w:snapToGrid w:val="0"/>
              <w:spacing w:line="240" w:lineRule="auto"/>
              <w:jc w:val="center"/>
              <w:textAlignment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0.</w:t>
            </w:r>
            <w:r>
              <w:rPr>
                <w:rFonts w:hint="default" w:ascii="Times New Roman" w:hAnsi="Times New Roman" w:cs="Times New Roman"/>
                <w:b w:val="0"/>
                <w:bCs w:val="0"/>
                <w:color w:val="auto"/>
                <w:kern w:val="0"/>
                <w:sz w:val="18"/>
                <w:szCs w:val="18"/>
                <w:highlight w:val="none"/>
                <w:lang w:val="en-US" w:eastAsia="zh-CN" w:bidi="ar-SA"/>
              </w:rPr>
              <w:t>2</w:t>
            </w:r>
          </w:p>
        </w:tc>
        <w:tc>
          <w:tcPr>
            <w:tcW w:w="528" w:type="pct"/>
            <w:tcBorders>
              <w:tl2br w:val="nil"/>
              <w:tr2bl w:val="nil"/>
            </w:tcBorders>
            <w:noWrap w:val="0"/>
            <w:vAlign w:val="center"/>
          </w:tcPr>
          <w:p w14:paraId="3381C459">
            <w:pPr>
              <w:widowControl/>
              <w:adjustRightInd w:val="0"/>
              <w:snapToGrid w:val="0"/>
              <w:spacing w:line="240" w:lineRule="auto"/>
              <w:jc w:val="center"/>
              <w:textAlignment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bidi="ar-SA"/>
              </w:rPr>
              <w:t>0.5</w:t>
            </w:r>
          </w:p>
        </w:tc>
      </w:tr>
      <w:tr w14:paraId="14549064">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jc w:val="center"/>
        </w:trPr>
        <w:tc>
          <w:tcPr>
            <w:tcW w:w="298" w:type="pct"/>
            <w:vMerge w:val="continue"/>
            <w:tcBorders>
              <w:tl2br w:val="nil"/>
              <w:tr2bl w:val="nil"/>
            </w:tcBorders>
            <w:noWrap w:val="0"/>
            <w:vAlign w:val="center"/>
          </w:tcPr>
          <w:p w14:paraId="450895F0">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p>
        </w:tc>
        <w:tc>
          <w:tcPr>
            <w:tcW w:w="390" w:type="pct"/>
            <w:tcBorders>
              <w:tl2br w:val="nil"/>
              <w:tr2bl w:val="nil"/>
            </w:tcBorders>
            <w:noWrap w:val="0"/>
            <w:vAlign w:val="center"/>
          </w:tcPr>
          <w:p w14:paraId="46FEF939">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废水</w:t>
            </w:r>
          </w:p>
        </w:tc>
        <w:tc>
          <w:tcPr>
            <w:tcW w:w="3254" w:type="pct"/>
            <w:gridSpan w:val="2"/>
            <w:tcBorders>
              <w:tl2br w:val="nil"/>
              <w:tr2bl w:val="nil"/>
            </w:tcBorders>
            <w:noWrap w:val="0"/>
            <w:vAlign w:val="center"/>
          </w:tcPr>
          <w:p w14:paraId="66B793FE">
            <w:pPr>
              <w:adjustRightInd w:val="0"/>
              <w:snapToGrid w:val="0"/>
              <w:spacing w:line="240" w:lineRule="auto"/>
              <w:jc w:val="center"/>
              <w:rPr>
                <w:rFonts w:hint="default" w:ascii="Times New Roman" w:hAnsi="Times New Roman" w:eastAsia="宋体" w:cs="Times New Roman"/>
                <w:b w:val="0"/>
                <w:bCs w:val="0"/>
                <w:color w:val="auto"/>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bidi="ar-SA"/>
              </w:rPr>
              <w:t>设置一个</w:t>
            </w:r>
            <w:r>
              <w:rPr>
                <w:rFonts w:hint="default" w:ascii="Times New Roman" w:hAnsi="Times New Roman" w:cs="Times New Roman"/>
                <w:b w:val="0"/>
                <w:bCs w:val="0"/>
                <w:color w:val="auto"/>
                <w:sz w:val="18"/>
                <w:szCs w:val="18"/>
                <w:highlight w:val="none"/>
                <w:lang w:val="en-US" w:eastAsia="zh-CN" w:bidi="ar-SA"/>
              </w:rPr>
              <w:t>5</w:t>
            </w:r>
            <w:r>
              <w:rPr>
                <w:rFonts w:hint="default" w:ascii="Times New Roman" w:hAnsi="Times New Roman" w:eastAsia="宋体" w:cs="Times New Roman"/>
                <w:b w:val="0"/>
                <w:bCs w:val="0"/>
                <w:color w:val="auto"/>
                <w:sz w:val="18"/>
                <w:szCs w:val="18"/>
                <w:highlight w:val="none"/>
                <w:lang w:val="en-US" w:eastAsia="zh-CN" w:bidi="ar-SA"/>
              </w:rPr>
              <w:t>m</w:t>
            </w:r>
            <w:r>
              <w:rPr>
                <w:rFonts w:hint="default" w:ascii="Times New Roman" w:hAnsi="Times New Roman" w:eastAsia="宋体" w:cs="Times New Roman"/>
                <w:b w:val="0"/>
                <w:bCs w:val="0"/>
                <w:color w:val="auto"/>
                <w:sz w:val="18"/>
                <w:szCs w:val="18"/>
                <w:highlight w:val="none"/>
                <w:vertAlign w:val="superscript"/>
                <w:lang w:val="en-US" w:eastAsia="zh-CN" w:bidi="ar-SA"/>
              </w:rPr>
              <w:t>3</w:t>
            </w:r>
            <w:r>
              <w:rPr>
                <w:rFonts w:hint="default" w:ascii="Times New Roman" w:hAnsi="Times New Roman" w:eastAsia="宋体" w:cs="Times New Roman"/>
                <w:b w:val="0"/>
                <w:bCs w:val="0"/>
                <w:color w:val="auto"/>
                <w:sz w:val="18"/>
                <w:szCs w:val="18"/>
                <w:highlight w:val="none"/>
                <w:lang w:val="en-US" w:eastAsia="zh-CN" w:bidi="ar-SA"/>
              </w:rPr>
              <w:t>的临时沉淀池</w:t>
            </w:r>
          </w:p>
        </w:tc>
        <w:tc>
          <w:tcPr>
            <w:tcW w:w="528" w:type="pct"/>
            <w:tcBorders>
              <w:tl2br w:val="nil"/>
              <w:tr2bl w:val="nil"/>
            </w:tcBorders>
            <w:noWrap w:val="0"/>
            <w:vAlign w:val="center"/>
          </w:tcPr>
          <w:p w14:paraId="0E177775">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bidi="ar-SA"/>
              </w:rPr>
              <w:t>0.5</w:t>
            </w:r>
          </w:p>
        </w:tc>
        <w:tc>
          <w:tcPr>
            <w:tcW w:w="528" w:type="pct"/>
            <w:tcBorders>
              <w:tl2br w:val="nil"/>
              <w:tr2bl w:val="nil"/>
            </w:tcBorders>
            <w:noWrap w:val="0"/>
            <w:vAlign w:val="center"/>
          </w:tcPr>
          <w:p w14:paraId="3A63D6AD">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bidi="ar-SA"/>
              </w:rPr>
              <w:t>0.5</w:t>
            </w:r>
          </w:p>
        </w:tc>
      </w:tr>
      <w:tr w14:paraId="29B9B717">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jc w:val="center"/>
        </w:trPr>
        <w:tc>
          <w:tcPr>
            <w:tcW w:w="298" w:type="pct"/>
            <w:vMerge w:val="continue"/>
            <w:tcBorders>
              <w:tl2br w:val="nil"/>
              <w:tr2bl w:val="nil"/>
            </w:tcBorders>
            <w:noWrap w:val="0"/>
            <w:vAlign w:val="center"/>
          </w:tcPr>
          <w:p w14:paraId="240D7836">
            <w:pPr>
              <w:widowControl/>
              <w:adjustRightInd w:val="0"/>
              <w:snapToGrid w:val="0"/>
              <w:spacing w:line="240" w:lineRule="auto"/>
              <w:jc w:val="center"/>
              <w:textAlignment w:val="center"/>
              <w:rPr>
                <w:rFonts w:hint="default" w:ascii="Times New Roman" w:hAnsi="Times New Roman" w:cs="Times New Roman"/>
                <w:b w:val="0"/>
                <w:bCs w:val="0"/>
                <w:color w:val="auto"/>
                <w:sz w:val="18"/>
                <w:szCs w:val="18"/>
                <w:highlight w:val="none"/>
                <w:lang w:val="en-US" w:eastAsia="zh-CN" w:bidi="ar-SA"/>
              </w:rPr>
            </w:pPr>
          </w:p>
        </w:tc>
        <w:tc>
          <w:tcPr>
            <w:tcW w:w="390" w:type="pct"/>
            <w:tcBorders>
              <w:tl2br w:val="nil"/>
              <w:tr2bl w:val="nil"/>
            </w:tcBorders>
            <w:noWrap w:val="0"/>
            <w:vAlign w:val="center"/>
          </w:tcPr>
          <w:p w14:paraId="1081E1C1">
            <w:pPr>
              <w:adjustRightInd w:val="0"/>
              <w:snapToGrid w:val="0"/>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噪声</w:t>
            </w:r>
          </w:p>
        </w:tc>
        <w:tc>
          <w:tcPr>
            <w:tcW w:w="3254" w:type="pct"/>
            <w:gridSpan w:val="2"/>
            <w:tcBorders>
              <w:tl2br w:val="nil"/>
              <w:tr2bl w:val="nil"/>
            </w:tcBorders>
            <w:noWrap w:val="0"/>
            <w:vAlign w:val="center"/>
          </w:tcPr>
          <w:p w14:paraId="391E27DC">
            <w:pPr>
              <w:adjustRightInd w:val="0"/>
              <w:snapToGrid w:val="0"/>
              <w:spacing w:line="240" w:lineRule="auto"/>
              <w:jc w:val="center"/>
              <w:rPr>
                <w:rFonts w:hint="default" w:ascii="Times New Roman" w:hAnsi="Times New Roman" w:eastAsia="宋体" w:cs="Times New Roman"/>
                <w:b w:val="0"/>
                <w:bCs w:val="0"/>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rPr>
              <w:t>选用低噪声、低振动施工设备加强设备维护、管理</w:t>
            </w:r>
          </w:p>
        </w:tc>
        <w:tc>
          <w:tcPr>
            <w:tcW w:w="528" w:type="pct"/>
            <w:tcBorders>
              <w:tl2br w:val="nil"/>
              <w:tr2bl w:val="nil"/>
            </w:tcBorders>
            <w:noWrap w:val="0"/>
            <w:vAlign w:val="center"/>
          </w:tcPr>
          <w:p w14:paraId="13304681">
            <w:pPr>
              <w:widowControl/>
              <w:adjustRightInd w:val="0"/>
              <w:snapToGrid w:val="0"/>
              <w:spacing w:line="240" w:lineRule="auto"/>
              <w:jc w:val="center"/>
              <w:textAlignment w:val="center"/>
              <w:rPr>
                <w:rFonts w:hint="default" w:ascii="Times New Roman" w:hAnsi="Times New Roman" w:cs="Times New Roman"/>
                <w:b w:val="0"/>
                <w:bCs w:val="0"/>
                <w:color w:val="auto"/>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bidi="ar-SA"/>
              </w:rPr>
              <w:t>/</w:t>
            </w:r>
          </w:p>
        </w:tc>
        <w:tc>
          <w:tcPr>
            <w:tcW w:w="528" w:type="pct"/>
            <w:tcBorders>
              <w:tl2br w:val="nil"/>
              <w:tr2bl w:val="nil"/>
            </w:tcBorders>
            <w:noWrap w:val="0"/>
            <w:vAlign w:val="center"/>
          </w:tcPr>
          <w:p w14:paraId="6E2BB397">
            <w:pPr>
              <w:widowControl/>
              <w:adjustRightInd w:val="0"/>
              <w:snapToGrid w:val="0"/>
              <w:spacing w:line="240" w:lineRule="auto"/>
              <w:jc w:val="center"/>
              <w:textAlignment w:val="center"/>
              <w:rPr>
                <w:rFonts w:hint="default" w:ascii="Times New Roman" w:hAnsi="Times New Roman" w:cs="Times New Roman"/>
                <w:b w:val="0"/>
                <w:bCs w:val="0"/>
                <w:color w:val="auto"/>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bidi="ar-SA"/>
              </w:rPr>
              <w:t>/</w:t>
            </w:r>
          </w:p>
        </w:tc>
      </w:tr>
      <w:tr w14:paraId="2401AC5A">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jc w:val="center"/>
        </w:trPr>
        <w:tc>
          <w:tcPr>
            <w:tcW w:w="298" w:type="pct"/>
            <w:vMerge w:val="continue"/>
            <w:tcBorders>
              <w:tl2br w:val="nil"/>
              <w:tr2bl w:val="nil"/>
            </w:tcBorders>
            <w:noWrap w:val="0"/>
            <w:vAlign w:val="center"/>
          </w:tcPr>
          <w:p w14:paraId="166FD44F">
            <w:pPr>
              <w:widowControl/>
              <w:adjustRightInd w:val="0"/>
              <w:snapToGrid w:val="0"/>
              <w:spacing w:line="240" w:lineRule="auto"/>
              <w:jc w:val="center"/>
              <w:textAlignment w:val="center"/>
              <w:rPr>
                <w:rFonts w:hint="default" w:ascii="Times New Roman" w:hAnsi="Times New Roman" w:cs="Times New Roman"/>
                <w:b w:val="0"/>
                <w:bCs w:val="0"/>
                <w:color w:val="auto"/>
                <w:sz w:val="18"/>
                <w:szCs w:val="18"/>
                <w:highlight w:val="none"/>
                <w:lang w:val="en-US" w:eastAsia="zh-CN" w:bidi="ar-SA"/>
              </w:rPr>
            </w:pPr>
          </w:p>
        </w:tc>
        <w:tc>
          <w:tcPr>
            <w:tcW w:w="390" w:type="pct"/>
            <w:tcBorders>
              <w:tl2br w:val="nil"/>
              <w:tr2bl w:val="nil"/>
            </w:tcBorders>
            <w:noWrap w:val="0"/>
            <w:vAlign w:val="center"/>
          </w:tcPr>
          <w:p w14:paraId="2E84217F">
            <w:pPr>
              <w:adjustRightInd w:val="0"/>
              <w:snapToGrid w:val="0"/>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固废</w:t>
            </w:r>
          </w:p>
        </w:tc>
        <w:tc>
          <w:tcPr>
            <w:tcW w:w="3254" w:type="pct"/>
            <w:gridSpan w:val="2"/>
            <w:tcBorders>
              <w:tl2br w:val="nil"/>
              <w:tr2bl w:val="nil"/>
            </w:tcBorders>
            <w:noWrap w:val="0"/>
            <w:vAlign w:val="center"/>
          </w:tcPr>
          <w:p w14:paraId="558E81F5">
            <w:pPr>
              <w:adjustRightInd w:val="0"/>
              <w:snapToGrid w:val="0"/>
              <w:spacing w:line="240" w:lineRule="auto"/>
              <w:jc w:val="center"/>
              <w:rPr>
                <w:rFonts w:hint="default" w:ascii="Times New Roman" w:hAnsi="Times New Roman" w:cs="Times New Roman" w:eastAsiaTheme="minorEastAsia"/>
                <w:b w:val="0"/>
                <w:bCs w:val="0"/>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rPr>
              <w:t>土石方回填利用，尽量做到土方平衡、生活垃圾统一收集运输处置，建筑垃圾分类收集，建设方严格按照当地城市管理部门的相关规定，可以回收利用的回收利用，不能利用运输到当地城建部分指定地点堆存</w:t>
            </w:r>
            <w:r>
              <w:rPr>
                <w:rFonts w:hint="default" w:ascii="Times New Roman" w:hAnsi="Times New Roman" w:cs="Times New Roman" w:eastAsiaTheme="minorEastAsia"/>
                <w:color w:val="auto"/>
                <w:sz w:val="18"/>
                <w:szCs w:val="18"/>
                <w:highlight w:val="none"/>
                <w:lang w:eastAsia="zh-CN"/>
              </w:rPr>
              <w:t>。</w:t>
            </w:r>
          </w:p>
        </w:tc>
        <w:tc>
          <w:tcPr>
            <w:tcW w:w="528" w:type="pct"/>
            <w:tcBorders>
              <w:tl2br w:val="nil"/>
              <w:tr2bl w:val="nil"/>
            </w:tcBorders>
            <w:noWrap w:val="0"/>
            <w:vAlign w:val="center"/>
          </w:tcPr>
          <w:p w14:paraId="7F6EA107">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r>
              <w:rPr>
                <w:rFonts w:hint="default" w:ascii="Times New Roman" w:hAnsi="Times New Roman" w:cs="Times New Roman"/>
                <w:b w:val="0"/>
                <w:bCs w:val="0"/>
                <w:color w:val="auto"/>
                <w:kern w:val="0"/>
                <w:sz w:val="18"/>
                <w:szCs w:val="18"/>
                <w:highlight w:val="none"/>
                <w:lang w:val="en-US" w:eastAsia="zh-CN"/>
              </w:rPr>
              <w:t>0.5</w:t>
            </w:r>
          </w:p>
        </w:tc>
        <w:tc>
          <w:tcPr>
            <w:tcW w:w="528" w:type="pct"/>
            <w:tcBorders>
              <w:tl2br w:val="nil"/>
              <w:tr2bl w:val="nil"/>
            </w:tcBorders>
            <w:noWrap w:val="0"/>
            <w:vAlign w:val="center"/>
          </w:tcPr>
          <w:p w14:paraId="08CDA59F">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0.5</w:t>
            </w:r>
          </w:p>
        </w:tc>
      </w:tr>
      <w:tr w14:paraId="1BFD0B25">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jc w:val="center"/>
        </w:trPr>
        <w:tc>
          <w:tcPr>
            <w:tcW w:w="298" w:type="pct"/>
            <w:vMerge w:val="restart"/>
            <w:tcBorders>
              <w:tl2br w:val="nil"/>
              <w:tr2bl w:val="nil"/>
            </w:tcBorders>
            <w:noWrap w:val="0"/>
            <w:vAlign w:val="center"/>
          </w:tcPr>
          <w:p w14:paraId="22E9CE97">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bidi="ar-SA"/>
              </w:rPr>
              <w:t>运营期</w:t>
            </w:r>
          </w:p>
        </w:tc>
        <w:tc>
          <w:tcPr>
            <w:tcW w:w="390" w:type="pct"/>
            <w:vMerge w:val="restart"/>
            <w:tcBorders>
              <w:tl2br w:val="nil"/>
              <w:tr2bl w:val="nil"/>
            </w:tcBorders>
            <w:noWrap w:val="0"/>
            <w:vAlign w:val="center"/>
          </w:tcPr>
          <w:p w14:paraId="58AEF755">
            <w:pPr>
              <w:adjustRightInd w:val="0"/>
              <w:snapToGrid w:val="0"/>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废气</w:t>
            </w:r>
          </w:p>
        </w:tc>
        <w:tc>
          <w:tcPr>
            <w:tcW w:w="494" w:type="pct"/>
            <w:tcBorders>
              <w:tl2br w:val="nil"/>
              <w:tr2bl w:val="nil"/>
            </w:tcBorders>
            <w:noWrap w:val="0"/>
            <w:vAlign w:val="center"/>
          </w:tcPr>
          <w:p w14:paraId="6AB43B0C">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有组织废气</w:t>
            </w:r>
          </w:p>
        </w:tc>
        <w:tc>
          <w:tcPr>
            <w:tcW w:w="2760" w:type="pct"/>
            <w:tcBorders>
              <w:tl2br w:val="nil"/>
              <w:tr2bl w:val="nil"/>
            </w:tcBorders>
            <w:noWrap w:val="0"/>
            <w:vAlign w:val="center"/>
          </w:tcPr>
          <w:p w14:paraId="0BF12089">
            <w:pPr>
              <w:adjustRightInd w:val="0"/>
              <w:snapToGrid w:val="0"/>
              <w:spacing w:line="240" w:lineRule="auto"/>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“集气罩+布袋收尘器”（收集效率</w:t>
            </w:r>
            <w:r>
              <w:rPr>
                <w:rFonts w:hint="default" w:ascii="Times New Roman" w:hAnsi="Times New Roman" w:cs="Times New Roman"/>
                <w:color w:val="auto"/>
                <w:kern w:val="0"/>
                <w:sz w:val="18"/>
                <w:szCs w:val="18"/>
                <w:highlight w:val="none"/>
                <w:lang w:val="en-US" w:eastAsia="zh-CN"/>
              </w:rPr>
              <w:t>85</w:t>
            </w:r>
            <w:r>
              <w:rPr>
                <w:rFonts w:hint="default" w:ascii="Times New Roman" w:hAnsi="Times New Roman" w:eastAsia="宋体" w:cs="Times New Roman"/>
                <w:color w:val="auto"/>
                <w:kern w:val="0"/>
                <w:sz w:val="18"/>
                <w:szCs w:val="18"/>
                <w:highlight w:val="none"/>
                <w:lang w:val="en-US" w:eastAsia="zh-CN"/>
              </w:rPr>
              <w:t>%、</w:t>
            </w:r>
            <w:r>
              <w:rPr>
                <w:rFonts w:hint="default" w:ascii="Times New Roman" w:hAnsi="Times New Roman" w:cs="Times New Roman"/>
                <w:color w:val="auto"/>
                <w:kern w:val="0"/>
                <w:sz w:val="18"/>
                <w:szCs w:val="18"/>
                <w:highlight w:val="none"/>
                <w:lang w:val="en-US" w:eastAsia="zh-CN"/>
              </w:rPr>
              <w:t>综合除尘效率</w:t>
            </w:r>
            <w:r>
              <w:rPr>
                <w:rFonts w:hint="default" w:ascii="Times New Roman" w:hAnsi="Times New Roman" w:eastAsia="宋体" w:cs="Times New Roman"/>
                <w:color w:val="auto"/>
                <w:kern w:val="0"/>
                <w:sz w:val="18"/>
                <w:szCs w:val="18"/>
                <w:highlight w:val="none"/>
                <w:lang w:val="en-US" w:eastAsia="zh-CN"/>
              </w:rPr>
              <w:t>99</w:t>
            </w:r>
            <w:r>
              <w:rPr>
                <w:rFonts w:hint="default" w:ascii="Times New Roman" w:hAnsi="Times New Roman" w:cs="Times New Roman"/>
                <w:color w:val="auto"/>
                <w:kern w:val="0"/>
                <w:sz w:val="18"/>
                <w:szCs w:val="18"/>
                <w:highlight w:val="none"/>
                <w:lang w:val="en-US" w:eastAsia="zh-CN"/>
              </w:rPr>
              <w:t>.5</w:t>
            </w:r>
            <w:r>
              <w:rPr>
                <w:rFonts w:hint="default" w:ascii="Times New Roman" w:hAnsi="Times New Roman" w:eastAsia="宋体" w:cs="Times New Roman"/>
                <w:color w:val="auto"/>
                <w:kern w:val="0"/>
                <w:sz w:val="18"/>
                <w:szCs w:val="18"/>
                <w:highlight w:val="none"/>
                <w:lang w:val="en-US" w:eastAsia="zh-CN"/>
              </w:rPr>
              <w:t>%），处理后废气经过15m高排气筒排放。</w:t>
            </w:r>
          </w:p>
        </w:tc>
        <w:tc>
          <w:tcPr>
            <w:tcW w:w="528" w:type="pct"/>
            <w:tcBorders>
              <w:tl2br w:val="nil"/>
              <w:tr2bl w:val="nil"/>
            </w:tcBorders>
            <w:noWrap w:val="0"/>
            <w:vAlign w:val="center"/>
          </w:tcPr>
          <w:p w14:paraId="054F2E10">
            <w:pPr>
              <w:widowControl/>
              <w:adjustRightInd w:val="0"/>
              <w:snapToGrid w:val="0"/>
              <w:spacing w:line="240" w:lineRule="auto"/>
              <w:jc w:val="center"/>
              <w:textAlignment w:val="center"/>
              <w:rPr>
                <w:rFonts w:hint="default" w:ascii="Times New Roman" w:hAnsi="Times New Roman" w:cs="Times New Roman"/>
                <w:b w:val="0"/>
                <w:bCs w:val="0"/>
                <w:color w:val="auto"/>
                <w:sz w:val="18"/>
                <w:szCs w:val="18"/>
                <w:highlight w:val="none"/>
                <w:lang w:val="en-US" w:eastAsia="zh-CN" w:bidi="ar-SA"/>
              </w:rPr>
            </w:pPr>
          </w:p>
        </w:tc>
        <w:tc>
          <w:tcPr>
            <w:tcW w:w="528" w:type="pct"/>
            <w:tcBorders>
              <w:tl2br w:val="nil"/>
              <w:tr2bl w:val="nil"/>
            </w:tcBorders>
            <w:noWrap w:val="0"/>
            <w:vAlign w:val="center"/>
          </w:tcPr>
          <w:p w14:paraId="1D9D7D50">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40</w:t>
            </w:r>
          </w:p>
        </w:tc>
      </w:tr>
      <w:tr w14:paraId="6558BBDC">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470" w:hRule="atLeast"/>
          <w:jc w:val="center"/>
        </w:trPr>
        <w:tc>
          <w:tcPr>
            <w:tcW w:w="298" w:type="pct"/>
            <w:vMerge w:val="continue"/>
            <w:tcBorders>
              <w:tl2br w:val="nil"/>
              <w:tr2bl w:val="nil"/>
            </w:tcBorders>
            <w:noWrap w:val="0"/>
            <w:vAlign w:val="center"/>
          </w:tcPr>
          <w:p w14:paraId="088BD85C">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p>
        </w:tc>
        <w:tc>
          <w:tcPr>
            <w:tcW w:w="390" w:type="pct"/>
            <w:vMerge w:val="continue"/>
            <w:tcBorders>
              <w:tl2br w:val="nil"/>
              <w:tr2bl w:val="nil"/>
            </w:tcBorders>
            <w:noWrap w:val="0"/>
            <w:vAlign w:val="center"/>
          </w:tcPr>
          <w:p w14:paraId="2417327A">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p>
        </w:tc>
        <w:tc>
          <w:tcPr>
            <w:tcW w:w="494" w:type="pct"/>
            <w:vMerge w:val="restart"/>
            <w:tcBorders>
              <w:tl2br w:val="nil"/>
              <w:tr2bl w:val="nil"/>
            </w:tcBorders>
            <w:noWrap w:val="0"/>
            <w:vAlign w:val="center"/>
          </w:tcPr>
          <w:p w14:paraId="2F148C92">
            <w:pPr>
              <w:adjustRightInd w:val="0"/>
              <w:snapToGrid w:val="0"/>
              <w:spacing w:line="240" w:lineRule="auto"/>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无组织废气</w:t>
            </w:r>
          </w:p>
        </w:tc>
        <w:tc>
          <w:tcPr>
            <w:tcW w:w="2760" w:type="pct"/>
            <w:tcBorders>
              <w:tl2br w:val="nil"/>
              <w:tr2bl w:val="nil"/>
            </w:tcBorders>
            <w:noWrap w:val="0"/>
            <w:vAlign w:val="center"/>
          </w:tcPr>
          <w:p w14:paraId="28241C39">
            <w:pPr>
              <w:adjustRightInd w:val="0"/>
              <w:snapToGrid w:val="0"/>
              <w:spacing w:line="240" w:lineRule="auto"/>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sz w:val="18"/>
                <w:szCs w:val="18"/>
                <w:lang w:val="en-US" w:eastAsia="zh-CN"/>
              </w:rPr>
              <w:t>生产工序</w:t>
            </w:r>
            <w:r>
              <w:rPr>
                <w:rFonts w:hint="default" w:ascii="Times New Roman" w:hAnsi="Times New Roman" w:cs="Times New Roman"/>
                <w:color w:val="auto"/>
                <w:sz w:val="18"/>
                <w:szCs w:val="18"/>
              </w:rPr>
              <w:t>粉尘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kern w:val="0"/>
                <w:sz w:val="18"/>
                <w:szCs w:val="18"/>
                <w:highlight w:val="none"/>
                <w:lang w:val="en-US" w:eastAsia="zh-CN"/>
              </w:rPr>
              <w:t>设备封闭</w:t>
            </w:r>
            <w:r>
              <w:rPr>
                <w:rFonts w:hint="default" w:ascii="Times New Roman" w:hAnsi="Times New Roman" w:eastAsia="宋体" w:cs="Times New Roman"/>
                <w:color w:val="auto"/>
                <w:kern w:val="0"/>
                <w:sz w:val="18"/>
                <w:szCs w:val="18"/>
                <w:highlight w:val="none"/>
                <w:lang w:val="en-US" w:eastAsia="zh-CN"/>
              </w:rPr>
              <w:t>（粉尘控制效率</w:t>
            </w:r>
            <w:r>
              <w:rPr>
                <w:rFonts w:hint="default" w:ascii="Times New Roman" w:hAnsi="Times New Roman" w:cs="Times New Roman"/>
                <w:color w:val="auto"/>
                <w:kern w:val="0"/>
                <w:sz w:val="18"/>
                <w:szCs w:val="18"/>
                <w:highlight w:val="none"/>
                <w:lang w:val="en-US" w:eastAsia="zh-CN"/>
              </w:rPr>
              <w:t>9</w:t>
            </w:r>
            <w:r>
              <w:rPr>
                <w:rFonts w:hint="default" w:ascii="Times New Roman" w:hAnsi="Times New Roman" w:eastAsia="宋体" w:cs="Times New Roman"/>
                <w:color w:val="auto"/>
                <w:kern w:val="0"/>
                <w:sz w:val="18"/>
                <w:szCs w:val="18"/>
                <w:highlight w:val="none"/>
                <w:lang w:val="en-US" w:eastAsia="zh-CN"/>
              </w:rPr>
              <w:t>0%）和喷雾降尘后（粉尘控制效率74%），无组织粉尘综合控制效率取</w:t>
            </w:r>
            <w:r>
              <w:rPr>
                <w:rFonts w:hint="default" w:ascii="Times New Roman" w:hAnsi="Times New Roman" w:cs="Times New Roman"/>
                <w:color w:val="auto"/>
                <w:kern w:val="0"/>
                <w:sz w:val="18"/>
                <w:szCs w:val="18"/>
                <w:highlight w:val="none"/>
                <w:lang w:val="en-US" w:eastAsia="zh-CN"/>
              </w:rPr>
              <w:t>97.4</w:t>
            </w:r>
            <w:r>
              <w:rPr>
                <w:rFonts w:hint="default" w:ascii="Times New Roman" w:hAnsi="Times New Roman" w:eastAsia="宋体" w:cs="Times New Roman"/>
                <w:color w:val="auto"/>
                <w:kern w:val="0"/>
                <w:sz w:val="18"/>
                <w:szCs w:val="18"/>
                <w:highlight w:val="none"/>
                <w:lang w:val="en-US" w:eastAsia="zh-CN"/>
              </w:rPr>
              <w:t>%。</w:t>
            </w:r>
          </w:p>
        </w:tc>
        <w:tc>
          <w:tcPr>
            <w:tcW w:w="528" w:type="pct"/>
            <w:tcBorders>
              <w:tl2br w:val="nil"/>
              <w:tr2bl w:val="nil"/>
            </w:tcBorders>
            <w:noWrap w:val="0"/>
            <w:vAlign w:val="center"/>
          </w:tcPr>
          <w:p w14:paraId="47C9907E">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p>
        </w:tc>
        <w:tc>
          <w:tcPr>
            <w:tcW w:w="528" w:type="pct"/>
            <w:tcBorders>
              <w:tl2br w:val="nil"/>
              <w:tr2bl w:val="nil"/>
            </w:tcBorders>
            <w:noWrap w:val="0"/>
            <w:vAlign w:val="center"/>
          </w:tcPr>
          <w:p w14:paraId="0E5F3A8B">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2</w:t>
            </w:r>
          </w:p>
        </w:tc>
      </w:tr>
      <w:tr w14:paraId="1B2FF651">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jc w:val="center"/>
        </w:trPr>
        <w:tc>
          <w:tcPr>
            <w:tcW w:w="298" w:type="pct"/>
            <w:vMerge w:val="continue"/>
            <w:tcBorders>
              <w:tl2br w:val="nil"/>
              <w:tr2bl w:val="nil"/>
            </w:tcBorders>
            <w:noWrap w:val="0"/>
            <w:vAlign w:val="center"/>
          </w:tcPr>
          <w:p w14:paraId="69945CBC">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p>
        </w:tc>
        <w:tc>
          <w:tcPr>
            <w:tcW w:w="390" w:type="pct"/>
            <w:vMerge w:val="continue"/>
            <w:tcBorders>
              <w:tl2br w:val="nil"/>
              <w:tr2bl w:val="nil"/>
            </w:tcBorders>
            <w:noWrap w:val="0"/>
            <w:vAlign w:val="center"/>
          </w:tcPr>
          <w:p w14:paraId="210D0900">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p>
        </w:tc>
        <w:tc>
          <w:tcPr>
            <w:tcW w:w="494" w:type="pct"/>
            <w:vMerge w:val="continue"/>
            <w:tcBorders>
              <w:tl2br w:val="nil"/>
              <w:tr2bl w:val="nil"/>
            </w:tcBorders>
            <w:noWrap w:val="0"/>
            <w:vAlign w:val="center"/>
          </w:tcPr>
          <w:p w14:paraId="4E8E07D4">
            <w:pPr>
              <w:adjustRightInd w:val="0"/>
              <w:snapToGrid w:val="0"/>
              <w:spacing w:line="240" w:lineRule="auto"/>
              <w:jc w:val="center"/>
              <w:rPr>
                <w:rFonts w:hint="default" w:ascii="Times New Roman" w:hAnsi="Times New Roman" w:eastAsia="宋体" w:cs="Times New Roman"/>
                <w:color w:val="auto"/>
                <w:kern w:val="0"/>
                <w:sz w:val="18"/>
                <w:szCs w:val="18"/>
                <w:highlight w:val="none"/>
                <w:lang w:val="en-US" w:eastAsia="zh-CN"/>
              </w:rPr>
            </w:pPr>
          </w:p>
        </w:tc>
        <w:tc>
          <w:tcPr>
            <w:tcW w:w="2760" w:type="pct"/>
            <w:tcBorders>
              <w:tl2br w:val="nil"/>
              <w:tr2bl w:val="nil"/>
            </w:tcBorders>
            <w:noWrap w:val="0"/>
            <w:vAlign w:val="center"/>
          </w:tcPr>
          <w:p w14:paraId="0DFC9893">
            <w:pPr>
              <w:adjustRightInd w:val="0"/>
              <w:snapToGrid w:val="0"/>
              <w:spacing w:line="240" w:lineRule="auto"/>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sz w:val="18"/>
                <w:szCs w:val="18"/>
              </w:rPr>
              <w:t>原矿料</w:t>
            </w:r>
            <w:r>
              <w:rPr>
                <w:rFonts w:hint="default" w:ascii="Times New Roman" w:hAnsi="Times New Roman" w:cs="Times New Roman"/>
                <w:color w:val="auto"/>
                <w:sz w:val="18"/>
                <w:szCs w:val="18"/>
                <w:lang w:val="en-US" w:eastAsia="zh-CN"/>
              </w:rPr>
              <w:t>斗</w:t>
            </w:r>
            <w:r>
              <w:rPr>
                <w:rFonts w:hint="default" w:ascii="Times New Roman" w:hAnsi="Times New Roman" w:cs="Times New Roman"/>
                <w:color w:val="auto"/>
                <w:sz w:val="18"/>
                <w:szCs w:val="18"/>
              </w:rPr>
              <w:t>给料粉尘</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auto"/>
                <w:kern w:val="0"/>
                <w:sz w:val="18"/>
                <w:szCs w:val="18"/>
                <w:highlight w:val="none"/>
                <w:lang w:val="en-US" w:eastAsia="zh-CN"/>
              </w:rPr>
              <w:t>项目原矿料</w:t>
            </w:r>
            <w:r>
              <w:rPr>
                <w:rFonts w:hint="default" w:ascii="Times New Roman" w:hAnsi="Times New Roman" w:cs="Times New Roman"/>
                <w:color w:val="auto"/>
                <w:kern w:val="0"/>
                <w:sz w:val="18"/>
                <w:szCs w:val="18"/>
                <w:highlight w:val="none"/>
                <w:lang w:val="en-US" w:eastAsia="zh-CN"/>
              </w:rPr>
              <w:t>斗</w:t>
            </w:r>
            <w:r>
              <w:rPr>
                <w:rFonts w:hint="default" w:ascii="Times New Roman" w:hAnsi="Times New Roman" w:eastAsia="宋体" w:cs="Times New Roman"/>
                <w:color w:val="auto"/>
                <w:kern w:val="0"/>
                <w:sz w:val="18"/>
                <w:szCs w:val="18"/>
                <w:highlight w:val="none"/>
                <w:lang w:val="en-US" w:eastAsia="zh-CN"/>
              </w:rPr>
              <w:t>设置</w:t>
            </w:r>
            <w:r>
              <w:rPr>
                <w:rFonts w:hint="default" w:ascii="Times New Roman" w:hAnsi="Times New Roman" w:cs="Times New Roman"/>
                <w:color w:val="auto"/>
                <w:kern w:val="0"/>
                <w:sz w:val="18"/>
                <w:szCs w:val="18"/>
                <w:highlight w:val="none"/>
                <w:lang w:val="en-US" w:eastAsia="zh-CN"/>
              </w:rPr>
              <w:t>三面围挡</w:t>
            </w:r>
            <w:r>
              <w:rPr>
                <w:rFonts w:hint="default" w:ascii="Times New Roman" w:hAnsi="Times New Roman" w:eastAsia="宋体" w:cs="Times New Roman"/>
                <w:color w:val="auto"/>
                <w:kern w:val="0"/>
                <w:sz w:val="18"/>
                <w:szCs w:val="18"/>
                <w:highlight w:val="none"/>
                <w:lang w:val="en-US" w:eastAsia="zh-CN"/>
              </w:rPr>
              <w:t>，喷雾除尘。</w:t>
            </w:r>
          </w:p>
        </w:tc>
        <w:tc>
          <w:tcPr>
            <w:tcW w:w="528" w:type="pct"/>
            <w:tcBorders>
              <w:tl2br w:val="nil"/>
              <w:tr2bl w:val="nil"/>
            </w:tcBorders>
            <w:noWrap w:val="0"/>
            <w:vAlign w:val="center"/>
          </w:tcPr>
          <w:p w14:paraId="026E45D0">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p>
        </w:tc>
        <w:tc>
          <w:tcPr>
            <w:tcW w:w="528" w:type="pct"/>
            <w:tcBorders>
              <w:tl2br w:val="nil"/>
              <w:tr2bl w:val="nil"/>
            </w:tcBorders>
            <w:noWrap w:val="0"/>
            <w:vAlign w:val="center"/>
          </w:tcPr>
          <w:p w14:paraId="52B4876C">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0.5</w:t>
            </w:r>
          </w:p>
        </w:tc>
      </w:tr>
      <w:tr w14:paraId="52E3F569">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jc w:val="center"/>
        </w:trPr>
        <w:tc>
          <w:tcPr>
            <w:tcW w:w="298" w:type="pct"/>
            <w:vMerge w:val="continue"/>
            <w:tcBorders>
              <w:tl2br w:val="nil"/>
              <w:tr2bl w:val="nil"/>
            </w:tcBorders>
            <w:noWrap w:val="0"/>
            <w:vAlign w:val="center"/>
          </w:tcPr>
          <w:p w14:paraId="0C6C540D">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p>
        </w:tc>
        <w:tc>
          <w:tcPr>
            <w:tcW w:w="390" w:type="pct"/>
            <w:vMerge w:val="continue"/>
            <w:tcBorders>
              <w:tl2br w:val="nil"/>
              <w:tr2bl w:val="nil"/>
            </w:tcBorders>
            <w:noWrap w:val="0"/>
            <w:vAlign w:val="center"/>
          </w:tcPr>
          <w:p w14:paraId="31BB05E3">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p>
        </w:tc>
        <w:tc>
          <w:tcPr>
            <w:tcW w:w="494" w:type="pct"/>
            <w:vMerge w:val="continue"/>
            <w:tcBorders>
              <w:tl2br w:val="nil"/>
              <w:tr2bl w:val="nil"/>
            </w:tcBorders>
            <w:noWrap w:val="0"/>
            <w:vAlign w:val="center"/>
          </w:tcPr>
          <w:p w14:paraId="7F65E2EB">
            <w:pPr>
              <w:adjustRightInd w:val="0"/>
              <w:snapToGrid w:val="0"/>
              <w:spacing w:line="240" w:lineRule="auto"/>
              <w:jc w:val="center"/>
              <w:rPr>
                <w:rFonts w:hint="default" w:ascii="Times New Roman" w:hAnsi="Times New Roman" w:eastAsia="宋体" w:cs="Times New Roman"/>
                <w:color w:val="auto"/>
                <w:kern w:val="0"/>
                <w:sz w:val="18"/>
                <w:szCs w:val="18"/>
                <w:highlight w:val="none"/>
                <w:lang w:val="en-US" w:eastAsia="zh-CN"/>
              </w:rPr>
            </w:pPr>
          </w:p>
        </w:tc>
        <w:tc>
          <w:tcPr>
            <w:tcW w:w="2760" w:type="pct"/>
            <w:tcBorders>
              <w:tl2br w:val="nil"/>
              <w:tr2bl w:val="nil"/>
            </w:tcBorders>
            <w:noWrap w:val="0"/>
            <w:vAlign w:val="center"/>
          </w:tcPr>
          <w:p w14:paraId="496D1DED">
            <w:pPr>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皮带输送粉尘</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auto"/>
                <w:kern w:val="0"/>
                <w:sz w:val="18"/>
                <w:szCs w:val="18"/>
                <w:highlight w:val="none"/>
                <w:lang w:val="en-US" w:eastAsia="zh-CN"/>
              </w:rPr>
              <w:t>项目传送带设置为封闭式廊道</w:t>
            </w:r>
          </w:p>
        </w:tc>
        <w:tc>
          <w:tcPr>
            <w:tcW w:w="528" w:type="pct"/>
            <w:tcBorders>
              <w:tl2br w:val="nil"/>
              <w:tr2bl w:val="nil"/>
            </w:tcBorders>
            <w:noWrap w:val="0"/>
            <w:vAlign w:val="center"/>
          </w:tcPr>
          <w:p w14:paraId="65A926A6">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p>
        </w:tc>
        <w:tc>
          <w:tcPr>
            <w:tcW w:w="528" w:type="pct"/>
            <w:tcBorders>
              <w:tl2br w:val="nil"/>
              <w:tr2bl w:val="nil"/>
            </w:tcBorders>
            <w:noWrap w:val="0"/>
            <w:vAlign w:val="center"/>
          </w:tcPr>
          <w:p w14:paraId="40CFCC22">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0.5</w:t>
            </w:r>
          </w:p>
        </w:tc>
      </w:tr>
      <w:tr w14:paraId="4026C1F7">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jc w:val="center"/>
        </w:trPr>
        <w:tc>
          <w:tcPr>
            <w:tcW w:w="298" w:type="pct"/>
            <w:vMerge w:val="continue"/>
            <w:tcBorders>
              <w:tl2br w:val="nil"/>
              <w:tr2bl w:val="nil"/>
            </w:tcBorders>
            <w:noWrap w:val="0"/>
            <w:vAlign w:val="center"/>
          </w:tcPr>
          <w:p w14:paraId="6ADC2239">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p>
        </w:tc>
        <w:tc>
          <w:tcPr>
            <w:tcW w:w="390" w:type="pct"/>
            <w:vMerge w:val="continue"/>
            <w:tcBorders>
              <w:tl2br w:val="nil"/>
              <w:tr2bl w:val="nil"/>
            </w:tcBorders>
            <w:noWrap w:val="0"/>
            <w:vAlign w:val="center"/>
          </w:tcPr>
          <w:p w14:paraId="15C5E5EA">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p>
        </w:tc>
        <w:tc>
          <w:tcPr>
            <w:tcW w:w="494" w:type="pct"/>
            <w:vMerge w:val="continue"/>
            <w:tcBorders>
              <w:tl2br w:val="nil"/>
              <w:tr2bl w:val="nil"/>
            </w:tcBorders>
            <w:noWrap w:val="0"/>
            <w:vAlign w:val="center"/>
          </w:tcPr>
          <w:p w14:paraId="4A04F24F">
            <w:pPr>
              <w:adjustRightInd w:val="0"/>
              <w:snapToGrid w:val="0"/>
              <w:spacing w:line="240" w:lineRule="auto"/>
              <w:jc w:val="center"/>
              <w:rPr>
                <w:rFonts w:hint="default" w:ascii="Times New Roman" w:hAnsi="Times New Roman" w:eastAsia="宋体" w:cs="Times New Roman"/>
                <w:color w:val="auto"/>
                <w:kern w:val="0"/>
                <w:sz w:val="18"/>
                <w:szCs w:val="18"/>
                <w:highlight w:val="none"/>
                <w:lang w:val="en-US" w:eastAsia="zh-CN"/>
              </w:rPr>
            </w:pPr>
          </w:p>
        </w:tc>
        <w:tc>
          <w:tcPr>
            <w:tcW w:w="2760" w:type="pct"/>
            <w:tcBorders>
              <w:tl2br w:val="nil"/>
              <w:tr2bl w:val="nil"/>
            </w:tcBorders>
            <w:noWrap w:val="0"/>
            <w:vAlign w:val="center"/>
          </w:tcPr>
          <w:p w14:paraId="6D3E2C3F">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原料</w:t>
            </w:r>
            <w:r>
              <w:rPr>
                <w:rFonts w:hint="default" w:ascii="Times New Roman" w:hAnsi="Times New Roman" w:cs="Times New Roman"/>
                <w:color w:val="auto"/>
                <w:sz w:val="18"/>
                <w:szCs w:val="18"/>
              </w:rPr>
              <w:t>堆场扬尘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highlight w:val="none"/>
              </w:rPr>
              <w:t>“三面围挡+彩钢瓦顶棚”（粉尘控制效率60%），设置喷雾降尘</w:t>
            </w:r>
            <w:r>
              <w:rPr>
                <w:rFonts w:hint="default" w:ascii="Times New Roman" w:hAnsi="Times New Roman" w:cs="Times New Roman"/>
                <w:color w:val="auto"/>
                <w:sz w:val="18"/>
                <w:szCs w:val="18"/>
                <w:highlight w:val="none"/>
                <w:lang w:eastAsia="zh-CN"/>
              </w:rPr>
              <w:t>措施</w:t>
            </w:r>
            <w:r>
              <w:rPr>
                <w:rFonts w:hint="default" w:ascii="Times New Roman" w:hAnsi="Times New Roman" w:cs="Times New Roman"/>
                <w:color w:val="auto"/>
                <w:sz w:val="18"/>
                <w:szCs w:val="18"/>
                <w:highlight w:val="none"/>
              </w:rPr>
              <w:t>（粉尘控制效率74%），同时对</w:t>
            </w:r>
            <w:r>
              <w:rPr>
                <w:rFonts w:hint="default" w:ascii="Times New Roman" w:hAnsi="Times New Roman" w:cs="Times New Roman"/>
                <w:color w:val="auto"/>
                <w:sz w:val="18"/>
                <w:szCs w:val="18"/>
                <w:highlight w:val="none"/>
                <w:lang w:val="en-US" w:eastAsia="zh-CN"/>
              </w:rPr>
              <w:t>各堆场</w:t>
            </w:r>
            <w:r>
              <w:rPr>
                <w:rFonts w:hint="default" w:ascii="Times New Roman" w:hAnsi="Times New Roman" w:cs="Times New Roman"/>
                <w:color w:val="auto"/>
                <w:sz w:val="18"/>
                <w:szCs w:val="18"/>
                <w:highlight w:val="none"/>
              </w:rPr>
              <w:t>采取编织物覆盖措施（粉尘控制效率86%）</w:t>
            </w:r>
            <w:r>
              <w:rPr>
                <w:rFonts w:hint="default" w:ascii="Times New Roman" w:hAnsi="Times New Roman" w:cs="Times New Roman"/>
                <w:color w:val="auto"/>
                <w:sz w:val="18"/>
                <w:szCs w:val="18"/>
                <w:highlight w:val="none"/>
                <w:lang w:eastAsia="zh-CN"/>
              </w:rPr>
              <w:t>。</w:t>
            </w:r>
          </w:p>
        </w:tc>
        <w:tc>
          <w:tcPr>
            <w:tcW w:w="528" w:type="pct"/>
            <w:tcBorders>
              <w:tl2br w:val="nil"/>
              <w:tr2bl w:val="nil"/>
            </w:tcBorders>
            <w:noWrap w:val="0"/>
            <w:vAlign w:val="center"/>
          </w:tcPr>
          <w:p w14:paraId="488CE989">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p>
        </w:tc>
        <w:tc>
          <w:tcPr>
            <w:tcW w:w="528" w:type="pct"/>
            <w:tcBorders>
              <w:tl2br w:val="nil"/>
              <w:tr2bl w:val="nil"/>
            </w:tcBorders>
            <w:noWrap w:val="0"/>
            <w:vAlign w:val="center"/>
          </w:tcPr>
          <w:p w14:paraId="6DF910BF">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5</w:t>
            </w:r>
          </w:p>
        </w:tc>
      </w:tr>
      <w:tr w14:paraId="0D9A102F">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jc w:val="center"/>
        </w:trPr>
        <w:tc>
          <w:tcPr>
            <w:tcW w:w="298" w:type="pct"/>
            <w:vMerge w:val="continue"/>
            <w:tcBorders>
              <w:tl2br w:val="nil"/>
              <w:tr2bl w:val="nil"/>
            </w:tcBorders>
            <w:noWrap w:val="0"/>
            <w:vAlign w:val="center"/>
          </w:tcPr>
          <w:p w14:paraId="0794F1A4">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p>
        </w:tc>
        <w:tc>
          <w:tcPr>
            <w:tcW w:w="390" w:type="pct"/>
            <w:vMerge w:val="continue"/>
            <w:tcBorders>
              <w:tl2br w:val="nil"/>
              <w:tr2bl w:val="nil"/>
            </w:tcBorders>
            <w:noWrap w:val="0"/>
            <w:vAlign w:val="center"/>
          </w:tcPr>
          <w:p w14:paraId="5DCBECB6">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p>
        </w:tc>
        <w:tc>
          <w:tcPr>
            <w:tcW w:w="494" w:type="pct"/>
            <w:vMerge w:val="continue"/>
            <w:tcBorders>
              <w:tl2br w:val="nil"/>
              <w:tr2bl w:val="nil"/>
            </w:tcBorders>
            <w:noWrap w:val="0"/>
            <w:vAlign w:val="center"/>
          </w:tcPr>
          <w:p w14:paraId="67A8D130">
            <w:pPr>
              <w:adjustRightInd w:val="0"/>
              <w:snapToGrid w:val="0"/>
              <w:spacing w:line="240" w:lineRule="auto"/>
              <w:jc w:val="center"/>
              <w:rPr>
                <w:rFonts w:hint="default" w:ascii="Times New Roman" w:hAnsi="Times New Roman" w:eastAsia="宋体" w:cs="Times New Roman"/>
                <w:color w:val="auto"/>
                <w:kern w:val="0"/>
                <w:sz w:val="18"/>
                <w:szCs w:val="18"/>
                <w:highlight w:val="none"/>
                <w:lang w:val="en-US" w:eastAsia="zh-CN"/>
              </w:rPr>
            </w:pPr>
          </w:p>
        </w:tc>
        <w:tc>
          <w:tcPr>
            <w:tcW w:w="2760" w:type="pct"/>
            <w:tcBorders>
              <w:tl2br w:val="nil"/>
              <w:tr2bl w:val="nil"/>
            </w:tcBorders>
            <w:noWrap w:val="0"/>
            <w:vAlign w:val="center"/>
          </w:tcPr>
          <w:p w14:paraId="38D4B15F">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成品</w:t>
            </w:r>
            <w:r>
              <w:rPr>
                <w:rFonts w:hint="default" w:ascii="Times New Roman" w:hAnsi="Times New Roman" w:cs="Times New Roman"/>
                <w:color w:val="auto"/>
                <w:sz w:val="18"/>
                <w:szCs w:val="18"/>
              </w:rPr>
              <w:t>堆场扬尘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highlight w:val="none"/>
              </w:rPr>
              <w:t>“三面围挡+彩钢瓦顶棚”（粉尘控制效率60%），设置喷雾降尘</w:t>
            </w:r>
            <w:r>
              <w:rPr>
                <w:rFonts w:hint="default" w:ascii="Times New Roman" w:hAnsi="Times New Roman" w:cs="Times New Roman"/>
                <w:color w:val="auto"/>
                <w:sz w:val="18"/>
                <w:szCs w:val="18"/>
                <w:highlight w:val="none"/>
                <w:lang w:eastAsia="zh-CN"/>
              </w:rPr>
              <w:t>措施</w:t>
            </w:r>
            <w:r>
              <w:rPr>
                <w:rFonts w:hint="default" w:ascii="Times New Roman" w:hAnsi="Times New Roman" w:cs="Times New Roman"/>
                <w:color w:val="auto"/>
                <w:sz w:val="18"/>
                <w:szCs w:val="18"/>
                <w:highlight w:val="none"/>
              </w:rPr>
              <w:t>（粉尘控制效率74%），同时对</w:t>
            </w:r>
            <w:r>
              <w:rPr>
                <w:rFonts w:hint="default" w:ascii="Times New Roman" w:hAnsi="Times New Roman" w:cs="Times New Roman"/>
                <w:color w:val="auto"/>
                <w:sz w:val="18"/>
                <w:szCs w:val="18"/>
                <w:highlight w:val="none"/>
                <w:lang w:val="en-US" w:eastAsia="zh-CN"/>
              </w:rPr>
              <w:t>各堆场</w:t>
            </w:r>
            <w:r>
              <w:rPr>
                <w:rFonts w:hint="default" w:ascii="Times New Roman" w:hAnsi="Times New Roman" w:cs="Times New Roman"/>
                <w:color w:val="auto"/>
                <w:sz w:val="18"/>
                <w:szCs w:val="18"/>
                <w:highlight w:val="none"/>
              </w:rPr>
              <w:t>采取编织物覆盖措施（粉尘控制效率86%）</w:t>
            </w:r>
            <w:r>
              <w:rPr>
                <w:rFonts w:hint="default" w:ascii="Times New Roman" w:hAnsi="Times New Roman" w:cs="Times New Roman"/>
                <w:color w:val="auto"/>
                <w:sz w:val="18"/>
                <w:szCs w:val="18"/>
                <w:highlight w:val="none"/>
                <w:lang w:eastAsia="zh-CN"/>
              </w:rPr>
              <w:t>。</w:t>
            </w:r>
          </w:p>
        </w:tc>
        <w:tc>
          <w:tcPr>
            <w:tcW w:w="528" w:type="pct"/>
            <w:tcBorders>
              <w:tl2br w:val="nil"/>
              <w:tr2bl w:val="nil"/>
            </w:tcBorders>
            <w:noWrap w:val="0"/>
            <w:vAlign w:val="center"/>
          </w:tcPr>
          <w:p w14:paraId="1A4EA08E">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p>
        </w:tc>
        <w:tc>
          <w:tcPr>
            <w:tcW w:w="528" w:type="pct"/>
            <w:tcBorders>
              <w:tl2br w:val="nil"/>
              <w:tr2bl w:val="nil"/>
            </w:tcBorders>
            <w:noWrap w:val="0"/>
            <w:vAlign w:val="center"/>
          </w:tcPr>
          <w:p w14:paraId="7C2A7ED4">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5</w:t>
            </w:r>
          </w:p>
        </w:tc>
      </w:tr>
      <w:tr w14:paraId="1D9AFE03">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jc w:val="center"/>
        </w:trPr>
        <w:tc>
          <w:tcPr>
            <w:tcW w:w="298" w:type="pct"/>
            <w:vMerge w:val="continue"/>
            <w:tcBorders>
              <w:tl2br w:val="nil"/>
              <w:tr2bl w:val="nil"/>
            </w:tcBorders>
            <w:noWrap w:val="0"/>
            <w:vAlign w:val="center"/>
          </w:tcPr>
          <w:p w14:paraId="2359DBE8">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p>
        </w:tc>
        <w:tc>
          <w:tcPr>
            <w:tcW w:w="390" w:type="pct"/>
            <w:vMerge w:val="continue"/>
            <w:tcBorders>
              <w:tl2br w:val="nil"/>
              <w:tr2bl w:val="nil"/>
            </w:tcBorders>
            <w:noWrap w:val="0"/>
            <w:vAlign w:val="center"/>
          </w:tcPr>
          <w:p w14:paraId="297AA94B">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p>
        </w:tc>
        <w:tc>
          <w:tcPr>
            <w:tcW w:w="494" w:type="pct"/>
            <w:vMerge w:val="continue"/>
            <w:tcBorders>
              <w:tl2br w:val="nil"/>
              <w:tr2bl w:val="nil"/>
            </w:tcBorders>
            <w:noWrap w:val="0"/>
            <w:vAlign w:val="center"/>
          </w:tcPr>
          <w:p w14:paraId="41B76C68">
            <w:pPr>
              <w:adjustRightInd w:val="0"/>
              <w:snapToGrid w:val="0"/>
              <w:spacing w:line="240" w:lineRule="auto"/>
              <w:jc w:val="center"/>
              <w:rPr>
                <w:rFonts w:hint="default" w:ascii="Times New Roman" w:hAnsi="Times New Roman" w:eastAsia="宋体" w:cs="Times New Roman"/>
                <w:color w:val="auto"/>
                <w:kern w:val="0"/>
                <w:sz w:val="18"/>
                <w:szCs w:val="18"/>
                <w:highlight w:val="none"/>
                <w:lang w:val="en-US" w:eastAsia="zh-CN"/>
              </w:rPr>
            </w:pPr>
          </w:p>
        </w:tc>
        <w:tc>
          <w:tcPr>
            <w:tcW w:w="2760" w:type="pct"/>
            <w:tcBorders>
              <w:tl2br w:val="nil"/>
              <w:tr2bl w:val="nil"/>
            </w:tcBorders>
            <w:noWrap w:val="0"/>
            <w:vAlign w:val="center"/>
          </w:tcPr>
          <w:p w14:paraId="7E64A247">
            <w:pPr>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车辆运输道路扬尘</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highlight w:val="none"/>
                <w:lang w:eastAsia="zh-CN"/>
              </w:rPr>
              <w:t>混凝土道路</w:t>
            </w:r>
            <w:r>
              <w:rPr>
                <w:rFonts w:hint="default" w:ascii="Times New Roman" w:hAnsi="Times New Roman" w:eastAsia="宋体" w:cs="Times New Roman"/>
                <w:color w:val="auto"/>
                <w:sz w:val="18"/>
                <w:szCs w:val="18"/>
                <w:highlight w:val="none"/>
                <w:lang w:val="en-US" w:eastAsia="zh-CN"/>
              </w:rPr>
              <w:t>及洒水降尘。</w:t>
            </w:r>
          </w:p>
        </w:tc>
        <w:tc>
          <w:tcPr>
            <w:tcW w:w="528" w:type="pct"/>
            <w:tcBorders>
              <w:tl2br w:val="nil"/>
              <w:tr2bl w:val="nil"/>
            </w:tcBorders>
            <w:noWrap w:val="0"/>
            <w:vAlign w:val="center"/>
          </w:tcPr>
          <w:p w14:paraId="2BE1DB07">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0.2</w:t>
            </w:r>
          </w:p>
        </w:tc>
        <w:tc>
          <w:tcPr>
            <w:tcW w:w="528" w:type="pct"/>
            <w:tcBorders>
              <w:tl2br w:val="nil"/>
              <w:tr2bl w:val="nil"/>
            </w:tcBorders>
            <w:noWrap w:val="0"/>
            <w:vAlign w:val="center"/>
          </w:tcPr>
          <w:p w14:paraId="5CFD6A62">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1</w:t>
            </w:r>
          </w:p>
        </w:tc>
      </w:tr>
      <w:tr w14:paraId="7CFEA130">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650" w:hRule="atLeast"/>
          <w:jc w:val="center"/>
        </w:trPr>
        <w:tc>
          <w:tcPr>
            <w:tcW w:w="298" w:type="pct"/>
            <w:vMerge w:val="continue"/>
            <w:tcBorders>
              <w:tl2br w:val="nil"/>
              <w:tr2bl w:val="nil"/>
            </w:tcBorders>
            <w:noWrap w:val="0"/>
            <w:vAlign w:val="center"/>
          </w:tcPr>
          <w:p w14:paraId="4DDBE48C">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p>
        </w:tc>
        <w:tc>
          <w:tcPr>
            <w:tcW w:w="390" w:type="pct"/>
            <w:vMerge w:val="restart"/>
            <w:tcBorders>
              <w:tl2br w:val="nil"/>
              <w:tr2bl w:val="nil"/>
            </w:tcBorders>
            <w:noWrap w:val="0"/>
            <w:vAlign w:val="center"/>
          </w:tcPr>
          <w:p w14:paraId="598B09BD">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废水</w:t>
            </w:r>
          </w:p>
        </w:tc>
        <w:tc>
          <w:tcPr>
            <w:tcW w:w="494" w:type="pct"/>
            <w:tcBorders>
              <w:tl2br w:val="nil"/>
              <w:tr2bl w:val="nil"/>
            </w:tcBorders>
            <w:noWrap w:val="0"/>
            <w:vAlign w:val="center"/>
          </w:tcPr>
          <w:p w14:paraId="1140512F">
            <w:pPr>
              <w:adjustRightInd w:val="0"/>
              <w:snapToGrid w:val="0"/>
              <w:spacing w:line="240"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生活污水</w:t>
            </w:r>
          </w:p>
        </w:tc>
        <w:tc>
          <w:tcPr>
            <w:tcW w:w="2760" w:type="pct"/>
            <w:tcBorders>
              <w:tl2br w:val="nil"/>
              <w:tr2bl w:val="nil"/>
            </w:tcBorders>
            <w:noWrap w:val="0"/>
            <w:vAlign w:val="center"/>
          </w:tcPr>
          <w:p w14:paraId="1B436779">
            <w:pPr>
              <w:adjustRightInd w:val="0"/>
              <w:snapToGrid w:val="0"/>
              <w:spacing w:line="240"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依托鲁奎山铁矿污水处理设施</w:t>
            </w:r>
          </w:p>
        </w:tc>
        <w:tc>
          <w:tcPr>
            <w:tcW w:w="528" w:type="pct"/>
            <w:tcBorders>
              <w:tl2br w:val="nil"/>
              <w:tr2bl w:val="nil"/>
            </w:tcBorders>
            <w:noWrap w:val="0"/>
            <w:vAlign w:val="center"/>
          </w:tcPr>
          <w:p w14:paraId="42AC8956">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w:t>
            </w:r>
          </w:p>
        </w:tc>
        <w:tc>
          <w:tcPr>
            <w:tcW w:w="528" w:type="pct"/>
            <w:tcBorders>
              <w:tl2br w:val="nil"/>
              <w:tr2bl w:val="nil"/>
            </w:tcBorders>
            <w:noWrap w:val="0"/>
            <w:vAlign w:val="center"/>
          </w:tcPr>
          <w:p w14:paraId="52D0E213">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w:t>
            </w:r>
          </w:p>
        </w:tc>
      </w:tr>
      <w:tr w14:paraId="6E9A3A7E">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650" w:hRule="atLeast"/>
          <w:jc w:val="center"/>
        </w:trPr>
        <w:tc>
          <w:tcPr>
            <w:tcW w:w="298" w:type="pct"/>
            <w:vMerge w:val="continue"/>
            <w:tcBorders>
              <w:tl2br w:val="nil"/>
              <w:tr2bl w:val="nil"/>
            </w:tcBorders>
            <w:noWrap w:val="0"/>
            <w:vAlign w:val="center"/>
          </w:tcPr>
          <w:p w14:paraId="56F08A4F">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p>
        </w:tc>
        <w:tc>
          <w:tcPr>
            <w:tcW w:w="390" w:type="pct"/>
            <w:vMerge w:val="continue"/>
            <w:tcBorders>
              <w:tl2br w:val="nil"/>
              <w:tr2bl w:val="nil"/>
            </w:tcBorders>
            <w:noWrap w:val="0"/>
            <w:vAlign w:val="center"/>
          </w:tcPr>
          <w:p w14:paraId="17ECA1BC">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p>
        </w:tc>
        <w:tc>
          <w:tcPr>
            <w:tcW w:w="494" w:type="pct"/>
            <w:tcBorders>
              <w:tl2br w:val="nil"/>
              <w:tr2bl w:val="nil"/>
            </w:tcBorders>
            <w:noWrap w:val="0"/>
            <w:vAlign w:val="center"/>
          </w:tcPr>
          <w:p w14:paraId="2AF6A063">
            <w:pPr>
              <w:adjustRightInd w:val="0"/>
              <w:snapToGrid w:val="0"/>
              <w:spacing w:line="240"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初期雨水</w:t>
            </w:r>
          </w:p>
        </w:tc>
        <w:tc>
          <w:tcPr>
            <w:tcW w:w="2760" w:type="pct"/>
            <w:tcBorders>
              <w:tl2br w:val="nil"/>
              <w:tr2bl w:val="nil"/>
            </w:tcBorders>
            <w:noWrap w:val="0"/>
            <w:vAlign w:val="center"/>
          </w:tcPr>
          <w:p w14:paraId="41F62319">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color w:val="auto"/>
                <w:sz w:val="18"/>
                <w:szCs w:val="18"/>
                <w:highlight w:val="none"/>
                <w:vertAlign w:val="baseline"/>
                <w:lang w:val="en-US" w:eastAsia="zh-CN"/>
              </w:rPr>
              <w:t>新建325</w:t>
            </w:r>
            <w:r>
              <w:rPr>
                <w:rFonts w:hint="default" w:ascii="Times New Roman" w:hAnsi="Times New Roman" w:eastAsia="宋体" w:cs="Times New Roman"/>
                <w:color w:val="auto"/>
                <w:sz w:val="18"/>
                <w:szCs w:val="18"/>
                <w:highlight w:val="none"/>
                <w:vertAlign w:val="baseli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vertAlign w:val="baseline"/>
                <w:lang w:val="en-US" w:eastAsia="zh-CN"/>
              </w:rPr>
              <w:t>初期雨水收集</w:t>
            </w:r>
            <w:r>
              <w:rPr>
                <w:rFonts w:hint="default" w:ascii="Times New Roman" w:hAnsi="Times New Roman" w:eastAsia="宋体" w:cs="Times New Roman"/>
                <w:color w:val="auto"/>
                <w:sz w:val="18"/>
                <w:szCs w:val="18"/>
                <w:highlight w:val="none"/>
                <w:vertAlign w:val="baseline"/>
                <w:lang w:val="en-US" w:eastAsia="zh-CN"/>
              </w:rPr>
              <w:t>池</w:t>
            </w:r>
          </w:p>
        </w:tc>
        <w:tc>
          <w:tcPr>
            <w:tcW w:w="528" w:type="pct"/>
            <w:tcBorders>
              <w:tl2br w:val="nil"/>
              <w:tr2bl w:val="nil"/>
            </w:tcBorders>
            <w:noWrap w:val="0"/>
            <w:vAlign w:val="center"/>
          </w:tcPr>
          <w:p w14:paraId="0DE84886">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p>
        </w:tc>
        <w:tc>
          <w:tcPr>
            <w:tcW w:w="528" w:type="pct"/>
            <w:tcBorders>
              <w:tl2br w:val="nil"/>
              <w:tr2bl w:val="nil"/>
            </w:tcBorders>
            <w:noWrap w:val="0"/>
            <w:vAlign w:val="center"/>
          </w:tcPr>
          <w:p w14:paraId="116DDC60">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3</w:t>
            </w:r>
          </w:p>
        </w:tc>
      </w:tr>
      <w:tr w14:paraId="654A2437">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jc w:val="center"/>
        </w:trPr>
        <w:tc>
          <w:tcPr>
            <w:tcW w:w="298" w:type="pct"/>
            <w:vMerge w:val="continue"/>
            <w:tcBorders>
              <w:tl2br w:val="nil"/>
              <w:tr2bl w:val="nil"/>
            </w:tcBorders>
            <w:noWrap w:val="0"/>
            <w:vAlign w:val="center"/>
          </w:tcPr>
          <w:p w14:paraId="099ECA8C">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p>
        </w:tc>
        <w:tc>
          <w:tcPr>
            <w:tcW w:w="390" w:type="pct"/>
            <w:tcBorders>
              <w:tl2br w:val="nil"/>
              <w:tr2bl w:val="nil"/>
            </w:tcBorders>
            <w:noWrap w:val="0"/>
            <w:vAlign w:val="center"/>
          </w:tcPr>
          <w:p w14:paraId="3DC8A693">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噪声</w:t>
            </w:r>
          </w:p>
        </w:tc>
        <w:tc>
          <w:tcPr>
            <w:tcW w:w="494" w:type="pct"/>
            <w:tcBorders>
              <w:tl2br w:val="nil"/>
              <w:tr2bl w:val="nil"/>
            </w:tcBorders>
            <w:noWrap w:val="0"/>
            <w:vAlign w:val="center"/>
          </w:tcPr>
          <w:p w14:paraId="4AB2B3D9">
            <w:pPr>
              <w:adjustRightInd w:val="0"/>
              <w:snapToGrid w:val="0"/>
              <w:spacing w:line="240"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设备噪声</w:t>
            </w:r>
          </w:p>
        </w:tc>
        <w:tc>
          <w:tcPr>
            <w:tcW w:w="2760" w:type="pct"/>
            <w:tcBorders>
              <w:tl2br w:val="nil"/>
              <w:tr2bl w:val="nil"/>
            </w:tcBorders>
            <w:noWrap w:val="0"/>
            <w:vAlign w:val="center"/>
          </w:tcPr>
          <w:p w14:paraId="51865511">
            <w:pPr>
              <w:adjustRightInd w:val="0"/>
              <w:snapToGrid w:val="0"/>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rPr>
              <w:t>消声器</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减振</w:t>
            </w:r>
            <w:r>
              <w:rPr>
                <w:rFonts w:hint="default" w:ascii="Times New Roman" w:hAnsi="Times New Roman" w:cs="Times New Roman"/>
                <w:color w:val="auto"/>
                <w:sz w:val="18"/>
                <w:szCs w:val="18"/>
                <w:highlight w:val="none"/>
              </w:rPr>
              <w:t>，隔声</w:t>
            </w:r>
          </w:p>
        </w:tc>
        <w:tc>
          <w:tcPr>
            <w:tcW w:w="528" w:type="pct"/>
            <w:tcBorders>
              <w:tl2br w:val="nil"/>
              <w:tr2bl w:val="nil"/>
            </w:tcBorders>
            <w:noWrap w:val="0"/>
            <w:vAlign w:val="center"/>
          </w:tcPr>
          <w:p w14:paraId="2B679195">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w:t>
            </w:r>
          </w:p>
        </w:tc>
        <w:tc>
          <w:tcPr>
            <w:tcW w:w="528" w:type="pct"/>
            <w:tcBorders>
              <w:tl2br w:val="nil"/>
              <w:tr2bl w:val="nil"/>
            </w:tcBorders>
            <w:noWrap w:val="0"/>
            <w:vAlign w:val="center"/>
          </w:tcPr>
          <w:p w14:paraId="372CC845">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w:t>
            </w:r>
          </w:p>
        </w:tc>
      </w:tr>
      <w:tr w14:paraId="68058935">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650" w:hRule="atLeast"/>
          <w:jc w:val="center"/>
        </w:trPr>
        <w:tc>
          <w:tcPr>
            <w:tcW w:w="298" w:type="pct"/>
            <w:vMerge w:val="continue"/>
            <w:tcBorders>
              <w:tl2br w:val="nil"/>
              <w:tr2bl w:val="nil"/>
            </w:tcBorders>
            <w:noWrap w:val="0"/>
            <w:vAlign w:val="center"/>
          </w:tcPr>
          <w:p w14:paraId="3DFC5099">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p>
        </w:tc>
        <w:tc>
          <w:tcPr>
            <w:tcW w:w="390" w:type="pct"/>
            <w:tcBorders>
              <w:tl2br w:val="nil"/>
              <w:tr2bl w:val="nil"/>
            </w:tcBorders>
            <w:noWrap w:val="0"/>
            <w:vAlign w:val="center"/>
          </w:tcPr>
          <w:p w14:paraId="542A76D4">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固废</w:t>
            </w:r>
          </w:p>
        </w:tc>
        <w:tc>
          <w:tcPr>
            <w:tcW w:w="494" w:type="pct"/>
            <w:tcBorders>
              <w:tl2br w:val="nil"/>
              <w:tr2bl w:val="nil"/>
            </w:tcBorders>
            <w:noWrap w:val="0"/>
            <w:vAlign w:val="center"/>
          </w:tcPr>
          <w:p w14:paraId="37F02C68">
            <w:pPr>
              <w:adjustRightInd w:val="0"/>
              <w:snapToGrid w:val="0"/>
              <w:spacing w:line="240"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危废暂存间</w:t>
            </w:r>
          </w:p>
        </w:tc>
        <w:tc>
          <w:tcPr>
            <w:tcW w:w="2760" w:type="pct"/>
            <w:tcBorders>
              <w:tl2br w:val="nil"/>
              <w:tr2bl w:val="nil"/>
            </w:tcBorders>
            <w:noWrap w:val="0"/>
            <w:vAlign w:val="center"/>
          </w:tcPr>
          <w:p w14:paraId="7A7D1D09">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SA"/>
              </w:rPr>
            </w:pPr>
            <w:r>
              <w:rPr>
                <w:rFonts w:hint="default" w:ascii="Times New Roman" w:hAnsi="Times New Roman" w:cs="Times New Roman"/>
                <w:color w:val="auto"/>
                <w:sz w:val="18"/>
                <w:szCs w:val="18"/>
                <w:highlight w:val="none"/>
                <w:lang w:val="en-US" w:eastAsia="zh-CN"/>
              </w:rPr>
              <w:t>依托鲁奎山铁矿危废暂存间</w:t>
            </w:r>
            <w:r>
              <w:rPr>
                <w:rFonts w:hint="default" w:ascii="Times New Roman" w:hAnsi="Times New Roman" w:eastAsia="宋体"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按照</w:t>
            </w:r>
            <w:r>
              <w:rPr>
                <w:rFonts w:hint="default" w:ascii="Times New Roman" w:hAnsi="Times New Roman" w:eastAsia="宋体" w:cs="Times New Roman"/>
                <w:color w:val="auto"/>
                <w:sz w:val="18"/>
                <w:szCs w:val="18"/>
                <w:highlight w:val="none"/>
              </w:rPr>
              <w:t>《危险废物贮存污染控制标准》（GB18597-</w:t>
            </w:r>
            <w:r>
              <w:rPr>
                <w:rFonts w:hint="default" w:ascii="Times New Roman" w:hAnsi="Times New Roman" w:cs="Times New Roman"/>
                <w:color w:val="auto"/>
                <w:sz w:val="18"/>
                <w:szCs w:val="18"/>
                <w:highlight w:val="none"/>
                <w:lang w:val="en-US" w:eastAsia="zh-CN"/>
              </w:rPr>
              <w:t>2023</w:t>
            </w:r>
            <w:r>
              <w:rPr>
                <w:rFonts w:hint="default" w:ascii="Times New Roman" w:hAnsi="Times New Roman" w:eastAsia="宋体" w:cs="Times New Roman"/>
                <w:color w:val="auto"/>
                <w:sz w:val="18"/>
                <w:szCs w:val="18"/>
                <w:highlight w:val="none"/>
              </w:rPr>
              <w:t>）的要求进行</w:t>
            </w:r>
            <w:r>
              <w:rPr>
                <w:rFonts w:hint="default" w:ascii="Times New Roman" w:hAnsi="Times New Roman" w:cs="Times New Roman"/>
                <w:color w:val="auto"/>
                <w:sz w:val="18"/>
                <w:szCs w:val="18"/>
                <w:highlight w:val="none"/>
                <w:lang w:val="en-US" w:eastAsia="zh-CN"/>
              </w:rPr>
              <w:t>改建。</w:t>
            </w:r>
          </w:p>
        </w:tc>
        <w:tc>
          <w:tcPr>
            <w:tcW w:w="528" w:type="pct"/>
            <w:tcBorders>
              <w:tl2br w:val="nil"/>
              <w:tr2bl w:val="nil"/>
            </w:tcBorders>
            <w:noWrap w:val="0"/>
            <w:vAlign w:val="center"/>
          </w:tcPr>
          <w:p w14:paraId="2A4E3F31">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p>
        </w:tc>
        <w:tc>
          <w:tcPr>
            <w:tcW w:w="528" w:type="pct"/>
            <w:tcBorders>
              <w:tl2br w:val="nil"/>
              <w:tr2bl w:val="nil"/>
            </w:tcBorders>
            <w:noWrap w:val="0"/>
            <w:vAlign w:val="center"/>
          </w:tcPr>
          <w:p w14:paraId="18909F18">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3</w:t>
            </w:r>
          </w:p>
        </w:tc>
      </w:tr>
      <w:tr w14:paraId="5A471259">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650" w:hRule="atLeast"/>
          <w:jc w:val="center"/>
        </w:trPr>
        <w:tc>
          <w:tcPr>
            <w:tcW w:w="298" w:type="pct"/>
            <w:vMerge w:val="continue"/>
            <w:tcBorders>
              <w:tl2br w:val="nil"/>
              <w:tr2bl w:val="nil"/>
            </w:tcBorders>
            <w:noWrap w:val="0"/>
            <w:vAlign w:val="center"/>
          </w:tcPr>
          <w:p w14:paraId="6F613298">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p>
        </w:tc>
        <w:tc>
          <w:tcPr>
            <w:tcW w:w="390" w:type="pct"/>
            <w:tcBorders>
              <w:tl2br w:val="nil"/>
              <w:tr2bl w:val="nil"/>
            </w:tcBorders>
            <w:noWrap w:val="0"/>
            <w:vAlign w:val="center"/>
          </w:tcPr>
          <w:p w14:paraId="52934BAD">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地下水</w:t>
            </w:r>
          </w:p>
        </w:tc>
        <w:tc>
          <w:tcPr>
            <w:tcW w:w="494" w:type="pct"/>
            <w:tcBorders>
              <w:tl2br w:val="nil"/>
              <w:tr2bl w:val="nil"/>
            </w:tcBorders>
            <w:noWrap w:val="0"/>
            <w:vAlign w:val="center"/>
          </w:tcPr>
          <w:p w14:paraId="366A0C6F">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highlight w:val="none"/>
                <w:vertAlign w:val="baseline"/>
                <w:lang w:val="en-US" w:eastAsia="zh-CN"/>
              </w:rPr>
              <w:t>防渗</w:t>
            </w:r>
          </w:p>
        </w:tc>
        <w:tc>
          <w:tcPr>
            <w:tcW w:w="2760" w:type="pct"/>
            <w:tcBorders>
              <w:tl2br w:val="nil"/>
              <w:tr2bl w:val="nil"/>
            </w:tcBorders>
            <w:noWrap w:val="0"/>
            <w:vAlign w:val="center"/>
          </w:tcPr>
          <w:p w14:paraId="1B0FC791">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按要求对厂区进行分区防渗，包括重点防渗区：危废暂存间，一般防渗区：</w:t>
            </w:r>
            <w:r>
              <w:rPr>
                <w:rFonts w:hint="default" w:ascii="Times New Roman" w:hAnsi="Times New Roman" w:cs="Times New Roman"/>
                <w:color w:val="auto"/>
                <w:sz w:val="18"/>
                <w:szCs w:val="18"/>
                <w:highlight w:val="none"/>
                <w:vertAlign w:val="baseline"/>
                <w:lang w:val="en-US" w:eastAsia="zh-CN"/>
              </w:rPr>
              <w:t>生产区域、原料及成品堆场、</w:t>
            </w:r>
            <w:r>
              <w:rPr>
                <w:rFonts w:hint="default" w:ascii="Times New Roman" w:hAnsi="Times New Roman" w:eastAsia="宋体" w:cs="Times New Roman"/>
                <w:color w:val="auto"/>
                <w:sz w:val="18"/>
                <w:szCs w:val="18"/>
                <w:highlight w:val="none"/>
                <w:vertAlign w:val="baseline"/>
                <w:lang w:val="en-US" w:eastAsia="zh-CN"/>
              </w:rPr>
              <w:t>初期雨水收集池；简单防渗区包括</w:t>
            </w:r>
            <w:r>
              <w:rPr>
                <w:rFonts w:hint="default" w:ascii="Times New Roman" w:hAnsi="Times New Roman" w:cs="Times New Roman"/>
                <w:color w:val="auto"/>
                <w:sz w:val="18"/>
                <w:szCs w:val="18"/>
                <w:highlight w:val="none"/>
                <w:vertAlign w:val="baseline"/>
                <w:lang w:val="en-US" w:eastAsia="zh-CN"/>
              </w:rPr>
              <w:t>办公生活区</w:t>
            </w:r>
          </w:p>
        </w:tc>
        <w:tc>
          <w:tcPr>
            <w:tcW w:w="528" w:type="pct"/>
            <w:tcBorders>
              <w:tl2br w:val="nil"/>
              <w:tr2bl w:val="nil"/>
            </w:tcBorders>
            <w:noWrap w:val="0"/>
            <w:vAlign w:val="center"/>
          </w:tcPr>
          <w:p w14:paraId="51302732">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p>
        </w:tc>
        <w:tc>
          <w:tcPr>
            <w:tcW w:w="528" w:type="pct"/>
            <w:tcBorders>
              <w:tl2br w:val="nil"/>
              <w:tr2bl w:val="nil"/>
            </w:tcBorders>
            <w:noWrap w:val="0"/>
            <w:vAlign w:val="center"/>
          </w:tcPr>
          <w:p w14:paraId="3959F974">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5</w:t>
            </w:r>
          </w:p>
        </w:tc>
      </w:tr>
      <w:tr w14:paraId="689B609B">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650" w:hRule="atLeast"/>
          <w:jc w:val="center"/>
        </w:trPr>
        <w:tc>
          <w:tcPr>
            <w:tcW w:w="298" w:type="pct"/>
            <w:tcBorders>
              <w:tl2br w:val="nil"/>
              <w:tr2bl w:val="nil"/>
            </w:tcBorders>
            <w:noWrap w:val="0"/>
            <w:vAlign w:val="center"/>
          </w:tcPr>
          <w:p w14:paraId="37265EF7">
            <w:pPr>
              <w:widowControl/>
              <w:adjustRightInd w:val="0"/>
              <w:snapToGrid w:val="0"/>
              <w:spacing w:line="240" w:lineRule="auto"/>
              <w:jc w:val="center"/>
              <w:textAlignment w:val="center"/>
              <w:rPr>
                <w:rFonts w:hint="default" w:ascii="Times New Roman" w:hAnsi="Times New Roman" w:eastAsia="宋体" w:cs="Times New Roman"/>
                <w:b w:val="0"/>
                <w:bCs w:val="0"/>
                <w:color w:val="auto"/>
                <w:sz w:val="18"/>
                <w:szCs w:val="18"/>
                <w:highlight w:val="none"/>
                <w:lang w:val="en-US" w:eastAsia="zh-CN" w:bidi="ar-SA"/>
              </w:rPr>
            </w:pPr>
          </w:p>
        </w:tc>
        <w:tc>
          <w:tcPr>
            <w:tcW w:w="390" w:type="pct"/>
            <w:tcBorders>
              <w:tl2br w:val="nil"/>
              <w:tr2bl w:val="nil"/>
            </w:tcBorders>
            <w:noWrap w:val="0"/>
            <w:vAlign w:val="center"/>
          </w:tcPr>
          <w:p w14:paraId="2CE6DE6C">
            <w:pPr>
              <w:adjustRightInd w:val="0"/>
              <w:snapToGrid w:val="0"/>
              <w:spacing w:line="240" w:lineRule="auto"/>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其它</w:t>
            </w:r>
          </w:p>
        </w:tc>
        <w:tc>
          <w:tcPr>
            <w:tcW w:w="494" w:type="pct"/>
            <w:tcBorders>
              <w:tl2br w:val="nil"/>
              <w:tr2bl w:val="nil"/>
            </w:tcBorders>
            <w:noWrap w:val="0"/>
            <w:vAlign w:val="center"/>
          </w:tcPr>
          <w:p w14:paraId="4293B239">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环境监测费用</w:t>
            </w:r>
          </w:p>
        </w:tc>
        <w:tc>
          <w:tcPr>
            <w:tcW w:w="2760" w:type="pct"/>
            <w:tcBorders>
              <w:tl2br w:val="nil"/>
              <w:tr2bl w:val="nil"/>
            </w:tcBorders>
            <w:noWrap w:val="0"/>
            <w:vAlign w:val="center"/>
          </w:tcPr>
          <w:p w14:paraId="5900F0D5">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地下水、土壤</w:t>
            </w:r>
          </w:p>
        </w:tc>
        <w:tc>
          <w:tcPr>
            <w:tcW w:w="528" w:type="pct"/>
            <w:tcBorders>
              <w:tl2br w:val="nil"/>
              <w:tr2bl w:val="nil"/>
            </w:tcBorders>
            <w:noWrap w:val="0"/>
            <w:vAlign w:val="center"/>
          </w:tcPr>
          <w:p w14:paraId="747CA20A">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p>
        </w:tc>
        <w:tc>
          <w:tcPr>
            <w:tcW w:w="528" w:type="pct"/>
            <w:tcBorders>
              <w:tl2br w:val="nil"/>
              <w:tr2bl w:val="nil"/>
            </w:tcBorders>
            <w:noWrap w:val="0"/>
            <w:vAlign w:val="center"/>
          </w:tcPr>
          <w:p w14:paraId="4DEE7C14">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5</w:t>
            </w:r>
          </w:p>
        </w:tc>
      </w:tr>
      <w:tr w14:paraId="52B66328">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170" w:hRule="atLeast"/>
          <w:jc w:val="center"/>
        </w:trPr>
        <w:tc>
          <w:tcPr>
            <w:tcW w:w="3943" w:type="pct"/>
            <w:gridSpan w:val="4"/>
            <w:vMerge w:val="restart"/>
            <w:tcBorders>
              <w:tl2br w:val="nil"/>
              <w:tr2bl w:val="nil"/>
            </w:tcBorders>
            <w:noWrap w:val="0"/>
            <w:vAlign w:val="center"/>
          </w:tcPr>
          <w:p w14:paraId="02BDCEBF">
            <w:pPr>
              <w:adjustRightInd w:val="0"/>
              <w:snapToGrid w:val="0"/>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合计</w:t>
            </w:r>
          </w:p>
        </w:tc>
        <w:tc>
          <w:tcPr>
            <w:tcW w:w="528" w:type="pct"/>
            <w:tcBorders>
              <w:tl2br w:val="nil"/>
              <w:tr2bl w:val="nil"/>
            </w:tcBorders>
            <w:noWrap w:val="0"/>
            <w:vAlign w:val="center"/>
          </w:tcPr>
          <w:p w14:paraId="50E3743F">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1.4</w:t>
            </w:r>
          </w:p>
        </w:tc>
        <w:tc>
          <w:tcPr>
            <w:tcW w:w="528" w:type="pct"/>
            <w:tcBorders>
              <w:tl2br w:val="nil"/>
              <w:tr2bl w:val="nil"/>
            </w:tcBorders>
            <w:noWrap w:val="0"/>
            <w:vAlign w:val="center"/>
          </w:tcPr>
          <w:p w14:paraId="2D244EEE">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63.5</w:t>
            </w:r>
          </w:p>
        </w:tc>
      </w:tr>
      <w:tr w14:paraId="24B63EE5">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170" w:hRule="atLeast"/>
          <w:jc w:val="center"/>
        </w:trPr>
        <w:tc>
          <w:tcPr>
            <w:tcW w:w="3943" w:type="pct"/>
            <w:gridSpan w:val="4"/>
            <w:vMerge w:val="continue"/>
            <w:tcBorders>
              <w:tl2br w:val="nil"/>
              <w:tr2bl w:val="nil"/>
            </w:tcBorders>
            <w:noWrap w:val="0"/>
            <w:vAlign w:val="center"/>
          </w:tcPr>
          <w:p w14:paraId="0208A45C">
            <w:pPr>
              <w:widowControl/>
              <w:adjustRightInd w:val="0"/>
              <w:snapToGrid w:val="0"/>
              <w:spacing w:line="240" w:lineRule="auto"/>
              <w:jc w:val="center"/>
              <w:textAlignment w:val="center"/>
              <w:rPr>
                <w:rFonts w:hint="default" w:ascii="Times New Roman" w:hAnsi="Times New Roman" w:cs="Times New Roman"/>
              </w:rPr>
            </w:pPr>
          </w:p>
        </w:tc>
        <w:tc>
          <w:tcPr>
            <w:tcW w:w="1056" w:type="pct"/>
            <w:gridSpan w:val="2"/>
            <w:tcBorders>
              <w:tl2br w:val="nil"/>
              <w:tr2bl w:val="nil"/>
            </w:tcBorders>
            <w:noWrap w:val="0"/>
            <w:vAlign w:val="center"/>
          </w:tcPr>
          <w:p w14:paraId="44C46AE5">
            <w:pPr>
              <w:widowControl/>
              <w:adjustRightInd w:val="0"/>
              <w:snapToGrid w:val="0"/>
              <w:spacing w:line="240" w:lineRule="auto"/>
              <w:jc w:val="center"/>
              <w:textAlignment w:val="center"/>
              <w:rPr>
                <w:rFonts w:hint="default" w:ascii="Times New Roman" w:hAnsi="Times New Roman"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69.9</w:t>
            </w:r>
          </w:p>
        </w:tc>
      </w:tr>
    </w:tbl>
    <w:p w14:paraId="6236C4B5">
      <w:pPr>
        <w:spacing w:line="360" w:lineRule="auto"/>
        <w:ind w:firstLine="490" w:firstLineChars="200"/>
        <w:jc w:val="both"/>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cs="Times New Roman"/>
          <w:color w:val="auto"/>
          <w:sz w:val="24"/>
          <w:highlight w:val="none"/>
        </w:rPr>
        <w:t>本项目通过</w:t>
      </w:r>
      <w:r>
        <w:rPr>
          <w:rFonts w:hint="default" w:ascii="Times New Roman" w:hAnsi="Times New Roman" w:cs="Times New Roman"/>
          <w:color w:val="auto"/>
          <w:sz w:val="24"/>
          <w:highlight w:val="none"/>
          <w:lang w:val="en-US" w:eastAsia="zh-CN"/>
        </w:rPr>
        <w:t>采取</w:t>
      </w:r>
      <w:r>
        <w:rPr>
          <w:rFonts w:hint="default" w:ascii="Times New Roman" w:hAnsi="Times New Roman" w:cs="Times New Roman"/>
          <w:color w:val="auto"/>
          <w:sz w:val="24"/>
          <w:highlight w:val="none"/>
        </w:rPr>
        <w:t>环保措施</w:t>
      </w:r>
      <w:r>
        <w:rPr>
          <w:rFonts w:hint="default" w:ascii="Times New Roman" w:hAnsi="Times New Roman" w:cs="Times New Roman"/>
          <w:color w:val="auto"/>
          <w:sz w:val="24"/>
          <w:highlight w:val="none"/>
          <w:lang w:val="en-US" w:eastAsia="zh-CN"/>
        </w:rPr>
        <w:t>后</w:t>
      </w:r>
      <w:r>
        <w:rPr>
          <w:rFonts w:hint="default" w:ascii="Times New Roman" w:hAnsi="Times New Roman" w:cs="Times New Roman"/>
          <w:color w:val="auto"/>
          <w:sz w:val="24"/>
          <w:highlight w:val="none"/>
        </w:rPr>
        <w:t>污染物</w:t>
      </w:r>
      <w:r>
        <w:rPr>
          <w:rFonts w:hint="default" w:ascii="Times New Roman" w:hAnsi="Times New Roman" w:cs="Times New Roman"/>
          <w:color w:val="auto"/>
          <w:sz w:val="24"/>
          <w:highlight w:val="none"/>
          <w:lang w:val="en-US" w:eastAsia="zh-CN"/>
        </w:rPr>
        <w:t>可</w:t>
      </w:r>
      <w:r>
        <w:rPr>
          <w:rFonts w:hint="default" w:ascii="Times New Roman" w:hAnsi="Times New Roman" w:cs="Times New Roman"/>
          <w:color w:val="auto"/>
          <w:sz w:val="24"/>
          <w:highlight w:val="none"/>
        </w:rPr>
        <w:t>达标排放，大幅度削减了污染物，减轻了环境污染。本项目环保投资可见，环保投资有重点，针对性强，环境效益明显，符合以较少的环保投资取得较大的环境效益的原则。</w:t>
      </w:r>
    </w:p>
    <w:p w14:paraId="5D5899D4">
      <w:pPr>
        <w:pStyle w:val="5"/>
        <w:bidi w:val="0"/>
        <w:rPr>
          <w:rFonts w:hint="default" w:ascii="Times New Roman" w:hAnsi="Times New Roman" w:cs="Times New Roman"/>
          <w:lang w:val="en-US" w:eastAsia="zh-CN"/>
        </w:rPr>
      </w:pPr>
      <w:bookmarkStart w:id="739" w:name="_Toc17174"/>
      <w:bookmarkStart w:id="740" w:name="_Toc16660"/>
      <w:bookmarkStart w:id="741" w:name="_Toc27266"/>
      <w:bookmarkStart w:id="742" w:name="_Toc15339"/>
      <w:bookmarkStart w:id="743" w:name="_Toc26106"/>
      <w:bookmarkStart w:id="744" w:name="_Toc14806"/>
      <w:bookmarkStart w:id="745" w:name="_Toc2493"/>
      <w:bookmarkStart w:id="746" w:name="_Toc27246"/>
      <w:bookmarkStart w:id="747" w:name="_Toc21981"/>
      <w:r>
        <w:rPr>
          <w:rFonts w:hint="default" w:ascii="Times New Roman" w:hAnsi="Times New Roman" w:cs="Times New Roman"/>
          <w:lang w:val="en-US" w:eastAsia="zh-CN"/>
        </w:rPr>
        <w:t>9.2环境经济效益分析</w:t>
      </w:r>
      <w:bookmarkEnd w:id="739"/>
      <w:bookmarkEnd w:id="740"/>
      <w:bookmarkEnd w:id="741"/>
      <w:bookmarkEnd w:id="742"/>
      <w:bookmarkEnd w:id="743"/>
      <w:bookmarkEnd w:id="744"/>
      <w:bookmarkEnd w:id="745"/>
    </w:p>
    <w:p w14:paraId="67B182E3">
      <w:pPr>
        <w:pStyle w:val="6"/>
        <w:bidi w:val="0"/>
        <w:rPr>
          <w:rFonts w:hint="default" w:ascii="Times New Roman" w:hAnsi="Times New Roman" w:cs="Times New Roman"/>
          <w:lang w:val="en-US" w:eastAsia="zh-CN"/>
        </w:rPr>
      </w:pPr>
      <w:bookmarkStart w:id="748" w:name="_Toc4847"/>
      <w:bookmarkStart w:id="749" w:name="_Toc32641"/>
      <w:bookmarkStart w:id="750" w:name="_Toc26064"/>
      <w:r>
        <w:rPr>
          <w:rFonts w:hint="default" w:ascii="Times New Roman" w:hAnsi="Times New Roman" w:cs="Times New Roman"/>
          <w:lang w:val="en-US" w:eastAsia="zh-CN"/>
        </w:rPr>
        <w:t>9.2.1环保投资与建设项目总投资比例</w:t>
      </w:r>
      <w:bookmarkEnd w:id="748"/>
      <w:bookmarkEnd w:id="749"/>
      <w:bookmarkEnd w:id="750"/>
    </w:p>
    <w:p w14:paraId="61478C43">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INCLUDEPICTURE "C:\\Users\\ADMINI~1\\AppData\\Local\\Temp\\ksohtml7832\\wps1.png" \* MERGEFORMATINET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drawing>
          <wp:inline distT="0" distB="0" distL="114300" distR="114300">
            <wp:extent cx="1182370" cy="477520"/>
            <wp:effectExtent l="0" t="0" r="0" b="17780"/>
            <wp:docPr id="13" name="图片 2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wps1"/>
                    <pic:cNvPicPr>
                      <a:picLocks noChangeAspect="1"/>
                    </pic:cNvPicPr>
                  </pic:nvPicPr>
                  <pic:blipFill>
                    <a:blip r:embed="rId53"/>
                    <a:stretch>
                      <a:fillRect/>
                    </a:stretch>
                  </pic:blipFill>
                  <pic:spPr>
                    <a:xfrm>
                      <a:off x="0" y="0"/>
                      <a:ext cx="1182370" cy="477520"/>
                    </a:xfrm>
                    <a:prstGeom prst="rect">
                      <a:avLst/>
                    </a:prstGeom>
                    <a:noFill/>
                    <a:ln>
                      <a:noFill/>
                    </a:ln>
                  </pic:spPr>
                </pic:pic>
              </a:graphicData>
            </a:graphic>
          </wp:inline>
        </w:drawing>
      </w:r>
      <w:r>
        <w:rPr>
          <w:rFonts w:hint="default" w:ascii="Times New Roman" w:hAnsi="Times New Roman" w:cs="Times New Roman"/>
          <w:color w:val="auto"/>
          <w:highlight w:val="none"/>
        </w:rPr>
        <w:fldChar w:fldCharType="end"/>
      </w:r>
    </w:p>
    <w:p w14:paraId="726BC25C">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式中：H</w:t>
      </w:r>
      <w:r>
        <w:rPr>
          <w:rFonts w:hint="default" w:ascii="Times New Roman" w:hAnsi="Times New Roman" w:cs="Times New Roman"/>
          <w:color w:val="auto"/>
          <w:sz w:val="24"/>
          <w:highlight w:val="none"/>
          <w:vertAlign w:val="subscript"/>
        </w:rPr>
        <w:t>T</w:t>
      </w:r>
      <w:r>
        <w:rPr>
          <w:rFonts w:hint="default" w:ascii="Times New Roman" w:hAnsi="Times New Roman" w:cs="Times New Roman"/>
          <w:color w:val="auto"/>
          <w:sz w:val="24"/>
          <w:highlight w:val="none"/>
        </w:rPr>
        <w:t>—环保投资；</w:t>
      </w:r>
    </w:p>
    <w:p w14:paraId="125A377A">
      <w:pPr>
        <w:keepNext w:val="0"/>
        <w:keepLines w:val="0"/>
        <w:pageBreakBefore w:val="0"/>
        <w:widowControl w:val="0"/>
        <w:kinsoku/>
        <w:wordWrap/>
        <w:overflowPunct/>
        <w:topLinePunct w:val="0"/>
        <w:autoSpaceDE/>
        <w:autoSpaceDN/>
        <w:bidi w:val="0"/>
        <w:adjustRightInd/>
        <w:snapToGrid/>
        <w:spacing w:line="360" w:lineRule="auto"/>
        <w:ind w:firstLine="1225" w:firstLineChars="5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J</w:t>
      </w:r>
      <w:r>
        <w:rPr>
          <w:rFonts w:hint="default" w:ascii="Times New Roman" w:hAnsi="Times New Roman" w:cs="Times New Roman"/>
          <w:color w:val="auto"/>
          <w:sz w:val="24"/>
          <w:highlight w:val="none"/>
          <w:vertAlign w:val="subscript"/>
        </w:rPr>
        <w:t>T</w:t>
      </w:r>
      <w:r>
        <w:rPr>
          <w:rFonts w:hint="default" w:ascii="Times New Roman" w:hAnsi="Times New Roman" w:cs="Times New Roman"/>
          <w:color w:val="auto"/>
          <w:sz w:val="24"/>
          <w:highlight w:val="none"/>
        </w:rPr>
        <w:t>—建设项目总投资。</w:t>
      </w:r>
    </w:p>
    <w:p w14:paraId="7BB1CDC7">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项目总投资</w:t>
      </w:r>
      <w:r>
        <w:rPr>
          <w:rFonts w:hint="default" w:ascii="Times New Roman" w:hAnsi="Times New Roman" w:cs="Times New Roman"/>
          <w:color w:val="auto"/>
          <w:sz w:val="24"/>
          <w:highlight w:val="none"/>
          <w:lang w:val="en-US" w:eastAsia="zh-CN"/>
        </w:rPr>
        <w:t>330</w:t>
      </w:r>
      <w:r>
        <w:rPr>
          <w:rFonts w:hint="default" w:ascii="Times New Roman" w:hAnsi="Times New Roman" w:cs="Times New Roman"/>
          <w:color w:val="auto"/>
          <w:sz w:val="24"/>
          <w:highlight w:val="none"/>
        </w:rPr>
        <w:t>万元，环保投资为</w:t>
      </w:r>
      <w:r>
        <w:rPr>
          <w:rFonts w:hint="default" w:ascii="Times New Roman" w:hAnsi="Times New Roman" w:cs="Times New Roman"/>
          <w:color w:val="auto"/>
          <w:sz w:val="24"/>
          <w:highlight w:val="none"/>
          <w:lang w:val="en-US" w:eastAsia="zh-CN"/>
        </w:rPr>
        <w:t>69.9</w:t>
      </w:r>
      <w:r>
        <w:rPr>
          <w:rFonts w:hint="default" w:ascii="Times New Roman" w:hAnsi="Times New Roman" w:cs="Times New Roman"/>
          <w:color w:val="auto"/>
          <w:sz w:val="24"/>
          <w:highlight w:val="none"/>
        </w:rPr>
        <w:t>万元，按上式计算</w:t>
      </w:r>
      <w:r>
        <w:rPr>
          <w:rFonts w:hint="default" w:ascii="Times New Roman" w:hAnsi="Times New Roman" w:eastAsia="TimesNewRomanPSMT" w:cs="Times New Roman"/>
          <w:color w:val="auto"/>
          <w:sz w:val="24"/>
          <w:highlight w:val="none"/>
        </w:rPr>
        <w:t>Hj</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val="en-US" w:eastAsia="zh-CN"/>
        </w:rPr>
        <w:t>21.18</w:t>
      </w:r>
      <w:r>
        <w:rPr>
          <w:rFonts w:hint="default" w:ascii="Times New Roman" w:hAnsi="Times New Roman" w:eastAsia="TimesNewRomanPSMT" w:cs="Times New Roman"/>
          <w:color w:val="auto"/>
          <w:sz w:val="24"/>
          <w:highlight w:val="none"/>
        </w:rPr>
        <w:t>%</w:t>
      </w:r>
      <w:r>
        <w:rPr>
          <w:rFonts w:hint="default" w:ascii="Times New Roman" w:hAnsi="Times New Roman" w:cs="Times New Roman"/>
          <w:color w:val="auto"/>
          <w:sz w:val="24"/>
          <w:highlight w:val="none"/>
        </w:rPr>
        <w:t>，所占比例合适。</w:t>
      </w:r>
    </w:p>
    <w:p w14:paraId="1F00DC03">
      <w:pPr>
        <w:pStyle w:val="6"/>
        <w:bidi w:val="0"/>
        <w:rPr>
          <w:rFonts w:hint="default" w:ascii="Times New Roman" w:hAnsi="Times New Roman" w:cs="Times New Roman"/>
          <w:lang w:val="en-US" w:eastAsia="zh-CN"/>
        </w:rPr>
      </w:pPr>
      <w:bookmarkStart w:id="751" w:name="_Toc8053"/>
      <w:bookmarkStart w:id="752" w:name="_Toc2776"/>
      <w:bookmarkStart w:id="753" w:name="_Toc17921"/>
      <w:r>
        <w:rPr>
          <w:rFonts w:hint="default" w:ascii="Times New Roman" w:hAnsi="Times New Roman" w:cs="Times New Roman"/>
          <w:lang w:val="en-US" w:eastAsia="zh-CN"/>
        </w:rPr>
        <w:t>9.2.2年环保费用的经济效益分析</w:t>
      </w:r>
      <w:bookmarkEnd w:id="751"/>
      <w:bookmarkEnd w:id="752"/>
      <w:bookmarkEnd w:id="753"/>
    </w:p>
    <w:p w14:paraId="0C73B5CC">
      <w:pPr>
        <w:spacing w:line="360" w:lineRule="auto"/>
        <w:ind w:firstLine="49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根据工程分析，采取各项治理措施后，</w:t>
      </w:r>
      <w:r>
        <w:rPr>
          <w:rFonts w:hint="default" w:ascii="Times New Roman" w:hAnsi="Times New Roman" w:cs="Times New Roman"/>
          <w:color w:val="auto"/>
          <w:sz w:val="24"/>
          <w:highlight w:val="none"/>
          <w:lang w:val="en-US" w:eastAsia="zh-CN"/>
        </w:rPr>
        <w:t>本</w:t>
      </w:r>
      <w:r>
        <w:rPr>
          <w:rFonts w:hint="default" w:ascii="Times New Roman" w:hAnsi="Times New Roman" w:cs="Times New Roman"/>
          <w:color w:val="auto"/>
          <w:sz w:val="24"/>
          <w:highlight w:val="none"/>
        </w:rPr>
        <w:t>项目的各污染物的排放浓度均能达到相关标准的要求，有效地消减了污染物的排放量，所以</w:t>
      </w:r>
      <w:r>
        <w:rPr>
          <w:rFonts w:hint="default" w:ascii="Times New Roman" w:hAnsi="Times New Roman" w:cs="Times New Roman"/>
          <w:color w:val="auto"/>
          <w:sz w:val="24"/>
          <w:highlight w:val="none"/>
          <w:lang w:val="en-US" w:eastAsia="zh-CN"/>
        </w:rPr>
        <w:t>本</w:t>
      </w:r>
      <w:r>
        <w:rPr>
          <w:rFonts w:hint="default" w:ascii="Times New Roman" w:hAnsi="Times New Roman" w:cs="Times New Roman"/>
          <w:color w:val="auto"/>
          <w:sz w:val="24"/>
          <w:highlight w:val="none"/>
        </w:rPr>
        <w:t>项目的环保投资是合理的，在实现经济效益的同时，也保护了环境。</w:t>
      </w:r>
    </w:p>
    <w:p w14:paraId="3FA99B35">
      <w:pPr>
        <w:spacing w:line="360" w:lineRule="auto"/>
        <w:ind w:firstLine="490" w:firstLineChars="200"/>
        <w:jc w:val="left"/>
        <w:rPr>
          <w:rFonts w:hint="default" w:ascii="Times New Roman" w:hAnsi="Times New Roman" w:cs="Times New Roman"/>
          <w:sz w:val="24"/>
        </w:rPr>
      </w:pPr>
      <w:bookmarkStart w:id="754" w:name="_Toc12102"/>
      <w:bookmarkStart w:id="755" w:name="_Toc12590"/>
      <w:r>
        <w:rPr>
          <w:rFonts w:hint="default" w:ascii="Times New Roman" w:hAnsi="Times New Roman" w:cs="Times New Roman"/>
          <w:sz w:val="24"/>
        </w:rPr>
        <w:t>（</w:t>
      </w:r>
      <w:r>
        <w:rPr>
          <w:rFonts w:hint="default" w:ascii="Times New Roman" w:hAnsi="Times New Roman" w:eastAsia="TimesNewRomanPSMT" w:cs="Times New Roman"/>
          <w:sz w:val="24"/>
        </w:rPr>
        <w:t>1</w:t>
      </w:r>
      <w:r>
        <w:rPr>
          <w:rFonts w:hint="default" w:ascii="Times New Roman" w:hAnsi="Times New Roman" w:cs="Times New Roman"/>
          <w:sz w:val="24"/>
        </w:rPr>
        <w:t>）正效益</w:t>
      </w:r>
    </w:p>
    <w:p w14:paraId="11BEC2FF">
      <w:pPr>
        <w:spacing w:line="360" w:lineRule="auto"/>
        <w:ind w:firstLine="490" w:firstLineChars="200"/>
        <w:jc w:val="left"/>
        <w:rPr>
          <w:rFonts w:hint="default" w:ascii="Times New Roman" w:hAnsi="Times New Roman" w:cs="Times New Roman"/>
          <w:sz w:val="24"/>
        </w:rPr>
      </w:pPr>
      <w:r>
        <w:rPr>
          <w:rFonts w:hint="default" w:ascii="Times New Roman" w:hAnsi="Times New Roman" w:cs="Times New Roman"/>
          <w:sz w:val="24"/>
        </w:rPr>
        <w:t>环境保护正效益就是指拟建环境保护污染控制工程投资费用所能获取的效益，它一般包括直接经济效益和间接经济效益。直接经济效益是环保设施投资所能提供的效益。对本工程而言，直接经济效益主要体现在</w:t>
      </w:r>
      <w:r>
        <w:rPr>
          <w:rFonts w:hint="default" w:ascii="Times New Roman" w:hAnsi="Times New Roman" w:cs="Times New Roman"/>
          <w:sz w:val="24"/>
          <w:lang w:val="en-US" w:eastAsia="zh-CN"/>
        </w:rPr>
        <w:t>生活污</w:t>
      </w:r>
      <w:r>
        <w:rPr>
          <w:rFonts w:hint="default" w:ascii="Times New Roman" w:hAnsi="Times New Roman" w:cs="Times New Roman"/>
          <w:sz w:val="24"/>
        </w:rPr>
        <w:t>水经处理后，用于洒水降尘、绿化，年回用量</w:t>
      </w:r>
      <w:r>
        <w:rPr>
          <w:rFonts w:hint="default" w:ascii="Times New Roman" w:hAnsi="Times New Roman" w:cs="Times New Roman"/>
          <w:sz w:val="24"/>
          <w:lang w:val="en-US" w:eastAsia="zh-CN"/>
        </w:rPr>
        <w:t>120</w:t>
      </w:r>
      <w:r>
        <w:rPr>
          <w:rFonts w:hint="default" w:ascii="Times New Roman" w:hAnsi="Times New Roman" w:eastAsia="TimesNewRomanPSMT" w:cs="Times New Roman"/>
          <w:sz w:val="24"/>
        </w:rPr>
        <w:t>m</w:t>
      </w:r>
      <w:r>
        <w:rPr>
          <w:rFonts w:hint="default" w:ascii="Times New Roman" w:hAnsi="Times New Roman" w:eastAsia="TimesNewRomanPSMT" w:cs="Times New Roman"/>
          <w:sz w:val="24"/>
          <w:vertAlign w:val="superscript"/>
        </w:rPr>
        <w:t>3</w:t>
      </w:r>
      <w:r>
        <w:rPr>
          <w:rFonts w:hint="default" w:ascii="Times New Roman" w:hAnsi="Times New Roman" w:eastAsia="TimesNewRomanPSMT" w:cs="Times New Roman"/>
          <w:sz w:val="24"/>
        </w:rPr>
        <w:t>/a</w:t>
      </w:r>
      <w:r>
        <w:rPr>
          <w:rFonts w:hint="default" w:ascii="Times New Roman" w:hAnsi="Times New Roman" w:cs="Times New Roman"/>
          <w:sz w:val="24"/>
        </w:rPr>
        <w:t>。按水价3.0元</w:t>
      </w:r>
      <w:r>
        <w:rPr>
          <w:rFonts w:hint="default" w:ascii="Times New Roman" w:hAnsi="Times New Roman" w:eastAsia="TimesNewRomanPSMT" w:cs="Times New Roman"/>
          <w:sz w:val="24"/>
        </w:rPr>
        <w:t>/t</w:t>
      </w:r>
      <w:r>
        <w:rPr>
          <w:rFonts w:hint="default" w:ascii="Times New Roman" w:hAnsi="Times New Roman" w:cs="Times New Roman"/>
          <w:sz w:val="24"/>
        </w:rPr>
        <w:t>计算，水回用带来的直接经济效益为</w:t>
      </w:r>
      <w:r>
        <w:rPr>
          <w:rFonts w:hint="default" w:ascii="Times New Roman" w:hAnsi="Times New Roman" w:cs="Times New Roman"/>
          <w:sz w:val="24"/>
          <w:lang w:val="en-US" w:eastAsia="zh-CN"/>
        </w:rPr>
        <w:t>360</w:t>
      </w:r>
      <w:r>
        <w:rPr>
          <w:rFonts w:hint="default" w:ascii="Times New Roman" w:hAnsi="Times New Roman" w:cs="Times New Roman"/>
          <w:sz w:val="24"/>
        </w:rPr>
        <w:t>元</w:t>
      </w:r>
      <w:r>
        <w:rPr>
          <w:rFonts w:hint="default" w:ascii="Times New Roman" w:hAnsi="Times New Roman" w:eastAsia="TimesNewRomanPSMT" w:cs="Times New Roman"/>
          <w:sz w:val="24"/>
        </w:rPr>
        <w:t>/a</w:t>
      </w:r>
      <w:r>
        <w:rPr>
          <w:rFonts w:hint="default" w:ascii="Times New Roman" w:hAnsi="Times New Roman" w:cs="Times New Roman"/>
          <w:sz w:val="24"/>
        </w:rPr>
        <w:t>。</w:t>
      </w:r>
    </w:p>
    <w:p w14:paraId="05C4CB3D">
      <w:pPr>
        <w:spacing w:line="360" w:lineRule="auto"/>
        <w:ind w:firstLine="490" w:firstLineChars="200"/>
        <w:jc w:val="left"/>
        <w:rPr>
          <w:rFonts w:hint="default" w:ascii="Times New Roman" w:hAnsi="Times New Roman" w:eastAsia="TimesNewRomanPS-BoldMT" w:cs="Times New Roman"/>
          <w:sz w:val="24"/>
        </w:rPr>
      </w:pPr>
      <w:r>
        <w:rPr>
          <w:rFonts w:hint="default" w:ascii="Times New Roman" w:hAnsi="Times New Roman" w:cs="Times New Roman"/>
          <w:sz w:val="24"/>
        </w:rPr>
        <w:t>间接经济效益是指环保设施实施后产生的社会效益，包括环境污染所造成损失的减少、人体健康水平的提高、污染达标后免交的排污费、罚款、赔偿费等。但大部分效益难以用货币量化。对本项目而言，间接经济效益主要体现在污染达标、排放量减少等所减少的排污费，按照国家颁布的《中华人民共和国环境保护税法》（</w:t>
      </w:r>
      <w:r>
        <w:rPr>
          <w:rFonts w:hint="default" w:ascii="Times New Roman" w:hAnsi="Times New Roman" w:eastAsia="TimesNewRomanPSMT" w:cs="Times New Roman"/>
          <w:sz w:val="24"/>
        </w:rPr>
        <w:t>2018</w:t>
      </w:r>
      <w:r>
        <w:rPr>
          <w:rFonts w:hint="default" w:ascii="Times New Roman" w:hAnsi="Times New Roman" w:cs="Times New Roman"/>
          <w:sz w:val="24"/>
        </w:rPr>
        <w:t>年1月</w:t>
      </w:r>
      <w:r>
        <w:rPr>
          <w:rFonts w:hint="default" w:ascii="Times New Roman" w:hAnsi="Times New Roman" w:eastAsia="TimesNewRomanPSMT" w:cs="Times New Roman"/>
          <w:sz w:val="24"/>
        </w:rPr>
        <w:t>1</w:t>
      </w:r>
      <w:r>
        <w:rPr>
          <w:rFonts w:hint="default" w:ascii="Times New Roman" w:hAnsi="Times New Roman" w:cs="Times New Roman"/>
          <w:sz w:val="24"/>
        </w:rPr>
        <w:t>日起实施）及《云南省人民代表大会常务委员会关于环境保护税云南省适用税额和应税污染物项目数的决定》中的税额规定对本项目进行了税额核算，见表</w:t>
      </w:r>
      <w:r>
        <w:rPr>
          <w:rFonts w:hint="default" w:ascii="Times New Roman" w:hAnsi="Times New Roman" w:eastAsia="TimesNewRomanPSMT" w:cs="Times New Roman"/>
          <w:sz w:val="24"/>
          <w:lang w:val="en-US" w:eastAsia="zh-CN"/>
        </w:rPr>
        <w:t>9</w:t>
      </w:r>
      <w:r>
        <w:rPr>
          <w:rFonts w:hint="default" w:ascii="Times New Roman" w:hAnsi="Times New Roman" w:eastAsia="TimesNewRomanPSMT" w:cs="Times New Roman"/>
          <w:sz w:val="24"/>
        </w:rPr>
        <w:t>.2.2-1</w:t>
      </w:r>
      <w:r>
        <w:rPr>
          <w:rFonts w:hint="default" w:ascii="Times New Roman" w:hAnsi="Times New Roman" w:cs="Times New Roman"/>
          <w:sz w:val="24"/>
        </w:rPr>
        <w:t>。</w:t>
      </w:r>
    </w:p>
    <w:p w14:paraId="7966EC14">
      <w:pPr>
        <w:adjustRightInd w:val="0"/>
        <w:snapToGrid w:val="0"/>
        <w:ind w:firstLine="482"/>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default" w:ascii="Times New Roman" w:hAnsi="Times New Roman" w:eastAsia="黑体" w:cs="Times New Roman"/>
          <w:sz w:val="21"/>
          <w:szCs w:val="21"/>
          <w:lang w:val="en-US" w:eastAsia="zh-CN"/>
        </w:rPr>
        <w:t>9</w:t>
      </w:r>
      <w:r>
        <w:rPr>
          <w:rFonts w:hint="default" w:ascii="Times New Roman" w:hAnsi="Times New Roman" w:eastAsia="黑体" w:cs="Times New Roman"/>
          <w:sz w:val="21"/>
          <w:szCs w:val="21"/>
        </w:rPr>
        <w:t>.2.2-1  项目环保税金核算</w:t>
      </w:r>
    </w:p>
    <w:tbl>
      <w:tblPr>
        <w:tblStyle w:val="29"/>
        <w:tblpPr w:leftFromText="180" w:rightFromText="180" w:vertAnchor="text" w:horzAnchor="page" w:tblpX="1421" w:tblpY="280"/>
        <w:tblOverlap w:val="never"/>
        <w:tblW w:w="4996"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07"/>
        <w:gridCol w:w="682"/>
        <w:gridCol w:w="568"/>
        <w:gridCol w:w="1049"/>
        <w:gridCol w:w="845"/>
        <w:gridCol w:w="825"/>
        <w:gridCol w:w="800"/>
        <w:gridCol w:w="921"/>
        <w:gridCol w:w="984"/>
        <w:gridCol w:w="1126"/>
        <w:gridCol w:w="874"/>
      </w:tblGrid>
      <w:tr w14:paraId="15AF06A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27" w:type="pct"/>
            <w:vMerge w:val="restart"/>
            <w:tcBorders>
              <w:tl2br w:val="nil"/>
              <w:tr2bl w:val="nil"/>
            </w:tcBorders>
            <w:noWrap w:val="0"/>
            <w:vAlign w:val="center"/>
          </w:tcPr>
          <w:p w14:paraId="6B04079B">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项目</w:t>
            </w:r>
          </w:p>
        </w:tc>
        <w:tc>
          <w:tcPr>
            <w:tcW w:w="367" w:type="pct"/>
            <w:vMerge w:val="restart"/>
            <w:tcBorders>
              <w:tl2br w:val="nil"/>
              <w:tr2bl w:val="nil"/>
            </w:tcBorders>
            <w:noWrap w:val="0"/>
            <w:vAlign w:val="center"/>
          </w:tcPr>
          <w:p w14:paraId="7E207BB6">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污染物</w:t>
            </w:r>
          </w:p>
        </w:tc>
        <w:tc>
          <w:tcPr>
            <w:tcW w:w="306" w:type="pct"/>
            <w:vMerge w:val="restart"/>
            <w:tcBorders>
              <w:tl2br w:val="nil"/>
              <w:tr2bl w:val="nil"/>
            </w:tcBorders>
            <w:noWrap w:val="0"/>
            <w:vAlign w:val="center"/>
          </w:tcPr>
          <w:p w14:paraId="2855C06A">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当量值kg</w:t>
            </w:r>
          </w:p>
        </w:tc>
        <w:tc>
          <w:tcPr>
            <w:tcW w:w="565" w:type="pct"/>
            <w:vMerge w:val="restart"/>
            <w:tcBorders>
              <w:tl2br w:val="nil"/>
              <w:tr2bl w:val="nil"/>
            </w:tcBorders>
            <w:noWrap w:val="0"/>
            <w:vAlign w:val="center"/>
          </w:tcPr>
          <w:p w14:paraId="7EFDB28C">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税额元/当量</w:t>
            </w:r>
          </w:p>
        </w:tc>
        <w:tc>
          <w:tcPr>
            <w:tcW w:w="1330" w:type="pct"/>
            <w:gridSpan w:val="3"/>
            <w:tcBorders>
              <w:tl2br w:val="nil"/>
              <w:tr2bl w:val="nil"/>
            </w:tcBorders>
            <w:noWrap w:val="0"/>
            <w:vAlign w:val="center"/>
          </w:tcPr>
          <w:p w14:paraId="66F0606C">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治理前</w:t>
            </w:r>
          </w:p>
        </w:tc>
        <w:tc>
          <w:tcPr>
            <w:tcW w:w="1632" w:type="pct"/>
            <w:gridSpan w:val="3"/>
            <w:tcBorders>
              <w:tl2br w:val="nil"/>
              <w:tr2bl w:val="nil"/>
            </w:tcBorders>
            <w:noWrap w:val="0"/>
            <w:vAlign w:val="center"/>
          </w:tcPr>
          <w:p w14:paraId="7922501D">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治理后</w:t>
            </w:r>
          </w:p>
        </w:tc>
        <w:tc>
          <w:tcPr>
            <w:tcW w:w="470" w:type="pct"/>
            <w:vMerge w:val="restart"/>
            <w:tcBorders>
              <w:tl2br w:val="nil"/>
              <w:tr2bl w:val="nil"/>
            </w:tcBorders>
            <w:noWrap w:val="0"/>
            <w:vAlign w:val="center"/>
          </w:tcPr>
          <w:p w14:paraId="74136F44">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差值</w:t>
            </w:r>
          </w:p>
        </w:tc>
      </w:tr>
      <w:tr w14:paraId="4072C7B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327" w:type="pct"/>
            <w:vMerge w:val="continue"/>
            <w:tcBorders>
              <w:tl2br w:val="nil"/>
              <w:tr2bl w:val="nil"/>
            </w:tcBorders>
            <w:noWrap w:val="0"/>
            <w:vAlign w:val="center"/>
          </w:tcPr>
          <w:p w14:paraId="29150DA3">
            <w:pPr>
              <w:widowControl/>
              <w:jc w:val="left"/>
              <w:rPr>
                <w:rFonts w:hint="default" w:ascii="Times New Roman" w:hAnsi="Times New Roman" w:cs="Times New Roman"/>
                <w:kern w:val="0"/>
                <w:sz w:val="18"/>
                <w:szCs w:val="18"/>
              </w:rPr>
            </w:pPr>
          </w:p>
        </w:tc>
        <w:tc>
          <w:tcPr>
            <w:tcW w:w="367" w:type="pct"/>
            <w:vMerge w:val="continue"/>
            <w:tcBorders>
              <w:tl2br w:val="nil"/>
              <w:tr2bl w:val="nil"/>
            </w:tcBorders>
            <w:noWrap w:val="0"/>
            <w:vAlign w:val="center"/>
          </w:tcPr>
          <w:p w14:paraId="5528BA82">
            <w:pPr>
              <w:widowControl/>
              <w:jc w:val="left"/>
              <w:rPr>
                <w:rFonts w:hint="default" w:ascii="Times New Roman" w:hAnsi="Times New Roman" w:cs="Times New Roman"/>
                <w:kern w:val="0"/>
                <w:sz w:val="18"/>
                <w:szCs w:val="18"/>
              </w:rPr>
            </w:pPr>
          </w:p>
        </w:tc>
        <w:tc>
          <w:tcPr>
            <w:tcW w:w="306" w:type="pct"/>
            <w:vMerge w:val="continue"/>
            <w:tcBorders>
              <w:tl2br w:val="nil"/>
              <w:tr2bl w:val="nil"/>
            </w:tcBorders>
            <w:noWrap w:val="0"/>
            <w:vAlign w:val="center"/>
          </w:tcPr>
          <w:p w14:paraId="3EE7F868">
            <w:pPr>
              <w:widowControl/>
              <w:jc w:val="left"/>
              <w:rPr>
                <w:rFonts w:hint="default" w:ascii="Times New Roman" w:hAnsi="Times New Roman" w:cs="Times New Roman"/>
                <w:kern w:val="0"/>
                <w:sz w:val="18"/>
                <w:szCs w:val="18"/>
              </w:rPr>
            </w:pPr>
          </w:p>
        </w:tc>
        <w:tc>
          <w:tcPr>
            <w:tcW w:w="565" w:type="pct"/>
            <w:vMerge w:val="continue"/>
            <w:tcBorders>
              <w:tl2br w:val="nil"/>
              <w:tr2bl w:val="nil"/>
            </w:tcBorders>
            <w:noWrap w:val="0"/>
            <w:vAlign w:val="center"/>
          </w:tcPr>
          <w:p w14:paraId="147C5F3F">
            <w:pPr>
              <w:widowControl/>
              <w:jc w:val="left"/>
              <w:rPr>
                <w:rFonts w:hint="default" w:ascii="Times New Roman" w:hAnsi="Times New Roman" w:cs="Times New Roman"/>
                <w:kern w:val="0"/>
                <w:sz w:val="18"/>
                <w:szCs w:val="18"/>
              </w:rPr>
            </w:pPr>
          </w:p>
        </w:tc>
        <w:tc>
          <w:tcPr>
            <w:tcW w:w="455" w:type="pct"/>
            <w:tcBorders>
              <w:tl2br w:val="nil"/>
              <w:tr2bl w:val="nil"/>
            </w:tcBorders>
            <w:noWrap w:val="0"/>
            <w:vAlign w:val="center"/>
          </w:tcPr>
          <w:p w14:paraId="18F397C6">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浓度值mg/L</w:t>
            </w:r>
          </w:p>
        </w:tc>
        <w:tc>
          <w:tcPr>
            <w:tcW w:w="444" w:type="pct"/>
            <w:tcBorders>
              <w:tl2br w:val="nil"/>
              <w:tr2bl w:val="nil"/>
            </w:tcBorders>
            <w:noWrap w:val="0"/>
            <w:vAlign w:val="center"/>
          </w:tcPr>
          <w:p w14:paraId="58647978">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产生量</w:t>
            </w:r>
          </w:p>
          <w:p w14:paraId="0A3896B9">
            <w:pPr>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（kg/a）</w:t>
            </w:r>
          </w:p>
        </w:tc>
        <w:tc>
          <w:tcPr>
            <w:tcW w:w="430" w:type="pct"/>
            <w:tcBorders>
              <w:tl2br w:val="nil"/>
              <w:tr2bl w:val="nil"/>
            </w:tcBorders>
            <w:noWrap w:val="0"/>
            <w:vAlign w:val="center"/>
          </w:tcPr>
          <w:p w14:paraId="1E55AA3B">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费用（万元/年）</w:t>
            </w:r>
          </w:p>
        </w:tc>
        <w:tc>
          <w:tcPr>
            <w:tcW w:w="496" w:type="pct"/>
            <w:tcBorders>
              <w:tl2br w:val="nil"/>
              <w:tr2bl w:val="nil"/>
            </w:tcBorders>
            <w:noWrap w:val="0"/>
            <w:vAlign w:val="center"/>
          </w:tcPr>
          <w:p w14:paraId="611ADE53">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浓度值mg/L</w:t>
            </w:r>
          </w:p>
        </w:tc>
        <w:tc>
          <w:tcPr>
            <w:tcW w:w="530" w:type="pct"/>
            <w:tcBorders>
              <w:tl2br w:val="nil"/>
              <w:tr2bl w:val="nil"/>
            </w:tcBorders>
            <w:noWrap w:val="0"/>
            <w:vAlign w:val="center"/>
          </w:tcPr>
          <w:p w14:paraId="3F9590E4">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排放量（kg/a）</w:t>
            </w:r>
          </w:p>
        </w:tc>
        <w:tc>
          <w:tcPr>
            <w:tcW w:w="606" w:type="pct"/>
            <w:tcBorders>
              <w:tl2br w:val="nil"/>
              <w:tr2bl w:val="nil"/>
            </w:tcBorders>
            <w:noWrap w:val="0"/>
            <w:vAlign w:val="center"/>
          </w:tcPr>
          <w:p w14:paraId="3D5AB4B0">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费用（万元/年）</w:t>
            </w:r>
          </w:p>
        </w:tc>
        <w:tc>
          <w:tcPr>
            <w:tcW w:w="470" w:type="pct"/>
            <w:vMerge w:val="continue"/>
            <w:tcBorders>
              <w:tl2br w:val="nil"/>
              <w:tr2bl w:val="nil"/>
            </w:tcBorders>
            <w:noWrap w:val="0"/>
            <w:vAlign w:val="center"/>
          </w:tcPr>
          <w:p w14:paraId="3D174768">
            <w:pPr>
              <w:widowControl/>
              <w:jc w:val="left"/>
              <w:rPr>
                <w:rFonts w:hint="default" w:ascii="Times New Roman" w:hAnsi="Times New Roman" w:cs="Times New Roman"/>
                <w:kern w:val="0"/>
                <w:sz w:val="18"/>
                <w:szCs w:val="18"/>
              </w:rPr>
            </w:pPr>
          </w:p>
        </w:tc>
      </w:tr>
      <w:tr w14:paraId="20BAE53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27" w:type="pct"/>
            <w:vMerge w:val="restart"/>
            <w:tcBorders>
              <w:tl2br w:val="nil"/>
              <w:tr2bl w:val="nil"/>
            </w:tcBorders>
            <w:noWrap w:val="0"/>
            <w:vAlign w:val="center"/>
          </w:tcPr>
          <w:p w14:paraId="06425988">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废水</w:t>
            </w:r>
          </w:p>
        </w:tc>
        <w:tc>
          <w:tcPr>
            <w:tcW w:w="367" w:type="pct"/>
            <w:tcBorders>
              <w:tl2br w:val="nil"/>
              <w:tr2bl w:val="nil"/>
            </w:tcBorders>
            <w:noWrap w:val="0"/>
            <w:vAlign w:val="center"/>
          </w:tcPr>
          <w:p w14:paraId="11944FE7">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SS</w:t>
            </w:r>
          </w:p>
        </w:tc>
        <w:tc>
          <w:tcPr>
            <w:tcW w:w="306" w:type="pct"/>
            <w:tcBorders>
              <w:tl2br w:val="nil"/>
              <w:tr2bl w:val="nil"/>
            </w:tcBorders>
            <w:noWrap w:val="0"/>
            <w:vAlign w:val="center"/>
          </w:tcPr>
          <w:p w14:paraId="0B2EAB64">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4</w:t>
            </w:r>
          </w:p>
        </w:tc>
        <w:tc>
          <w:tcPr>
            <w:tcW w:w="565" w:type="pct"/>
            <w:tcBorders>
              <w:tl2br w:val="nil"/>
              <w:tr2bl w:val="nil"/>
            </w:tcBorders>
            <w:noWrap w:val="0"/>
            <w:vAlign w:val="center"/>
          </w:tcPr>
          <w:p w14:paraId="7800E174">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3.5</w:t>
            </w:r>
          </w:p>
        </w:tc>
        <w:tc>
          <w:tcPr>
            <w:tcW w:w="455" w:type="pct"/>
            <w:tcBorders>
              <w:tl2br w:val="nil"/>
              <w:tr2bl w:val="nil"/>
            </w:tcBorders>
            <w:noWrap w:val="0"/>
            <w:vAlign w:val="center"/>
          </w:tcPr>
          <w:p w14:paraId="68EE1C77">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200</w:t>
            </w:r>
          </w:p>
        </w:tc>
        <w:tc>
          <w:tcPr>
            <w:tcW w:w="444" w:type="pct"/>
            <w:tcBorders>
              <w:tl2br w:val="nil"/>
              <w:tr2bl w:val="nil"/>
            </w:tcBorders>
            <w:noWrap w:val="0"/>
            <w:vAlign w:val="center"/>
          </w:tcPr>
          <w:p w14:paraId="30C83272">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24</w:t>
            </w:r>
          </w:p>
        </w:tc>
        <w:tc>
          <w:tcPr>
            <w:tcW w:w="430" w:type="pct"/>
            <w:tcBorders>
              <w:tl2br w:val="nil"/>
              <w:tr2bl w:val="nil"/>
            </w:tcBorders>
            <w:noWrap w:val="0"/>
            <w:vAlign w:val="center"/>
          </w:tcPr>
          <w:p w14:paraId="41FF2CBD">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rPr>
              <w:t>0.0</w:t>
            </w:r>
            <w:r>
              <w:rPr>
                <w:rFonts w:hint="default" w:ascii="Times New Roman" w:hAnsi="Times New Roman" w:cs="Times New Roman"/>
                <w:kern w:val="0"/>
                <w:sz w:val="18"/>
                <w:szCs w:val="18"/>
                <w:lang w:val="en-US" w:eastAsia="zh-CN"/>
              </w:rPr>
              <w:t>021</w:t>
            </w:r>
          </w:p>
        </w:tc>
        <w:tc>
          <w:tcPr>
            <w:tcW w:w="496" w:type="pct"/>
            <w:tcBorders>
              <w:tl2br w:val="nil"/>
              <w:tr2bl w:val="nil"/>
            </w:tcBorders>
            <w:noWrap w:val="0"/>
            <w:vAlign w:val="center"/>
          </w:tcPr>
          <w:p w14:paraId="165A89FE">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w:t>
            </w:r>
          </w:p>
        </w:tc>
        <w:tc>
          <w:tcPr>
            <w:tcW w:w="530" w:type="pct"/>
            <w:tcBorders>
              <w:tl2br w:val="nil"/>
              <w:tr2bl w:val="nil"/>
            </w:tcBorders>
            <w:noWrap w:val="0"/>
            <w:vAlign w:val="center"/>
          </w:tcPr>
          <w:p w14:paraId="30F2E15B">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w:t>
            </w:r>
          </w:p>
        </w:tc>
        <w:tc>
          <w:tcPr>
            <w:tcW w:w="606" w:type="pct"/>
            <w:tcBorders>
              <w:tl2br w:val="nil"/>
              <w:tr2bl w:val="nil"/>
            </w:tcBorders>
            <w:noWrap w:val="0"/>
            <w:vAlign w:val="center"/>
          </w:tcPr>
          <w:p w14:paraId="65F8857F">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w:t>
            </w:r>
          </w:p>
        </w:tc>
        <w:tc>
          <w:tcPr>
            <w:tcW w:w="470" w:type="pct"/>
            <w:tcBorders>
              <w:tl2br w:val="nil"/>
              <w:tr2bl w:val="nil"/>
            </w:tcBorders>
            <w:noWrap w:val="0"/>
            <w:vAlign w:val="center"/>
          </w:tcPr>
          <w:p w14:paraId="54A4BD4F">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0.0</w:t>
            </w:r>
            <w:r>
              <w:rPr>
                <w:rFonts w:hint="default" w:ascii="Times New Roman" w:hAnsi="Times New Roman" w:cs="Times New Roman"/>
                <w:kern w:val="0"/>
                <w:sz w:val="18"/>
                <w:szCs w:val="18"/>
                <w:lang w:val="en-US" w:eastAsia="zh-CN"/>
              </w:rPr>
              <w:t>021</w:t>
            </w:r>
          </w:p>
        </w:tc>
      </w:tr>
      <w:tr w14:paraId="596E3E8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 w:hRule="atLeast"/>
        </w:trPr>
        <w:tc>
          <w:tcPr>
            <w:tcW w:w="327" w:type="pct"/>
            <w:vMerge w:val="continue"/>
            <w:tcBorders>
              <w:tl2br w:val="nil"/>
              <w:tr2bl w:val="nil"/>
            </w:tcBorders>
            <w:noWrap w:val="0"/>
            <w:vAlign w:val="center"/>
          </w:tcPr>
          <w:p w14:paraId="6C50E419">
            <w:pPr>
              <w:widowControl/>
              <w:jc w:val="left"/>
              <w:rPr>
                <w:rFonts w:hint="default" w:ascii="Times New Roman" w:hAnsi="Times New Roman" w:cs="Times New Roman"/>
                <w:kern w:val="0"/>
                <w:sz w:val="18"/>
                <w:szCs w:val="18"/>
              </w:rPr>
            </w:pPr>
          </w:p>
        </w:tc>
        <w:tc>
          <w:tcPr>
            <w:tcW w:w="367" w:type="pct"/>
            <w:tcBorders>
              <w:tl2br w:val="nil"/>
              <w:tr2bl w:val="nil"/>
            </w:tcBorders>
            <w:noWrap w:val="0"/>
            <w:vAlign w:val="center"/>
          </w:tcPr>
          <w:p w14:paraId="79FEAE21">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COD</w:t>
            </w:r>
          </w:p>
        </w:tc>
        <w:tc>
          <w:tcPr>
            <w:tcW w:w="306" w:type="pct"/>
            <w:tcBorders>
              <w:tl2br w:val="nil"/>
              <w:tr2bl w:val="nil"/>
            </w:tcBorders>
            <w:noWrap w:val="0"/>
            <w:vAlign w:val="center"/>
          </w:tcPr>
          <w:p w14:paraId="6C33D9E2">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w:t>
            </w:r>
          </w:p>
        </w:tc>
        <w:tc>
          <w:tcPr>
            <w:tcW w:w="565" w:type="pct"/>
            <w:tcBorders>
              <w:tl2br w:val="nil"/>
              <w:tr2bl w:val="nil"/>
            </w:tcBorders>
            <w:noWrap w:val="0"/>
            <w:vAlign w:val="center"/>
          </w:tcPr>
          <w:p w14:paraId="3022EB13">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3.5</w:t>
            </w:r>
          </w:p>
        </w:tc>
        <w:tc>
          <w:tcPr>
            <w:tcW w:w="455" w:type="pct"/>
            <w:tcBorders>
              <w:tl2br w:val="nil"/>
              <w:tr2bl w:val="nil"/>
            </w:tcBorders>
            <w:noWrap w:val="0"/>
            <w:vAlign w:val="center"/>
          </w:tcPr>
          <w:p w14:paraId="631575F8">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300</w:t>
            </w:r>
          </w:p>
        </w:tc>
        <w:tc>
          <w:tcPr>
            <w:tcW w:w="444" w:type="pct"/>
            <w:tcBorders>
              <w:tl2br w:val="nil"/>
              <w:tr2bl w:val="nil"/>
            </w:tcBorders>
            <w:noWrap w:val="0"/>
            <w:vAlign w:val="center"/>
          </w:tcPr>
          <w:p w14:paraId="6249F676">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36</w:t>
            </w:r>
          </w:p>
        </w:tc>
        <w:tc>
          <w:tcPr>
            <w:tcW w:w="430" w:type="pct"/>
            <w:tcBorders>
              <w:tl2br w:val="nil"/>
              <w:tr2bl w:val="nil"/>
            </w:tcBorders>
            <w:noWrap w:val="0"/>
            <w:vAlign w:val="center"/>
          </w:tcPr>
          <w:p w14:paraId="64126D4D">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rPr>
              <w:t>0.0</w:t>
            </w:r>
            <w:r>
              <w:rPr>
                <w:rFonts w:hint="default" w:ascii="Times New Roman" w:hAnsi="Times New Roman" w:cs="Times New Roman"/>
                <w:kern w:val="0"/>
                <w:sz w:val="18"/>
                <w:szCs w:val="18"/>
                <w:lang w:val="en-US" w:eastAsia="zh-CN"/>
              </w:rPr>
              <w:t>126</w:t>
            </w:r>
          </w:p>
        </w:tc>
        <w:tc>
          <w:tcPr>
            <w:tcW w:w="496" w:type="pct"/>
            <w:tcBorders>
              <w:tl2br w:val="nil"/>
              <w:tr2bl w:val="nil"/>
            </w:tcBorders>
            <w:noWrap w:val="0"/>
            <w:vAlign w:val="center"/>
          </w:tcPr>
          <w:p w14:paraId="533DEF06">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w:t>
            </w:r>
          </w:p>
        </w:tc>
        <w:tc>
          <w:tcPr>
            <w:tcW w:w="530" w:type="pct"/>
            <w:tcBorders>
              <w:tl2br w:val="nil"/>
              <w:tr2bl w:val="nil"/>
            </w:tcBorders>
            <w:noWrap w:val="0"/>
            <w:vAlign w:val="center"/>
          </w:tcPr>
          <w:p w14:paraId="30FB9A07">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w:t>
            </w:r>
          </w:p>
        </w:tc>
        <w:tc>
          <w:tcPr>
            <w:tcW w:w="606" w:type="pct"/>
            <w:tcBorders>
              <w:tl2br w:val="nil"/>
              <w:tr2bl w:val="nil"/>
            </w:tcBorders>
            <w:noWrap w:val="0"/>
            <w:vAlign w:val="center"/>
          </w:tcPr>
          <w:p w14:paraId="32D9970D">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w:t>
            </w:r>
          </w:p>
        </w:tc>
        <w:tc>
          <w:tcPr>
            <w:tcW w:w="470" w:type="pct"/>
            <w:tcBorders>
              <w:tl2br w:val="nil"/>
              <w:tr2bl w:val="nil"/>
            </w:tcBorders>
            <w:noWrap w:val="0"/>
            <w:vAlign w:val="center"/>
          </w:tcPr>
          <w:p w14:paraId="46007FA6">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0.0</w:t>
            </w:r>
            <w:r>
              <w:rPr>
                <w:rFonts w:hint="default" w:ascii="Times New Roman" w:hAnsi="Times New Roman" w:cs="Times New Roman"/>
                <w:kern w:val="0"/>
                <w:sz w:val="18"/>
                <w:szCs w:val="18"/>
                <w:lang w:val="en-US" w:eastAsia="zh-CN"/>
              </w:rPr>
              <w:t>126</w:t>
            </w:r>
          </w:p>
        </w:tc>
      </w:tr>
      <w:tr w14:paraId="1D2646B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 w:hRule="atLeast"/>
        </w:trPr>
        <w:tc>
          <w:tcPr>
            <w:tcW w:w="327" w:type="pct"/>
            <w:vMerge w:val="continue"/>
            <w:tcBorders>
              <w:tl2br w:val="nil"/>
              <w:tr2bl w:val="nil"/>
            </w:tcBorders>
            <w:noWrap w:val="0"/>
            <w:vAlign w:val="center"/>
          </w:tcPr>
          <w:p w14:paraId="73479FEB">
            <w:pPr>
              <w:widowControl/>
              <w:jc w:val="left"/>
              <w:rPr>
                <w:rFonts w:hint="default" w:ascii="Times New Roman" w:hAnsi="Times New Roman" w:cs="Times New Roman"/>
                <w:kern w:val="0"/>
                <w:sz w:val="18"/>
                <w:szCs w:val="18"/>
              </w:rPr>
            </w:pPr>
          </w:p>
        </w:tc>
        <w:tc>
          <w:tcPr>
            <w:tcW w:w="367" w:type="pct"/>
            <w:tcBorders>
              <w:tl2br w:val="nil"/>
              <w:tr2bl w:val="nil"/>
            </w:tcBorders>
            <w:noWrap w:val="0"/>
            <w:vAlign w:val="center"/>
          </w:tcPr>
          <w:p w14:paraId="07241C4A">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BOD</w:t>
            </w:r>
          </w:p>
        </w:tc>
        <w:tc>
          <w:tcPr>
            <w:tcW w:w="306" w:type="pct"/>
            <w:tcBorders>
              <w:tl2br w:val="nil"/>
              <w:tr2bl w:val="nil"/>
            </w:tcBorders>
            <w:noWrap w:val="0"/>
            <w:vAlign w:val="center"/>
          </w:tcPr>
          <w:p w14:paraId="3BA2DFD3">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b w:val="0"/>
                <w:bCs w:val="0"/>
                <w:color w:val="auto"/>
                <w:kern w:val="0"/>
                <w:sz w:val="18"/>
                <w:szCs w:val="18"/>
              </w:rPr>
              <w:t>0.5</w:t>
            </w:r>
          </w:p>
        </w:tc>
        <w:tc>
          <w:tcPr>
            <w:tcW w:w="565" w:type="pct"/>
            <w:tcBorders>
              <w:tl2br w:val="nil"/>
              <w:tr2bl w:val="nil"/>
            </w:tcBorders>
            <w:noWrap w:val="0"/>
            <w:vAlign w:val="center"/>
          </w:tcPr>
          <w:p w14:paraId="0EDFD5CC">
            <w:pPr>
              <w:widowControl/>
              <w:jc w:val="center"/>
              <w:rPr>
                <w:rFonts w:hint="default" w:ascii="Times New Roman" w:hAnsi="Times New Roman" w:cs="Times New Roman"/>
                <w:kern w:val="0"/>
                <w:sz w:val="18"/>
                <w:szCs w:val="18"/>
              </w:rPr>
            </w:pPr>
            <w:r>
              <w:rPr>
                <w:rFonts w:hint="default" w:ascii="Times New Roman" w:hAnsi="Times New Roman" w:eastAsia="宋体" w:cs="Times New Roman"/>
                <w:b w:val="0"/>
                <w:bCs w:val="0"/>
                <w:color w:val="auto"/>
                <w:kern w:val="0"/>
                <w:sz w:val="18"/>
                <w:szCs w:val="18"/>
              </w:rPr>
              <w:t>3.5</w:t>
            </w:r>
          </w:p>
        </w:tc>
        <w:tc>
          <w:tcPr>
            <w:tcW w:w="455" w:type="pct"/>
            <w:tcBorders>
              <w:tl2br w:val="nil"/>
              <w:tr2bl w:val="nil"/>
            </w:tcBorders>
            <w:noWrap w:val="0"/>
            <w:vAlign w:val="center"/>
          </w:tcPr>
          <w:p w14:paraId="29B7B5E1">
            <w:pPr>
              <w:widowControl/>
              <w:jc w:val="center"/>
              <w:rPr>
                <w:rFonts w:hint="default"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150</w:t>
            </w:r>
          </w:p>
        </w:tc>
        <w:tc>
          <w:tcPr>
            <w:tcW w:w="444" w:type="pct"/>
            <w:tcBorders>
              <w:tl2br w:val="nil"/>
              <w:tr2bl w:val="nil"/>
            </w:tcBorders>
            <w:noWrap w:val="0"/>
            <w:vAlign w:val="center"/>
          </w:tcPr>
          <w:p w14:paraId="6071D4D8">
            <w:pPr>
              <w:widowControl/>
              <w:jc w:val="center"/>
              <w:rPr>
                <w:rFonts w:hint="default"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18</w:t>
            </w:r>
          </w:p>
        </w:tc>
        <w:tc>
          <w:tcPr>
            <w:tcW w:w="430" w:type="pct"/>
            <w:tcBorders>
              <w:tl2br w:val="nil"/>
              <w:tr2bl w:val="nil"/>
            </w:tcBorders>
            <w:noWrap w:val="0"/>
            <w:vAlign w:val="center"/>
          </w:tcPr>
          <w:p w14:paraId="4F16798A">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0.0126</w:t>
            </w:r>
          </w:p>
        </w:tc>
        <w:tc>
          <w:tcPr>
            <w:tcW w:w="496" w:type="pct"/>
            <w:tcBorders>
              <w:tl2br w:val="nil"/>
              <w:tr2bl w:val="nil"/>
            </w:tcBorders>
            <w:noWrap w:val="0"/>
            <w:vAlign w:val="center"/>
          </w:tcPr>
          <w:p w14:paraId="518E92C1">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w:t>
            </w:r>
          </w:p>
        </w:tc>
        <w:tc>
          <w:tcPr>
            <w:tcW w:w="530" w:type="pct"/>
            <w:tcBorders>
              <w:tl2br w:val="nil"/>
              <w:tr2bl w:val="nil"/>
            </w:tcBorders>
            <w:noWrap w:val="0"/>
            <w:vAlign w:val="center"/>
          </w:tcPr>
          <w:p w14:paraId="3C20B2FC">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w:t>
            </w:r>
          </w:p>
        </w:tc>
        <w:tc>
          <w:tcPr>
            <w:tcW w:w="606" w:type="pct"/>
            <w:tcBorders>
              <w:tl2br w:val="nil"/>
              <w:tr2bl w:val="nil"/>
            </w:tcBorders>
            <w:noWrap w:val="0"/>
            <w:vAlign w:val="center"/>
          </w:tcPr>
          <w:p w14:paraId="31CC12AB">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w:t>
            </w:r>
          </w:p>
        </w:tc>
        <w:tc>
          <w:tcPr>
            <w:tcW w:w="470" w:type="pct"/>
            <w:tcBorders>
              <w:tl2br w:val="nil"/>
              <w:tr2bl w:val="nil"/>
            </w:tcBorders>
            <w:noWrap w:val="0"/>
            <w:vAlign w:val="center"/>
          </w:tcPr>
          <w:p w14:paraId="5C151924">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0.0</w:t>
            </w:r>
            <w:r>
              <w:rPr>
                <w:rFonts w:hint="default" w:ascii="Times New Roman" w:hAnsi="Times New Roman" w:cs="Times New Roman"/>
                <w:kern w:val="0"/>
                <w:sz w:val="18"/>
                <w:szCs w:val="18"/>
                <w:lang w:val="en-US" w:eastAsia="zh-CN"/>
              </w:rPr>
              <w:t>126</w:t>
            </w:r>
          </w:p>
        </w:tc>
      </w:tr>
      <w:tr w14:paraId="5C2171C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27" w:type="pct"/>
            <w:tcBorders>
              <w:tl2br w:val="nil"/>
              <w:tr2bl w:val="nil"/>
            </w:tcBorders>
            <w:noWrap w:val="0"/>
            <w:vAlign w:val="center"/>
          </w:tcPr>
          <w:p w14:paraId="654C707F">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固废</w:t>
            </w:r>
          </w:p>
        </w:tc>
        <w:tc>
          <w:tcPr>
            <w:tcW w:w="367" w:type="pct"/>
            <w:tcBorders>
              <w:tl2br w:val="nil"/>
              <w:tr2bl w:val="nil"/>
            </w:tcBorders>
            <w:noWrap w:val="0"/>
            <w:vAlign w:val="center"/>
          </w:tcPr>
          <w:p w14:paraId="0A5520B4">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废机油</w:t>
            </w:r>
          </w:p>
        </w:tc>
        <w:tc>
          <w:tcPr>
            <w:tcW w:w="306" w:type="pct"/>
            <w:tcBorders>
              <w:tl2br w:val="nil"/>
              <w:tr2bl w:val="nil"/>
            </w:tcBorders>
            <w:noWrap w:val="0"/>
            <w:vAlign w:val="center"/>
          </w:tcPr>
          <w:p w14:paraId="681AE392">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　</w:t>
            </w:r>
          </w:p>
        </w:tc>
        <w:tc>
          <w:tcPr>
            <w:tcW w:w="565" w:type="pct"/>
            <w:tcBorders>
              <w:tl2br w:val="nil"/>
              <w:tr2bl w:val="nil"/>
            </w:tcBorders>
            <w:noWrap w:val="0"/>
            <w:vAlign w:val="center"/>
          </w:tcPr>
          <w:p w14:paraId="71246339">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1000元/t</w:t>
            </w:r>
          </w:p>
        </w:tc>
        <w:tc>
          <w:tcPr>
            <w:tcW w:w="899" w:type="pct"/>
            <w:gridSpan w:val="2"/>
            <w:tcBorders>
              <w:tl2br w:val="nil"/>
              <w:tr2bl w:val="nil"/>
            </w:tcBorders>
            <w:noWrap w:val="0"/>
            <w:vAlign w:val="center"/>
          </w:tcPr>
          <w:p w14:paraId="2584B28E">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0.01</w:t>
            </w:r>
          </w:p>
        </w:tc>
        <w:tc>
          <w:tcPr>
            <w:tcW w:w="430" w:type="pct"/>
            <w:tcBorders>
              <w:tl2br w:val="nil"/>
              <w:tr2bl w:val="nil"/>
            </w:tcBorders>
            <w:noWrap w:val="0"/>
            <w:vAlign w:val="center"/>
          </w:tcPr>
          <w:p w14:paraId="768FE80A">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cs="Times New Roman"/>
                <w:kern w:val="0"/>
                <w:sz w:val="18"/>
                <w:szCs w:val="18"/>
              </w:rPr>
              <w:t>0.00</w:t>
            </w:r>
            <w:r>
              <w:rPr>
                <w:rFonts w:hint="default" w:ascii="Times New Roman" w:hAnsi="Times New Roman" w:cs="Times New Roman"/>
                <w:kern w:val="0"/>
                <w:sz w:val="18"/>
                <w:szCs w:val="18"/>
                <w:lang w:val="en-US" w:eastAsia="zh-CN"/>
              </w:rPr>
              <w:t>1</w:t>
            </w:r>
          </w:p>
        </w:tc>
        <w:tc>
          <w:tcPr>
            <w:tcW w:w="1026" w:type="pct"/>
            <w:gridSpan w:val="2"/>
            <w:tcBorders>
              <w:tl2br w:val="nil"/>
              <w:tr2bl w:val="nil"/>
            </w:tcBorders>
            <w:noWrap w:val="0"/>
            <w:vAlign w:val="center"/>
          </w:tcPr>
          <w:p w14:paraId="25F686DB">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w:t>
            </w:r>
          </w:p>
        </w:tc>
        <w:tc>
          <w:tcPr>
            <w:tcW w:w="606" w:type="pct"/>
            <w:tcBorders>
              <w:tl2br w:val="nil"/>
              <w:tr2bl w:val="nil"/>
            </w:tcBorders>
            <w:noWrap w:val="0"/>
            <w:vAlign w:val="center"/>
          </w:tcPr>
          <w:p w14:paraId="13793DB2">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w:t>
            </w:r>
          </w:p>
        </w:tc>
        <w:tc>
          <w:tcPr>
            <w:tcW w:w="470" w:type="pct"/>
            <w:tcBorders>
              <w:tl2br w:val="nil"/>
              <w:tr2bl w:val="nil"/>
            </w:tcBorders>
            <w:noWrap w:val="0"/>
            <w:vAlign w:val="center"/>
          </w:tcPr>
          <w:p w14:paraId="6EDA93C0">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cs="Times New Roman"/>
                <w:kern w:val="0"/>
                <w:sz w:val="18"/>
                <w:szCs w:val="18"/>
              </w:rPr>
              <w:t>0.00</w:t>
            </w:r>
            <w:r>
              <w:rPr>
                <w:rFonts w:hint="default" w:ascii="Times New Roman" w:hAnsi="Times New Roman" w:cs="Times New Roman"/>
                <w:kern w:val="0"/>
                <w:sz w:val="18"/>
                <w:szCs w:val="18"/>
                <w:lang w:val="en-US" w:eastAsia="zh-CN"/>
              </w:rPr>
              <w:t>1</w:t>
            </w:r>
          </w:p>
        </w:tc>
      </w:tr>
      <w:tr w14:paraId="0656746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27" w:type="pct"/>
            <w:tcBorders>
              <w:tl2br w:val="nil"/>
              <w:tr2bl w:val="nil"/>
            </w:tcBorders>
            <w:noWrap w:val="0"/>
            <w:vAlign w:val="center"/>
          </w:tcPr>
          <w:p w14:paraId="793218B6">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噪声</w:t>
            </w:r>
          </w:p>
        </w:tc>
        <w:tc>
          <w:tcPr>
            <w:tcW w:w="367" w:type="pct"/>
            <w:tcBorders>
              <w:tl2br w:val="nil"/>
              <w:tr2bl w:val="nil"/>
            </w:tcBorders>
            <w:noWrap w:val="0"/>
            <w:vAlign w:val="center"/>
          </w:tcPr>
          <w:p w14:paraId="4BCE0B9B">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噪声</w:t>
            </w:r>
          </w:p>
        </w:tc>
        <w:tc>
          <w:tcPr>
            <w:tcW w:w="306" w:type="pct"/>
            <w:tcBorders>
              <w:tl2br w:val="nil"/>
              <w:tr2bl w:val="nil"/>
            </w:tcBorders>
            <w:noWrap w:val="0"/>
            <w:vAlign w:val="center"/>
          </w:tcPr>
          <w:p w14:paraId="7625B179">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　</w:t>
            </w:r>
          </w:p>
        </w:tc>
        <w:tc>
          <w:tcPr>
            <w:tcW w:w="565" w:type="pct"/>
            <w:tcBorders>
              <w:tl2br w:val="nil"/>
              <w:tr2bl w:val="nil"/>
            </w:tcBorders>
            <w:noWrap w:val="0"/>
            <w:vAlign w:val="center"/>
          </w:tcPr>
          <w:p w14:paraId="41974183">
            <w:pPr>
              <w:widowControl/>
              <w:jc w:val="center"/>
              <w:rPr>
                <w:rFonts w:hint="default" w:ascii="Times New Roman" w:hAnsi="Times New Roman" w:cs="Times New Roman"/>
                <w:kern w:val="0"/>
                <w:sz w:val="18"/>
                <w:szCs w:val="18"/>
              </w:rPr>
            </w:pPr>
            <w:r>
              <w:rPr>
                <w:rFonts w:hint="default" w:ascii="Times New Roman" w:hAnsi="Times New Roman" w:eastAsia="宋体" w:cs="Times New Roman"/>
                <w:b w:val="0"/>
                <w:bCs w:val="0"/>
                <w:color w:val="auto"/>
                <w:kern w:val="0"/>
                <w:sz w:val="18"/>
                <w:szCs w:val="18"/>
              </w:rPr>
              <w:t>超过16dB以上，11200元/月</w:t>
            </w:r>
          </w:p>
        </w:tc>
        <w:tc>
          <w:tcPr>
            <w:tcW w:w="899" w:type="pct"/>
            <w:gridSpan w:val="2"/>
            <w:tcBorders>
              <w:tl2br w:val="nil"/>
              <w:tr2bl w:val="nil"/>
            </w:tcBorders>
            <w:noWrap w:val="0"/>
            <w:vAlign w:val="center"/>
          </w:tcPr>
          <w:p w14:paraId="17AED008">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95</w:t>
            </w:r>
          </w:p>
        </w:tc>
        <w:tc>
          <w:tcPr>
            <w:tcW w:w="430" w:type="pct"/>
            <w:tcBorders>
              <w:tl2br w:val="nil"/>
              <w:tr2bl w:val="nil"/>
            </w:tcBorders>
            <w:noWrap w:val="0"/>
            <w:vAlign w:val="center"/>
          </w:tcPr>
          <w:p w14:paraId="3CF7D63A">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13.4</w:t>
            </w:r>
          </w:p>
        </w:tc>
        <w:tc>
          <w:tcPr>
            <w:tcW w:w="1026" w:type="pct"/>
            <w:gridSpan w:val="2"/>
            <w:tcBorders>
              <w:tl2br w:val="nil"/>
              <w:tr2bl w:val="nil"/>
            </w:tcBorders>
            <w:noWrap w:val="0"/>
            <w:vAlign w:val="center"/>
          </w:tcPr>
          <w:p w14:paraId="7BD8957C">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达标　</w:t>
            </w:r>
          </w:p>
        </w:tc>
        <w:tc>
          <w:tcPr>
            <w:tcW w:w="606" w:type="pct"/>
            <w:tcBorders>
              <w:tl2br w:val="nil"/>
              <w:tr2bl w:val="nil"/>
            </w:tcBorders>
            <w:noWrap w:val="0"/>
            <w:vAlign w:val="center"/>
          </w:tcPr>
          <w:p w14:paraId="2AAA8C04">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　</w:t>
            </w:r>
          </w:p>
        </w:tc>
        <w:tc>
          <w:tcPr>
            <w:tcW w:w="470" w:type="pct"/>
            <w:tcBorders>
              <w:tl2br w:val="nil"/>
              <w:tr2bl w:val="nil"/>
            </w:tcBorders>
            <w:noWrap w:val="0"/>
            <w:vAlign w:val="center"/>
          </w:tcPr>
          <w:p w14:paraId="7D6753F0">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13.4</w:t>
            </w:r>
          </w:p>
        </w:tc>
      </w:tr>
      <w:tr w14:paraId="0FF3C21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27" w:type="pct"/>
            <w:tcBorders>
              <w:tl2br w:val="nil"/>
              <w:tr2bl w:val="nil"/>
            </w:tcBorders>
            <w:noWrap w:val="0"/>
            <w:vAlign w:val="center"/>
          </w:tcPr>
          <w:p w14:paraId="76D01DA9">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废气</w:t>
            </w:r>
          </w:p>
        </w:tc>
        <w:tc>
          <w:tcPr>
            <w:tcW w:w="367" w:type="pct"/>
            <w:tcBorders>
              <w:tl2br w:val="nil"/>
              <w:tr2bl w:val="nil"/>
            </w:tcBorders>
            <w:noWrap w:val="0"/>
            <w:vAlign w:val="center"/>
          </w:tcPr>
          <w:p w14:paraId="6E12A61C">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一般性粉尘</w:t>
            </w:r>
          </w:p>
        </w:tc>
        <w:tc>
          <w:tcPr>
            <w:tcW w:w="306" w:type="pct"/>
            <w:tcBorders>
              <w:tl2br w:val="nil"/>
              <w:tr2bl w:val="nil"/>
            </w:tcBorders>
            <w:noWrap w:val="0"/>
            <w:vAlign w:val="center"/>
          </w:tcPr>
          <w:p w14:paraId="37F66DE5">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4</w:t>
            </w:r>
          </w:p>
        </w:tc>
        <w:tc>
          <w:tcPr>
            <w:tcW w:w="565" w:type="pct"/>
            <w:tcBorders>
              <w:tl2br w:val="nil"/>
              <w:tr2bl w:val="nil"/>
            </w:tcBorders>
            <w:noWrap w:val="0"/>
            <w:vAlign w:val="center"/>
          </w:tcPr>
          <w:p w14:paraId="749EB8EE">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2.8</w:t>
            </w:r>
          </w:p>
        </w:tc>
        <w:tc>
          <w:tcPr>
            <w:tcW w:w="899" w:type="pct"/>
            <w:gridSpan w:val="2"/>
            <w:tcBorders>
              <w:tl2br w:val="nil"/>
              <w:tr2bl w:val="nil"/>
            </w:tcBorders>
            <w:noWrap w:val="0"/>
            <w:vAlign w:val="center"/>
          </w:tcPr>
          <w:p w14:paraId="5EB92A09">
            <w:pPr>
              <w:widowControl/>
              <w:jc w:val="center"/>
              <w:rPr>
                <w:rFonts w:hint="default" w:ascii="Times New Roman" w:hAnsi="Times New Roman" w:cs="Times New Roman"/>
                <w:kern w:val="0"/>
                <w:sz w:val="18"/>
                <w:szCs w:val="18"/>
                <w:lang w:val="en-US"/>
              </w:rPr>
            </w:pPr>
            <w:r>
              <w:rPr>
                <w:rFonts w:hint="default" w:ascii="Times New Roman" w:hAnsi="Times New Roman" w:cs="Times New Roman" w:eastAsiaTheme="minorEastAsia"/>
                <w:color w:val="auto"/>
                <w:sz w:val="18"/>
                <w:szCs w:val="18"/>
                <w:lang w:val="en-US" w:eastAsia="zh-CN"/>
              </w:rPr>
              <w:t>128310</w:t>
            </w:r>
          </w:p>
        </w:tc>
        <w:tc>
          <w:tcPr>
            <w:tcW w:w="430" w:type="pct"/>
            <w:tcBorders>
              <w:tl2br w:val="nil"/>
              <w:tr2bl w:val="nil"/>
            </w:tcBorders>
            <w:noWrap w:val="0"/>
            <w:vAlign w:val="center"/>
          </w:tcPr>
          <w:p w14:paraId="267B73DF">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8.98</w:t>
            </w:r>
          </w:p>
        </w:tc>
        <w:tc>
          <w:tcPr>
            <w:tcW w:w="1026" w:type="pct"/>
            <w:gridSpan w:val="2"/>
            <w:tcBorders>
              <w:tl2br w:val="nil"/>
              <w:tr2bl w:val="nil"/>
            </w:tcBorders>
            <w:noWrap w:val="0"/>
            <w:vAlign w:val="center"/>
          </w:tcPr>
          <w:p w14:paraId="5CDA5E24">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1368</w:t>
            </w:r>
          </w:p>
        </w:tc>
        <w:tc>
          <w:tcPr>
            <w:tcW w:w="606" w:type="pct"/>
            <w:tcBorders>
              <w:tl2br w:val="nil"/>
              <w:tr2bl w:val="nil"/>
            </w:tcBorders>
            <w:noWrap w:val="0"/>
            <w:vAlign w:val="center"/>
          </w:tcPr>
          <w:p w14:paraId="47E2D493">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0.95</w:t>
            </w:r>
          </w:p>
        </w:tc>
        <w:tc>
          <w:tcPr>
            <w:tcW w:w="470" w:type="pct"/>
            <w:tcBorders>
              <w:tl2br w:val="nil"/>
              <w:tr2bl w:val="nil"/>
            </w:tcBorders>
            <w:noWrap w:val="0"/>
            <w:vAlign w:val="center"/>
          </w:tcPr>
          <w:p w14:paraId="30BAFC4B">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8.03</w:t>
            </w:r>
          </w:p>
        </w:tc>
      </w:tr>
      <w:tr w14:paraId="60CB1D7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27" w:type="pct"/>
            <w:tcBorders>
              <w:tl2br w:val="nil"/>
              <w:tr2bl w:val="nil"/>
            </w:tcBorders>
            <w:noWrap w:val="0"/>
            <w:vAlign w:val="center"/>
          </w:tcPr>
          <w:p w14:paraId="00743400">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合计</w:t>
            </w:r>
          </w:p>
        </w:tc>
        <w:tc>
          <w:tcPr>
            <w:tcW w:w="367" w:type="pct"/>
            <w:tcBorders>
              <w:tl2br w:val="nil"/>
              <w:tr2bl w:val="nil"/>
            </w:tcBorders>
            <w:noWrap w:val="0"/>
            <w:vAlign w:val="center"/>
          </w:tcPr>
          <w:p w14:paraId="3E1B402B">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　</w:t>
            </w:r>
          </w:p>
        </w:tc>
        <w:tc>
          <w:tcPr>
            <w:tcW w:w="306" w:type="pct"/>
            <w:tcBorders>
              <w:tl2br w:val="nil"/>
              <w:tr2bl w:val="nil"/>
            </w:tcBorders>
            <w:noWrap w:val="0"/>
            <w:vAlign w:val="center"/>
          </w:tcPr>
          <w:p w14:paraId="2588466A">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　</w:t>
            </w:r>
          </w:p>
        </w:tc>
        <w:tc>
          <w:tcPr>
            <w:tcW w:w="565" w:type="pct"/>
            <w:tcBorders>
              <w:tl2br w:val="nil"/>
              <w:tr2bl w:val="nil"/>
            </w:tcBorders>
            <w:noWrap w:val="0"/>
            <w:vAlign w:val="center"/>
          </w:tcPr>
          <w:p w14:paraId="226872F1">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　</w:t>
            </w:r>
          </w:p>
        </w:tc>
        <w:tc>
          <w:tcPr>
            <w:tcW w:w="899" w:type="pct"/>
            <w:gridSpan w:val="2"/>
            <w:tcBorders>
              <w:tl2br w:val="nil"/>
              <w:tr2bl w:val="nil"/>
            </w:tcBorders>
            <w:noWrap w:val="0"/>
            <w:vAlign w:val="center"/>
          </w:tcPr>
          <w:p w14:paraId="000BC13D">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　</w:t>
            </w:r>
          </w:p>
        </w:tc>
        <w:tc>
          <w:tcPr>
            <w:tcW w:w="430" w:type="pct"/>
            <w:tcBorders>
              <w:tl2br w:val="nil"/>
              <w:tr2bl w:val="nil"/>
            </w:tcBorders>
            <w:noWrap w:val="0"/>
            <w:vAlign w:val="center"/>
          </w:tcPr>
          <w:p w14:paraId="1CFA6A4A">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22.41</w:t>
            </w:r>
          </w:p>
        </w:tc>
        <w:tc>
          <w:tcPr>
            <w:tcW w:w="1026" w:type="pct"/>
            <w:gridSpan w:val="2"/>
            <w:tcBorders>
              <w:tl2br w:val="nil"/>
              <w:tr2bl w:val="nil"/>
            </w:tcBorders>
            <w:noWrap w:val="0"/>
            <w:vAlign w:val="center"/>
          </w:tcPr>
          <w:p w14:paraId="1CF4722B">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　</w:t>
            </w:r>
          </w:p>
        </w:tc>
        <w:tc>
          <w:tcPr>
            <w:tcW w:w="606" w:type="pct"/>
            <w:tcBorders>
              <w:tl2br w:val="nil"/>
              <w:tr2bl w:val="nil"/>
            </w:tcBorders>
            <w:noWrap w:val="0"/>
            <w:vAlign w:val="center"/>
          </w:tcPr>
          <w:p w14:paraId="1982989B">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0.95</w:t>
            </w:r>
          </w:p>
        </w:tc>
        <w:tc>
          <w:tcPr>
            <w:tcW w:w="470" w:type="pct"/>
            <w:tcBorders>
              <w:tl2br w:val="nil"/>
              <w:tr2bl w:val="nil"/>
            </w:tcBorders>
            <w:noWrap w:val="0"/>
            <w:vAlign w:val="center"/>
          </w:tcPr>
          <w:p w14:paraId="7EFDA52A">
            <w:pPr>
              <w:widowControl/>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21.46</w:t>
            </w:r>
          </w:p>
        </w:tc>
      </w:tr>
    </w:tbl>
    <w:p w14:paraId="0198C73D">
      <w:pPr>
        <w:spacing w:line="360" w:lineRule="auto"/>
        <w:ind w:firstLine="490" w:firstLineChars="200"/>
        <w:jc w:val="left"/>
        <w:rPr>
          <w:rFonts w:hint="default" w:ascii="Times New Roman" w:hAnsi="Times New Roman" w:cs="Times New Roman"/>
          <w:sz w:val="24"/>
        </w:rPr>
      </w:pPr>
      <w:r>
        <w:rPr>
          <w:rFonts w:hint="default" w:ascii="Times New Roman" w:hAnsi="Times New Roman" w:cs="Times New Roman"/>
          <w:sz w:val="24"/>
        </w:rPr>
        <w:t>结果表明，项目在采取环评提出的污染防治措施后，每年可减少缴纳税金</w:t>
      </w:r>
      <w:r>
        <w:rPr>
          <w:rFonts w:hint="default" w:ascii="Times New Roman" w:hAnsi="Times New Roman" w:cs="Times New Roman"/>
          <w:sz w:val="24"/>
          <w:lang w:val="en-US" w:eastAsia="zh-CN"/>
        </w:rPr>
        <w:t>21.46</w:t>
      </w:r>
      <w:r>
        <w:rPr>
          <w:rFonts w:hint="default" w:ascii="Times New Roman" w:hAnsi="Times New Roman" w:cs="Times New Roman"/>
          <w:sz w:val="24"/>
        </w:rPr>
        <w:t>万元，具有较好的环境正效益。</w:t>
      </w:r>
    </w:p>
    <w:p w14:paraId="0BF35651">
      <w:pPr>
        <w:spacing w:line="360" w:lineRule="auto"/>
        <w:ind w:firstLine="490" w:firstLineChars="200"/>
        <w:jc w:val="left"/>
        <w:rPr>
          <w:rFonts w:hint="default" w:ascii="Times New Roman" w:hAnsi="Times New Roman" w:cs="Times New Roman"/>
          <w:sz w:val="24"/>
        </w:rPr>
      </w:pPr>
      <w:r>
        <w:rPr>
          <w:rFonts w:hint="default" w:ascii="Times New Roman" w:hAnsi="Times New Roman" w:cs="Times New Roman"/>
          <w:sz w:val="24"/>
        </w:rPr>
        <w:t>（</w:t>
      </w:r>
      <w:r>
        <w:rPr>
          <w:rFonts w:hint="default" w:ascii="Times New Roman" w:hAnsi="Times New Roman" w:eastAsia="TimesNewRomanPSMT" w:cs="Times New Roman"/>
          <w:sz w:val="24"/>
        </w:rPr>
        <w:t>2</w:t>
      </w:r>
      <w:r>
        <w:rPr>
          <w:rFonts w:hint="default" w:ascii="Times New Roman" w:hAnsi="Times New Roman" w:cs="Times New Roman"/>
          <w:sz w:val="24"/>
        </w:rPr>
        <w:t>）负效益</w:t>
      </w:r>
    </w:p>
    <w:p w14:paraId="21133144">
      <w:pPr>
        <w:spacing w:line="360" w:lineRule="auto"/>
        <w:ind w:firstLine="490" w:firstLineChars="200"/>
        <w:jc w:val="left"/>
        <w:rPr>
          <w:rFonts w:hint="default" w:ascii="Times New Roman" w:hAnsi="Times New Roman" w:cs="Times New Roman"/>
          <w:sz w:val="24"/>
        </w:rPr>
      </w:pPr>
      <w:r>
        <w:rPr>
          <w:rFonts w:hint="default" w:ascii="Times New Roman" w:hAnsi="Times New Roman" w:cs="Times New Roman"/>
          <w:sz w:val="24"/>
        </w:rPr>
        <w:t>项目虽然在各生产环节采取了污染防治措施，但仍向外环境排放了一定的污染物，项目的建设会带来一定污染，按本环评预测，均在可接受范围。</w:t>
      </w:r>
    </w:p>
    <w:p w14:paraId="0DE62416">
      <w:pPr>
        <w:pStyle w:val="5"/>
        <w:bidi w:val="0"/>
        <w:rPr>
          <w:rFonts w:hint="default" w:ascii="Times New Roman" w:hAnsi="Times New Roman" w:cs="Times New Roman"/>
          <w:lang w:val="en-US" w:eastAsia="zh-CN"/>
        </w:rPr>
      </w:pPr>
      <w:bookmarkStart w:id="756" w:name="_Toc8592"/>
      <w:bookmarkStart w:id="757" w:name="_Toc3377"/>
      <w:bookmarkStart w:id="758" w:name="_Toc4296"/>
      <w:r>
        <w:rPr>
          <w:rFonts w:hint="default" w:ascii="Times New Roman" w:hAnsi="Times New Roman" w:cs="Times New Roman"/>
          <w:lang w:val="en-US" w:eastAsia="zh-CN"/>
        </w:rPr>
        <w:t>9.3小结</w:t>
      </w:r>
      <w:bookmarkEnd w:id="746"/>
      <w:bookmarkEnd w:id="747"/>
      <w:bookmarkEnd w:id="754"/>
      <w:bookmarkEnd w:id="755"/>
      <w:bookmarkEnd w:id="756"/>
      <w:bookmarkEnd w:id="757"/>
      <w:bookmarkEnd w:id="758"/>
    </w:p>
    <w:bookmarkEnd w:id="730"/>
    <w:bookmarkEnd w:id="731"/>
    <w:p w14:paraId="2260C275">
      <w:pPr>
        <w:bidi w:val="0"/>
        <w:spacing w:line="360" w:lineRule="auto"/>
        <w:ind w:firstLine="490" w:firstLineChars="200"/>
        <w:rPr>
          <w:rFonts w:hint="default" w:ascii="Times New Roman" w:hAnsi="Times New Roman" w:cs="Times New Roman"/>
          <w:sz w:val="24"/>
        </w:rPr>
      </w:pPr>
      <w:bookmarkStart w:id="759" w:name="_Toc23927"/>
      <w:bookmarkStart w:id="760" w:name="_Toc11011"/>
      <w:bookmarkStart w:id="761" w:name="_Toc165816823"/>
      <w:bookmarkStart w:id="762" w:name="_Toc165816825"/>
      <w:r>
        <w:rPr>
          <w:rFonts w:hint="default" w:ascii="Times New Roman" w:hAnsi="Times New Roman" w:cs="Times New Roman"/>
          <w:sz w:val="24"/>
        </w:rPr>
        <w:t>项目总投资</w:t>
      </w:r>
      <w:r>
        <w:rPr>
          <w:rFonts w:hint="default" w:ascii="Times New Roman" w:hAnsi="Times New Roman" w:cs="Times New Roman"/>
          <w:sz w:val="24"/>
          <w:lang w:val="en-US" w:eastAsia="zh-CN"/>
        </w:rPr>
        <w:t>330</w:t>
      </w:r>
      <w:r>
        <w:rPr>
          <w:rFonts w:hint="default" w:ascii="Times New Roman" w:hAnsi="Times New Roman" w:cs="Times New Roman"/>
          <w:sz w:val="24"/>
        </w:rPr>
        <w:t>万元，环保投资为</w:t>
      </w:r>
      <w:r>
        <w:rPr>
          <w:rFonts w:hint="default" w:ascii="Times New Roman" w:hAnsi="Times New Roman" w:cs="Times New Roman"/>
          <w:sz w:val="24"/>
          <w:lang w:val="en-US" w:eastAsia="zh-CN"/>
        </w:rPr>
        <w:t>69.9</w:t>
      </w:r>
      <w:r>
        <w:rPr>
          <w:rFonts w:hint="default" w:ascii="Times New Roman" w:hAnsi="Times New Roman" w:cs="Times New Roman"/>
          <w:sz w:val="24"/>
        </w:rPr>
        <w:t>万元</w:t>
      </w:r>
      <w:r>
        <w:rPr>
          <w:rFonts w:hint="default" w:ascii="Times New Roman" w:hAnsi="Times New Roman" w:cs="Times New Roman"/>
          <w:sz w:val="24"/>
          <w:lang w:eastAsia="zh-CN"/>
        </w:rPr>
        <w:t>，</w:t>
      </w:r>
      <w:r>
        <w:rPr>
          <w:rFonts w:hint="default" w:ascii="Times New Roman" w:hAnsi="Times New Roman" w:cs="Times New Roman"/>
          <w:sz w:val="24"/>
        </w:rPr>
        <w:t>按上式计算</w:t>
      </w:r>
      <w:r>
        <w:rPr>
          <w:rFonts w:hint="default" w:ascii="Times New Roman" w:hAnsi="Times New Roman" w:eastAsia="TimesNewRomanPSMT" w:cs="Times New Roman"/>
          <w:sz w:val="24"/>
        </w:rPr>
        <w:t xml:space="preserve">Hj </w:t>
      </w:r>
      <w:r>
        <w:rPr>
          <w:rFonts w:hint="default" w:ascii="Times New Roman" w:hAnsi="Times New Roman" w:cs="Times New Roman"/>
          <w:sz w:val="24"/>
        </w:rPr>
        <w:t>为</w:t>
      </w:r>
      <w:r>
        <w:rPr>
          <w:rFonts w:hint="default" w:ascii="Times New Roman" w:hAnsi="Times New Roman" w:cs="Times New Roman"/>
          <w:color w:val="auto"/>
          <w:sz w:val="24"/>
          <w:highlight w:val="none"/>
          <w:lang w:val="en-US" w:eastAsia="zh-CN"/>
        </w:rPr>
        <w:t>21.18</w:t>
      </w:r>
      <w:r>
        <w:rPr>
          <w:rFonts w:hint="default" w:ascii="Times New Roman" w:hAnsi="Times New Roman" w:eastAsia="TimesNewRomanPSMT" w:cs="Times New Roman"/>
          <w:sz w:val="24"/>
        </w:rPr>
        <w:t>%</w:t>
      </w:r>
      <w:r>
        <w:rPr>
          <w:rFonts w:hint="default" w:ascii="Times New Roman" w:hAnsi="Times New Roman" w:cs="Times New Roman"/>
          <w:sz w:val="24"/>
        </w:rPr>
        <w:t>，所占比例合适。在采取相应的污染治理措施后，每年可减少缴纳税金</w:t>
      </w:r>
      <w:r>
        <w:rPr>
          <w:rFonts w:hint="default" w:ascii="Times New Roman" w:hAnsi="Times New Roman" w:cs="Times New Roman"/>
          <w:sz w:val="24"/>
          <w:lang w:val="en-US" w:eastAsia="zh-CN"/>
        </w:rPr>
        <w:t>21.46</w:t>
      </w:r>
      <w:r>
        <w:rPr>
          <w:rFonts w:hint="default" w:ascii="Times New Roman" w:hAnsi="Times New Roman" w:cs="Times New Roman"/>
          <w:sz w:val="24"/>
        </w:rPr>
        <w:t>万元。由此说明，由于采取了相应的污染处理措施，使得</w:t>
      </w:r>
      <w:r>
        <w:rPr>
          <w:rFonts w:hint="default" w:ascii="Times New Roman" w:hAnsi="Times New Roman" w:cs="Times New Roman"/>
          <w:sz w:val="24"/>
          <w:lang w:val="en-US" w:eastAsia="zh-CN"/>
        </w:rPr>
        <w:t>项目</w:t>
      </w:r>
      <w:r>
        <w:rPr>
          <w:rFonts w:hint="default" w:ascii="Times New Roman" w:hAnsi="Times New Roman" w:cs="Times New Roman"/>
          <w:sz w:val="24"/>
        </w:rPr>
        <w:t>建设的环境经济效益良好。因此，从社会环境经济分析来看，本项目是可行的，符合经济与环境协调发展的原则。</w:t>
      </w:r>
    </w:p>
    <w:p w14:paraId="61C5115E">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3AAE4210">
      <w:pPr>
        <w:pStyle w:val="4"/>
        <w:bidi w:val="0"/>
        <w:rPr>
          <w:rFonts w:hint="default" w:ascii="Times New Roman" w:hAnsi="Times New Roman" w:cs="Times New Roman"/>
        </w:rPr>
      </w:pPr>
      <w:bookmarkStart w:id="763" w:name="_Toc23902"/>
      <w:bookmarkStart w:id="764" w:name="_Toc6061"/>
      <w:bookmarkStart w:id="765" w:name="_Toc6694"/>
      <w:r>
        <w:rPr>
          <w:rFonts w:hint="default" w:ascii="Times New Roman" w:hAnsi="Times New Roman" w:cs="Times New Roman"/>
          <w:lang w:val="en-US" w:eastAsia="zh-CN"/>
        </w:rPr>
        <w:t>10</w:t>
      </w:r>
      <w:r>
        <w:rPr>
          <w:rFonts w:hint="default" w:ascii="Times New Roman" w:hAnsi="Times New Roman" w:cs="Times New Roman"/>
        </w:rPr>
        <w:t>环境影响评价结论</w:t>
      </w:r>
      <w:bookmarkEnd w:id="759"/>
      <w:bookmarkEnd w:id="760"/>
      <w:bookmarkEnd w:id="761"/>
      <w:bookmarkEnd w:id="763"/>
      <w:bookmarkEnd w:id="764"/>
      <w:bookmarkEnd w:id="765"/>
    </w:p>
    <w:p w14:paraId="18F337D6">
      <w:pPr>
        <w:pStyle w:val="5"/>
        <w:bidi w:val="0"/>
        <w:rPr>
          <w:rFonts w:hint="default" w:ascii="Times New Roman" w:hAnsi="Times New Roman" w:cs="Times New Roman"/>
          <w:lang w:val="en-US" w:eastAsia="zh-CN"/>
        </w:rPr>
      </w:pPr>
      <w:bookmarkStart w:id="766" w:name="_Toc165816824"/>
      <w:bookmarkStart w:id="767" w:name="_Toc24558"/>
      <w:bookmarkStart w:id="768" w:name="_Toc7146"/>
      <w:bookmarkStart w:id="769" w:name="_Toc25149"/>
      <w:bookmarkStart w:id="770" w:name="_Toc8265"/>
      <w:bookmarkStart w:id="771" w:name="_Toc9241"/>
      <w:r>
        <w:rPr>
          <w:rFonts w:hint="default" w:ascii="Times New Roman" w:hAnsi="Times New Roman" w:cs="Times New Roman"/>
          <w:lang w:val="en-US" w:eastAsia="zh-CN"/>
        </w:rPr>
        <w:t>10.1</w:t>
      </w:r>
      <w:bookmarkEnd w:id="766"/>
      <w:bookmarkStart w:id="772" w:name="_Toc7372"/>
      <w:bookmarkStart w:id="773" w:name="_Toc20286"/>
      <w:bookmarkStart w:id="774" w:name="_Toc31374"/>
      <w:bookmarkStart w:id="775" w:name="_Toc27386"/>
      <w:bookmarkStart w:id="776" w:name="_Toc638"/>
      <w:bookmarkStart w:id="777" w:name="_Toc10247"/>
      <w:r>
        <w:rPr>
          <w:rFonts w:hint="default" w:ascii="Times New Roman" w:hAnsi="Times New Roman" w:cs="Times New Roman"/>
          <w:lang w:val="en-US" w:eastAsia="zh-CN"/>
        </w:rPr>
        <w:t>工程概况结论</w:t>
      </w:r>
      <w:bookmarkEnd w:id="767"/>
      <w:bookmarkEnd w:id="768"/>
      <w:bookmarkEnd w:id="769"/>
      <w:bookmarkEnd w:id="770"/>
      <w:bookmarkEnd w:id="771"/>
      <w:bookmarkEnd w:id="772"/>
      <w:bookmarkEnd w:id="773"/>
      <w:bookmarkEnd w:id="774"/>
      <w:bookmarkEnd w:id="775"/>
      <w:bookmarkEnd w:id="776"/>
      <w:bookmarkEnd w:id="777"/>
    </w:p>
    <w:p w14:paraId="1B89CC6F">
      <w:pPr>
        <w:spacing w:line="360" w:lineRule="auto"/>
        <w:ind w:firstLine="490" w:firstLineChars="200"/>
        <w:rPr>
          <w:rFonts w:hint="default" w:ascii="Times New Roman" w:hAnsi="Times New Roman" w:cs="Times New Roman"/>
          <w:szCs w:val="24"/>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项目位于</w:t>
      </w:r>
      <w:r>
        <w:rPr>
          <w:rFonts w:hint="default" w:ascii="Times New Roman" w:hAnsi="Times New Roman" w:eastAsia="宋体" w:cs="Times New Roman"/>
          <w:color w:val="auto"/>
          <w:sz w:val="24"/>
          <w:szCs w:val="24"/>
          <w:highlight w:val="none"/>
          <w:lang w:val="en-US" w:eastAsia="zh-CN"/>
        </w:rPr>
        <w:t>云南省</w:t>
      </w:r>
      <w:r>
        <w:rPr>
          <w:rFonts w:hint="default" w:ascii="Times New Roman" w:hAnsi="Times New Roman" w:cs="Times New Roman"/>
          <w:color w:val="auto"/>
          <w:sz w:val="24"/>
          <w:szCs w:val="24"/>
          <w:highlight w:val="none"/>
          <w:lang w:val="en-US" w:eastAsia="zh-CN"/>
        </w:rPr>
        <w:t>玉溪市新平县扬武镇鲁奎山</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地处</w:t>
      </w:r>
      <w:r>
        <w:rPr>
          <w:rFonts w:hint="default" w:ascii="Times New Roman" w:hAnsi="Times New Roman" w:eastAsia="宋体" w:cs="Times New Roman"/>
          <w:color w:val="auto"/>
          <w:sz w:val="24"/>
          <w:szCs w:val="24"/>
          <w:highlight w:val="none"/>
        </w:rPr>
        <w:t>地理坐标：</w:t>
      </w:r>
      <w:r>
        <w:rPr>
          <w:rFonts w:hint="default" w:ascii="Times New Roman" w:hAnsi="Times New Roman" w:cs="Times New Roman" w:eastAsiaTheme="minorEastAsia"/>
          <w:color w:val="auto"/>
          <w:sz w:val="24"/>
          <w:szCs w:val="24"/>
        </w:rPr>
        <w:t>东经102.196263，北纬23.958044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建设单位利用鲁奎山矿山料场</w:t>
      </w:r>
      <w:r>
        <w:rPr>
          <w:rFonts w:hint="default" w:ascii="Times New Roman" w:hAnsi="Times New Roman"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lang w:val="en-US" w:eastAsia="zh-CN"/>
        </w:rPr>
        <w:t>一条干式磁选铁矿石选矿生产线。项目建成后，年处理低品位铁矿10万吨</w:t>
      </w:r>
      <w:r>
        <w:rPr>
          <w:rFonts w:hint="default" w:ascii="Times New Roman" w:hAnsi="Times New Roman" w:cs="Times New Roman"/>
          <w:color w:val="auto"/>
          <w:sz w:val="24"/>
          <w:szCs w:val="24"/>
          <w:highlight w:val="none"/>
          <w:lang w:val="en-US" w:eastAsia="zh-CN"/>
        </w:rPr>
        <w:t>。</w:t>
      </w:r>
    </w:p>
    <w:p w14:paraId="39B7E108">
      <w:pPr>
        <w:pStyle w:val="5"/>
        <w:bidi w:val="0"/>
        <w:rPr>
          <w:rFonts w:hint="default" w:ascii="Times New Roman" w:hAnsi="Times New Roman" w:cs="Times New Roman"/>
          <w:lang w:val="en-US" w:eastAsia="zh-CN"/>
        </w:rPr>
      </w:pPr>
      <w:bookmarkStart w:id="778" w:name="_Toc28315"/>
      <w:bookmarkStart w:id="779" w:name="_Toc13516"/>
      <w:bookmarkStart w:id="780" w:name="_Toc4521450"/>
      <w:bookmarkStart w:id="781" w:name="_Toc16692"/>
      <w:bookmarkStart w:id="782" w:name="_Toc303"/>
      <w:bookmarkStart w:id="783" w:name="_Toc18079"/>
      <w:bookmarkStart w:id="784" w:name="_Toc10131"/>
      <w:bookmarkStart w:id="785" w:name="_Toc25833"/>
      <w:bookmarkStart w:id="786" w:name="_Toc8091"/>
      <w:bookmarkStart w:id="787" w:name="_Toc6733"/>
      <w:bookmarkStart w:id="788" w:name="_Toc10440"/>
      <w:bookmarkStart w:id="789" w:name="_Toc22912"/>
      <w:bookmarkStart w:id="790" w:name="_Toc17277"/>
      <w:bookmarkStart w:id="791" w:name="_Toc28329"/>
      <w:r>
        <w:rPr>
          <w:rFonts w:hint="default" w:ascii="Times New Roman" w:hAnsi="Times New Roman" w:cs="Times New Roman"/>
          <w:lang w:val="en-US" w:eastAsia="zh-CN"/>
        </w:rPr>
        <w:t>10.2</w:t>
      </w:r>
      <w:bookmarkEnd w:id="778"/>
      <w:bookmarkEnd w:id="779"/>
      <w:bookmarkEnd w:id="780"/>
      <w:r>
        <w:rPr>
          <w:rFonts w:hint="default" w:ascii="Times New Roman" w:hAnsi="Times New Roman" w:cs="Times New Roman"/>
          <w:lang w:val="en-US" w:eastAsia="zh-CN"/>
        </w:rPr>
        <w:t>产业政策、规划等符合性结论</w:t>
      </w:r>
      <w:bookmarkEnd w:id="781"/>
      <w:bookmarkEnd w:id="782"/>
      <w:bookmarkEnd w:id="783"/>
      <w:bookmarkEnd w:id="784"/>
      <w:bookmarkEnd w:id="785"/>
      <w:bookmarkEnd w:id="786"/>
      <w:bookmarkEnd w:id="787"/>
      <w:bookmarkEnd w:id="788"/>
      <w:bookmarkEnd w:id="789"/>
      <w:bookmarkEnd w:id="790"/>
      <w:bookmarkEnd w:id="791"/>
    </w:p>
    <w:p w14:paraId="34A7FFC7">
      <w:pPr>
        <w:spacing w:line="360" w:lineRule="auto"/>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（1）产业政策</w:t>
      </w:r>
      <w:r>
        <w:rPr>
          <w:rFonts w:hint="default" w:ascii="Times New Roman" w:hAnsi="Times New Roman" w:eastAsia="宋体" w:cs="Times New Roman"/>
          <w:color w:val="auto"/>
          <w:szCs w:val="24"/>
        </w:rPr>
        <w:t>符合性</w:t>
      </w:r>
      <w:r>
        <w:rPr>
          <w:rFonts w:hint="default" w:ascii="Times New Roman" w:hAnsi="Times New Roman" w:eastAsia="宋体" w:cs="Times New Roman"/>
          <w:color w:val="auto"/>
          <w:lang w:bidi="zh-CN"/>
        </w:rPr>
        <w:t>判定：本项目为铁矿选矿项目，根据《产业结构调整指导目录（2024年本）》，本项目属于第一类鼓励类中“八、黑色金属矿山开采、选矿及共伴生矿产综合开发利用”。同时，项目生产工艺及生产设备不属于《高耗能落后机电设备（产品）淘汰目录（第一批）</w:t>
      </w:r>
      <w:r>
        <w:rPr>
          <w:rFonts w:hint="default" w:ascii="Times New Roman" w:hAnsi="Times New Roman" w:cs="Times New Roman"/>
          <w:color w:val="auto"/>
          <w:lang w:bidi="zh-CN"/>
        </w:rPr>
        <w:t>》《</w:t>
      </w:r>
      <w:r>
        <w:rPr>
          <w:rFonts w:hint="default" w:ascii="Times New Roman" w:hAnsi="Times New Roman" w:eastAsia="宋体" w:cs="Times New Roman"/>
          <w:color w:val="auto"/>
          <w:lang w:bidi="zh-CN"/>
        </w:rPr>
        <w:t>高耗能落后机电设备（产品）淘汰目录（第二批）</w:t>
      </w:r>
      <w:r>
        <w:rPr>
          <w:rFonts w:hint="default" w:ascii="Times New Roman" w:hAnsi="Times New Roman" w:cs="Times New Roman"/>
          <w:color w:val="auto"/>
          <w:lang w:bidi="zh-CN"/>
        </w:rPr>
        <w:t>》《</w:t>
      </w:r>
      <w:r>
        <w:rPr>
          <w:rFonts w:hint="default" w:ascii="Times New Roman" w:hAnsi="Times New Roman" w:eastAsia="宋体" w:cs="Times New Roman"/>
          <w:color w:val="auto"/>
          <w:lang w:bidi="zh-CN"/>
        </w:rPr>
        <w:t>高耗能落后机电设备（产品）淘汰目录（第三批）</w:t>
      </w:r>
      <w:r>
        <w:rPr>
          <w:rFonts w:hint="default" w:ascii="Times New Roman" w:hAnsi="Times New Roman" w:cs="Times New Roman"/>
          <w:color w:val="auto"/>
          <w:lang w:bidi="zh-CN"/>
        </w:rPr>
        <w:t>》《</w:t>
      </w:r>
      <w:r>
        <w:rPr>
          <w:rFonts w:hint="default" w:ascii="Times New Roman" w:hAnsi="Times New Roman" w:eastAsia="宋体" w:cs="Times New Roman"/>
          <w:color w:val="auto"/>
          <w:lang w:bidi="zh-CN"/>
        </w:rPr>
        <w:t>高耗能落后机电设备（产品）淘汰目录（第四批）》中限制、淘汰的工艺技术，本项目所用的设备均不在国家禁止使用的落后、淘汰生产设备之列。本项目已取得新平彝族傣族自治县发展和改革局投资项目备案证，项目代码为：</w:t>
      </w:r>
      <w:r>
        <w:rPr>
          <w:rFonts w:hint="default" w:ascii="Times New Roman" w:hAnsi="Times New Roman" w:eastAsia="宋体" w:cs="Times New Roman"/>
          <w:b w:val="0"/>
          <w:bCs w:val="0"/>
          <w:color w:val="auto"/>
          <w:sz w:val="24"/>
          <w:szCs w:val="24"/>
        </w:rPr>
        <w:t>2404-530427-04-01-771767</w:t>
      </w:r>
      <w:r>
        <w:rPr>
          <w:rFonts w:hint="default" w:ascii="Times New Roman" w:hAnsi="Times New Roman" w:eastAsia="宋体" w:cs="Times New Roman"/>
          <w:color w:val="auto"/>
          <w:lang w:bidi="zh-CN"/>
        </w:rPr>
        <w:t>。项目符合国家产业政策。</w:t>
      </w:r>
    </w:p>
    <w:p w14:paraId="6702639F">
      <w:pPr>
        <w:spacing w:line="360" w:lineRule="auto"/>
        <w:ind w:firstLine="480"/>
        <w:rPr>
          <w:rFonts w:hint="default" w:ascii="Times New Roman" w:hAnsi="Times New Roman" w:cs="Times New Roman" w:eastAsiaTheme="minorEastAsia"/>
          <w:kern w:val="0"/>
        </w:rPr>
      </w:pPr>
      <w:r>
        <w:rPr>
          <w:rFonts w:hint="default" w:ascii="Times New Roman" w:hAnsi="Times New Roman" w:cs="Times New Roman"/>
          <w:lang w:bidi="zh-CN"/>
        </w:rPr>
        <w:t>（2）</w:t>
      </w:r>
      <w:r>
        <w:rPr>
          <w:rFonts w:hint="default" w:ascii="Times New Roman" w:hAnsi="Times New Roman" w:cs="Times New Roman" w:eastAsiaTheme="minorEastAsia"/>
          <w:lang w:bidi="zh-CN"/>
        </w:rPr>
        <w:t>“</w:t>
      </w:r>
      <w:r>
        <w:rPr>
          <w:rFonts w:hint="default" w:ascii="Times New Roman" w:hAnsi="Times New Roman" w:cs="Times New Roman" w:eastAsiaTheme="minorEastAsia"/>
          <w:sz w:val="24"/>
          <w:szCs w:val="24"/>
          <w:lang w:val="en-US" w:eastAsia="zh-CN" w:bidi="zh-CN"/>
        </w:rPr>
        <w:t>玉溪市生态环境分区管控动态更新调整方案</w:t>
      </w:r>
      <w:r>
        <w:rPr>
          <w:rFonts w:hint="default" w:ascii="Times New Roman" w:hAnsi="Times New Roman" w:cs="Times New Roman" w:eastAsiaTheme="minorEastAsia"/>
          <w:lang w:bidi="zh-CN"/>
        </w:rPr>
        <w:t>”</w:t>
      </w:r>
      <w:r>
        <w:rPr>
          <w:rFonts w:hint="default" w:ascii="Times New Roman" w:hAnsi="Times New Roman" w:cs="Times New Roman"/>
          <w:szCs w:val="24"/>
        </w:rPr>
        <w:t>符合性</w:t>
      </w:r>
      <w:r>
        <w:rPr>
          <w:rFonts w:hint="default" w:ascii="Times New Roman" w:hAnsi="Times New Roman" w:cs="Times New Roman"/>
          <w:lang w:bidi="zh-CN"/>
        </w:rPr>
        <w:t>判定：根据分析，</w:t>
      </w:r>
      <w:r>
        <w:rPr>
          <w:rFonts w:hint="default" w:ascii="Times New Roman" w:hAnsi="Times New Roman" w:cs="Times New Roman" w:eastAsiaTheme="minorEastAsia"/>
          <w:kern w:val="0"/>
        </w:rPr>
        <w:t>本项目属于新平彝族傣族自治县</w:t>
      </w:r>
      <w:r>
        <w:rPr>
          <w:rFonts w:hint="default" w:ascii="Times New Roman" w:hAnsi="Times New Roman" w:cs="Times New Roman" w:eastAsiaTheme="minorEastAsia"/>
          <w:kern w:val="0"/>
          <w:lang w:val="en-US" w:eastAsia="zh-CN"/>
        </w:rPr>
        <w:t>一般</w:t>
      </w:r>
      <w:r>
        <w:rPr>
          <w:rFonts w:hint="default" w:ascii="Times New Roman" w:hAnsi="Times New Roman" w:cs="Times New Roman" w:eastAsiaTheme="minorEastAsia"/>
          <w:kern w:val="0"/>
        </w:rPr>
        <w:t>管控单元，</w:t>
      </w:r>
      <w:r>
        <w:rPr>
          <w:rFonts w:hint="default" w:ascii="Times New Roman" w:hAnsi="Times New Roman" w:cs="Times New Roman"/>
        </w:rPr>
        <w:t>符合</w:t>
      </w:r>
      <w:r>
        <w:rPr>
          <w:rFonts w:hint="default" w:ascii="Times New Roman" w:hAnsi="Times New Roman" w:cs="Times New Roman" w:eastAsiaTheme="minorEastAsia"/>
          <w:sz w:val="24"/>
          <w:szCs w:val="24"/>
          <w:lang w:val="en-US" w:eastAsia="zh-CN" w:bidi="zh-CN"/>
        </w:rPr>
        <w:t>玉溪市生态环境局《关于印发玉溪市生态环境分区管控动态更新调整方案（2023年）的通知》（玉市环〔2024〕40号）</w:t>
      </w:r>
      <w:r>
        <w:rPr>
          <w:rFonts w:hint="default" w:ascii="Times New Roman" w:hAnsi="Times New Roman" w:cs="Times New Roman" w:eastAsiaTheme="minorEastAsia"/>
          <w:kern w:val="0"/>
        </w:rPr>
        <w:t>的相关要求。</w:t>
      </w:r>
    </w:p>
    <w:p w14:paraId="31BF328F">
      <w:pPr>
        <w:bidi w:val="0"/>
        <w:spacing w:line="360" w:lineRule="auto"/>
        <w:ind w:firstLine="490" w:firstLineChars="200"/>
        <w:rPr>
          <w:rFonts w:hint="default" w:ascii="Times New Roman" w:hAnsi="Times New Roman" w:cs="Times New Roman"/>
        </w:rPr>
      </w:pPr>
      <w:r>
        <w:rPr>
          <w:rFonts w:hint="default" w:ascii="Times New Roman" w:hAnsi="Times New Roman" w:cs="Times New Roman"/>
        </w:rPr>
        <w:t>（3）规划符合性：根据分析，本项目</w:t>
      </w:r>
      <w:bookmarkStart w:id="792" w:name="_Hlk150332620"/>
      <w:r>
        <w:rPr>
          <w:rFonts w:hint="default" w:ascii="Times New Roman" w:hAnsi="Times New Roman" w:cs="Times New Roman"/>
        </w:rPr>
        <w:t>符合《云南省矿产资源总体规划（2021</w:t>
      </w:r>
      <w:r>
        <w:rPr>
          <w:rFonts w:hint="default" w:ascii="Times New Roman" w:hAnsi="Times New Roman" w:cs="Times New Roman"/>
          <w:lang w:eastAsia="zh-CN"/>
        </w:rPr>
        <w:t>—</w:t>
      </w:r>
      <w:r>
        <w:rPr>
          <w:rFonts w:hint="default" w:ascii="Times New Roman" w:hAnsi="Times New Roman" w:cs="Times New Roman"/>
        </w:rPr>
        <w:t>2025年）</w:t>
      </w:r>
      <w:r>
        <w:rPr>
          <w:rFonts w:hint="default" w:ascii="Times New Roman" w:hAnsi="Times New Roman" w:cs="Times New Roman"/>
          <w:lang w:eastAsia="zh-CN"/>
        </w:rPr>
        <w:t>》《</w:t>
      </w:r>
      <w:r>
        <w:rPr>
          <w:rFonts w:hint="default" w:ascii="Times New Roman" w:hAnsi="Times New Roman" w:cs="Times New Roman"/>
        </w:rPr>
        <w:t>云南省矿产资源总体规划（2021-2025 年）环境影响报告书》的审查意见（环审〔2022〕130 号）、《云南省固体废物污染环境防治条例》《云南省地下水污染防治实施方案》《云南省土壤、地下水污染防治“十四五”规划》《云南省工业固废和重金属污染防治“十四五”规划</w:t>
      </w:r>
      <w:r>
        <w:rPr>
          <w:rFonts w:hint="default" w:ascii="Times New Roman" w:hAnsi="Times New Roman" w:cs="Times New Roman"/>
          <w:lang w:eastAsia="zh-CN"/>
        </w:rPr>
        <w:t>》《</w:t>
      </w:r>
      <w:bookmarkEnd w:id="792"/>
      <w:r>
        <w:rPr>
          <w:rFonts w:hint="default" w:ascii="Times New Roman" w:hAnsi="Times New Roman" w:cs="Times New Roman"/>
        </w:rPr>
        <w:t>玉溪市矿产资源总体规划（2021</w:t>
      </w:r>
      <w:r>
        <w:rPr>
          <w:rFonts w:hint="default" w:ascii="Times New Roman" w:hAnsi="Times New Roman" w:cs="Times New Roman"/>
          <w:lang w:eastAsia="zh-CN"/>
        </w:rPr>
        <w:t>—</w:t>
      </w:r>
      <w:r>
        <w:rPr>
          <w:rFonts w:hint="default" w:ascii="Times New Roman" w:hAnsi="Times New Roman" w:cs="Times New Roman"/>
        </w:rPr>
        <w:t>2025年）</w:t>
      </w:r>
      <w:r>
        <w:rPr>
          <w:rFonts w:hint="default" w:ascii="Times New Roman" w:hAnsi="Times New Roman" w:cs="Times New Roman"/>
          <w:lang w:eastAsia="zh-CN"/>
        </w:rPr>
        <w:t>》《</w:t>
      </w:r>
      <w:r>
        <w:rPr>
          <w:rFonts w:hint="default" w:ascii="Times New Roman" w:hAnsi="Times New Roman" w:cs="Times New Roman"/>
        </w:rPr>
        <w:t>玉溪市“十四五”生态建设和环境保护规划（2021-2025 年）》等相关要求。</w:t>
      </w:r>
    </w:p>
    <w:p w14:paraId="437575D6">
      <w:pPr>
        <w:pStyle w:val="5"/>
        <w:bidi w:val="0"/>
        <w:rPr>
          <w:rFonts w:hint="default" w:ascii="Times New Roman" w:hAnsi="Times New Roman" w:cs="Times New Roman"/>
        </w:rPr>
      </w:pPr>
      <w:bookmarkStart w:id="793" w:name="_Toc10492"/>
      <w:bookmarkStart w:id="794" w:name="_Toc31905"/>
      <w:bookmarkStart w:id="795" w:name="_Toc10766"/>
      <w:bookmarkStart w:id="796" w:name="_Toc7073"/>
      <w:bookmarkStart w:id="797" w:name="_Toc29696"/>
      <w:r>
        <w:rPr>
          <w:rFonts w:hint="default" w:ascii="Times New Roman" w:hAnsi="Times New Roman" w:cs="Times New Roman"/>
          <w:lang w:val="en-US" w:eastAsia="zh-CN"/>
        </w:rPr>
        <w:t>10</w:t>
      </w: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环境质量现状</w:t>
      </w:r>
      <w:bookmarkEnd w:id="762"/>
      <w:bookmarkEnd w:id="793"/>
      <w:bookmarkEnd w:id="794"/>
      <w:bookmarkEnd w:id="795"/>
      <w:bookmarkEnd w:id="796"/>
      <w:bookmarkEnd w:id="797"/>
    </w:p>
    <w:p w14:paraId="7B4107FF">
      <w:pPr>
        <w:ind w:firstLine="480"/>
        <w:rPr>
          <w:rFonts w:hint="default" w:ascii="Times New Roman" w:hAnsi="Times New Roman" w:cs="Times New Roman"/>
        </w:rPr>
      </w:pPr>
      <w:r>
        <w:rPr>
          <w:rFonts w:hint="default" w:ascii="Times New Roman" w:hAnsi="Times New Roman" w:cs="Times New Roman"/>
        </w:rPr>
        <w:t>（1）环境空气</w:t>
      </w:r>
    </w:p>
    <w:p w14:paraId="2FB63763">
      <w:pPr>
        <w:spacing w:line="360" w:lineRule="auto"/>
        <w:ind w:firstLine="49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本项目位于玉溪市新平县，本次评价采用新平县</w:t>
      </w:r>
      <w:r>
        <w:rPr>
          <w:rFonts w:hint="default" w:ascii="Times New Roman" w:hAnsi="Times New Roman" w:eastAsia="宋体" w:cs="Times New Roman"/>
          <w:color w:val="auto"/>
          <w:sz w:val="24"/>
          <w:szCs w:val="22"/>
        </w:rPr>
        <w:t>环境空气质量自动监测点的202</w:t>
      </w:r>
      <w:r>
        <w:rPr>
          <w:rFonts w:hint="default" w:ascii="Times New Roman" w:hAnsi="Times New Roman" w:eastAsia="宋体" w:cs="Times New Roman"/>
          <w:color w:val="auto"/>
          <w:sz w:val="24"/>
          <w:szCs w:val="22"/>
          <w:lang w:val="en-US" w:eastAsia="zh-CN"/>
        </w:rPr>
        <w:t>2</w:t>
      </w:r>
      <w:r>
        <w:rPr>
          <w:rFonts w:hint="default" w:ascii="Times New Roman" w:hAnsi="Times New Roman" w:eastAsia="宋体" w:cs="Times New Roman"/>
          <w:color w:val="auto"/>
          <w:sz w:val="24"/>
          <w:szCs w:val="22"/>
        </w:rPr>
        <w:t>年全年环境空气监测数据进行达标区判定及基本污染物环境空气质量现状评价。</w:t>
      </w:r>
      <w:r>
        <w:rPr>
          <w:rFonts w:hint="default" w:ascii="Times New Roman" w:hAnsi="Times New Roman" w:eastAsia="宋体" w:cs="Times New Roman"/>
          <w:color w:val="auto"/>
          <w:sz w:val="24"/>
          <w:szCs w:val="24"/>
        </w:rPr>
        <w:t>新平县</w:t>
      </w:r>
      <w:r>
        <w:rPr>
          <w:rFonts w:hint="default" w:ascii="Times New Roman" w:hAnsi="Times New Roman" w:eastAsia="宋体" w:cs="Times New Roman"/>
          <w:color w:val="auto"/>
          <w:sz w:val="24"/>
          <w:szCs w:val="22"/>
        </w:rPr>
        <w:t>环境空气质量自动监测点位于新平县一小，距离本项目约</w:t>
      </w:r>
      <w:r>
        <w:rPr>
          <w:rFonts w:hint="default" w:ascii="Times New Roman" w:hAnsi="Times New Roman" w:eastAsia="宋体" w:cs="Times New Roman"/>
          <w:color w:val="auto"/>
          <w:sz w:val="24"/>
          <w:szCs w:val="22"/>
          <w:lang w:val="en-US" w:eastAsia="zh-CN"/>
        </w:rPr>
        <w:t>25.4</w:t>
      </w:r>
      <w:r>
        <w:rPr>
          <w:rFonts w:hint="default" w:ascii="Times New Roman" w:hAnsi="Times New Roman" w:eastAsia="宋体" w:cs="Times New Roman"/>
          <w:color w:val="auto"/>
          <w:sz w:val="24"/>
          <w:szCs w:val="22"/>
        </w:rPr>
        <w:t>km。</w:t>
      </w:r>
    </w:p>
    <w:p w14:paraId="73BB19C4">
      <w:pPr>
        <w:spacing w:line="360" w:lineRule="auto"/>
        <w:ind w:firstLine="49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年监测数据可知，SO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、CO、O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六项污染物均满足《环境空气质量标准》（GB3095-2012）及2018年修改单的二级标准浓度限值要求，项目所在区域属于环境空气质量达标区。</w:t>
      </w:r>
    </w:p>
    <w:p w14:paraId="5ED81089">
      <w:pPr>
        <w:spacing w:line="360" w:lineRule="auto"/>
        <w:ind w:firstLine="735" w:firstLineChars="300"/>
        <w:rPr>
          <w:rFonts w:hint="default" w:ascii="Times New Roman" w:hAnsi="Times New Roman" w:cs="Times New Roman"/>
        </w:rPr>
      </w:pPr>
      <w:r>
        <w:rPr>
          <w:rFonts w:hint="default" w:ascii="Times New Roman" w:hAnsi="Times New Roman" w:cs="Times New Roman"/>
        </w:rPr>
        <w:t>根据补充监测结果，</w:t>
      </w:r>
      <w:r>
        <w:rPr>
          <w:rFonts w:hint="default" w:ascii="Times New Roman" w:hAnsi="Times New Roman" w:cs="Times New Roman"/>
          <w:bCs/>
          <w:iCs/>
          <w:szCs w:val="21"/>
        </w:rPr>
        <w:t>TSP</w:t>
      </w:r>
      <w:r>
        <w:rPr>
          <w:rFonts w:hint="default" w:ascii="Times New Roman" w:hAnsi="Times New Roman" w:cs="Times New Roman"/>
        </w:rPr>
        <w:t>满足《环境空气质量标准》（GB 3095-2012）及2018年修改单的二级标准限值。</w:t>
      </w:r>
    </w:p>
    <w:p w14:paraId="58EE5A76">
      <w:pPr>
        <w:spacing w:line="360" w:lineRule="auto"/>
        <w:ind w:firstLine="480"/>
        <w:rPr>
          <w:rFonts w:hint="default" w:ascii="Times New Roman" w:hAnsi="Times New Roman" w:cs="Times New Roman"/>
        </w:rPr>
      </w:pPr>
      <w:r>
        <w:rPr>
          <w:rFonts w:hint="default" w:ascii="Times New Roman" w:hAnsi="Times New Roman" w:cs="Times New Roman"/>
        </w:rPr>
        <w:t>（2）地表水环境</w:t>
      </w:r>
    </w:p>
    <w:p w14:paraId="01EC62FC">
      <w:pPr>
        <w:spacing w:line="360" w:lineRule="auto"/>
        <w:ind w:firstLine="480"/>
        <w:rPr>
          <w:rFonts w:hint="default" w:ascii="Times New Roman" w:hAnsi="Times New Roman" w:cs="Times New Roman"/>
          <w:lang w:val="en-US" w:eastAsia="zh-CN"/>
        </w:rPr>
      </w:pPr>
      <w:r>
        <w:rPr>
          <w:rFonts w:hint="default" w:ascii="Times New Roman" w:hAnsi="Times New Roman" w:cs="Times New Roman"/>
          <w:lang w:val="en-US" w:eastAsia="zh-CN"/>
        </w:rPr>
        <w:t>根据小河底河化念水库国控断面2021年～2023年监测结果，小河底河化念水库国控断面2021年～2023年连续三年水质浓度均能达到《地表水环境质量标准》（GB3838-2002）中Ⅲ类标准，连续三年（2021年～2023年）年平均水质对比分析，水质变化幅度小，说明小河底河水质较为稳定。</w:t>
      </w:r>
    </w:p>
    <w:p w14:paraId="2FFAA2F5">
      <w:pPr>
        <w:spacing w:line="360" w:lineRule="auto"/>
        <w:ind w:firstLine="480"/>
        <w:rPr>
          <w:rFonts w:hint="default" w:ascii="Times New Roman" w:hAnsi="Times New Roman" w:cs="Times New Roman"/>
        </w:rPr>
      </w:pPr>
      <w:r>
        <w:rPr>
          <w:rFonts w:hint="default" w:ascii="Times New Roman" w:hAnsi="Times New Roman" w:cs="Times New Roman"/>
        </w:rPr>
        <w:t>（3）地下水环境</w:t>
      </w:r>
    </w:p>
    <w:p w14:paraId="42A3949B">
      <w:pPr>
        <w:spacing w:line="360" w:lineRule="auto"/>
        <w:ind w:firstLine="480"/>
        <w:rPr>
          <w:rFonts w:hint="default" w:ascii="Times New Roman" w:hAnsi="Times New Roman" w:cs="Times New Roman"/>
        </w:rPr>
      </w:pPr>
      <w:r>
        <w:rPr>
          <w:rFonts w:hint="default" w:ascii="Times New Roman" w:hAnsi="Times New Roman" w:cs="Times New Roman"/>
        </w:rPr>
        <w:t>根据项目所处区域水文地质特征及地下水功能和用途，执行《地下水质量标准》（GB/T14848-2017）Ⅲ类标准。</w:t>
      </w:r>
      <w:r>
        <w:rPr>
          <w:rFonts w:hint="default" w:ascii="Times New Roman" w:hAnsi="Times New Roman" w:cs="Times New Roman"/>
          <w:szCs w:val="24"/>
        </w:rPr>
        <w:t>根据地下水环境质量现状监测数据</w:t>
      </w:r>
      <w:r>
        <w:rPr>
          <w:rFonts w:hint="default" w:ascii="Times New Roman" w:hAnsi="Times New Roman" w:cs="Times New Roman"/>
        </w:rPr>
        <w:t>，</w:t>
      </w:r>
      <w:r>
        <w:rPr>
          <w:rFonts w:hint="default" w:ascii="Times New Roman" w:hAnsi="Times New Roman" w:cs="Times New Roman"/>
          <w:kern w:val="0"/>
        </w:rPr>
        <w:t>项目区域地下水质能够满足《地下水质量标准》(GB/T14848-2017)Ⅲ类标准要求。</w:t>
      </w:r>
    </w:p>
    <w:p w14:paraId="679EF59C">
      <w:pPr>
        <w:spacing w:line="360" w:lineRule="auto"/>
        <w:ind w:firstLine="48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bCs/>
        </w:rPr>
        <w:t>声环境</w:t>
      </w:r>
    </w:p>
    <w:p w14:paraId="4C269EDD">
      <w:pPr>
        <w:snapToGrid w:val="0"/>
        <w:spacing w:before="163" w:beforeLines="50" w:line="360" w:lineRule="auto"/>
        <w:ind w:firstLine="480"/>
        <w:rPr>
          <w:rFonts w:hint="default" w:ascii="Times New Roman" w:hAnsi="Times New Roman" w:cs="Times New Roman"/>
        </w:rPr>
      </w:pPr>
      <w:r>
        <w:rPr>
          <w:rFonts w:hint="default" w:ascii="Times New Roman" w:hAnsi="Times New Roman" w:cs="Times New Roman"/>
        </w:rPr>
        <w:t>根据监测结果，</w:t>
      </w:r>
      <w:r>
        <w:rPr>
          <w:rFonts w:hint="default" w:ascii="Times New Roman" w:hAnsi="Times New Roman" w:cs="Times New Roman"/>
          <w:bCs/>
        </w:rPr>
        <w:t>项目厂界的</w:t>
      </w:r>
      <w:r>
        <w:rPr>
          <w:rFonts w:hint="default" w:ascii="Times New Roman" w:hAnsi="Times New Roman" w:cs="Times New Roman"/>
        </w:rPr>
        <w:t>昼间等效 A 声级（L</w:t>
      </w:r>
      <w:r>
        <w:rPr>
          <w:rFonts w:hint="default" w:ascii="Times New Roman" w:hAnsi="Times New Roman" w:cs="Times New Roman"/>
          <w:vertAlign w:val="subscript"/>
        </w:rPr>
        <w:t>d</w:t>
      </w:r>
      <w:r>
        <w:rPr>
          <w:rFonts w:hint="default" w:ascii="Times New Roman" w:hAnsi="Times New Roman" w:cs="Times New Roman"/>
        </w:rPr>
        <w:t>）、夜间等效 A 声级（L</w:t>
      </w:r>
      <w:r>
        <w:rPr>
          <w:rFonts w:hint="default" w:ascii="Times New Roman" w:hAnsi="Times New Roman" w:cs="Times New Roman"/>
          <w:vertAlign w:val="subscript"/>
        </w:rPr>
        <w:t>n</w:t>
      </w:r>
      <w:r>
        <w:rPr>
          <w:rFonts w:hint="default" w:ascii="Times New Roman" w:hAnsi="Times New Roman" w:cs="Times New Roman"/>
        </w:rPr>
        <w:t>）均满足《声环境质量标准》（GB3096-2008）2类区标准要求。</w:t>
      </w:r>
    </w:p>
    <w:p w14:paraId="70B5976F">
      <w:pPr>
        <w:spacing w:line="360" w:lineRule="auto"/>
        <w:ind w:firstLine="480"/>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bCs/>
        </w:rPr>
        <w:t>土壤环境</w:t>
      </w:r>
    </w:p>
    <w:p w14:paraId="0D0719E6">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left"/>
        <w:textAlignment w:val="auto"/>
        <w:rPr>
          <w:rFonts w:hint="default" w:ascii="Times New Roman" w:hAnsi="Times New Roman" w:eastAsia="宋体" w:cs="Times New Roman"/>
          <w:color w:val="auto"/>
          <w:lang w:eastAsia="zh-CN"/>
        </w:rPr>
      </w:pPr>
      <w:bookmarkStart w:id="798" w:name="_Toc165816826"/>
      <w:r>
        <w:rPr>
          <w:rFonts w:hint="default" w:ascii="Times New Roman" w:hAnsi="Times New Roman" w:cs="Times New Roman"/>
          <w:color w:val="auto"/>
          <w:sz w:val="24"/>
          <w:szCs w:val="24"/>
        </w:rPr>
        <w:t>根据监测结果</w:t>
      </w:r>
      <w:r>
        <w:rPr>
          <w:rFonts w:hint="default" w:ascii="Times New Roman" w:hAnsi="Times New Roman" w:cs="Times New Roman"/>
          <w:color w:val="auto"/>
          <w:sz w:val="24"/>
          <w:szCs w:val="24"/>
          <w:lang w:val="en-US" w:eastAsia="zh-CN"/>
        </w:rPr>
        <w:t>可知</w:t>
      </w:r>
      <w:r>
        <w:rPr>
          <w:rFonts w:hint="default" w:ascii="Times New Roman" w:hAnsi="Times New Roman" w:cs="Times New Roman"/>
          <w:color w:val="auto"/>
          <w:sz w:val="24"/>
          <w:szCs w:val="24"/>
        </w:rPr>
        <w:t>，项目区占地范围内</w:t>
      </w:r>
      <w:r>
        <w:rPr>
          <w:rFonts w:hint="default" w:ascii="Times New Roman" w:hAnsi="Times New Roman" w:cs="Times New Roman"/>
          <w:color w:val="auto"/>
          <w:sz w:val="24"/>
          <w:szCs w:val="24"/>
          <w:lang w:val="en-US" w:eastAsia="zh-CN"/>
        </w:rPr>
        <w:t>及占地范围外建设用地</w:t>
      </w:r>
      <w:r>
        <w:rPr>
          <w:rFonts w:hint="default" w:ascii="Times New Roman" w:hAnsi="Times New Roman" w:cs="Times New Roman"/>
          <w:color w:val="auto"/>
          <w:sz w:val="24"/>
          <w:szCs w:val="24"/>
        </w:rPr>
        <w:t>，各监测点</w:t>
      </w:r>
      <w:r>
        <w:rPr>
          <w:rFonts w:hint="default" w:ascii="Times New Roman" w:hAnsi="Times New Roman" w:cs="Times New Roman"/>
          <w:color w:val="auto"/>
          <w:sz w:val="24"/>
          <w:szCs w:val="24"/>
          <w:lang w:val="en-US" w:eastAsia="zh-CN"/>
        </w:rPr>
        <w:t>的</w:t>
      </w:r>
      <w:r>
        <w:rPr>
          <w:rFonts w:hint="default" w:ascii="Times New Roman" w:hAnsi="Times New Roman" w:cs="Times New Roman"/>
          <w:color w:val="auto"/>
          <w:sz w:val="24"/>
          <w:szCs w:val="24"/>
        </w:rPr>
        <w:t>各监测因子均</w:t>
      </w:r>
      <w:r>
        <w:rPr>
          <w:rFonts w:hint="default" w:ascii="Times New Roman" w:hAnsi="Times New Roman" w:cs="Times New Roman"/>
          <w:color w:val="auto"/>
          <w:sz w:val="24"/>
          <w:szCs w:val="24"/>
          <w:lang w:val="en-US" w:eastAsia="zh-CN"/>
        </w:rPr>
        <w:t>低于</w:t>
      </w:r>
      <w:r>
        <w:rPr>
          <w:rFonts w:hint="default" w:ascii="Times New Roman" w:hAnsi="Times New Roman" w:cs="Times New Roman"/>
          <w:color w:val="auto"/>
          <w:sz w:val="24"/>
          <w:szCs w:val="24"/>
        </w:rPr>
        <w:t>《土壤环境质量 建设用地土壤污染风险管控标准（试行）》（GB36600-2018）中的风险筛选值</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项目占地范围外</w:t>
      </w:r>
      <w:r>
        <w:rPr>
          <w:rFonts w:hint="default" w:ascii="Times New Roman" w:hAnsi="Times New Roman" w:cs="Times New Roman"/>
          <w:color w:val="auto"/>
          <w:sz w:val="24"/>
          <w:szCs w:val="24"/>
          <w:lang w:val="en-US" w:eastAsia="zh-CN"/>
        </w:rPr>
        <w:t>农用地</w:t>
      </w:r>
      <w:r>
        <w:rPr>
          <w:rFonts w:hint="default" w:ascii="Times New Roman" w:hAnsi="Times New Roman" w:cs="Times New Roman"/>
          <w:color w:val="auto"/>
          <w:sz w:val="24"/>
          <w:szCs w:val="24"/>
        </w:rPr>
        <w:t>土壤监测指标均</w:t>
      </w:r>
      <w:r>
        <w:rPr>
          <w:rFonts w:hint="default" w:ascii="Times New Roman" w:hAnsi="Times New Roman" w:cs="Times New Roman"/>
          <w:color w:val="auto"/>
          <w:sz w:val="24"/>
          <w:szCs w:val="24"/>
          <w:lang w:val="en-US" w:eastAsia="zh-CN"/>
        </w:rPr>
        <w:t>低于</w:t>
      </w:r>
      <w:r>
        <w:rPr>
          <w:rFonts w:hint="default" w:ascii="Times New Roman" w:hAnsi="Times New Roman" w:cs="Times New Roman"/>
          <w:color w:val="auto"/>
          <w:sz w:val="24"/>
          <w:szCs w:val="24"/>
        </w:rPr>
        <w:t>《土壤环境质量 农用地土壤污染风险管控标准（试行）》（GB15618-2018）中风险筛选值</w:t>
      </w:r>
      <w:r>
        <w:rPr>
          <w:rFonts w:hint="default" w:ascii="Times New Roman" w:hAnsi="Times New Roman" w:cs="Times New Roman"/>
          <w:color w:val="auto"/>
          <w:sz w:val="24"/>
          <w:szCs w:val="24"/>
          <w:lang w:eastAsia="zh-CN"/>
        </w:rPr>
        <w:t>。</w:t>
      </w:r>
    </w:p>
    <w:p w14:paraId="2ECB1302">
      <w:pPr>
        <w:pStyle w:val="5"/>
        <w:bidi w:val="0"/>
        <w:rPr>
          <w:rFonts w:hint="default" w:ascii="Times New Roman" w:hAnsi="Times New Roman" w:cs="Times New Roman"/>
          <w:lang w:val="en-US" w:eastAsia="zh-CN"/>
        </w:rPr>
      </w:pPr>
      <w:bookmarkStart w:id="799" w:name="_Toc20829"/>
      <w:bookmarkStart w:id="800" w:name="_Toc18850"/>
      <w:bookmarkStart w:id="801" w:name="_Toc32179"/>
      <w:bookmarkStart w:id="802" w:name="_Toc5042"/>
      <w:bookmarkStart w:id="803" w:name="_Toc24767"/>
      <w:bookmarkStart w:id="804" w:name="_Toc17633"/>
      <w:bookmarkStart w:id="805" w:name="_Toc1048"/>
      <w:r>
        <w:rPr>
          <w:rFonts w:hint="default" w:ascii="Times New Roman" w:hAnsi="Times New Roman" w:cs="Times New Roman"/>
          <w:lang w:val="en-US" w:eastAsia="zh-CN"/>
        </w:rPr>
        <w:t>10.4环境影响预测与评价结论</w:t>
      </w:r>
      <w:bookmarkEnd w:id="799"/>
      <w:bookmarkEnd w:id="800"/>
      <w:bookmarkEnd w:id="801"/>
      <w:bookmarkEnd w:id="802"/>
      <w:bookmarkEnd w:id="803"/>
      <w:bookmarkEnd w:id="804"/>
      <w:bookmarkEnd w:id="805"/>
    </w:p>
    <w:p w14:paraId="01ED4157">
      <w:pPr>
        <w:pStyle w:val="6"/>
        <w:bidi w:val="0"/>
        <w:rPr>
          <w:rFonts w:hint="default" w:ascii="Times New Roman" w:hAnsi="Times New Roman" w:cs="Times New Roman"/>
          <w:lang w:val="en-US" w:eastAsia="zh-CN"/>
        </w:rPr>
      </w:pPr>
      <w:bookmarkStart w:id="806" w:name="_Toc193"/>
      <w:bookmarkStart w:id="807" w:name="_Toc29930"/>
      <w:bookmarkStart w:id="808" w:name="_Toc28041"/>
      <w:r>
        <w:rPr>
          <w:rFonts w:hint="default" w:ascii="Times New Roman" w:hAnsi="Times New Roman" w:cs="Times New Roman"/>
          <w:lang w:val="en-US" w:eastAsia="zh-CN"/>
        </w:rPr>
        <w:t>10.4.1环境空气影响结论</w:t>
      </w:r>
      <w:bookmarkEnd w:id="806"/>
      <w:bookmarkEnd w:id="807"/>
      <w:bookmarkEnd w:id="808"/>
    </w:p>
    <w:p w14:paraId="64196D56">
      <w:pPr>
        <w:keepNext w:val="0"/>
        <w:keepLines w:val="0"/>
        <w:pageBreakBefore w:val="0"/>
        <w:widowControl/>
        <w:numPr>
          <w:ilvl w:val="0"/>
          <w:numId w:val="0"/>
        </w:numPr>
        <w:kinsoku/>
        <w:wordWrap/>
        <w:overflowPunct/>
        <w:topLinePunct w:val="0"/>
        <w:bidi w:val="0"/>
        <w:adjustRightInd/>
        <w:snapToGrid/>
        <w:spacing w:line="360" w:lineRule="auto"/>
        <w:ind w:firstLine="490" w:firstLineChars="200"/>
        <w:jc w:val="both"/>
        <w:textAlignment w:val="auto"/>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本</w:t>
      </w:r>
      <w:r>
        <w:rPr>
          <w:rFonts w:hint="default" w:ascii="Times New Roman" w:hAnsi="Times New Roman" w:cs="Times New Roman"/>
          <w:b w:val="0"/>
          <w:bCs w:val="0"/>
          <w:color w:val="auto"/>
          <w:sz w:val="24"/>
          <w:szCs w:val="24"/>
          <w:highlight w:val="none"/>
        </w:rPr>
        <w:t>项目所在地为环境空气质量达标区，根据《环境影响评价技术导则</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rPr>
        <w:t>大气环境》（HJ2.2-2018）中的相关规定，确定评价等级为</w:t>
      </w:r>
      <w:r>
        <w:rPr>
          <w:rFonts w:hint="default" w:ascii="Times New Roman" w:hAnsi="Times New Roman" w:cs="Times New Roman"/>
          <w:b w:val="0"/>
          <w:bCs w:val="0"/>
          <w:color w:val="auto"/>
          <w:sz w:val="24"/>
          <w:szCs w:val="24"/>
          <w:highlight w:val="none"/>
          <w:lang w:val="en-US" w:eastAsia="zh-CN"/>
        </w:rPr>
        <w:t>二</w:t>
      </w:r>
      <w:r>
        <w:rPr>
          <w:rFonts w:hint="default" w:ascii="Times New Roman" w:hAnsi="Times New Roman" w:cs="Times New Roman"/>
          <w:b w:val="0"/>
          <w:bCs w:val="0"/>
          <w:color w:val="auto"/>
          <w:sz w:val="24"/>
          <w:szCs w:val="24"/>
          <w:highlight w:val="none"/>
        </w:rPr>
        <w:t>级</w:t>
      </w:r>
      <w:r>
        <w:rPr>
          <w:rFonts w:hint="default" w:ascii="Times New Roman" w:hAnsi="Times New Roman" w:cs="Times New Roman"/>
          <w:b w:val="0"/>
          <w:bCs w:val="0"/>
          <w:color w:val="auto"/>
          <w:sz w:val="24"/>
          <w:szCs w:val="24"/>
          <w:highlight w:val="none"/>
          <w:lang w:eastAsia="zh-CN"/>
        </w:rPr>
        <w:t>。</w:t>
      </w:r>
    </w:p>
    <w:p w14:paraId="540FF849">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有组织粉尘：</w:t>
      </w:r>
      <w:r>
        <w:rPr>
          <w:rFonts w:hint="default" w:ascii="Times New Roman" w:hAnsi="Times New Roman" w:cs="Times New Roman" w:eastAsiaTheme="minorEastAsia"/>
          <w:color w:val="auto"/>
          <w:sz w:val="24"/>
          <w:szCs w:val="24"/>
        </w:rPr>
        <w:t>本项目</w:t>
      </w:r>
      <w:r>
        <w:rPr>
          <w:rFonts w:hint="default" w:ascii="Times New Roman" w:hAnsi="Times New Roman" w:cs="Times New Roman" w:eastAsiaTheme="minorEastAsia"/>
          <w:color w:val="auto"/>
          <w:sz w:val="24"/>
          <w:szCs w:val="24"/>
          <w:lang w:val="en-US" w:eastAsia="zh-CN"/>
        </w:rPr>
        <w:t>拟</w:t>
      </w:r>
      <w:r>
        <w:rPr>
          <w:rFonts w:hint="default" w:ascii="Times New Roman" w:hAnsi="Times New Roman" w:cs="Times New Roman" w:eastAsiaTheme="minorEastAsia"/>
          <w:color w:val="auto"/>
          <w:sz w:val="24"/>
          <w:szCs w:val="24"/>
        </w:rPr>
        <w:t>在每台</w:t>
      </w:r>
      <w:r>
        <w:rPr>
          <w:rFonts w:hint="default" w:ascii="Times New Roman" w:hAnsi="Times New Roman" w:cs="Times New Roman" w:eastAsiaTheme="minorEastAsia"/>
          <w:color w:val="auto"/>
          <w:sz w:val="24"/>
          <w:szCs w:val="24"/>
          <w:lang w:val="en-US" w:eastAsia="zh-CN"/>
        </w:rPr>
        <w:t>设备</w:t>
      </w:r>
      <w:r>
        <w:rPr>
          <w:rFonts w:hint="default" w:ascii="Times New Roman" w:hAnsi="Times New Roman" w:cs="Times New Roman" w:eastAsiaTheme="minorEastAsia"/>
          <w:color w:val="auto"/>
          <w:sz w:val="24"/>
          <w:szCs w:val="24"/>
        </w:rPr>
        <w:t>上方设置集气罩和风管，各</w:t>
      </w:r>
      <w:r>
        <w:rPr>
          <w:rFonts w:hint="default" w:ascii="Times New Roman" w:hAnsi="Times New Roman" w:cs="Times New Roman" w:eastAsiaTheme="minorEastAsia"/>
          <w:color w:val="auto"/>
          <w:sz w:val="24"/>
          <w:szCs w:val="24"/>
          <w:lang w:val="en-US" w:eastAsia="zh-CN"/>
        </w:rPr>
        <w:t>设备产生粉尘经过集气罩收集</w:t>
      </w:r>
      <w:r>
        <w:rPr>
          <w:rFonts w:hint="default" w:ascii="Times New Roman" w:hAnsi="Times New Roman" w:cs="Times New Roman" w:eastAsiaTheme="minorEastAsia"/>
          <w:color w:val="auto"/>
          <w:sz w:val="24"/>
          <w:szCs w:val="24"/>
        </w:rPr>
        <w:t>后引至1套</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布袋收尘</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系统</w:t>
      </w:r>
      <w:r>
        <w:rPr>
          <w:rFonts w:hint="default" w:ascii="Times New Roman" w:hAnsi="Times New Roman" w:cs="Times New Roman" w:eastAsiaTheme="minorEastAsia"/>
          <w:color w:val="auto"/>
          <w:sz w:val="24"/>
          <w:szCs w:val="24"/>
        </w:rPr>
        <w:t>进行处理</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处理后通过1根15m高排气筒排放（DA001）</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color w:val="auto"/>
          <w:sz w:val="24"/>
          <w:szCs w:val="24"/>
        </w:rPr>
        <w:t>集气设计风量为</w:t>
      </w:r>
      <w:r>
        <w:rPr>
          <w:rFonts w:hint="default" w:ascii="Times New Roman" w:hAnsi="Times New Roman" w:cs="Times New Roman"/>
          <w:color w:val="auto"/>
          <w:sz w:val="24"/>
          <w:szCs w:val="24"/>
          <w:lang w:val="en-US" w:eastAsia="zh-CN"/>
        </w:rPr>
        <w:t>40000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/h，收集效率以</w:t>
      </w:r>
      <w:r>
        <w:rPr>
          <w:rFonts w:hint="default" w:ascii="Times New Roman" w:hAnsi="Times New Roman" w:cs="Times New Roman"/>
          <w:color w:val="auto"/>
          <w:sz w:val="24"/>
          <w:szCs w:val="24"/>
          <w:lang w:val="en-US" w:eastAsia="zh-CN"/>
        </w:rPr>
        <w:t>85</w:t>
      </w:r>
      <w:r>
        <w:rPr>
          <w:rFonts w:hint="default" w:ascii="Times New Roman" w:hAnsi="Times New Roman" w:cs="Times New Roman"/>
          <w:color w:val="auto"/>
          <w:sz w:val="24"/>
          <w:szCs w:val="24"/>
        </w:rPr>
        <w:t>%计，</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布袋收尘</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去除率</w:t>
      </w:r>
      <w:r>
        <w:rPr>
          <w:rFonts w:hint="default" w:ascii="Times New Roman" w:hAnsi="Times New Roman" w:cs="Times New Roman"/>
          <w:color w:val="auto"/>
          <w:sz w:val="24"/>
          <w:szCs w:val="24"/>
        </w:rPr>
        <w:t>按99</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%计</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则项目建成后破碎系统废气排放口（DA001）排放的颗粒物浓度为5.1mg/m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、0.204kg/h、0.489t/a；排放浓度可满足</w:t>
      </w:r>
      <w:r>
        <w:rPr>
          <w:rFonts w:hint="default" w:ascii="Times New Roman" w:hAnsi="Times New Roman" w:cs="Times New Roman"/>
          <w:color w:val="auto"/>
          <w:sz w:val="24"/>
          <w:szCs w:val="24"/>
        </w:rPr>
        <w:t>《铁矿采选工业污染物排放标准》（GB28661-2012）表5新建企业大气污染物排放浓度限值</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即颗粒物≤20mg/m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w:t>
      </w:r>
    </w:p>
    <w:p w14:paraId="7796C543">
      <w:pPr>
        <w:keepNext w:val="0"/>
        <w:keepLines w:val="0"/>
        <w:pageBreakBefore w:val="0"/>
        <w:widowControl/>
        <w:kinsoku/>
        <w:wordWrap/>
        <w:overflowPunct/>
        <w:topLinePunct w:val="0"/>
        <w:autoSpaceDE w:val="0"/>
        <w:autoSpaceDN w:val="0"/>
        <w:bidi w:val="0"/>
        <w:adjustRightInd/>
        <w:snapToGrid/>
        <w:spacing w:line="360" w:lineRule="auto"/>
        <w:ind w:firstLine="49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无组织粉尘：</w:t>
      </w:r>
      <w:r>
        <w:rPr>
          <w:rFonts w:hint="default" w:ascii="Times New Roman" w:hAnsi="Times New Roman" w:cs="Times New Roman"/>
          <w:color w:val="auto"/>
          <w:sz w:val="24"/>
          <w:szCs w:val="24"/>
          <w:lang w:val="en-US" w:eastAsia="zh-CN"/>
        </w:rPr>
        <w:t>生产设备</w:t>
      </w:r>
      <w:r>
        <w:rPr>
          <w:rFonts w:hint="default" w:ascii="Times New Roman" w:hAnsi="Times New Roman" w:cs="Times New Roman"/>
          <w:color w:val="auto"/>
          <w:sz w:val="24"/>
          <w:szCs w:val="24"/>
        </w:rPr>
        <w:t>设置</w:t>
      </w:r>
      <w:r>
        <w:rPr>
          <w:rFonts w:hint="default" w:ascii="Times New Roman" w:hAnsi="Times New Roman" w:cs="Times New Roman"/>
          <w:color w:val="auto"/>
          <w:sz w:val="24"/>
          <w:szCs w:val="24"/>
          <w:lang w:val="en-US" w:eastAsia="zh-CN"/>
        </w:rPr>
        <w:t>彩钢板</w:t>
      </w:r>
      <w:r>
        <w:rPr>
          <w:rFonts w:hint="default" w:ascii="Times New Roman" w:hAnsi="Times New Roman" w:cs="Times New Roman"/>
          <w:color w:val="auto"/>
          <w:sz w:val="24"/>
          <w:szCs w:val="24"/>
        </w:rPr>
        <w:t>封闭和喷雾降尘</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val="en-US" w:eastAsia="zh-CN"/>
        </w:rPr>
        <w:t>原矿料</w:t>
      </w:r>
      <w:r>
        <w:rPr>
          <w:rFonts w:hint="default" w:ascii="Times New Roman" w:hAnsi="Times New Roman" w:cs="Times New Roman"/>
          <w:color w:val="auto"/>
          <w:sz w:val="24"/>
          <w:szCs w:val="24"/>
          <w:lang w:val="en-US" w:eastAsia="zh-CN"/>
        </w:rPr>
        <w:t>斗</w:t>
      </w:r>
      <w:r>
        <w:rPr>
          <w:rFonts w:hint="default" w:ascii="Times New Roman" w:hAnsi="Times New Roman" w:eastAsia="宋体" w:cs="Times New Roman"/>
          <w:color w:val="auto"/>
          <w:sz w:val="24"/>
          <w:szCs w:val="24"/>
          <w:lang w:val="en-US" w:eastAsia="zh-CN"/>
        </w:rPr>
        <w:t>设置三面围挡和喷雾除尘；</w:t>
      </w:r>
      <w:r>
        <w:rPr>
          <w:rFonts w:hint="default" w:ascii="Times New Roman" w:hAnsi="Times New Roman" w:cs="Times New Roman"/>
          <w:color w:val="auto"/>
          <w:sz w:val="24"/>
          <w:szCs w:val="24"/>
        </w:rPr>
        <w:t>传送带</w:t>
      </w:r>
      <w:r>
        <w:rPr>
          <w:rFonts w:hint="default" w:ascii="Times New Roman" w:hAnsi="Times New Roman" w:cs="Times New Roman"/>
          <w:color w:val="auto"/>
          <w:sz w:val="24"/>
          <w:szCs w:val="24"/>
          <w:lang w:val="en-US" w:eastAsia="zh-CN"/>
        </w:rPr>
        <w:t>设置为</w:t>
      </w:r>
      <w:r>
        <w:rPr>
          <w:rFonts w:hint="default" w:ascii="Times New Roman" w:hAnsi="Times New Roman" w:cs="Times New Roman"/>
          <w:color w:val="auto"/>
          <w:sz w:val="24"/>
          <w:szCs w:val="24"/>
        </w:rPr>
        <w:t>封闭式廊道</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原料及成品堆场设置为</w:t>
      </w:r>
      <w:r>
        <w:rPr>
          <w:rFonts w:hint="default" w:ascii="Times New Roman" w:hAnsi="Times New Roman" w:cs="Times New Roman"/>
          <w:color w:val="auto"/>
          <w:sz w:val="24"/>
          <w:szCs w:val="24"/>
        </w:rPr>
        <w:t>“三面围挡+彩钢瓦顶棚”的半敞开式</w:t>
      </w:r>
      <w:r>
        <w:rPr>
          <w:rFonts w:hint="default" w:ascii="Times New Roman" w:hAnsi="Times New Roman" w:cs="Times New Roman"/>
          <w:color w:val="auto"/>
          <w:sz w:val="24"/>
          <w:szCs w:val="24"/>
          <w:lang w:val="en-US" w:eastAsia="zh-CN"/>
        </w:rPr>
        <w:t>堆场，</w:t>
      </w:r>
      <w:r>
        <w:rPr>
          <w:rFonts w:hint="default" w:ascii="Times New Roman" w:hAnsi="Times New Roman" w:cs="Times New Roman"/>
          <w:color w:val="auto"/>
          <w:sz w:val="24"/>
          <w:szCs w:val="24"/>
        </w:rPr>
        <w:t>设置水雾喷嘴，采取喷雾降尘措施</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同时采取编织物覆盖措施</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车辆运输扬尘通过洒水降尘来控制粉尘的排放。</w:t>
      </w:r>
    </w:p>
    <w:p w14:paraId="742D2884">
      <w:pPr>
        <w:keepNext w:val="0"/>
        <w:keepLines w:val="0"/>
        <w:pageBreakBefore w:val="0"/>
        <w:widowControl/>
        <w:kinsoku/>
        <w:wordWrap/>
        <w:overflowPunct/>
        <w:topLinePunct w:val="0"/>
        <w:bidi w:val="0"/>
        <w:adjustRightInd/>
        <w:snapToGrid/>
        <w:spacing w:line="360" w:lineRule="auto"/>
        <w:ind w:firstLine="49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kern w:val="0"/>
          <w:sz w:val="24"/>
          <w:szCs w:val="24"/>
          <w:highlight w:val="none"/>
        </w:rPr>
        <w:t>根据</w:t>
      </w:r>
      <w:r>
        <w:rPr>
          <w:rFonts w:hint="default" w:ascii="Times New Roman" w:hAnsi="Times New Roman" w:cs="Times New Roman"/>
          <w:b w:val="0"/>
          <w:bCs w:val="0"/>
          <w:color w:val="auto"/>
          <w:kern w:val="0"/>
          <w:sz w:val="24"/>
          <w:szCs w:val="24"/>
          <w:highlight w:val="none"/>
          <w:lang w:val="en-US" w:eastAsia="zh-CN"/>
        </w:rPr>
        <w:t>模式估算</w:t>
      </w:r>
      <w:r>
        <w:rPr>
          <w:rFonts w:hint="default" w:ascii="Times New Roman" w:hAnsi="Times New Roman" w:cs="Times New Roman"/>
          <w:b w:val="0"/>
          <w:bCs w:val="0"/>
          <w:color w:val="auto"/>
          <w:kern w:val="0"/>
          <w:sz w:val="24"/>
          <w:szCs w:val="24"/>
          <w:highlight w:val="none"/>
          <w:lang w:eastAsia="zh-CN"/>
        </w:rPr>
        <w:t>，</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废气排口</w:t>
      </w:r>
      <w:r>
        <w:rPr>
          <w:rFonts w:hint="default" w:ascii="Times New Roman" w:hAnsi="Times New Roman" w:cs="Times New Roman"/>
          <w:b w:val="0"/>
          <w:bCs w:val="0"/>
          <w:color w:val="auto"/>
          <w:sz w:val="24"/>
          <w:szCs w:val="24"/>
          <w:highlight w:val="none"/>
          <w:lang w:val="en-US" w:eastAsia="zh-CN"/>
        </w:rPr>
        <w:t>（DA001）排放的有组织</w:t>
      </w:r>
      <w:r>
        <w:rPr>
          <w:rFonts w:hint="default" w:ascii="Times New Roman" w:hAnsi="Times New Roman" w:cs="Times New Roman"/>
          <w:b w:val="0"/>
          <w:bCs w:val="0"/>
          <w:color w:val="auto"/>
          <w:kern w:val="0"/>
          <w:sz w:val="24"/>
          <w:szCs w:val="24"/>
          <w:highlight w:val="none"/>
          <w:lang w:val="en-US" w:eastAsia="zh-CN"/>
        </w:rPr>
        <w:t>粉尘（PM</w:t>
      </w:r>
      <w:r>
        <w:rPr>
          <w:rFonts w:hint="default" w:ascii="Times New Roman" w:hAnsi="Times New Roman" w:cs="Times New Roman"/>
          <w:b w:val="0"/>
          <w:bCs w:val="0"/>
          <w:color w:val="auto"/>
          <w:kern w:val="0"/>
          <w:sz w:val="24"/>
          <w:szCs w:val="24"/>
          <w:highlight w:val="none"/>
          <w:vertAlign w:val="subscript"/>
          <w:lang w:val="en-US" w:eastAsia="zh-CN"/>
        </w:rPr>
        <w:t>10、</w:t>
      </w:r>
      <w:r>
        <w:rPr>
          <w:rFonts w:hint="default" w:ascii="Times New Roman" w:hAnsi="Times New Roman" w:cs="Times New Roman"/>
          <w:b w:val="0"/>
          <w:bCs w:val="0"/>
          <w:color w:val="auto"/>
          <w:kern w:val="0"/>
          <w:sz w:val="24"/>
          <w:szCs w:val="24"/>
          <w:highlight w:val="none"/>
          <w:lang w:val="en-US" w:eastAsia="zh-CN"/>
        </w:rPr>
        <w:t>PM</w:t>
      </w:r>
      <w:r>
        <w:rPr>
          <w:rFonts w:hint="default" w:ascii="Times New Roman" w:hAnsi="Times New Roman" w:cs="Times New Roman"/>
          <w:b w:val="0"/>
          <w:bCs w:val="0"/>
          <w:color w:val="auto"/>
          <w:kern w:val="0"/>
          <w:sz w:val="24"/>
          <w:szCs w:val="24"/>
          <w:highlight w:val="none"/>
          <w:vertAlign w:val="subscript"/>
          <w:lang w:val="en-US" w:eastAsia="zh-CN"/>
        </w:rPr>
        <w:t>2.5</w:t>
      </w:r>
      <w:r>
        <w:rPr>
          <w:rFonts w:hint="default" w:ascii="Times New Roman" w:hAnsi="Times New Roman" w:cs="Times New Roman"/>
          <w:b w:val="0"/>
          <w:bCs w:val="0"/>
          <w:color w:val="auto"/>
          <w:kern w:val="0"/>
          <w:sz w:val="24"/>
          <w:szCs w:val="24"/>
          <w:highlight w:val="none"/>
          <w:vertAlign w:val="baseline"/>
          <w:lang w:val="en-US" w:eastAsia="zh-CN"/>
        </w:rPr>
        <w:t>）及生产区域无组织粉尘</w:t>
      </w:r>
      <w:r>
        <w:rPr>
          <w:rFonts w:hint="default" w:ascii="Times New Roman" w:hAnsi="Times New Roman" w:cs="Times New Roman"/>
          <w:b w:val="0"/>
          <w:bCs w:val="0"/>
          <w:color w:val="auto"/>
          <w:kern w:val="0"/>
          <w:sz w:val="24"/>
          <w:szCs w:val="24"/>
          <w:highlight w:val="none"/>
        </w:rPr>
        <w:t>最大落地浓度</w:t>
      </w:r>
      <w:r>
        <w:rPr>
          <w:rFonts w:hint="default" w:ascii="Times New Roman" w:hAnsi="Times New Roman" w:cs="Times New Roman"/>
          <w:b w:val="0"/>
          <w:bCs w:val="0"/>
          <w:color w:val="auto"/>
          <w:kern w:val="0"/>
          <w:sz w:val="24"/>
          <w:szCs w:val="24"/>
          <w:highlight w:val="none"/>
          <w:lang w:val="en-US" w:eastAsia="zh-CN"/>
        </w:rPr>
        <w:t>均</w:t>
      </w:r>
      <w:r>
        <w:rPr>
          <w:rFonts w:hint="default" w:ascii="Times New Roman" w:hAnsi="Times New Roman" w:cs="Times New Roman"/>
          <w:b w:val="0"/>
          <w:bCs w:val="0"/>
          <w:color w:val="auto"/>
          <w:kern w:val="0"/>
          <w:sz w:val="24"/>
          <w:szCs w:val="24"/>
          <w:highlight w:val="none"/>
        </w:rPr>
        <w:t>满足</w:t>
      </w:r>
      <w:r>
        <w:rPr>
          <w:rFonts w:hint="default" w:ascii="Times New Roman" w:hAnsi="Times New Roman" w:eastAsia="宋体" w:cs="Times New Roman"/>
          <w:color w:val="auto"/>
          <w:sz w:val="24"/>
          <w:szCs w:val="24"/>
          <w:highlight w:val="none"/>
        </w:rPr>
        <w:t>《环境空气质量标准》（GB3095-2012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二级标准</w:t>
      </w:r>
      <w:r>
        <w:rPr>
          <w:rFonts w:hint="default" w:ascii="Times New Roman" w:hAnsi="Times New Roman" w:cs="Times New Roman"/>
          <w:b w:val="0"/>
          <w:bCs w:val="0"/>
          <w:color w:val="auto"/>
          <w:kern w:val="0"/>
          <w:sz w:val="24"/>
          <w:szCs w:val="24"/>
          <w:highlight w:val="none"/>
          <w:lang w:eastAsia="zh-CN"/>
        </w:rPr>
        <w:t>。</w:t>
      </w:r>
    </w:p>
    <w:p w14:paraId="14E0589B">
      <w:pPr>
        <w:keepNext w:val="0"/>
        <w:keepLines w:val="0"/>
        <w:pageBreakBefore w:val="0"/>
        <w:widowControl/>
        <w:kinsoku/>
        <w:wordWrap/>
        <w:overflowPunct/>
        <w:topLinePunct w:val="0"/>
        <w:bidi w:val="0"/>
        <w:adjustRightInd/>
        <w:snapToGrid/>
        <w:spacing w:line="360" w:lineRule="auto"/>
        <w:ind w:firstLine="490" w:firstLineChars="200"/>
        <w:jc w:val="both"/>
        <w:textAlignment w:val="auto"/>
        <w:rPr>
          <w:rFonts w:hint="default" w:ascii="Times New Roman" w:hAnsi="Times New Roman" w:cs="Times New Roman"/>
        </w:rPr>
      </w:pPr>
      <w:r>
        <w:rPr>
          <w:rFonts w:hint="default" w:ascii="Times New Roman" w:hAnsi="Times New Roman" w:cs="Times New Roman"/>
          <w:b w:val="0"/>
          <w:bCs w:val="0"/>
          <w:color w:val="auto"/>
          <w:sz w:val="24"/>
          <w:szCs w:val="24"/>
          <w:highlight w:val="none"/>
          <w:lang w:val="en-US" w:eastAsia="zh-CN"/>
        </w:rPr>
        <w:t>综上所述，项目运营期，在严格落实环评提出的措施后，对区域的大气环境影响可接受。</w:t>
      </w:r>
    </w:p>
    <w:p w14:paraId="4A881D10">
      <w:pPr>
        <w:pStyle w:val="6"/>
        <w:bidi w:val="0"/>
        <w:rPr>
          <w:rFonts w:hint="default" w:ascii="Times New Roman" w:hAnsi="Times New Roman" w:cs="Times New Roman"/>
          <w:lang w:val="en-US" w:eastAsia="zh-CN"/>
        </w:rPr>
      </w:pPr>
      <w:bookmarkStart w:id="809" w:name="_Toc14521"/>
      <w:bookmarkStart w:id="810" w:name="_Toc25670"/>
      <w:bookmarkStart w:id="811" w:name="_Toc24592"/>
      <w:r>
        <w:rPr>
          <w:rFonts w:hint="default" w:ascii="Times New Roman" w:hAnsi="Times New Roman" w:cs="Times New Roman"/>
          <w:lang w:val="en-US" w:eastAsia="zh-CN"/>
        </w:rPr>
        <w:t>10.4.2地表水环境影响结论</w:t>
      </w:r>
      <w:bookmarkEnd w:id="809"/>
      <w:bookmarkEnd w:id="810"/>
      <w:bookmarkEnd w:id="811"/>
    </w:p>
    <w:p w14:paraId="07ACB4E5">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left"/>
        <w:textAlignment w:val="auto"/>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本项目无选矿废水产生。项目生活污水依托</w:t>
      </w:r>
      <w:r>
        <w:rPr>
          <w:rFonts w:hint="default" w:ascii="Times New Roman" w:hAnsi="Times New Roman" w:cs="Times New Roman"/>
          <w:snapToGrid w:val="0"/>
          <w:color w:val="auto"/>
          <w:sz w:val="24"/>
          <w:szCs w:val="24"/>
          <w:highlight w:val="none"/>
          <w:lang w:val="en-US" w:eastAsia="zh-CN"/>
        </w:rPr>
        <w:t>鲁奎山铁矿</w:t>
      </w:r>
      <w:r>
        <w:rPr>
          <w:rFonts w:hint="default" w:ascii="Times New Roman" w:hAnsi="Times New Roman" w:cs="Times New Roman"/>
          <w:snapToGrid w:val="0"/>
          <w:color w:val="auto"/>
          <w:sz w:val="24"/>
          <w:szCs w:val="24"/>
          <w:highlight w:val="none"/>
        </w:rPr>
        <w:t>生活污水处理设施，厨房废水经隔油池隔油处理，</w:t>
      </w:r>
      <w:r>
        <w:rPr>
          <w:rFonts w:hint="default" w:ascii="Times New Roman" w:hAnsi="Times New Roman" w:cs="Times New Roman"/>
          <w:snapToGrid w:val="0"/>
          <w:color w:val="auto"/>
          <w:sz w:val="24"/>
          <w:szCs w:val="24"/>
          <w:highlight w:val="none"/>
          <w:lang w:val="en-US" w:eastAsia="zh-CN"/>
        </w:rPr>
        <w:t>与其他</w:t>
      </w:r>
      <w:r>
        <w:rPr>
          <w:rFonts w:hint="default" w:ascii="Times New Roman" w:hAnsi="Times New Roman" w:cs="Times New Roman"/>
          <w:snapToGrid w:val="0"/>
          <w:color w:val="auto"/>
          <w:sz w:val="24"/>
          <w:szCs w:val="24"/>
          <w:highlight w:val="none"/>
        </w:rPr>
        <w:t>生活污水经化粪池处理后进入一体化污水处理设备，处理</w:t>
      </w:r>
      <w:r>
        <w:rPr>
          <w:rFonts w:hint="default" w:ascii="Times New Roman" w:hAnsi="Times New Roman" w:eastAsia="宋体" w:cs="Times New Roman"/>
          <w:color w:val="auto"/>
          <w:lang w:val="en-US" w:eastAsia="zh-CN"/>
        </w:rPr>
        <w:t>达到《城市污水再生利用 城市杂用水水质》（GB/T18920-2020）中绿化用水标准，回用于矿区绿化及道路洒水降尘</w:t>
      </w:r>
      <w:r>
        <w:rPr>
          <w:rFonts w:hint="default" w:ascii="Times New Roman" w:hAnsi="Times New Roman" w:cs="Times New Roman"/>
          <w:snapToGrid w:val="0"/>
          <w:color w:val="auto"/>
          <w:sz w:val="24"/>
          <w:szCs w:val="24"/>
          <w:highlight w:val="none"/>
        </w:rPr>
        <w:t>，不外排。</w:t>
      </w:r>
    </w:p>
    <w:p w14:paraId="0FE83880">
      <w:pPr>
        <w:spacing w:line="360" w:lineRule="auto"/>
        <w:ind w:firstLine="573"/>
        <w:rPr>
          <w:rFonts w:hint="default" w:ascii="Times New Roman" w:hAnsi="Times New Roman" w:eastAsia="宋体" w:cs="Times New Roman"/>
          <w:lang w:val="en-US" w:eastAsia="zh-CN"/>
        </w:rPr>
      </w:pPr>
      <w:r>
        <w:rPr>
          <w:rFonts w:hint="default" w:ascii="Times New Roman" w:hAnsi="Times New Roman" w:cs="Times New Roman"/>
          <w:lang w:val="en-US" w:eastAsia="zh-CN"/>
        </w:rPr>
        <w:t>初期雨水进入325m³初期雨水收集池，沉淀后回用于项目区洒水降尘。</w:t>
      </w:r>
      <w:r>
        <w:rPr>
          <w:rFonts w:hint="default" w:ascii="Times New Roman" w:hAnsi="Times New Roman" w:cs="Times New Roman"/>
        </w:rPr>
        <w:t>本项目生活污水</w:t>
      </w:r>
      <w:r>
        <w:rPr>
          <w:rFonts w:hint="default" w:ascii="Times New Roman" w:hAnsi="Times New Roman" w:cs="Times New Roman"/>
          <w:lang w:val="en-US" w:eastAsia="zh-CN"/>
        </w:rPr>
        <w:t>及初期雨水</w:t>
      </w:r>
      <w:r>
        <w:rPr>
          <w:rFonts w:hint="default" w:ascii="Times New Roman" w:hAnsi="Times New Roman" w:cs="Times New Roman"/>
        </w:rPr>
        <w:t>对周围环境的影响可得到控制</w:t>
      </w:r>
      <w:r>
        <w:rPr>
          <w:rFonts w:hint="default" w:ascii="Times New Roman" w:hAnsi="Times New Roman" w:cs="Times New Roman"/>
          <w:szCs w:val="24"/>
        </w:rPr>
        <w:t>，对地表水环境影响可接受。</w:t>
      </w:r>
    </w:p>
    <w:p w14:paraId="569EBD64">
      <w:pPr>
        <w:pStyle w:val="6"/>
        <w:bidi w:val="0"/>
        <w:rPr>
          <w:rFonts w:hint="default" w:ascii="Times New Roman" w:hAnsi="Times New Roman" w:cs="Times New Roman"/>
          <w:lang w:val="en-US" w:eastAsia="zh-CN"/>
        </w:rPr>
      </w:pPr>
      <w:bookmarkStart w:id="812" w:name="_Toc4503"/>
      <w:bookmarkStart w:id="813" w:name="_Toc10521"/>
      <w:bookmarkStart w:id="814" w:name="_Toc29474"/>
      <w:r>
        <w:rPr>
          <w:rFonts w:hint="default" w:ascii="Times New Roman" w:hAnsi="Times New Roman" w:cs="Times New Roman"/>
          <w:lang w:val="en-US" w:eastAsia="zh-CN"/>
        </w:rPr>
        <w:t>10.4.3地下水环境影响结论</w:t>
      </w:r>
      <w:bookmarkEnd w:id="812"/>
      <w:bookmarkEnd w:id="813"/>
      <w:bookmarkEnd w:id="814"/>
    </w:p>
    <w:p w14:paraId="1F425920">
      <w:pPr>
        <w:pStyle w:val="39"/>
        <w:spacing w:line="360" w:lineRule="auto"/>
        <w:ind w:firstLine="480"/>
        <w:rPr>
          <w:rFonts w:hint="default" w:ascii="Times New Roman" w:hAnsi="Times New Roman" w:cs="Times New Roman"/>
          <w:color w:val="auto"/>
          <w:lang w:bidi="zh-CN"/>
        </w:rPr>
      </w:pPr>
      <w:r>
        <w:rPr>
          <w:rFonts w:hint="default" w:ascii="Times New Roman" w:hAnsi="Times New Roman" w:cs="Times New Roman"/>
          <w:color w:val="auto"/>
        </w:rPr>
        <w:t>本项目采取分区防渗措施，正常情况下不会有污水泄漏而发生渗漏至地下水的情景发生。</w:t>
      </w:r>
      <w:r>
        <w:rPr>
          <w:rFonts w:hint="default" w:ascii="Times New Roman" w:hAnsi="Times New Roman" w:cs="Times New Roman"/>
          <w:color w:val="auto"/>
          <w:lang w:bidi="zh-CN"/>
        </w:rPr>
        <w:t>在</w:t>
      </w:r>
      <w:r>
        <w:rPr>
          <w:rFonts w:hint="default" w:ascii="Times New Roman" w:hAnsi="Times New Roman" w:cs="Times New Roman"/>
          <w:color w:val="auto"/>
        </w:rPr>
        <w:t>非正常状况下</w:t>
      </w:r>
      <w:r>
        <w:rPr>
          <w:rFonts w:hint="default" w:ascii="Times New Roman" w:hAnsi="Times New Roman" w:cs="Times New Roman"/>
          <w:color w:val="auto"/>
          <w:lang w:bidi="zh-CN"/>
        </w:rPr>
        <w:t>，根据</w:t>
      </w:r>
      <w:r>
        <w:rPr>
          <w:rFonts w:hint="default" w:ascii="Times New Roman" w:hAnsi="Times New Roman" w:cs="Times New Roman"/>
          <w:color w:val="auto"/>
        </w:rPr>
        <w:t>预测结果表明，在</w:t>
      </w:r>
      <w:r>
        <w:rPr>
          <w:rFonts w:hint="default" w:ascii="Times New Roman" w:hAnsi="Times New Roman" w:cs="Times New Roman"/>
          <w:color w:val="auto"/>
          <w:lang w:bidi="zh-CN"/>
        </w:rPr>
        <w:t>初期雨水收集池防渗层</w:t>
      </w:r>
      <w:r>
        <w:rPr>
          <w:rFonts w:hint="default" w:ascii="Times New Roman" w:hAnsi="Times New Roman" w:cs="Times New Roman"/>
          <w:color w:val="auto"/>
          <w:kern w:val="0"/>
          <w:szCs w:val="22"/>
        </w:rPr>
        <w:t>出现裂缝破损</w:t>
      </w:r>
      <w:r>
        <w:rPr>
          <w:rFonts w:hint="default" w:ascii="Times New Roman" w:hAnsi="Times New Roman" w:cs="Times New Roman"/>
          <w:color w:val="auto"/>
        </w:rPr>
        <w:t>持续渗漏且未发现情况下，会对厂址附近地下水造成影响</w:t>
      </w:r>
      <w:r>
        <w:rPr>
          <w:rFonts w:hint="default" w:ascii="Times New Roman" w:hAnsi="Times New Roman" w:cs="Times New Roman"/>
          <w:color w:val="auto"/>
          <w:lang w:bidi="zh-CN"/>
        </w:rPr>
        <w:t>。</w:t>
      </w:r>
    </w:p>
    <w:p w14:paraId="123E0C35">
      <w:pPr>
        <w:pStyle w:val="39"/>
        <w:spacing w:line="360" w:lineRule="auto"/>
        <w:ind w:firstLine="480"/>
        <w:rPr>
          <w:rFonts w:hint="default" w:ascii="Times New Roman" w:hAnsi="Times New Roman" w:cs="Times New Roman"/>
          <w:color w:val="auto"/>
          <w:lang w:bidi="en-US"/>
        </w:rPr>
      </w:pPr>
      <w:r>
        <w:rPr>
          <w:rFonts w:hint="default" w:ascii="Times New Roman" w:hAnsi="Times New Roman" w:cs="Times New Roman"/>
          <w:color w:val="auto"/>
        </w:rPr>
        <w:t>因此，建设单位应严格采取源头控制和分区防渗等措施，</w:t>
      </w:r>
      <w:r>
        <w:rPr>
          <w:rFonts w:hint="default" w:ascii="Times New Roman" w:hAnsi="Times New Roman" w:cs="Times New Roman"/>
          <w:color w:val="auto"/>
          <w:lang w:bidi="en-US"/>
        </w:rPr>
        <w:t>在运营期间应加强雨污分流及初期雨水收集系统，尽量减少物料随雨水迁移出厂区外；对初期雨水收集池、管道管理进行维护，避免出现裂缝、破损等造成渗漏，对可能发生污水渗漏的池体定期检查，避免非正常状况下地下水渗漏情况发生，当发现渗漏现象时应及时修复泄漏点。</w:t>
      </w:r>
    </w:p>
    <w:p w14:paraId="7C4E3C1D">
      <w:pPr>
        <w:bidi w:val="0"/>
        <w:ind w:firstLine="490" w:firstLineChars="200"/>
        <w:rPr>
          <w:rFonts w:hint="default" w:ascii="Times New Roman" w:hAnsi="Times New Roman" w:cs="Times New Roman"/>
        </w:rPr>
      </w:pPr>
      <w:r>
        <w:rPr>
          <w:rFonts w:hint="default" w:ascii="Times New Roman" w:hAnsi="Times New Roman" w:cs="Times New Roman"/>
        </w:rPr>
        <w:t>本项目在采取源头控制和分区防渗等措施后，对地下水环境影响可接受。</w:t>
      </w:r>
      <w:bookmarkStart w:id="815" w:name="_Toc19546"/>
      <w:bookmarkStart w:id="816" w:name="_Toc27366"/>
    </w:p>
    <w:p w14:paraId="5137CD7E">
      <w:pPr>
        <w:pStyle w:val="6"/>
        <w:bidi w:val="0"/>
        <w:rPr>
          <w:rFonts w:hint="default" w:ascii="Times New Roman" w:hAnsi="Times New Roman" w:cs="Times New Roman"/>
          <w:lang w:val="en-US" w:eastAsia="zh-CN"/>
        </w:rPr>
      </w:pPr>
      <w:bookmarkStart w:id="817" w:name="_Toc30746"/>
      <w:r>
        <w:rPr>
          <w:rFonts w:hint="default" w:ascii="Times New Roman" w:hAnsi="Times New Roman" w:cs="Times New Roman"/>
          <w:lang w:val="en-US" w:eastAsia="zh-CN"/>
        </w:rPr>
        <w:t>10.4.4声环境影响结论</w:t>
      </w:r>
      <w:bookmarkEnd w:id="815"/>
      <w:bookmarkEnd w:id="816"/>
      <w:bookmarkEnd w:id="817"/>
    </w:p>
    <w:p w14:paraId="1814BFFA">
      <w:pPr>
        <w:spacing w:line="360" w:lineRule="auto"/>
        <w:ind w:firstLine="49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根据噪声预测，项目在运营期产生的噪声，在经过消声、减振、隔声</w:t>
      </w:r>
      <w:r>
        <w:rPr>
          <w:rFonts w:hint="default" w:ascii="Times New Roman" w:hAnsi="Times New Roman" w:cs="Times New Roman"/>
          <w:color w:val="auto"/>
          <w:sz w:val="24"/>
          <w:lang w:eastAsia="zh-CN"/>
        </w:rPr>
        <w:t>等</w:t>
      </w:r>
      <w:r>
        <w:rPr>
          <w:rFonts w:hint="default" w:ascii="Times New Roman" w:hAnsi="Times New Roman" w:cs="Times New Roman"/>
          <w:color w:val="auto"/>
          <w:sz w:val="24"/>
        </w:rPr>
        <w:t>防治措施后，</w:t>
      </w:r>
      <w:r>
        <w:rPr>
          <w:rFonts w:hint="default" w:ascii="Times New Roman" w:hAnsi="Times New Roman" w:cs="Times New Roman" w:eastAsiaTheme="minorEastAsia"/>
          <w:sz w:val="24"/>
          <w:szCs w:val="24"/>
          <w:lang w:val="en-US" w:eastAsia="zh-CN"/>
        </w:rPr>
        <w:t>项目</w:t>
      </w:r>
      <w:r>
        <w:rPr>
          <w:rFonts w:hint="default" w:ascii="Times New Roman" w:hAnsi="Times New Roman" w:cs="Times New Roman"/>
          <w:color w:val="auto"/>
          <w:kern w:val="0"/>
          <w:sz w:val="24"/>
          <w:lang w:val="en-US" w:eastAsia="zh-CN"/>
        </w:rPr>
        <w:t>东、南、西、北厂界均能满足</w:t>
      </w:r>
      <w:r>
        <w:rPr>
          <w:rFonts w:hint="default" w:ascii="Times New Roman" w:hAnsi="Times New Roman" w:eastAsia="宋体" w:cs="Times New Roman"/>
          <w:color w:val="auto"/>
          <w:kern w:val="0"/>
          <w:sz w:val="24"/>
        </w:rPr>
        <w:t>《工业企业厂界环境噪声标准》（</w:t>
      </w:r>
      <w:r>
        <w:rPr>
          <w:rFonts w:hint="default" w:ascii="Times New Roman" w:hAnsi="Times New Roman" w:eastAsia="宋体" w:cs="Times New Roman"/>
          <w:color w:val="auto"/>
          <w:kern w:val="0"/>
          <w:sz w:val="24"/>
          <w:lang w:eastAsia="zh-CN"/>
        </w:rPr>
        <w:t>GB22337</w:t>
      </w:r>
      <w:r>
        <w:rPr>
          <w:rFonts w:hint="default" w:ascii="Times New Roman" w:hAnsi="Times New Roman" w:eastAsia="宋体" w:cs="Times New Roman"/>
          <w:color w:val="auto"/>
          <w:kern w:val="0"/>
          <w:sz w:val="24"/>
        </w:rPr>
        <w:t>-2008）中的</w:t>
      </w:r>
      <w:r>
        <w:rPr>
          <w:rFonts w:hint="default"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类标准限值要求</w:t>
      </w: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sz w:val="24"/>
          <w:lang w:val="en-US" w:eastAsia="zh-CN"/>
        </w:rPr>
        <w:t>本</w:t>
      </w:r>
      <w:r>
        <w:rPr>
          <w:rFonts w:hint="default" w:ascii="Times New Roman" w:hAnsi="Times New Roman" w:cs="Times New Roman"/>
          <w:color w:val="auto"/>
          <w:sz w:val="24"/>
        </w:rPr>
        <w:t>项目产生的噪声对周边环境影响较小。</w:t>
      </w:r>
    </w:p>
    <w:p w14:paraId="7B986692">
      <w:pPr>
        <w:pStyle w:val="6"/>
        <w:bidi w:val="0"/>
        <w:rPr>
          <w:rFonts w:hint="default" w:ascii="Times New Roman" w:hAnsi="Times New Roman" w:cs="Times New Roman"/>
          <w:lang w:val="en-US" w:eastAsia="zh-CN"/>
        </w:rPr>
      </w:pPr>
      <w:bookmarkStart w:id="818" w:name="_Toc22250"/>
      <w:bookmarkStart w:id="819" w:name="_Toc24030"/>
      <w:bookmarkStart w:id="820" w:name="_Toc19997"/>
      <w:r>
        <w:rPr>
          <w:rFonts w:hint="default" w:ascii="Times New Roman" w:hAnsi="Times New Roman" w:cs="Times New Roman"/>
          <w:lang w:val="en-US" w:eastAsia="zh-CN"/>
        </w:rPr>
        <w:t>10.4.5固废影响结论</w:t>
      </w:r>
      <w:bookmarkEnd w:id="818"/>
      <w:bookmarkEnd w:id="819"/>
      <w:bookmarkEnd w:id="820"/>
    </w:p>
    <w:p w14:paraId="20AE5284">
      <w:pPr>
        <w:adjustRightInd w:val="0"/>
        <w:snapToGrid w:val="0"/>
        <w:spacing w:line="360" w:lineRule="auto"/>
        <w:ind w:firstLine="490" w:firstLineChars="200"/>
        <w:rPr>
          <w:rFonts w:hint="default" w:ascii="Times New Roman" w:hAnsi="Times New Roman" w:cs="Times New Roman"/>
          <w:color w:val="auto"/>
          <w:sz w:val="24"/>
          <w:szCs w:val="24"/>
          <w:lang w:eastAsia="zh-CN"/>
        </w:rPr>
      </w:pPr>
      <w:r>
        <w:rPr>
          <w:rFonts w:hint="default" w:ascii="Times New Roman" w:hAnsi="Times New Roman" w:eastAsia="宋体" w:cs="Times New Roman"/>
          <w:snapToGrid w:val="0"/>
          <w:color w:val="auto"/>
          <w:kern w:val="0"/>
          <w:sz w:val="24"/>
          <w:szCs w:val="24"/>
          <w:highlight w:val="none"/>
        </w:rPr>
        <w:t>项目运营期一般工业固废主要有除尘灰，危险废物主要有废矿物油及含矿物油废物。除尘</w:t>
      </w:r>
      <w:r>
        <w:rPr>
          <w:rFonts w:hint="default" w:ascii="Times New Roman" w:hAnsi="Times New Roman" w:eastAsia="宋体" w:cs="Times New Roman"/>
          <w:snapToGrid w:val="0"/>
          <w:color w:val="auto"/>
          <w:kern w:val="0"/>
          <w:sz w:val="24"/>
          <w:szCs w:val="24"/>
          <w:highlight w:val="none"/>
          <w:lang w:val="en-US" w:eastAsia="zh-CN"/>
        </w:rPr>
        <w:t>灰</w:t>
      </w:r>
      <w:r>
        <w:rPr>
          <w:rFonts w:hint="default" w:ascii="Times New Roman" w:hAnsi="Times New Roman" w:cs="Times New Roman"/>
          <w:snapToGrid w:val="0"/>
          <w:color w:val="auto"/>
          <w:kern w:val="0"/>
          <w:sz w:val="24"/>
          <w:szCs w:val="24"/>
          <w:highlight w:val="none"/>
          <w:lang w:val="en-US" w:eastAsia="zh-CN"/>
        </w:rPr>
        <w:t>经过收集后，</w:t>
      </w:r>
      <w:r>
        <w:rPr>
          <w:rFonts w:hint="default" w:ascii="Times New Roman" w:hAnsi="Times New Roman" w:eastAsia="宋体" w:cs="Times New Roman"/>
          <w:snapToGrid w:val="0"/>
          <w:color w:val="auto"/>
          <w:kern w:val="0"/>
          <w:sz w:val="24"/>
          <w:szCs w:val="24"/>
          <w:highlight w:val="none"/>
          <w:lang w:val="en-US" w:eastAsia="zh-CN"/>
        </w:rPr>
        <w:t>外售新平甬福环保有限公司用于矿渣微粉生产线使用</w:t>
      </w:r>
      <w:r>
        <w:rPr>
          <w:rFonts w:hint="default" w:ascii="Times New Roman" w:hAnsi="Times New Roman" w:eastAsia="宋体" w:cs="Times New Roman"/>
          <w:snapToGrid w:val="0"/>
          <w:color w:val="auto"/>
          <w:kern w:val="0"/>
          <w:sz w:val="24"/>
          <w:szCs w:val="24"/>
          <w:highlight w:val="none"/>
        </w:rPr>
        <w:t>。</w:t>
      </w:r>
      <w:r>
        <w:rPr>
          <w:rFonts w:hint="default" w:ascii="Times New Roman" w:hAnsi="Times New Roman" w:eastAsia="宋体" w:cs="Times New Roman"/>
          <w:snapToGrid w:val="0"/>
          <w:color w:val="auto"/>
          <w:kern w:val="0"/>
          <w:sz w:val="24"/>
          <w:szCs w:val="24"/>
          <w:highlight w:val="none"/>
          <w:lang w:val="en-US" w:eastAsia="zh-CN"/>
        </w:rPr>
        <w:t>废</w:t>
      </w:r>
      <w:r>
        <w:rPr>
          <w:rFonts w:hint="default" w:ascii="Times New Roman" w:hAnsi="Times New Roman" w:cs="Times New Roman"/>
          <w:snapToGrid w:val="0"/>
          <w:color w:val="auto"/>
          <w:kern w:val="0"/>
          <w:sz w:val="24"/>
          <w:szCs w:val="24"/>
          <w:highlight w:val="none"/>
          <w:lang w:val="en-US" w:eastAsia="zh-CN"/>
        </w:rPr>
        <w:t>机油</w:t>
      </w:r>
      <w:r>
        <w:rPr>
          <w:rFonts w:hint="default" w:ascii="Times New Roman" w:hAnsi="Times New Roman" w:cs="Times New Roman"/>
          <w:color w:val="auto"/>
          <w:sz w:val="24"/>
          <w:szCs w:val="24"/>
        </w:rPr>
        <w:t>收集后</w:t>
      </w:r>
      <w:r>
        <w:rPr>
          <w:rFonts w:hint="default" w:ascii="Times New Roman" w:hAnsi="Times New Roman" w:cs="Times New Roman"/>
          <w:color w:val="auto"/>
          <w:sz w:val="24"/>
          <w:szCs w:val="24"/>
          <w:lang w:val="en-US" w:eastAsia="zh-CN"/>
        </w:rPr>
        <w:t>依托矿山危废暂存间暂存，由集团公司统一</w:t>
      </w:r>
      <w:r>
        <w:rPr>
          <w:rFonts w:hint="default" w:ascii="Times New Roman" w:hAnsi="Times New Roman" w:cs="Times New Roman"/>
          <w:color w:val="auto"/>
          <w:sz w:val="24"/>
          <w:szCs w:val="24"/>
        </w:rPr>
        <w:t>委托有资质单位</w:t>
      </w:r>
      <w:r>
        <w:rPr>
          <w:rFonts w:hint="default" w:ascii="Times New Roman" w:hAnsi="Times New Roman" w:cs="Times New Roman"/>
          <w:color w:val="auto"/>
          <w:sz w:val="24"/>
          <w:szCs w:val="24"/>
          <w:lang w:val="en-US" w:eastAsia="zh-CN"/>
        </w:rPr>
        <w:t>清运</w:t>
      </w:r>
      <w:r>
        <w:rPr>
          <w:rFonts w:hint="default" w:ascii="Times New Roman" w:hAnsi="Times New Roman" w:cs="Times New Roman"/>
          <w:color w:val="auto"/>
          <w:sz w:val="24"/>
          <w:szCs w:val="24"/>
        </w:rPr>
        <w:t>处置</w:t>
      </w:r>
      <w:r>
        <w:rPr>
          <w:rFonts w:hint="default" w:ascii="Times New Roman" w:hAnsi="Times New Roman" w:cs="Times New Roman"/>
          <w:color w:val="auto"/>
          <w:sz w:val="24"/>
          <w:szCs w:val="24"/>
          <w:lang w:eastAsia="zh-CN"/>
        </w:rPr>
        <w:t>。</w:t>
      </w:r>
    </w:p>
    <w:p w14:paraId="3EADBD9B">
      <w:pPr>
        <w:adjustRightInd w:val="0"/>
        <w:snapToGrid w:val="0"/>
        <w:spacing w:line="360" w:lineRule="auto"/>
        <w:ind w:firstLine="490" w:firstLineChars="200"/>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项目生活垃圾</w:t>
      </w:r>
      <w:r>
        <w:rPr>
          <w:rFonts w:hint="default" w:ascii="Times New Roman" w:hAnsi="Times New Roman" w:eastAsia="宋体" w:cs="Times New Roman"/>
          <w:snapToGrid w:val="0"/>
          <w:color w:val="auto"/>
          <w:kern w:val="0"/>
          <w:sz w:val="24"/>
          <w:szCs w:val="24"/>
          <w:highlight w:val="none"/>
          <w:lang w:val="en-US" w:eastAsia="zh-CN"/>
        </w:rPr>
        <w:t>依托鲁奎山铁矿垃圾池收集，定期清运至扬武镇生活垃圾集中收集点，统一处置</w:t>
      </w:r>
      <w:r>
        <w:rPr>
          <w:rFonts w:hint="default" w:ascii="Times New Roman" w:hAnsi="Times New Roman" w:eastAsia="宋体" w:cs="Times New Roman"/>
          <w:snapToGrid w:val="0"/>
          <w:color w:val="auto"/>
          <w:kern w:val="0"/>
          <w:sz w:val="24"/>
          <w:szCs w:val="24"/>
          <w:highlight w:val="none"/>
        </w:rPr>
        <w:t>。</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固体废弃物全部妥善处置，处置率100%，对环境影响</w:t>
      </w:r>
      <w:r>
        <w:rPr>
          <w:rFonts w:hint="default" w:ascii="Times New Roman" w:hAnsi="Times New Roman" w:cs="Times New Roman"/>
          <w:color w:val="auto"/>
          <w:sz w:val="24"/>
          <w:szCs w:val="24"/>
          <w:lang w:val="en-US" w:eastAsia="zh-CN"/>
        </w:rPr>
        <w:t>较小</w:t>
      </w:r>
      <w:r>
        <w:rPr>
          <w:rFonts w:hint="default" w:ascii="Times New Roman" w:hAnsi="Times New Roman" w:cs="Times New Roman"/>
          <w:color w:val="auto"/>
          <w:sz w:val="24"/>
          <w:szCs w:val="24"/>
        </w:rPr>
        <w:t>。</w:t>
      </w:r>
    </w:p>
    <w:p w14:paraId="5F4BBC8E">
      <w:pPr>
        <w:pStyle w:val="6"/>
        <w:bidi w:val="0"/>
        <w:rPr>
          <w:rFonts w:hint="default" w:ascii="Times New Roman" w:hAnsi="Times New Roman" w:cs="Times New Roman"/>
          <w:lang w:val="en-US" w:eastAsia="zh-CN"/>
        </w:rPr>
      </w:pPr>
      <w:bookmarkStart w:id="821" w:name="_Toc4709"/>
      <w:bookmarkStart w:id="822" w:name="_Toc1072"/>
      <w:bookmarkStart w:id="823" w:name="_Toc22052"/>
      <w:r>
        <w:rPr>
          <w:rFonts w:hint="default" w:ascii="Times New Roman" w:hAnsi="Times New Roman" w:cs="Times New Roman"/>
          <w:lang w:val="en-US" w:eastAsia="zh-CN"/>
        </w:rPr>
        <w:t>10.4.6土壤环境影响结论</w:t>
      </w:r>
      <w:bookmarkEnd w:id="821"/>
      <w:bookmarkEnd w:id="822"/>
      <w:bookmarkEnd w:id="823"/>
    </w:p>
    <w:p w14:paraId="63F4F45F">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24"/>
          <w:highlight w:val="none"/>
        </w:rPr>
      </w:pPr>
      <w:bookmarkStart w:id="824" w:name="_Toc3647"/>
      <w:bookmarkStart w:id="825" w:name="_Toc30226"/>
      <w:r>
        <w:rPr>
          <w:rFonts w:hint="default" w:ascii="Times New Roman" w:hAnsi="Times New Roman" w:cs="Times New Roman"/>
          <w:color w:val="auto"/>
          <w:sz w:val="24"/>
          <w:highlight w:val="none"/>
        </w:rPr>
        <w:t>（1）根据《环境影响评价技术导则 土壤环境（试行）》（HJ964-2018）划分，本项目土壤评价等级为</w:t>
      </w:r>
      <w:r>
        <w:rPr>
          <w:rFonts w:hint="default" w:ascii="Times New Roman" w:hAnsi="Times New Roman" w:cs="Times New Roman"/>
          <w:color w:val="auto"/>
          <w:sz w:val="24"/>
          <w:highlight w:val="none"/>
          <w:lang w:val="en-US" w:eastAsia="zh-CN"/>
        </w:rPr>
        <w:t>一</w:t>
      </w:r>
      <w:r>
        <w:rPr>
          <w:rFonts w:hint="default" w:ascii="Times New Roman" w:hAnsi="Times New Roman" w:cs="Times New Roman"/>
          <w:color w:val="auto"/>
          <w:sz w:val="24"/>
          <w:highlight w:val="none"/>
        </w:rPr>
        <w:t>级。</w:t>
      </w:r>
    </w:p>
    <w:p w14:paraId="2B6590B4">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（2）根据现状监测结果，</w:t>
      </w:r>
      <w:r>
        <w:rPr>
          <w:rFonts w:hint="default" w:ascii="Times New Roman" w:hAnsi="Times New Roman" w:cs="Times New Roman"/>
          <w:color w:val="auto"/>
          <w:sz w:val="24"/>
          <w:highlight w:val="none"/>
          <w:lang w:val="en-US" w:eastAsia="zh-CN"/>
        </w:rPr>
        <w:t>各生产区域</w:t>
      </w:r>
      <w:r>
        <w:rPr>
          <w:rFonts w:hint="default" w:ascii="Times New Roman" w:hAnsi="Times New Roman" w:cs="Times New Roman"/>
          <w:color w:val="auto"/>
          <w:sz w:val="24"/>
          <w:highlight w:val="none"/>
        </w:rPr>
        <w:t>占地</w:t>
      </w:r>
      <w:r>
        <w:rPr>
          <w:rFonts w:hint="default" w:ascii="Times New Roman" w:hAnsi="Times New Roman" w:cs="Times New Roman"/>
          <w:color w:val="auto"/>
          <w:sz w:val="24"/>
          <w:highlight w:val="none"/>
          <w:lang w:val="en-US" w:eastAsia="zh-CN"/>
        </w:rPr>
        <w:t>范围</w:t>
      </w:r>
      <w:r>
        <w:rPr>
          <w:rFonts w:hint="default" w:ascii="Times New Roman" w:hAnsi="Times New Roman" w:cs="Times New Roman"/>
          <w:color w:val="auto"/>
          <w:sz w:val="24"/>
          <w:highlight w:val="none"/>
        </w:rPr>
        <w:t>内</w:t>
      </w:r>
      <w:r>
        <w:rPr>
          <w:rFonts w:hint="default" w:ascii="Times New Roman" w:hAnsi="Times New Roman" w:cs="Times New Roman"/>
          <w:color w:val="auto"/>
          <w:sz w:val="24"/>
          <w:highlight w:val="none"/>
          <w:lang w:val="en-US" w:eastAsia="zh-CN"/>
        </w:rPr>
        <w:t>及占地范围外建设用地</w:t>
      </w:r>
      <w:r>
        <w:rPr>
          <w:rFonts w:hint="default" w:ascii="Times New Roman" w:hAnsi="Times New Roman" w:cs="Times New Roman"/>
          <w:color w:val="auto"/>
          <w:sz w:val="24"/>
          <w:highlight w:val="none"/>
        </w:rPr>
        <w:t>各监测点各项监测指标均低于《土壤环境质量 建设用地土壤污染风险管控标准（试行）》（GB</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36600-2018）中的风险筛选值标准；场地外各监测点</w:t>
      </w:r>
      <w:r>
        <w:rPr>
          <w:rFonts w:hint="default" w:ascii="Times New Roman" w:hAnsi="Times New Roman" w:cs="Times New Roman"/>
          <w:color w:val="auto"/>
          <w:sz w:val="24"/>
          <w:highlight w:val="none"/>
          <w:lang w:eastAsia="zh-CN"/>
        </w:rPr>
        <w:t>均</w:t>
      </w:r>
      <w:r>
        <w:rPr>
          <w:rFonts w:hint="default" w:ascii="Times New Roman" w:hAnsi="Times New Roman" w:cs="Times New Roman"/>
          <w:color w:val="auto"/>
          <w:sz w:val="24"/>
          <w:highlight w:val="none"/>
        </w:rPr>
        <w:t>低于《土壤环境质量</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农用地土壤污染风险管控标准（试行）》（GB</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15618-2018）中的风险筛选值标准，项目占地区域内及周边土壤环境质量状况良好。</w:t>
      </w:r>
    </w:p>
    <w:p w14:paraId="1526B948">
      <w:pPr>
        <w:pStyle w:val="17"/>
        <w:spacing w:line="360" w:lineRule="auto"/>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bCs/>
          <w:color w:val="auto"/>
          <w:sz w:val="24"/>
          <w:szCs w:val="24"/>
          <w:highlight w:val="none"/>
        </w:rPr>
        <w:t>项目对土壤的影响主要为废气中的</w:t>
      </w:r>
      <w:r>
        <w:rPr>
          <w:rFonts w:hint="default" w:ascii="Times New Roman" w:hAnsi="Times New Roman" w:cs="Times New Roman"/>
          <w:bCs/>
          <w:color w:val="auto"/>
          <w:sz w:val="24"/>
          <w:szCs w:val="24"/>
          <w:highlight w:val="none"/>
          <w:lang w:val="en-US" w:eastAsia="zh-CN"/>
        </w:rPr>
        <w:t>铅、砷、铜、锌、</w:t>
      </w:r>
      <w:r>
        <w:rPr>
          <w:rFonts w:hint="default" w:ascii="Times New Roman" w:hAnsi="Times New Roman" w:cs="Times New Roman"/>
          <w:color w:val="auto"/>
          <w:sz w:val="24"/>
          <w:highlight w:val="none"/>
          <w:lang w:val="en-US" w:eastAsia="zh-CN"/>
        </w:rPr>
        <w:t>铁、锰</w:t>
      </w:r>
      <w:r>
        <w:rPr>
          <w:rFonts w:hint="default" w:ascii="Times New Roman" w:hAnsi="Times New Roman" w:cs="Times New Roman"/>
          <w:bCs/>
          <w:color w:val="auto"/>
          <w:sz w:val="24"/>
          <w:szCs w:val="24"/>
          <w:highlight w:val="none"/>
          <w:lang w:val="en-US" w:eastAsia="zh-CN"/>
        </w:rPr>
        <w:t>等</w:t>
      </w:r>
      <w:r>
        <w:rPr>
          <w:rFonts w:hint="default" w:ascii="Times New Roman" w:hAnsi="Times New Roman" w:cs="Times New Roman"/>
          <w:bCs/>
          <w:color w:val="auto"/>
          <w:sz w:val="24"/>
          <w:szCs w:val="24"/>
          <w:highlight w:val="none"/>
        </w:rPr>
        <w:t>以大气沉降的方式进入土壤环境，对土壤产生不利影响；根据预测</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铅、砷、铜、锌的</w:t>
      </w:r>
      <w:r>
        <w:rPr>
          <w:rFonts w:hint="default" w:ascii="Times New Roman" w:hAnsi="Times New Roman" w:cs="Times New Roman"/>
          <w:bCs/>
          <w:color w:val="auto"/>
          <w:sz w:val="24"/>
          <w:szCs w:val="24"/>
          <w:highlight w:val="none"/>
        </w:rPr>
        <w:t>贡献值较低，在叠加背景值后</w:t>
      </w:r>
      <w:r>
        <w:rPr>
          <w:rFonts w:hint="default" w:ascii="Times New Roman" w:hAnsi="Times New Roman" w:cs="Times New Roman"/>
          <w:snapToGrid w:val="0"/>
          <w:color w:val="auto"/>
          <w:sz w:val="24"/>
          <w:szCs w:val="24"/>
          <w:highlight w:val="none"/>
        </w:rPr>
        <w:t>均低于</w:t>
      </w:r>
      <w:r>
        <w:rPr>
          <w:rFonts w:hint="default" w:ascii="Times New Roman" w:hAnsi="Times New Roman" w:cs="Times New Roman"/>
          <w:color w:val="auto"/>
          <w:sz w:val="24"/>
          <w:highlight w:val="none"/>
        </w:rPr>
        <w:t>《土壤环境质量</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农用地土壤污染风险管控标准（试行）》（GB</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15618-2018）标准中的风险筛选值标准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铁、锰</w:t>
      </w:r>
      <w:r>
        <w:rPr>
          <w:rFonts w:hint="default" w:ascii="Times New Roman" w:hAnsi="Times New Roman" w:cs="Times New Roman"/>
          <w:color w:val="auto"/>
          <w:sz w:val="24"/>
          <w:highlight w:val="none"/>
          <w:lang w:eastAsia="zh-CN"/>
        </w:rPr>
        <w:t>贡献值较低对土壤环境产生的影响较小。</w:t>
      </w:r>
    </w:p>
    <w:p w14:paraId="56921811">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）项目采取分区防渗</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建设截排水沟、初期雨水收集池</w:t>
      </w:r>
      <w:r>
        <w:rPr>
          <w:rFonts w:hint="default" w:ascii="Times New Roman" w:hAnsi="Times New Roman" w:cs="Times New Roman"/>
          <w:color w:val="auto"/>
          <w:sz w:val="24"/>
          <w:highlight w:val="none"/>
        </w:rPr>
        <w:t>等各项措施，入渗及</w:t>
      </w:r>
      <w:r>
        <w:rPr>
          <w:rFonts w:hint="default" w:ascii="Times New Roman" w:hAnsi="Times New Roman" w:cs="Times New Roman"/>
          <w:color w:val="auto"/>
          <w:sz w:val="24"/>
          <w:highlight w:val="none"/>
          <w:lang w:val="en-US" w:eastAsia="zh-CN"/>
        </w:rPr>
        <w:t>地表</w:t>
      </w:r>
      <w:r>
        <w:rPr>
          <w:rFonts w:hint="default" w:ascii="Times New Roman" w:hAnsi="Times New Roman" w:cs="Times New Roman"/>
          <w:color w:val="auto"/>
          <w:sz w:val="24"/>
          <w:highlight w:val="none"/>
        </w:rPr>
        <w:t>漫流对土壤影响小。</w:t>
      </w:r>
    </w:p>
    <w:p w14:paraId="1724880E">
      <w:pPr>
        <w:pStyle w:val="6"/>
        <w:bidi w:val="0"/>
        <w:rPr>
          <w:rFonts w:hint="default" w:ascii="Times New Roman" w:hAnsi="Times New Roman" w:cs="Times New Roman"/>
          <w:lang w:val="en-US" w:eastAsia="zh-CN"/>
        </w:rPr>
      </w:pPr>
      <w:bookmarkStart w:id="826" w:name="_Toc27491"/>
      <w:r>
        <w:rPr>
          <w:rFonts w:hint="default" w:ascii="Times New Roman" w:hAnsi="Times New Roman" w:cs="Times New Roman"/>
          <w:lang w:val="en-US" w:eastAsia="zh-CN"/>
        </w:rPr>
        <w:t>10.4.7生态环境影响结论</w:t>
      </w:r>
      <w:bookmarkEnd w:id="824"/>
      <w:bookmarkEnd w:id="825"/>
      <w:bookmarkEnd w:id="826"/>
    </w:p>
    <w:p w14:paraId="52357BAD">
      <w:pPr>
        <w:keepNext w:val="0"/>
        <w:keepLines w:val="0"/>
        <w:pageBreakBefore w:val="0"/>
        <w:widowControl w:val="0"/>
        <w:kinsoku/>
        <w:wordWrap/>
        <w:overflowPunct/>
        <w:topLinePunct w:val="0"/>
        <w:autoSpaceDE/>
        <w:autoSpaceDN/>
        <w:bidi w:val="0"/>
        <w:adjustRightInd/>
        <w:snapToGrid/>
        <w:spacing w:line="360" w:lineRule="auto"/>
        <w:ind w:firstLine="479" w:firstLineChars="196"/>
        <w:textAlignment w:val="auto"/>
        <w:rPr>
          <w:rFonts w:hint="default" w:ascii="Times New Roman" w:hAnsi="Times New Roman" w:cs="Times New Roman"/>
          <w:color w:val="auto"/>
          <w:sz w:val="24"/>
          <w:highlight w:val="none"/>
        </w:rPr>
      </w:pPr>
      <w:bookmarkStart w:id="827" w:name="_Toc20872"/>
      <w:bookmarkStart w:id="828" w:name="_Toc12087"/>
      <w:r>
        <w:rPr>
          <w:rFonts w:hint="default" w:ascii="Times New Roman" w:hAnsi="Times New Roman" w:eastAsia="宋体" w:cs="Times New Roman"/>
          <w:color w:val="auto"/>
          <w:kern w:val="2"/>
          <w:sz w:val="24"/>
          <w:szCs w:val="24"/>
          <w:highlight w:val="none"/>
          <w:lang w:val="en-US" w:eastAsia="zh-CN" w:bidi="ar-SA"/>
        </w:rPr>
        <w:t>本项目建设不会改变区域</w:t>
      </w:r>
      <w:r>
        <w:rPr>
          <w:rFonts w:hint="default" w:ascii="Times New Roman" w:hAnsi="Times New Roman" w:cs="Times New Roman"/>
          <w:color w:val="auto"/>
          <w:sz w:val="24"/>
          <w:highlight w:val="none"/>
        </w:rPr>
        <w:t>土地利用状况</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不会使评价区植物群落的物种组成发生变化。</w:t>
      </w:r>
    </w:p>
    <w:p w14:paraId="39229C60">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zh-CN"/>
        </w:rPr>
        <w:t>项目区内已无原生植被分布，周边动植物均为当地常见物种。项目运营过程会对周边生态环境造成一定影响，但在采取相应的污染治理措施后，其影响有限。</w:t>
      </w:r>
      <w:r>
        <w:rPr>
          <w:rFonts w:hint="default" w:ascii="Times New Roman" w:hAnsi="Times New Roman" w:eastAsia="宋体" w:cs="Times New Roman"/>
          <w:color w:val="auto"/>
          <w:sz w:val="24"/>
          <w:szCs w:val="24"/>
          <w:highlight w:val="none"/>
        </w:rPr>
        <w:t>该区域</w:t>
      </w:r>
      <w:r>
        <w:rPr>
          <w:rFonts w:hint="default" w:ascii="Times New Roman" w:hAnsi="Times New Roman" w:eastAsia="宋体" w:cs="Times New Roman"/>
          <w:color w:val="auto"/>
          <w:sz w:val="24"/>
          <w:szCs w:val="24"/>
          <w:highlight w:val="none"/>
          <w:lang w:val="en-US" w:eastAsia="zh-CN"/>
        </w:rPr>
        <w:t>未发现</w:t>
      </w:r>
      <w:r>
        <w:rPr>
          <w:rFonts w:hint="default" w:ascii="Times New Roman" w:hAnsi="Times New Roman" w:eastAsia="宋体" w:cs="Times New Roman"/>
          <w:color w:val="auto"/>
          <w:sz w:val="24"/>
          <w:szCs w:val="24"/>
          <w:highlight w:val="none"/>
        </w:rPr>
        <w:t>珍稀濒危动植物资源，没有敏感和生物多样性保护内容。项目实施对自然体系生产能力和恢复稳定性的影响可以接受。对评价区自然体系生态完整性现状的影响是可以接受的。</w:t>
      </w:r>
    </w:p>
    <w:p w14:paraId="29CDF090">
      <w:pPr>
        <w:pStyle w:val="5"/>
        <w:bidi w:val="0"/>
        <w:rPr>
          <w:rFonts w:hint="default" w:ascii="Times New Roman" w:hAnsi="Times New Roman" w:cs="Times New Roman"/>
          <w:lang w:val="en-US" w:eastAsia="zh-CN"/>
        </w:rPr>
      </w:pPr>
      <w:bookmarkStart w:id="829" w:name="_Toc6283"/>
      <w:bookmarkStart w:id="830" w:name="_Toc9969"/>
      <w:bookmarkStart w:id="831" w:name="_Toc15361"/>
      <w:bookmarkStart w:id="832" w:name="_Toc2656"/>
      <w:bookmarkStart w:id="833" w:name="_Toc17548"/>
      <w:r>
        <w:rPr>
          <w:rFonts w:hint="default" w:ascii="Times New Roman" w:hAnsi="Times New Roman" w:cs="Times New Roman"/>
          <w:lang w:val="en-US" w:eastAsia="zh-CN"/>
        </w:rPr>
        <w:t>10.5环境风险分析结论</w:t>
      </w:r>
      <w:bookmarkEnd w:id="827"/>
      <w:bookmarkEnd w:id="828"/>
      <w:bookmarkEnd w:id="829"/>
      <w:bookmarkEnd w:id="830"/>
      <w:bookmarkEnd w:id="831"/>
      <w:bookmarkEnd w:id="832"/>
      <w:bookmarkEnd w:id="833"/>
    </w:p>
    <w:p w14:paraId="0F6127ED">
      <w:pPr>
        <w:spacing w:line="360" w:lineRule="auto"/>
        <w:ind w:firstLine="480"/>
        <w:rPr>
          <w:rFonts w:hint="default" w:ascii="Times New Roman" w:hAnsi="Times New Roman" w:cs="Times New Roman"/>
        </w:rPr>
      </w:pPr>
      <w:bookmarkStart w:id="834" w:name="_Toc17750"/>
      <w:bookmarkStart w:id="835" w:name="_Toc9095"/>
      <w:r>
        <w:rPr>
          <w:rFonts w:hint="default" w:ascii="Times New Roman" w:hAnsi="Times New Roman" w:cs="Times New Roman"/>
        </w:rPr>
        <w:t>经识别，本项目危险物质主要为矿物油。根据计算，本项目Q值＜1，</w:t>
      </w:r>
      <w:r>
        <w:rPr>
          <w:rFonts w:hint="default" w:ascii="Times New Roman" w:hAnsi="Times New Roman" w:cs="Times New Roman"/>
          <w:szCs w:val="24"/>
        </w:rPr>
        <w:t>该项目环境潜势为I</w:t>
      </w:r>
      <w:r>
        <w:rPr>
          <w:rFonts w:hint="default" w:ascii="Times New Roman" w:hAnsi="Times New Roman" w:cs="Times New Roman"/>
        </w:rPr>
        <w:t>。</w:t>
      </w:r>
    </w:p>
    <w:p w14:paraId="2707F8FC">
      <w:pPr>
        <w:spacing w:line="360" w:lineRule="auto"/>
        <w:ind w:firstLine="490" w:firstLineChars="200"/>
        <w:rPr>
          <w:rFonts w:hint="default" w:ascii="Times New Roman" w:hAnsi="Times New Roman" w:cs="Times New Roman"/>
          <w:szCs w:val="24"/>
        </w:rPr>
      </w:pPr>
      <w:r>
        <w:rPr>
          <w:rFonts w:hint="default" w:ascii="Times New Roman" w:hAnsi="Times New Roman" w:cs="Times New Roman"/>
          <w:szCs w:val="24"/>
        </w:rPr>
        <w:t>环境风险主要为矿物油泄漏导致</w:t>
      </w:r>
      <w:r>
        <w:rPr>
          <w:rFonts w:hint="default" w:ascii="Times New Roman" w:hAnsi="Times New Roman" w:cs="Times New Roman" w:eastAsiaTheme="minorEastAsia"/>
          <w:szCs w:val="24"/>
        </w:rPr>
        <w:t>火灾、爆炸影响、</w:t>
      </w:r>
      <w:r>
        <w:rPr>
          <w:rFonts w:hint="default" w:ascii="Times New Roman" w:hAnsi="Times New Roman" w:cs="Times New Roman"/>
          <w:szCs w:val="24"/>
        </w:rPr>
        <w:t>对土壤和水环境造成污染</w:t>
      </w:r>
      <w:r>
        <w:rPr>
          <w:rFonts w:hint="default" w:ascii="Times New Roman" w:hAnsi="Times New Roman" w:cs="Times New Roman" w:eastAsiaTheme="minorEastAsia"/>
          <w:szCs w:val="24"/>
        </w:rPr>
        <w:t>等。</w:t>
      </w:r>
    </w:p>
    <w:p w14:paraId="4E186675">
      <w:pPr>
        <w:spacing w:line="360" w:lineRule="auto"/>
        <w:ind w:firstLine="480"/>
        <w:rPr>
          <w:rFonts w:hint="default" w:ascii="Times New Roman" w:hAnsi="Times New Roman" w:cs="Times New Roman"/>
        </w:rPr>
      </w:pPr>
      <w:r>
        <w:rPr>
          <w:rFonts w:hint="default" w:ascii="Times New Roman" w:hAnsi="Times New Roman" w:cs="Times New Roman"/>
        </w:rPr>
        <w:t>项目存在一定环境风险，建设单位采取相应的风险防范措施和事故</w:t>
      </w:r>
      <w:r>
        <w:rPr>
          <w:rFonts w:hint="default" w:ascii="Times New Roman" w:hAnsi="Times New Roman" w:cs="Times New Roman"/>
          <w:lang w:val="en-US" w:eastAsia="zh-CN"/>
        </w:rPr>
        <w:t>应急措施</w:t>
      </w:r>
      <w:r>
        <w:rPr>
          <w:rFonts w:hint="default" w:ascii="Times New Roman" w:hAnsi="Times New Roman" w:cs="Times New Roman"/>
        </w:rPr>
        <w:t>后，环境风险处于可接受的水平，项目风险防范措施可行，本项目的环境风险是可以接受的。</w:t>
      </w:r>
    </w:p>
    <w:bookmarkEnd w:id="834"/>
    <w:bookmarkEnd w:id="835"/>
    <w:p w14:paraId="2067C4C0">
      <w:pPr>
        <w:pStyle w:val="5"/>
        <w:bidi w:val="0"/>
        <w:rPr>
          <w:rFonts w:hint="default" w:ascii="Times New Roman" w:hAnsi="Times New Roman" w:cs="Times New Roman"/>
          <w:lang w:val="en-US" w:eastAsia="zh-CN"/>
        </w:rPr>
      </w:pPr>
      <w:bookmarkStart w:id="836" w:name="_Toc931"/>
      <w:bookmarkStart w:id="837" w:name="_Toc14677"/>
      <w:bookmarkStart w:id="838" w:name="_Toc31138"/>
      <w:bookmarkStart w:id="839" w:name="_Toc281"/>
      <w:bookmarkStart w:id="840" w:name="_Toc28785"/>
      <w:r>
        <w:rPr>
          <w:rFonts w:hint="default" w:ascii="Times New Roman" w:hAnsi="Times New Roman" w:cs="Times New Roman"/>
          <w:lang w:val="en-US" w:eastAsia="zh-CN"/>
        </w:rPr>
        <w:t>10.6总量控制</w:t>
      </w:r>
      <w:bookmarkEnd w:id="836"/>
      <w:bookmarkEnd w:id="837"/>
      <w:bookmarkEnd w:id="838"/>
      <w:bookmarkEnd w:id="839"/>
      <w:bookmarkEnd w:id="840"/>
    </w:p>
    <w:p w14:paraId="0C0E2537">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（1）大气污染物排放总量</w:t>
      </w:r>
    </w:p>
    <w:p w14:paraId="58FF06B5">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b w:val="0"/>
          <w:bCs/>
          <w:color w:val="auto"/>
          <w:kern w:val="0"/>
          <w:sz w:val="24"/>
          <w:szCs w:val="24"/>
          <w:highlight w:val="none"/>
        </w:rPr>
      </w:pPr>
      <w:r>
        <w:rPr>
          <w:rFonts w:hint="default" w:ascii="Times New Roman" w:hAnsi="Times New Roman" w:eastAsia="宋体" w:cs="Times New Roman"/>
          <w:b w:val="0"/>
          <w:bCs/>
          <w:color w:val="auto"/>
          <w:sz w:val="24"/>
          <w:highlight w:val="none"/>
          <w:lang w:val="en-US" w:eastAsia="zh-CN"/>
        </w:rPr>
        <w:t>本项目废气污染物主要为</w:t>
      </w:r>
      <w:r>
        <w:rPr>
          <w:rFonts w:hint="default" w:ascii="Times New Roman" w:hAnsi="Times New Roman" w:cs="Times New Roman"/>
          <w:b w:val="0"/>
          <w:bCs/>
          <w:color w:val="auto"/>
          <w:sz w:val="24"/>
          <w:szCs w:val="24"/>
          <w:highlight w:val="none"/>
          <w:lang w:val="en-US" w:eastAsia="zh-CN"/>
        </w:rPr>
        <w:t>破碎、筛分、磁选、铁矿石堆场、砂石料堆场粉尘、</w:t>
      </w:r>
      <w:r>
        <w:rPr>
          <w:rFonts w:hint="default" w:ascii="Times New Roman" w:hAnsi="Times New Roman" w:cs="Times New Roman"/>
          <w:b w:val="0"/>
          <w:bCs/>
          <w:color w:val="auto"/>
          <w:sz w:val="24"/>
          <w:highlight w:val="none"/>
        </w:rPr>
        <w:t>车辆运输道路扬尘</w:t>
      </w:r>
      <w:r>
        <w:rPr>
          <w:rFonts w:hint="default"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kern w:val="0"/>
          <w:sz w:val="24"/>
          <w:szCs w:val="24"/>
          <w:highlight w:val="none"/>
          <w:lang w:val="en-US" w:eastAsia="zh-CN"/>
        </w:rPr>
        <w:t>有组织粉尘排放量为</w:t>
      </w:r>
      <w:r>
        <w:rPr>
          <w:rFonts w:hint="default" w:ascii="Times New Roman" w:hAnsi="Times New Roman" w:cs="Times New Roman"/>
          <w:color w:val="auto"/>
          <w:kern w:val="2"/>
          <w:sz w:val="24"/>
          <w:szCs w:val="24"/>
          <w:highlight w:val="none"/>
          <w:lang w:val="en-US" w:eastAsia="zh-CN" w:bidi="ar"/>
        </w:rPr>
        <w:t>0.489</w:t>
      </w:r>
      <w:r>
        <w:rPr>
          <w:rFonts w:hint="default" w:ascii="Times New Roman" w:hAnsi="Times New Roman" w:eastAsia="宋体" w:cs="Times New Roman"/>
          <w:b w:val="0"/>
          <w:bCs/>
          <w:color w:val="auto"/>
          <w:kern w:val="2"/>
          <w:sz w:val="24"/>
          <w:szCs w:val="24"/>
          <w:highlight w:val="none"/>
          <w:lang w:val="en-US" w:eastAsia="zh-CN" w:bidi="ar"/>
        </w:rPr>
        <w:t>t/a，无组织粉尘排放量为</w:t>
      </w:r>
      <w:r>
        <w:rPr>
          <w:rFonts w:hint="default" w:ascii="Times New Roman" w:hAnsi="Times New Roman" w:cs="Times New Roman"/>
          <w:color w:val="auto"/>
          <w:kern w:val="2"/>
          <w:sz w:val="24"/>
          <w:szCs w:val="24"/>
          <w:highlight w:val="none"/>
          <w:lang w:val="en-US" w:eastAsia="zh-CN" w:bidi="ar"/>
        </w:rPr>
        <w:t>1.059</w:t>
      </w:r>
      <w:r>
        <w:rPr>
          <w:rFonts w:hint="default" w:ascii="Times New Roman" w:hAnsi="Times New Roman" w:eastAsia="宋体" w:cs="Times New Roman"/>
          <w:b w:val="0"/>
          <w:bCs/>
          <w:color w:val="auto"/>
          <w:kern w:val="2"/>
          <w:sz w:val="24"/>
          <w:szCs w:val="24"/>
          <w:highlight w:val="none"/>
          <w:lang w:val="en-US" w:eastAsia="zh-CN" w:bidi="ar"/>
        </w:rPr>
        <w:t>t/a。由于颗粒物</w:t>
      </w:r>
      <w:r>
        <w:rPr>
          <w:rFonts w:hint="default" w:ascii="Times New Roman" w:hAnsi="Times New Roman" w:cs="Times New Roman"/>
          <w:b w:val="0"/>
          <w:bCs/>
          <w:color w:val="auto"/>
          <w:kern w:val="0"/>
          <w:sz w:val="24"/>
          <w:szCs w:val="24"/>
          <w:highlight w:val="none"/>
        </w:rPr>
        <w:t>不属于总量控制指标，因此本项目不设大气污染物排放总量指标。</w:t>
      </w:r>
    </w:p>
    <w:p w14:paraId="65AFA1B7">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（2）水污染物排放总量</w:t>
      </w:r>
    </w:p>
    <w:p w14:paraId="18FFAEE4">
      <w:pPr>
        <w:spacing w:line="360" w:lineRule="auto"/>
        <w:ind w:firstLine="490" w:firstLineChars="200"/>
        <w:rPr>
          <w:rFonts w:hint="default" w:ascii="Times New Roman" w:hAnsi="Times New Roman" w:cs="Times New Roman"/>
          <w:b w:val="0"/>
          <w:bCs/>
          <w:szCs w:val="24"/>
        </w:rPr>
      </w:pPr>
      <w:r>
        <w:rPr>
          <w:rFonts w:hint="default" w:ascii="Times New Roman" w:hAnsi="Times New Roman" w:cs="Times New Roman"/>
          <w:b w:val="0"/>
          <w:bCs/>
          <w:szCs w:val="24"/>
        </w:rPr>
        <w:t>项目生活污水经处理后回用，不设总量控制指标。</w:t>
      </w:r>
    </w:p>
    <w:p w14:paraId="3954F272">
      <w:pPr>
        <w:keepNext w:val="0"/>
        <w:keepLines w:val="0"/>
        <w:pageBreakBefore w:val="0"/>
        <w:widowControl w:val="0"/>
        <w:tabs>
          <w:tab w:val="left" w:pos="6131"/>
        </w:tabs>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cs="Times New Roman"/>
          <w:b w:val="0"/>
          <w:bCs/>
          <w:color w:val="auto"/>
          <w:sz w:val="24"/>
          <w:szCs w:val="24"/>
          <w:highlight w:val="none"/>
        </w:rPr>
        <w:t>（3）固体废物排放总量</w:t>
      </w:r>
      <w:r>
        <w:rPr>
          <w:rFonts w:hint="default" w:ascii="Times New Roman" w:hAnsi="Times New Roman" w:cs="Times New Roman"/>
          <w:b/>
          <w:color w:val="auto"/>
          <w:sz w:val="24"/>
          <w:szCs w:val="24"/>
          <w:highlight w:val="none"/>
          <w:lang w:eastAsia="zh-CN"/>
        </w:rPr>
        <w:tab/>
      </w:r>
    </w:p>
    <w:p w14:paraId="24769A33">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sz w:val="24"/>
          <w:szCs w:val="24"/>
          <w:highlight w:val="none"/>
        </w:rPr>
        <w:t>运营期固废均得到妥善处置，处置率100%。</w:t>
      </w:r>
    </w:p>
    <w:bookmarkEnd w:id="798"/>
    <w:p w14:paraId="4C51ABBD">
      <w:pPr>
        <w:pStyle w:val="5"/>
        <w:bidi w:val="0"/>
        <w:rPr>
          <w:rFonts w:hint="default" w:ascii="Times New Roman" w:hAnsi="Times New Roman" w:cs="Times New Roman"/>
          <w:lang w:val="en-US" w:eastAsia="zh-CN"/>
        </w:rPr>
      </w:pPr>
      <w:bookmarkStart w:id="841" w:name="_Toc24339"/>
      <w:bookmarkStart w:id="842" w:name="_Toc5145"/>
      <w:bookmarkStart w:id="843" w:name="_Toc27572"/>
      <w:bookmarkStart w:id="844" w:name="_Toc32679"/>
      <w:bookmarkStart w:id="845" w:name="_Toc22871"/>
      <w:bookmarkStart w:id="846" w:name="_Toc29997"/>
      <w:bookmarkStart w:id="847" w:name="_Toc27020"/>
      <w:bookmarkStart w:id="848" w:name="_Toc4251"/>
      <w:bookmarkStart w:id="849" w:name="_Toc19674"/>
      <w:r>
        <w:rPr>
          <w:rFonts w:hint="default" w:ascii="Times New Roman" w:hAnsi="Times New Roman" w:cs="Times New Roman"/>
          <w:lang w:val="en-US" w:eastAsia="zh-CN"/>
        </w:rPr>
        <w:t>10.7公众参与结论</w:t>
      </w:r>
      <w:bookmarkEnd w:id="841"/>
      <w:bookmarkEnd w:id="842"/>
      <w:bookmarkEnd w:id="843"/>
      <w:bookmarkEnd w:id="844"/>
      <w:bookmarkEnd w:id="845"/>
      <w:bookmarkEnd w:id="846"/>
      <w:bookmarkEnd w:id="847"/>
      <w:bookmarkEnd w:id="848"/>
      <w:bookmarkEnd w:id="849"/>
    </w:p>
    <w:p w14:paraId="1D652FEF">
      <w:pPr>
        <w:spacing w:line="360" w:lineRule="auto"/>
        <w:ind w:firstLine="490" w:firstLineChars="200"/>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建设单位</w:t>
      </w:r>
      <w:r>
        <w:rPr>
          <w:rFonts w:hint="default" w:ascii="Times New Roman" w:hAnsi="Times New Roman" w:cs="Times New Roman" w:eastAsiaTheme="minorEastAsia"/>
          <w:color w:val="auto"/>
          <w:kern w:val="0"/>
          <w:sz w:val="24"/>
          <w:szCs w:val="24"/>
          <w:lang w:val="en-US" w:eastAsia="zh-CN"/>
        </w:rPr>
        <w:t>于2024</w:t>
      </w:r>
      <w:r>
        <w:rPr>
          <w:rFonts w:hint="default" w:ascii="Times New Roman" w:hAnsi="Times New Roman" w:cs="Times New Roman" w:eastAsiaTheme="minorEastAsia"/>
          <w:color w:val="auto"/>
          <w:kern w:val="0"/>
          <w:sz w:val="24"/>
          <w:szCs w:val="24"/>
        </w:rPr>
        <w:t>年</w:t>
      </w:r>
      <w:r>
        <w:rPr>
          <w:rFonts w:hint="default" w:ascii="Times New Roman" w:hAnsi="Times New Roman" w:cs="Times New Roman" w:eastAsiaTheme="minorEastAsia"/>
          <w:color w:val="auto"/>
          <w:kern w:val="0"/>
          <w:sz w:val="24"/>
          <w:szCs w:val="24"/>
          <w:lang w:val="en-US" w:eastAsia="zh-CN"/>
        </w:rPr>
        <w:t>5</w:t>
      </w:r>
      <w:r>
        <w:rPr>
          <w:rFonts w:hint="default" w:ascii="Times New Roman" w:hAnsi="Times New Roman" w:cs="Times New Roman" w:eastAsiaTheme="minorEastAsia"/>
          <w:color w:val="auto"/>
          <w:kern w:val="0"/>
          <w:sz w:val="24"/>
          <w:szCs w:val="24"/>
        </w:rPr>
        <w:t>月</w:t>
      </w:r>
      <w:r>
        <w:rPr>
          <w:rFonts w:hint="default" w:ascii="Times New Roman" w:hAnsi="Times New Roman" w:cs="Times New Roman" w:eastAsiaTheme="minorEastAsia"/>
          <w:color w:val="auto"/>
          <w:kern w:val="0"/>
          <w:sz w:val="24"/>
          <w:szCs w:val="24"/>
          <w:lang w:val="en-US" w:eastAsia="zh-CN"/>
        </w:rPr>
        <w:t>13</w:t>
      </w:r>
      <w:r>
        <w:rPr>
          <w:rFonts w:hint="default" w:ascii="Times New Roman" w:hAnsi="Times New Roman" w:cs="Times New Roman" w:eastAsiaTheme="minorEastAsia"/>
          <w:color w:val="auto"/>
          <w:kern w:val="0"/>
          <w:sz w:val="24"/>
          <w:szCs w:val="24"/>
        </w:rPr>
        <w:t>日在云南玉溪仙福钢铁（集团</w:t>
      </w:r>
      <w:r>
        <w:rPr>
          <w:rFonts w:hint="default" w:ascii="Times New Roman" w:hAnsi="Times New Roman" w:cs="Times New Roman" w:eastAsiaTheme="minorEastAsia"/>
          <w:color w:val="auto"/>
          <w:kern w:val="0"/>
          <w:sz w:val="24"/>
          <w:szCs w:val="24"/>
          <w:lang w:eastAsia="zh-CN"/>
        </w:rPr>
        <w:t>）</w:t>
      </w:r>
      <w:r>
        <w:rPr>
          <w:rFonts w:hint="default" w:ascii="Times New Roman" w:hAnsi="Times New Roman" w:cs="Times New Roman" w:eastAsiaTheme="minorEastAsia"/>
          <w:color w:val="auto"/>
          <w:kern w:val="0"/>
          <w:sz w:val="24"/>
          <w:szCs w:val="24"/>
        </w:rPr>
        <w:t>有限公司</w:t>
      </w:r>
      <w:r>
        <w:rPr>
          <w:rFonts w:hint="default" w:ascii="Times New Roman" w:hAnsi="Times New Roman" w:cs="Times New Roman" w:eastAsiaTheme="minorEastAsia"/>
          <w:color w:val="auto"/>
          <w:kern w:val="0"/>
          <w:sz w:val="24"/>
          <w:szCs w:val="24"/>
          <w:lang w:val="en-US" w:eastAsia="zh-CN"/>
        </w:rPr>
        <w:t>网站</w:t>
      </w:r>
      <w:r>
        <w:rPr>
          <w:rFonts w:hint="default" w:ascii="Times New Roman" w:hAnsi="Times New Roman" w:cs="Times New Roman" w:eastAsiaTheme="minorEastAsia"/>
          <w:color w:val="auto"/>
          <w:kern w:val="0"/>
          <w:sz w:val="24"/>
          <w:szCs w:val="24"/>
        </w:rPr>
        <w:t>（http://www.xfgtgroup.com/list/xfgt/1/3/auto/20/0.html）对该项目进行公众参与信息第一次公示，在第一次网络公示期间，无反馈意见。</w:t>
      </w:r>
    </w:p>
    <w:p w14:paraId="5E86606B">
      <w:pPr>
        <w:spacing w:line="360" w:lineRule="auto"/>
        <w:ind w:firstLine="490" w:firstLineChars="200"/>
        <w:rPr>
          <w:rFonts w:hint="default" w:ascii="Times New Roman" w:hAnsi="Times New Roman" w:cs="Times New Roman" w:eastAsiaTheme="minorEastAsia"/>
          <w:color w:val="FF0000"/>
          <w:sz w:val="24"/>
          <w:szCs w:val="24"/>
          <w:highlight w:val="none"/>
        </w:rPr>
      </w:pPr>
      <w:r>
        <w:rPr>
          <w:rFonts w:hint="default" w:ascii="Times New Roman" w:hAnsi="Times New Roman" w:cs="Times New Roman" w:eastAsiaTheme="minorEastAsia"/>
          <w:color w:val="auto"/>
          <w:sz w:val="24"/>
          <w:szCs w:val="24"/>
          <w:highlight w:val="none"/>
        </w:rPr>
        <w:t>202</w:t>
      </w:r>
      <w:r>
        <w:rPr>
          <w:rFonts w:hint="default" w:ascii="Times New Roman" w:hAnsi="Times New Roman" w:cs="Times New Roman" w:eastAsiaTheme="minorEastAsia"/>
          <w:color w:val="auto"/>
          <w:sz w:val="24"/>
          <w:szCs w:val="24"/>
          <w:highlight w:val="none"/>
          <w:lang w:val="en-US" w:eastAsia="zh-CN"/>
        </w:rPr>
        <w:t>4</w:t>
      </w:r>
      <w:r>
        <w:rPr>
          <w:rFonts w:hint="default" w:ascii="Times New Roman" w:hAnsi="Times New Roman" w:cs="Times New Roman" w:eastAsiaTheme="minorEastAsia"/>
          <w:color w:val="auto"/>
          <w:sz w:val="24"/>
          <w:szCs w:val="24"/>
          <w:highlight w:val="none"/>
        </w:rPr>
        <w:t>年</w:t>
      </w:r>
      <w:r>
        <w:rPr>
          <w:rFonts w:hint="default" w:ascii="Times New Roman" w:hAnsi="Times New Roman"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rPr>
        <w:t>月</w:t>
      </w:r>
      <w:r>
        <w:rPr>
          <w:rFonts w:hint="default" w:ascii="Times New Roman" w:hAnsi="Times New Roman" w:cs="Times New Roman" w:eastAsiaTheme="minorEastAsia"/>
          <w:color w:val="auto"/>
          <w:sz w:val="24"/>
          <w:szCs w:val="24"/>
          <w:highlight w:val="none"/>
          <w:lang w:val="en-US" w:eastAsia="zh-CN"/>
        </w:rPr>
        <w:t>30</w:t>
      </w:r>
      <w:r>
        <w:rPr>
          <w:rFonts w:hint="default" w:ascii="Times New Roman" w:hAnsi="Times New Roman" w:cs="Times New Roman" w:eastAsiaTheme="minorEastAsia"/>
          <w:color w:val="auto"/>
          <w:sz w:val="24"/>
          <w:szCs w:val="24"/>
          <w:highlight w:val="none"/>
        </w:rPr>
        <w:t>日，</w:t>
      </w:r>
      <w:r>
        <w:rPr>
          <w:rFonts w:hint="default" w:ascii="Times New Roman" w:hAnsi="Times New Roman" w:cs="Times New Roman" w:eastAsiaTheme="minorEastAsia"/>
          <w:color w:val="auto"/>
          <w:kern w:val="0"/>
          <w:sz w:val="24"/>
          <w:szCs w:val="24"/>
          <w:highlight w:val="none"/>
        </w:rPr>
        <w:t>《</w:t>
      </w:r>
      <w:r>
        <w:rPr>
          <w:rFonts w:hint="default" w:ascii="Times New Roman" w:hAnsi="Times New Roman" w:cs="Times New Roman" w:eastAsiaTheme="minorEastAsia"/>
          <w:color w:val="auto"/>
          <w:sz w:val="24"/>
          <w:szCs w:val="24"/>
        </w:rPr>
        <w:t>云南新平仙福矿冶有限公司废石加工资源综合利用项目</w:t>
      </w:r>
      <w:r>
        <w:rPr>
          <w:rFonts w:hint="default" w:ascii="Times New Roman" w:hAnsi="Times New Roman" w:cs="Times New Roman" w:eastAsiaTheme="minorEastAsia"/>
          <w:color w:val="auto"/>
          <w:kern w:val="2"/>
          <w:sz w:val="24"/>
          <w:szCs w:val="24"/>
          <w:highlight w:val="none"/>
          <w:lang w:val="en-US" w:eastAsia="zh-CN" w:bidi="ar-SA"/>
        </w:rPr>
        <w:t>环境影响报告书</w:t>
      </w:r>
      <w:r>
        <w:rPr>
          <w:rFonts w:hint="default" w:ascii="Times New Roman" w:hAnsi="Times New Roman" w:cs="Times New Roman" w:eastAsiaTheme="minorEastAsia"/>
          <w:color w:val="auto"/>
          <w:kern w:val="0"/>
          <w:sz w:val="24"/>
          <w:szCs w:val="24"/>
          <w:highlight w:val="none"/>
        </w:rPr>
        <w:t>》（征求意见稿）编制完毕，</w:t>
      </w:r>
      <w:r>
        <w:rPr>
          <w:rFonts w:hint="default" w:ascii="Times New Roman" w:hAnsi="Times New Roman" w:cs="Times New Roman" w:eastAsiaTheme="minorEastAsia"/>
          <w:bCs/>
          <w:color w:val="auto"/>
          <w:sz w:val="24"/>
          <w:szCs w:val="24"/>
          <w:highlight w:val="none"/>
        </w:rPr>
        <w:t>建设单位</w:t>
      </w:r>
      <w:r>
        <w:rPr>
          <w:rFonts w:hint="default" w:ascii="Times New Roman" w:hAnsi="Times New Roman" w:cs="Times New Roman"/>
          <w:color w:val="auto"/>
          <w:sz w:val="24"/>
          <w:szCs w:val="24"/>
          <w:highlight w:val="none"/>
        </w:rPr>
        <w:t>分别同步</w:t>
      </w:r>
      <w:r>
        <w:rPr>
          <w:rFonts w:hint="default" w:ascii="Times New Roman" w:hAnsi="Times New Roman" w:cs="Times New Roman" w:eastAsiaTheme="minorEastAsia"/>
          <w:color w:val="auto"/>
          <w:sz w:val="24"/>
          <w:szCs w:val="24"/>
          <w:highlight w:val="none"/>
        </w:rPr>
        <w:t>在</w:t>
      </w:r>
      <w:r>
        <w:rPr>
          <w:rFonts w:hint="default" w:ascii="Times New Roman" w:hAnsi="Times New Roman" w:cs="Times New Roman" w:eastAsiaTheme="minorEastAsia"/>
          <w:color w:val="auto"/>
          <w:kern w:val="0"/>
          <w:sz w:val="24"/>
          <w:szCs w:val="24"/>
        </w:rPr>
        <w:t>云南玉溪仙福钢铁（集团</w:t>
      </w:r>
      <w:r>
        <w:rPr>
          <w:rFonts w:hint="default" w:ascii="Times New Roman" w:hAnsi="Times New Roman" w:cs="Times New Roman" w:eastAsiaTheme="minorEastAsia"/>
          <w:color w:val="auto"/>
          <w:kern w:val="0"/>
          <w:sz w:val="24"/>
          <w:szCs w:val="24"/>
          <w:lang w:eastAsia="zh-CN"/>
        </w:rPr>
        <w:t>）</w:t>
      </w:r>
      <w:r>
        <w:rPr>
          <w:rFonts w:hint="default" w:ascii="Times New Roman" w:hAnsi="Times New Roman" w:cs="Times New Roman" w:eastAsiaTheme="minorEastAsia"/>
          <w:color w:val="auto"/>
          <w:kern w:val="0"/>
          <w:sz w:val="24"/>
          <w:szCs w:val="24"/>
        </w:rPr>
        <w:t>有限公司</w:t>
      </w:r>
      <w:r>
        <w:rPr>
          <w:rFonts w:hint="default" w:ascii="Times New Roman" w:hAnsi="Times New Roman" w:cs="Times New Roman" w:eastAsiaTheme="minorEastAsia"/>
          <w:color w:val="auto"/>
          <w:kern w:val="0"/>
          <w:sz w:val="24"/>
          <w:szCs w:val="24"/>
          <w:lang w:val="en-US" w:eastAsia="zh-CN"/>
        </w:rPr>
        <w:t>网站</w:t>
      </w:r>
      <w:r>
        <w:rPr>
          <w:rFonts w:hint="default" w:ascii="Times New Roman" w:hAnsi="Times New Roman" w:cs="Times New Roman" w:eastAsiaTheme="minorEastAsia"/>
          <w:color w:val="auto"/>
          <w:kern w:val="0"/>
          <w:sz w:val="24"/>
          <w:szCs w:val="24"/>
        </w:rPr>
        <w:t>（http://www.xfgtgroup.com/list/xfgt/1/3/auto/20/0.html）</w:t>
      </w:r>
      <w:r>
        <w:rPr>
          <w:rFonts w:hint="default" w:ascii="Times New Roman" w:hAnsi="Times New Roman" w:cs="Times New Roman" w:eastAsiaTheme="minorEastAsia"/>
          <w:color w:val="auto"/>
          <w:kern w:val="0"/>
          <w:sz w:val="24"/>
          <w:szCs w:val="24"/>
          <w:lang w:eastAsia="zh-CN"/>
        </w:rPr>
        <w:t>、</w:t>
      </w:r>
      <w:r>
        <w:rPr>
          <w:rFonts w:hint="default" w:ascii="Times New Roman" w:hAnsi="Times New Roman" w:cs="Times New Roman" w:eastAsiaTheme="minorEastAsia"/>
          <w:color w:val="auto"/>
          <w:kern w:val="0"/>
          <w:sz w:val="24"/>
          <w:szCs w:val="24"/>
          <w:highlight w:val="none"/>
          <w:lang w:val="en-US" w:eastAsia="zh-CN"/>
        </w:rPr>
        <w:t>项目</w:t>
      </w:r>
      <w:r>
        <w:rPr>
          <w:rFonts w:hint="default" w:ascii="Times New Roman" w:hAnsi="Times New Roman" w:cs="Times New Roman"/>
          <w:color w:val="auto"/>
          <w:sz w:val="24"/>
          <w:szCs w:val="24"/>
          <w:highlight w:val="none"/>
        </w:rPr>
        <w:t>所在地居民委员会公开栏</w:t>
      </w:r>
      <w:r>
        <w:rPr>
          <w:rFonts w:hint="default" w:ascii="Times New Roman" w:hAnsi="Times New Roman" w:cs="Times New Roman" w:eastAsiaTheme="minorEastAsia"/>
          <w:color w:val="auto"/>
          <w:kern w:val="0"/>
          <w:sz w:val="24"/>
          <w:szCs w:val="24"/>
          <w:highlight w:val="none"/>
          <w:lang w:eastAsia="zh-CN"/>
        </w:rPr>
        <w:t>、</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val="en-US" w:eastAsia="zh-CN"/>
        </w:rPr>
        <w:t>民族时报</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bCs/>
          <w:color w:val="auto"/>
          <w:sz w:val="24"/>
          <w:szCs w:val="24"/>
          <w:highlight w:val="none"/>
        </w:rPr>
        <w:t>202</w:t>
      </w:r>
      <w:r>
        <w:rPr>
          <w:rFonts w:hint="default" w:ascii="Times New Roman" w:hAnsi="Times New Roman" w:cs="Times New Roman" w:eastAsiaTheme="minorEastAsia"/>
          <w:bCs/>
          <w:color w:val="auto"/>
          <w:sz w:val="24"/>
          <w:szCs w:val="24"/>
          <w:highlight w:val="none"/>
          <w:lang w:val="en-US" w:eastAsia="zh-CN"/>
        </w:rPr>
        <w:t>4</w:t>
      </w:r>
      <w:r>
        <w:rPr>
          <w:rFonts w:hint="default" w:ascii="Times New Roman" w:hAnsi="Times New Roman" w:cs="Times New Roman" w:eastAsiaTheme="minorEastAsia"/>
          <w:bCs/>
          <w:color w:val="auto"/>
          <w:sz w:val="24"/>
          <w:szCs w:val="24"/>
          <w:highlight w:val="none"/>
        </w:rPr>
        <w:t>年</w:t>
      </w:r>
      <w:r>
        <w:rPr>
          <w:rFonts w:hint="default" w:ascii="Times New Roman" w:hAnsi="Times New Roman" w:cs="Times New Roman" w:eastAsiaTheme="minorEastAsia"/>
          <w:bCs/>
          <w:color w:val="auto"/>
          <w:sz w:val="24"/>
          <w:szCs w:val="24"/>
          <w:highlight w:val="none"/>
          <w:lang w:val="en-US" w:eastAsia="zh-CN"/>
        </w:rPr>
        <w:t>8</w:t>
      </w:r>
      <w:r>
        <w:rPr>
          <w:rFonts w:hint="default" w:ascii="Times New Roman" w:hAnsi="Times New Roman" w:cs="Times New Roman" w:eastAsiaTheme="minorEastAsia"/>
          <w:bCs/>
          <w:color w:val="auto"/>
          <w:sz w:val="24"/>
          <w:szCs w:val="24"/>
          <w:highlight w:val="none"/>
        </w:rPr>
        <w:t>月</w:t>
      </w:r>
      <w:r>
        <w:rPr>
          <w:rFonts w:hint="default" w:ascii="Times New Roman" w:hAnsi="Times New Roman" w:cs="Times New Roman" w:eastAsiaTheme="minorEastAsia"/>
          <w:bCs/>
          <w:color w:val="auto"/>
          <w:sz w:val="24"/>
          <w:szCs w:val="24"/>
          <w:highlight w:val="none"/>
          <w:lang w:val="en-US" w:eastAsia="zh-CN"/>
        </w:rPr>
        <w:t>2</w:t>
      </w:r>
      <w:r>
        <w:rPr>
          <w:rFonts w:hint="default" w:ascii="Times New Roman" w:hAnsi="Times New Roman" w:cs="Times New Roman" w:eastAsiaTheme="minorEastAsia"/>
          <w:bCs/>
          <w:color w:val="auto"/>
          <w:sz w:val="24"/>
          <w:szCs w:val="24"/>
          <w:highlight w:val="none"/>
        </w:rPr>
        <w:t>日、202</w:t>
      </w:r>
      <w:r>
        <w:rPr>
          <w:rFonts w:hint="default" w:ascii="Times New Roman" w:hAnsi="Times New Roman" w:cs="Times New Roman" w:eastAsiaTheme="minorEastAsia"/>
          <w:bCs/>
          <w:color w:val="auto"/>
          <w:sz w:val="24"/>
          <w:szCs w:val="24"/>
          <w:highlight w:val="none"/>
          <w:lang w:val="en-US" w:eastAsia="zh-CN"/>
        </w:rPr>
        <w:t>4</w:t>
      </w:r>
      <w:r>
        <w:rPr>
          <w:rFonts w:hint="default" w:ascii="Times New Roman" w:hAnsi="Times New Roman" w:cs="Times New Roman" w:eastAsiaTheme="minorEastAsia"/>
          <w:bCs/>
          <w:color w:val="auto"/>
          <w:sz w:val="24"/>
          <w:szCs w:val="24"/>
          <w:highlight w:val="none"/>
        </w:rPr>
        <w:t>年</w:t>
      </w:r>
      <w:r>
        <w:rPr>
          <w:rFonts w:hint="default" w:ascii="Times New Roman" w:hAnsi="Times New Roman" w:cs="Times New Roman" w:eastAsiaTheme="minorEastAsia"/>
          <w:bCs/>
          <w:color w:val="auto"/>
          <w:sz w:val="24"/>
          <w:szCs w:val="24"/>
          <w:highlight w:val="none"/>
          <w:lang w:val="en-US" w:eastAsia="zh-CN"/>
        </w:rPr>
        <w:t>8</w:t>
      </w:r>
      <w:r>
        <w:rPr>
          <w:rFonts w:hint="default" w:ascii="Times New Roman" w:hAnsi="Times New Roman" w:cs="Times New Roman" w:eastAsiaTheme="minorEastAsia"/>
          <w:bCs/>
          <w:color w:val="auto"/>
          <w:sz w:val="24"/>
          <w:szCs w:val="24"/>
          <w:highlight w:val="none"/>
        </w:rPr>
        <w:t>月</w:t>
      </w:r>
      <w:r>
        <w:rPr>
          <w:rFonts w:hint="default" w:ascii="Times New Roman" w:hAnsi="Times New Roman" w:cs="Times New Roman" w:eastAsiaTheme="minorEastAsia"/>
          <w:bCs/>
          <w:color w:val="auto"/>
          <w:sz w:val="24"/>
          <w:szCs w:val="24"/>
          <w:highlight w:val="none"/>
          <w:lang w:val="en-US" w:eastAsia="zh-CN"/>
        </w:rPr>
        <w:t>6</w:t>
      </w:r>
      <w:r>
        <w:rPr>
          <w:rFonts w:hint="default" w:ascii="Times New Roman" w:hAnsi="Times New Roman" w:cs="Times New Roman" w:eastAsiaTheme="minorEastAsia"/>
          <w:bCs/>
          <w:color w:val="auto"/>
          <w:sz w:val="24"/>
          <w:szCs w:val="24"/>
          <w:highlight w:val="none"/>
        </w:rPr>
        <w:t>日</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color w:val="auto"/>
          <w:sz w:val="24"/>
          <w:szCs w:val="24"/>
          <w:highlight w:val="none"/>
        </w:rPr>
        <w:t>进行第二次信息公示</w:t>
      </w:r>
      <w:r>
        <w:rPr>
          <w:rFonts w:hint="default" w:ascii="Times New Roman" w:hAnsi="Times New Roman" w:cs="Times New Roman" w:eastAsiaTheme="minorEastAsia"/>
          <w:color w:val="auto"/>
          <w:kern w:val="0"/>
          <w:sz w:val="24"/>
          <w:szCs w:val="24"/>
          <w:highlight w:val="none"/>
        </w:rPr>
        <w:t>。第二次公示期间，</w:t>
      </w:r>
      <w:r>
        <w:rPr>
          <w:rFonts w:hint="default" w:ascii="Times New Roman" w:hAnsi="Times New Roman" w:cs="Times New Roman" w:eastAsiaTheme="minorEastAsia"/>
          <w:color w:val="auto"/>
          <w:sz w:val="24"/>
          <w:szCs w:val="24"/>
          <w:highlight w:val="none"/>
        </w:rPr>
        <w:t>无反馈意见。</w:t>
      </w:r>
    </w:p>
    <w:p w14:paraId="5B0B14D6">
      <w:pPr>
        <w:adjustRightInd w:val="0"/>
        <w:snapToGrid w:val="0"/>
        <w:spacing w:line="360" w:lineRule="auto"/>
        <w:ind w:firstLine="490"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本项目在向生态环境部上报环境影响报告书前，</w:t>
      </w:r>
      <w:r>
        <w:rPr>
          <w:rFonts w:hint="default" w:ascii="Times New Roman" w:hAnsi="Times New Roman" w:eastAsia="宋体" w:cs="Times New Roman"/>
          <w:b w:val="0"/>
          <w:bCs w:val="0"/>
          <w:color w:val="auto"/>
          <w:kern w:val="2"/>
          <w:sz w:val="24"/>
          <w:szCs w:val="24"/>
          <w:lang w:val="en-US" w:eastAsia="zh-CN" w:bidi="ar-SA"/>
        </w:rPr>
        <w:t>建设单位于</w:t>
      </w:r>
      <w:r>
        <w:rPr>
          <w:rFonts w:hint="default" w:ascii="Times New Roman" w:hAnsi="Times New Roman" w:eastAsia="宋体" w:cs="Times New Roman"/>
          <w:bCs/>
          <w:color w:val="auto"/>
          <w:sz w:val="24"/>
          <w:szCs w:val="24"/>
          <w:lang w:val="en-US" w:eastAsia="zh-CN"/>
        </w:rPr>
        <w:t>2024年11月11日在</w:t>
      </w:r>
      <w:r>
        <w:rPr>
          <w:rFonts w:hint="default" w:ascii="Times New Roman" w:hAnsi="Times New Roman" w:eastAsia="宋体" w:cs="Times New Roman"/>
          <w:bCs/>
          <w:color w:val="auto"/>
          <w:sz w:val="24"/>
          <w:szCs w:val="24"/>
        </w:rPr>
        <w:t>“</w:t>
      </w:r>
      <w:r>
        <w:rPr>
          <w:rFonts w:hint="default" w:ascii="Times New Roman" w:hAnsi="Times New Roman" w:cs="Times New Roman" w:eastAsiaTheme="minorEastAsia"/>
          <w:color w:val="auto"/>
          <w:kern w:val="0"/>
          <w:sz w:val="24"/>
          <w:szCs w:val="24"/>
        </w:rPr>
        <w:t>云南玉溪仙福钢铁（集团</w:t>
      </w:r>
      <w:r>
        <w:rPr>
          <w:rFonts w:hint="default" w:ascii="Times New Roman" w:hAnsi="Times New Roman" w:cs="Times New Roman" w:eastAsiaTheme="minorEastAsia"/>
          <w:color w:val="auto"/>
          <w:kern w:val="0"/>
          <w:sz w:val="24"/>
          <w:szCs w:val="24"/>
          <w:lang w:eastAsia="zh-CN"/>
        </w:rPr>
        <w:t>）</w:t>
      </w:r>
      <w:r>
        <w:rPr>
          <w:rFonts w:hint="default" w:ascii="Times New Roman" w:hAnsi="Times New Roman" w:cs="Times New Roman" w:eastAsiaTheme="minorEastAsia"/>
          <w:color w:val="auto"/>
          <w:kern w:val="0"/>
          <w:sz w:val="24"/>
          <w:szCs w:val="24"/>
        </w:rPr>
        <w:t>有限公司</w:t>
      </w:r>
      <w:r>
        <w:rPr>
          <w:rFonts w:hint="default" w:ascii="Times New Roman" w:hAnsi="Times New Roman" w:cs="Times New Roman" w:eastAsiaTheme="minorEastAsia"/>
          <w:color w:val="auto"/>
          <w:kern w:val="0"/>
          <w:sz w:val="24"/>
          <w:szCs w:val="24"/>
          <w:lang w:val="en-US" w:eastAsia="zh-CN"/>
        </w:rPr>
        <w:t>网站</w:t>
      </w:r>
      <w:r>
        <w:rPr>
          <w:rFonts w:hint="default" w:ascii="Times New Roman" w:hAnsi="Times New Roman" w:eastAsia="宋体" w:cs="Times New Roman"/>
          <w:bCs/>
          <w:color w:val="auto"/>
          <w:sz w:val="24"/>
          <w:szCs w:val="24"/>
        </w:rPr>
        <w:t>”网站上</w:t>
      </w:r>
      <w:r>
        <w:rPr>
          <w:rFonts w:hint="default" w:ascii="Times New Roman" w:hAnsi="Times New Roman" w:eastAsia="宋体" w:cs="Times New Roman"/>
          <w:bCs/>
          <w:color w:val="auto"/>
          <w:sz w:val="24"/>
          <w:szCs w:val="24"/>
          <w:lang w:val="en-US" w:eastAsia="zh-CN"/>
        </w:rPr>
        <w:t>（网址：</w:t>
      </w:r>
      <w:r>
        <w:rPr>
          <w:rFonts w:hint="default" w:ascii="Times New Roman" w:hAnsi="Times New Roman" w:cs="Times New Roman" w:eastAsiaTheme="minorEastAsia"/>
          <w:color w:val="auto"/>
          <w:kern w:val="0"/>
          <w:sz w:val="24"/>
          <w:szCs w:val="24"/>
        </w:rPr>
        <w:t>http://www.xfgtgroup.com/list/xfgt/1/3/auto/20/0.html</w:t>
      </w:r>
      <w:r>
        <w:rPr>
          <w:rFonts w:hint="default" w:ascii="Times New Roman" w:hAnsi="Times New Roman" w:eastAsia="宋体" w:cs="Times New Roman"/>
          <w:bCs/>
          <w:color w:val="auto"/>
          <w:sz w:val="24"/>
          <w:szCs w:val="24"/>
          <w:lang w:val="en-US" w:eastAsia="zh-CN"/>
        </w:rPr>
        <w:t>），面向全社会公开了本项目拟报批的环境影响报告书全文和公众参与说明。项目公示期间，未收到公众反馈意见。</w:t>
      </w:r>
    </w:p>
    <w:p w14:paraId="0B2E4BEA">
      <w:pPr>
        <w:spacing w:line="360" w:lineRule="auto"/>
        <w:ind w:firstLine="49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highlight w:val="none"/>
        </w:rPr>
        <w:t>评价认为本项目符合国家和云南省产业政策，只要严格执行环评中规定的各种控制措施后，可以满足国家规定的排放标准，满足环境和公众的要求。</w:t>
      </w:r>
    </w:p>
    <w:p w14:paraId="084C1904">
      <w:pPr>
        <w:pStyle w:val="5"/>
        <w:bidi w:val="0"/>
        <w:rPr>
          <w:rFonts w:hint="default" w:ascii="Times New Roman" w:hAnsi="Times New Roman" w:cs="Times New Roman"/>
          <w:lang w:val="en-US" w:eastAsia="zh-CN"/>
        </w:rPr>
      </w:pPr>
      <w:bookmarkStart w:id="850" w:name="_Toc2765"/>
      <w:bookmarkStart w:id="851" w:name="_Toc13069"/>
      <w:bookmarkStart w:id="852" w:name="_Toc7432"/>
      <w:bookmarkStart w:id="853" w:name="_Toc32193"/>
      <w:bookmarkStart w:id="854" w:name="_Toc27299"/>
      <w:bookmarkStart w:id="855" w:name="_Toc27060"/>
      <w:bookmarkStart w:id="856" w:name="_Toc31134"/>
      <w:r>
        <w:rPr>
          <w:rFonts w:hint="default" w:ascii="Times New Roman" w:hAnsi="Times New Roman" w:cs="Times New Roman"/>
          <w:lang w:val="en-US" w:eastAsia="zh-CN"/>
        </w:rPr>
        <w:t>10.8评价总结论</w:t>
      </w:r>
      <w:bookmarkEnd w:id="850"/>
      <w:bookmarkEnd w:id="851"/>
      <w:bookmarkEnd w:id="852"/>
      <w:bookmarkEnd w:id="853"/>
      <w:bookmarkEnd w:id="854"/>
      <w:bookmarkEnd w:id="855"/>
      <w:bookmarkEnd w:id="856"/>
    </w:p>
    <w:p w14:paraId="7AAA99D5">
      <w:pPr>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本项目建设符合国家和地方的相关产业政策</w:t>
      </w:r>
      <w:r>
        <w:rPr>
          <w:rFonts w:hint="default" w:ascii="Times New Roman" w:hAnsi="Times New Roman" w:cs="Times New Roman" w:eastAsiaTheme="minorEastAsia"/>
          <w:kern w:val="24"/>
          <w:sz w:val="24"/>
          <w:szCs w:val="24"/>
        </w:rPr>
        <w:t>，符合相关</w:t>
      </w:r>
      <w:r>
        <w:rPr>
          <w:rFonts w:hint="default" w:ascii="Times New Roman" w:hAnsi="Times New Roman" w:cs="Times New Roman" w:eastAsiaTheme="minorEastAsia"/>
          <w:kern w:val="24"/>
          <w:sz w:val="24"/>
          <w:szCs w:val="24"/>
          <w:lang w:val="en-US" w:eastAsia="zh-CN"/>
        </w:rPr>
        <w:t>规划及</w:t>
      </w:r>
      <w:r>
        <w:rPr>
          <w:rFonts w:hint="default" w:ascii="Times New Roman" w:hAnsi="Times New Roman" w:cs="Times New Roman" w:eastAsiaTheme="minorEastAsia"/>
          <w:kern w:val="24"/>
          <w:sz w:val="24"/>
          <w:szCs w:val="24"/>
        </w:rPr>
        <w:t>生态环境保护法律法规</w:t>
      </w:r>
      <w:r>
        <w:rPr>
          <w:rFonts w:hint="default" w:ascii="Times New Roman" w:hAnsi="Times New Roman" w:cs="Times New Roman" w:eastAsiaTheme="minorEastAsia"/>
          <w:kern w:val="24"/>
          <w:sz w:val="24"/>
          <w:szCs w:val="24"/>
          <w:lang w:eastAsia="zh-CN"/>
        </w:rPr>
        <w:t>，</w:t>
      </w:r>
      <w:r>
        <w:rPr>
          <w:rFonts w:hint="default" w:ascii="Times New Roman" w:hAnsi="Times New Roman" w:cs="Times New Roman" w:eastAsiaTheme="minorEastAsia"/>
          <w:kern w:val="24"/>
          <w:sz w:val="24"/>
          <w:szCs w:val="24"/>
          <w:lang w:val="en-US" w:eastAsia="zh-CN"/>
        </w:rPr>
        <w:t>不涉及生态红线及基本农田</w:t>
      </w:r>
      <w:r>
        <w:rPr>
          <w:rFonts w:hint="default" w:ascii="Times New Roman" w:hAnsi="Times New Roman" w:cs="Times New Roman" w:eastAsiaTheme="minorEastAsia"/>
          <w:kern w:val="24"/>
          <w:sz w:val="24"/>
          <w:szCs w:val="24"/>
        </w:rPr>
        <w:t>。项目运营期产生的</w:t>
      </w:r>
      <w:r>
        <w:rPr>
          <w:rFonts w:hint="default" w:ascii="Times New Roman" w:hAnsi="Times New Roman" w:cs="Times New Roman" w:eastAsiaTheme="minorEastAsia"/>
          <w:sz w:val="24"/>
          <w:szCs w:val="24"/>
        </w:rPr>
        <w:t>污染物</w:t>
      </w:r>
      <w:r>
        <w:rPr>
          <w:rFonts w:hint="default" w:ascii="Times New Roman" w:hAnsi="Times New Roman" w:cs="Times New Roman" w:eastAsiaTheme="minorEastAsia"/>
          <w:kern w:val="24"/>
          <w:sz w:val="24"/>
          <w:szCs w:val="24"/>
        </w:rPr>
        <w:t>采取了相应的措施处置，</w:t>
      </w:r>
      <w:r>
        <w:rPr>
          <w:rFonts w:hint="default" w:ascii="Times New Roman" w:hAnsi="Times New Roman" w:cs="Times New Roman" w:eastAsiaTheme="minorEastAsia"/>
          <w:sz w:val="24"/>
          <w:szCs w:val="24"/>
        </w:rPr>
        <w:t>所采取环保措施有效可行，符合达标排放、总量控制和不降低当地环境功能的要求，</w:t>
      </w:r>
      <w:r>
        <w:rPr>
          <w:rFonts w:hint="default" w:ascii="Times New Roman" w:hAnsi="Times New Roman" w:cs="Times New Roman" w:eastAsiaTheme="minorEastAsia"/>
          <w:kern w:val="24"/>
          <w:sz w:val="24"/>
          <w:szCs w:val="24"/>
        </w:rPr>
        <w:t>对环境影响可接受</w:t>
      </w:r>
      <w:r>
        <w:rPr>
          <w:rFonts w:hint="default" w:ascii="Times New Roman" w:hAnsi="Times New Roman" w:cs="Times New Roman" w:eastAsiaTheme="minorEastAsia"/>
          <w:sz w:val="24"/>
          <w:szCs w:val="24"/>
        </w:rPr>
        <w:t>。根据环境影响预测分析结果表明，项目建成后产生的污染物可做到达标排放，对当地环境影响较小，固废得到妥善处置，环境风险可控。</w:t>
      </w:r>
    </w:p>
    <w:p w14:paraId="51BCEB78">
      <w:pPr>
        <w:spacing w:line="360" w:lineRule="auto"/>
        <w:ind w:firstLine="490" w:firstLineChars="200"/>
        <w:rPr>
          <w:rFonts w:hint="default" w:ascii="Times New Roman" w:hAnsi="Times New Roman" w:cs="Times New Roman" w:eastAsiaTheme="minorEastAsia"/>
          <w:kern w:val="24"/>
          <w:sz w:val="24"/>
          <w:szCs w:val="24"/>
        </w:rPr>
      </w:pPr>
      <w:r>
        <w:rPr>
          <w:rFonts w:hint="default" w:ascii="Times New Roman" w:hAnsi="Times New Roman" w:cs="Times New Roman" w:eastAsiaTheme="minorEastAsia"/>
          <w:kern w:val="24"/>
          <w:sz w:val="24"/>
          <w:szCs w:val="24"/>
        </w:rPr>
        <w:t>在认真落实环评中提出的污染防治对策措施，保证治理设施正常运转，确保污染物达标排放的情况下，项目建设不会降低和改变该区域的环境质量和环境功能。</w:t>
      </w:r>
    </w:p>
    <w:p w14:paraId="2890BB85">
      <w:pPr>
        <w:spacing w:line="360" w:lineRule="auto"/>
        <w:ind w:firstLine="490" w:firstLineChars="200"/>
        <w:rPr>
          <w:rFonts w:hint="default" w:ascii="Times New Roman" w:hAnsi="Times New Roman" w:cs="Times New Roman"/>
          <w:kern w:val="24"/>
        </w:rPr>
      </w:pPr>
      <w:r>
        <w:rPr>
          <w:rFonts w:hint="default" w:ascii="Times New Roman" w:hAnsi="Times New Roman" w:cs="Times New Roman" w:eastAsiaTheme="minorEastAsia"/>
          <w:kern w:val="24"/>
          <w:sz w:val="24"/>
          <w:szCs w:val="24"/>
        </w:rPr>
        <w:t>因此，从环境保护角度分析，本项目的建设是可行的。</w:t>
      </w:r>
    </w:p>
    <w:p w14:paraId="484139AD">
      <w:pPr>
        <w:adjustRightInd w:val="0"/>
        <w:snapToGrid w:val="0"/>
        <w:spacing w:line="360" w:lineRule="auto"/>
        <w:ind w:firstLine="490" w:firstLineChars="200"/>
        <w:rPr>
          <w:rFonts w:hint="default" w:ascii="Times New Roman" w:hAnsi="Times New Roman" w:cs="Times New Roman"/>
          <w:szCs w:val="20"/>
          <w:lang w:val="en-US" w:eastAsia="zh-CN"/>
        </w:rPr>
      </w:pPr>
    </w:p>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AndChars" w:linePitch="336" w:charSpace="106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TimesNewRomanPS-BoldMT">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EE259">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439C9">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49AAE">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1849AAE">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A3F16">
    <w:pPr>
      <w:pStyle w:val="20"/>
      <w:pBdr>
        <w:bottom w:val="none" w:color="auto" w:sz="0" w:space="1"/>
      </w:pBdr>
      <w:jc w:val="both"/>
      <w:rPr>
        <w:rFonts w:hint="eastAsia" w:ascii="Times New Roman" w:hAnsi="Times New Roman"/>
        <w:sz w:val="21"/>
        <w:szCs w:val="21"/>
      </w:rPr>
    </w:pPr>
  </w:p>
  <w:p w14:paraId="3B8AC2E8">
    <w:pPr>
      <w:pStyle w:val="20"/>
      <w:pBdr>
        <w:bottom w:val="none" w:color="auto" w:sz="0" w:space="1"/>
      </w:pBdr>
      <w:jc w:val="both"/>
      <w:rPr>
        <w:rFonts w:hint="eastAsia"/>
        <w:sz w:val="21"/>
        <w:szCs w:val="21"/>
      </w:rPr>
    </w:pPr>
    <w:r>
      <w:rPr>
        <w:rFonts w:hint="eastAsia" w:ascii="Times New Roman" w:hAnsi="Times New Roman"/>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E0CEB">
    <w:pPr>
      <w:pStyle w:val="20"/>
      <w:rPr>
        <w:sz w:val="21"/>
        <w:szCs w:val="21"/>
      </w:rPr>
    </w:pPr>
    <w:r>
      <w:rPr>
        <w:rFonts w:hint="default" w:ascii="Times New Roman" w:hAnsi="Times New Roman" w:cs="Times New Roman" w:eastAsiaTheme="minorEastAsia"/>
        <w:sz w:val="21"/>
        <w:szCs w:val="21"/>
      </w:rPr>
      <w:t>云南新平仙福矿冶有限公司废石加工资源综合利用项目</w:t>
    </w:r>
    <w:r>
      <w:rPr>
        <w:rFonts w:hint="eastAsia"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color w:val="auto"/>
        <w:kern w:val="2"/>
        <w:sz w:val="21"/>
        <w:szCs w:val="21"/>
        <w:highlight w:val="none"/>
        <w:lang w:val="en-US" w:eastAsia="zh-CN" w:bidi="ar-SA"/>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99AD4">
    <w:pPr>
      <w:pStyle w:val="20"/>
      <w:rPr>
        <w:sz w:val="21"/>
        <w:szCs w:val="21"/>
      </w:rPr>
    </w:pPr>
    <w:r>
      <w:rPr>
        <w:rFonts w:hint="default" w:ascii="Times New Roman" w:hAnsi="Times New Roman" w:cs="Times New Roman" w:eastAsiaTheme="minorEastAsia"/>
        <w:sz w:val="21"/>
        <w:szCs w:val="21"/>
      </w:rPr>
      <w:t>云南新平仙福矿冶有限公司废石加工资源综合利用项目</w:t>
    </w:r>
    <w:r>
      <w:rPr>
        <w:rFonts w:hint="eastAsia"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color w:val="auto"/>
        <w:kern w:val="2"/>
        <w:sz w:val="21"/>
        <w:szCs w:val="21"/>
        <w:highlight w:val="none"/>
        <w:lang w:val="en-US" w:eastAsia="zh-CN" w:bidi="ar-SA"/>
      </w:rPr>
      <w:t>环境影响报告书</w:t>
    </w:r>
  </w:p>
  <w:p w14:paraId="0C164376">
    <w:pPr>
      <w:pStyle w:val="20"/>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3E"/>
    <w:multiLevelType w:val="singleLevel"/>
    <w:tmpl w:val="EAB0623E"/>
    <w:lvl w:ilvl="0" w:tentative="0">
      <w:start w:val="10"/>
      <w:numFmt w:val="decimal"/>
      <w:suff w:val="nothing"/>
      <w:lvlText w:val="%1、"/>
      <w:lvlJc w:val="left"/>
    </w:lvl>
  </w:abstractNum>
  <w:abstractNum w:abstractNumId="1">
    <w:nsid w:val="07B5B594"/>
    <w:multiLevelType w:val="singleLevel"/>
    <w:tmpl w:val="07B5B594"/>
    <w:lvl w:ilvl="0" w:tentative="0">
      <w:start w:val="1"/>
      <w:numFmt w:val="decimal"/>
      <w:suff w:val="nothing"/>
      <w:lvlText w:val="%1、"/>
      <w:lvlJc w:val="left"/>
    </w:lvl>
  </w:abstractNum>
  <w:abstractNum w:abstractNumId="2">
    <w:nsid w:val="692A191B"/>
    <w:multiLevelType w:val="singleLevel"/>
    <w:tmpl w:val="692A191B"/>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23"/>
  <w:drawingGridVerticalSpacing w:val="16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xNzNiOWY5YmEzODg1MzdlNDFkYWNlMTQ0Nzk1ZWYifQ=="/>
  </w:docVars>
  <w:rsids>
    <w:rsidRoot w:val="00000000"/>
    <w:rsid w:val="00017170"/>
    <w:rsid w:val="00072C34"/>
    <w:rsid w:val="00130A11"/>
    <w:rsid w:val="0014008A"/>
    <w:rsid w:val="00160E7E"/>
    <w:rsid w:val="00285085"/>
    <w:rsid w:val="00351550"/>
    <w:rsid w:val="003F417C"/>
    <w:rsid w:val="005A343F"/>
    <w:rsid w:val="005F07D5"/>
    <w:rsid w:val="0066795B"/>
    <w:rsid w:val="008D0843"/>
    <w:rsid w:val="00BD5CE0"/>
    <w:rsid w:val="00E16FE2"/>
    <w:rsid w:val="00EA058C"/>
    <w:rsid w:val="00EA5570"/>
    <w:rsid w:val="00F036C9"/>
    <w:rsid w:val="00F05477"/>
    <w:rsid w:val="00FC02BF"/>
    <w:rsid w:val="01020FDF"/>
    <w:rsid w:val="01145609"/>
    <w:rsid w:val="01170B2D"/>
    <w:rsid w:val="01205D5C"/>
    <w:rsid w:val="0144498C"/>
    <w:rsid w:val="01464C81"/>
    <w:rsid w:val="01536978"/>
    <w:rsid w:val="015974C0"/>
    <w:rsid w:val="016A5229"/>
    <w:rsid w:val="01A349FA"/>
    <w:rsid w:val="01B36BD0"/>
    <w:rsid w:val="01CB1B92"/>
    <w:rsid w:val="01D152A8"/>
    <w:rsid w:val="01D87D7E"/>
    <w:rsid w:val="01F2129C"/>
    <w:rsid w:val="01F9035B"/>
    <w:rsid w:val="0204742C"/>
    <w:rsid w:val="02137570"/>
    <w:rsid w:val="022A49B8"/>
    <w:rsid w:val="02355837"/>
    <w:rsid w:val="029D2F08"/>
    <w:rsid w:val="02A824AD"/>
    <w:rsid w:val="02FA33EA"/>
    <w:rsid w:val="03035935"/>
    <w:rsid w:val="030825EA"/>
    <w:rsid w:val="030D225E"/>
    <w:rsid w:val="031418F0"/>
    <w:rsid w:val="03192A73"/>
    <w:rsid w:val="03217B69"/>
    <w:rsid w:val="032A69DF"/>
    <w:rsid w:val="03476C13"/>
    <w:rsid w:val="034C5861"/>
    <w:rsid w:val="038E49E8"/>
    <w:rsid w:val="0391535D"/>
    <w:rsid w:val="039C6748"/>
    <w:rsid w:val="03A34F91"/>
    <w:rsid w:val="03A367D0"/>
    <w:rsid w:val="03BE61DD"/>
    <w:rsid w:val="03E33071"/>
    <w:rsid w:val="03F64C89"/>
    <w:rsid w:val="03FB03BA"/>
    <w:rsid w:val="0417598D"/>
    <w:rsid w:val="04180F6C"/>
    <w:rsid w:val="0418612B"/>
    <w:rsid w:val="04247911"/>
    <w:rsid w:val="0431202E"/>
    <w:rsid w:val="04330579"/>
    <w:rsid w:val="04363AE8"/>
    <w:rsid w:val="044B1342"/>
    <w:rsid w:val="045E47BF"/>
    <w:rsid w:val="04640655"/>
    <w:rsid w:val="046C12B8"/>
    <w:rsid w:val="047A41F5"/>
    <w:rsid w:val="04821279"/>
    <w:rsid w:val="04847991"/>
    <w:rsid w:val="04866873"/>
    <w:rsid w:val="04875963"/>
    <w:rsid w:val="04950D4F"/>
    <w:rsid w:val="04A44EF6"/>
    <w:rsid w:val="04A767F4"/>
    <w:rsid w:val="04BA2023"/>
    <w:rsid w:val="04C410F4"/>
    <w:rsid w:val="04C80BE4"/>
    <w:rsid w:val="04CA6B5C"/>
    <w:rsid w:val="04DD3F64"/>
    <w:rsid w:val="04F0635E"/>
    <w:rsid w:val="0503197F"/>
    <w:rsid w:val="050339CA"/>
    <w:rsid w:val="050760CC"/>
    <w:rsid w:val="051E6A56"/>
    <w:rsid w:val="055B0FC8"/>
    <w:rsid w:val="055B777F"/>
    <w:rsid w:val="056A253B"/>
    <w:rsid w:val="057C377D"/>
    <w:rsid w:val="058C1C12"/>
    <w:rsid w:val="05970293"/>
    <w:rsid w:val="05A76CC0"/>
    <w:rsid w:val="05AC22B4"/>
    <w:rsid w:val="05B1122B"/>
    <w:rsid w:val="05B54070"/>
    <w:rsid w:val="05C25634"/>
    <w:rsid w:val="05D11D1B"/>
    <w:rsid w:val="05D7580B"/>
    <w:rsid w:val="05E7509A"/>
    <w:rsid w:val="05FD5B0A"/>
    <w:rsid w:val="060C2D53"/>
    <w:rsid w:val="06257970"/>
    <w:rsid w:val="062A142B"/>
    <w:rsid w:val="0639166E"/>
    <w:rsid w:val="06500E91"/>
    <w:rsid w:val="066C3044"/>
    <w:rsid w:val="06846D8D"/>
    <w:rsid w:val="068E5516"/>
    <w:rsid w:val="069B4FFE"/>
    <w:rsid w:val="06B05E82"/>
    <w:rsid w:val="06C61153"/>
    <w:rsid w:val="06CD24E2"/>
    <w:rsid w:val="06D86136"/>
    <w:rsid w:val="06E66F7F"/>
    <w:rsid w:val="06EC048E"/>
    <w:rsid w:val="07074156"/>
    <w:rsid w:val="0717375D"/>
    <w:rsid w:val="07222102"/>
    <w:rsid w:val="072551A7"/>
    <w:rsid w:val="074271C1"/>
    <w:rsid w:val="077A24A5"/>
    <w:rsid w:val="07B2134D"/>
    <w:rsid w:val="07B76CEE"/>
    <w:rsid w:val="07BF604D"/>
    <w:rsid w:val="07C02047"/>
    <w:rsid w:val="07C851FA"/>
    <w:rsid w:val="07D17DB0"/>
    <w:rsid w:val="07D56D52"/>
    <w:rsid w:val="07E04497"/>
    <w:rsid w:val="07E8295E"/>
    <w:rsid w:val="07F97035"/>
    <w:rsid w:val="07FC0219"/>
    <w:rsid w:val="07FF1354"/>
    <w:rsid w:val="080261BB"/>
    <w:rsid w:val="080D2DB2"/>
    <w:rsid w:val="08151A9E"/>
    <w:rsid w:val="08346591"/>
    <w:rsid w:val="083D2D2B"/>
    <w:rsid w:val="084C5688"/>
    <w:rsid w:val="085602B5"/>
    <w:rsid w:val="085746F9"/>
    <w:rsid w:val="085E6891"/>
    <w:rsid w:val="08646E76"/>
    <w:rsid w:val="089E79E8"/>
    <w:rsid w:val="08CA719D"/>
    <w:rsid w:val="08E73603"/>
    <w:rsid w:val="08FD6983"/>
    <w:rsid w:val="09026F6D"/>
    <w:rsid w:val="090E3E30"/>
    <w:rsid w:val="090E6DE2"/>
    <w:rsid w:val="091B505B"/>
    <w:rsid w:val="092267DF"/>
    <w:rsid w:val="09232225"/>
    <w:rsid w:val="09311E36"/>
    <w:rsid w:val="09475E50"/>
    <w:rsid w:val="094D25FA"/>
    <w:rsid w:val="0950158C"/>
    <w:rsid w:val="096A083E"/>
    <w:rsid w:val="097A1020"/>
    <w:rsid w:val="097B758A"/>
    <w:rsid w:val="099A0675"/>
    <w:rsid w:val="09BA2AC6"/>
    <w:rsid w:val="09BF1E8A"/>
    <w:rsid w:val="09C01ECA"/>
    <w:rsid w:val="09D5345C"/>
    <w:rsid w:val="09DB22EF"/>
    <w:rsid w:val="09E31198"/>
    <w:rsid w:val="09E507C3"/>
    <w:rsid w:val="09F4422A"/>
    <w:rsid w:val="0A025CD8"/>
    <w:rsid w:val="0A04329C"/>
    <w:rsid w:val="0A0F1534"/>
    <w:rsid w:val="0A195CCB"/>
    <w:rsid w:val="0A2055A9"/>
    <w:rsid w:val="0A270F13"/>
    <w:rsid w:val="0A285C81"/>
    <w:rsid w:val="0A2A37A7"/>
    <w:rsid w:val="0A427654"/>
    <w:rsid w:val="0A432ABB"/>
    <w:rsid w:val="0A544CC8"/>
    <w:rsid w:val="0A6D5A35"/>
    <w:rsid w:val="0A8F7AAE"/>
    <w:rsid w:val="0A944B98"/>
    <w:rsid w:val="0A9809E9"/>
    <w:rsid w:val="0A9D0693"/>
    <w:rsid w:val="0AA55524"/>
    <w:rsid w:val="0AC25787"/>
    <w:rsid w:val="0AF3628F"/>
    <w:rsid w:val="0B0264D2"/>
    <w:rsid w:val="0B062CED"/>
    <w:rsid w:val="0B0F299D"/>
    <w:rsid w:val="0B122D4B"/>
    <w:rsid w:val="0B26148B"/>
    <w:rsid w:val="0B3545A0"/>
    <w:rsid w:val="0B433CFF"/>
    <w:rsid w:val="0B6158EF"/>
    <w:rsid w:val="0B690856"/>
    <w:rsid w:val="0B6E16AF"/>
    <w:rsid w:val="0B710C11"/>
    <w:rsid w:val="0B75785F"/>
    <w:rsid w:val="0B9730BE"/>
    <w:rsid w:val="0BA80B53"/>
    <w:rsid w:val="0BAC19CD"/>
    <w:rsid w:val="0BBC2B25"/>
    <w:rsid w:val="0BC5305E"/>
    <w:rsid w:val="0BCE4606"/>
    <w:rsid w:val="0BD95485"/>
    <w:rsid w:val="0BE333E9"/>
    <w:rsid w:val="0BF70DB4"/>
    <w:rsid w:val="0C0837A1"/>
    <w:rsid w:val="0C212141"/>
    <w:rsid w:val="0C2A3FBF"/>
    <w:rsid w:val="0C41127C"/>
    <w:rsid w:val="0C525237"/>
    <w:rsid w:val="0C5D2A22"/>
    <w:rsid w:val="0C6C63EB"/>
    <w:rsid w:val="0C8C24F7"/>
    <w:rsid w:val="0C9631A7"/>
    <w:rsid w:val="0CBD6B55"/>
    <w:rsid w:val="0CCF4ADA"/>
    <w:rsid w:val="0CE265BB"/>
    <w:rsid w:val="0CEC2F96"/>
    <w:rsid w:val="0CF64A28"/>
    <w:rsid w:val="0CFA3905"/>
    <w:rsid w:val="0D0A1EA1"/>
    <w:rsid w:val="0D1644B7"/>
    <w:rsid w:val="0D184DA5"/>
    <w:rsid w:val="0D3861DB"/>
    <w:rsid w:val="0D410D63"/>
    <w:rsid w:val="0D447276"/>
    <w:rsid w:val="0D4E59FF"/>
    <w:rsid w:val="0D5A0848"/>
    <w:rsid w:val="0D5C6F72"/>
    <w:rsid w:val="0DD56EC5"/>
    <w:rsid w:val="0DD57ECE"/>
    <w:rsid w:val="0DD95C10"/>
    <w:rsid w:val="0DD979BE"/>
    <w:rsid w:val="0DDA7292"/>
    <w:rsid w:val="0DE46363"/>
    <w:rsid w:val="0DEF3CB0"/>
    <w:rsid w:val="0DF3037A"/>
    <w:rsid w:val="0DF5231E"/>
    <w:rsid w:val="0E005F54"/>
    <w:rsid w:val="0E2456B0"/>
    <w:rsid w:val="0E250E55"/>
    <w:rsid w:val="0E440BB0"/>
    <w:rsid w:val="0E4868F2"/>
    <w:rsid w:val="0E4E4012"/>
    <w:rsid w:val="0E552FAB"/>
    <w:rsid w:val="0E5563C5"/>
    <w:rsid w:val="0E5B4EA0"/>
    <w:rsid w:val="0E6303A3"/>
    <w:rsid w:val="0E792F4F"/>
    <w:rsid w:val="0E835B7C"/>
    <w:rsid w:val="0E89318A"/>
    <w:rsid w:val="0E8A6F0A"/>
    <w:rsid w:val="0EA54A0C"/>
    <w:rsid w:val="0EA76CBD"/>
    <w:rsid w:val="0EBC177D"/>
    <w:rsid w:val="0EBE6BB4"/>
    <w:rsid w:val="0ECA2E6C"/>
    <w:rsid w:val="0ECC307F"/>
    <w:rsid w:val="0EE06B2A"/>
    <w:rsid w:val="0EED1247"/>
    <w:rsid w:val="0F0E12B4"/>
    <w:rsid w:val="0F152C78"/>
    <w:rsid w:val="0F1B653B"/>
    <w:rsid w:val="0F227D2C"/>
    <w:rsid w:val="0F274708"/>
    <w:rsid w:val="0F3124E0"/>
    <w:rsid w:val="0F331350"/>
    <w:rsid w:val="0F3B6457"/>
    <w:rsid w:val="0F490B74"/>
    <w:rsid w:val="0F4A1878"/>
    <w:rsid w:val="0F582A9A"/>
    <w:rsid w:val="0F68646B"/>
    <w:rsid w:val="0F6E05DA"/>
    <w:rsid w:val="0F6E2388"/>
    <w:rsid w:val="0F7D081D"/>
    <w:rsid w:val="0F897F88"/>
    <w:rsid w:val="0F8A6A96"/>
    <w:rsid w:val="0FA3359C"/>
    <w:rsid w:val="0FC24482"/>
    <w:rsid w:val="0FC30926"/>
    <w:rsid w:val="0FD4527A"/>
    <w:rsid w:val="0FDE750E"/>
    <w:rsid w:val="0FE4089C"/>
    <w:rsid w:val="100960DA"/>
    <w:rsid w:val="10132624"/>
    <w:rsid w:val="10156E1C"/>
    <w:rsid w:val="102E1B18"/>
    <w:rsid w:val="103323D2"/>
    <w:rsid w:val="103B4960"/>
    <w:rsid w:val="10463305"/>
    <w:rsid w:val="10704016"/>
    <w:rsid w:val="108A1444"/>
    <w:rsid w:val="10A67900"/>
    <w:rsid w:val="10AA373F"/>
    <w:rsid w:val="10AD7DDC"/>
    <w:rsid w:val="10AE33DE"/>
    <w:rsid w:val="10C13627"/>
    <w:rsid w:val="10DD7FB6"/>
    <w:rsid w:val="10E96CF0"/>
    <w:rsid w:val="110424CC"/>
    <w:rsid w:val="11066B42"/>
    <w:rsid w:val="11231249"/>
    <w:rsid w:val="11247CDE"/>
    <w:rsid w:val="113B44EC"/>
    <w:rsid w:val="11545111"/>
    <w:rsid w:val="115630D4"/>
    <w:rsid w:val="117852DF"/>
    <w:rsid w:val="11875983"/>
    <w:rsid w:val="118F31C8"/>
    <w:rsid w:val="11A7392F"/>
    <w:rsid w:val="11B524F0"/>
    <w:rsid w:val="11BB562D"/>
    <w:rsid w:val="11C97D4A"/>
    <w:rsid w:val="11D10F1B"/>
    <w:rsid w:val="11F76665"/>
    <w:rsid w:val="120D4FD7"/>
    <w:rsid w:val="120D5E88"/>
    <w:rsid w:val="12170AB5"/>
    <w:rsid w:val="122356AC"/>
    <w:rsid w:val="122E02E5"/>
    <w:rsid w:val="12411FD6"/>
    <w:rsid w:val="12494A41"/>
    <w:rsid w:val="127E6D86"/>
    <w:rsid w:val="12837C92"/>
    <w:rsid w:val="12BC5AC0"/>
    <w:rsid w:val="12C00206"/>
    <w:rsid w:val="12D20E80"/>
    <w:rsid w:val="12EE69F7"/>
    <w:rsid w:val="12FE721C"/>
    <w:rsid w:val="13021429"/>
    <w:rsid w:val="130D15F8"/>
    <w:rsid w:val="1323348A"/>
    <w:rsid w:val="132C233E"/>
    <w:rsid w:val="132D5754"/>
    <w:rsid w:val="13392CAD"/>
    <w:rsid w:val="134B74D5"/>
    <w:rsid w:val="136775AB"/>
    <w:rsid w:val="136D0B19"/>
    <w:rsid w:val="137361BF"/>
    <w:rsid w:val="137D2B9A"/>
    <w:rsid w:val="138C7281"/>
    <w:rsid w:val="138F042F"/>
    <w:rsid w:val="13955DC9"/>
    <w:rsid w:val="13A520F1"/>
    <w:rsid w:val="13A740BB"/>
    <w:rsid w:val="13A75E69"/>
    <w:rsid w:val="13AC7923"/>
    <w:rsid w:val="13B3480E"/>
    <w:rsid w:val="13B71B9B"/>
    <w:rsid w:val="13BA5B9C"/>
    <w:rsid w:val="13C20EF5"/>
    <w:rsid w:val="13CF590F"/>
    <w:rsid w:val="13D6674E"/>
    <w:rsid w:val="13E756F7"/>
    <w:rsid w:val="13EE1CEA"/>
    <w:rsid w:val="13F32814"/>
    <w:rsid w:val="14035C27"/>
    <w:rsid w:val="140C2170"/>
    <w:rsid w:val="140F451A"/>
    <w:rsid w:val="142179C9"/>
    <w:rsid w:val="143C56A3"/>
    <w:rsid w:val="146F2E2A"/>
    <w:rsid w:val="149D3CAF"/>
    <w:rsid w:val="14A81E98"/>
    <w:rsid w:val="14BC5944"/>
    <w:rsid w:val="14CB3DD9"/>
    <w:rsid w:val="14CD3A92"/>
    <w:rsid w:val="14D70D11"/>
    <w:rsid w:val="14DC397E"/>
    <w:rsid w:val="14DC6AD9"/>
    <w:rsid w:val="14EB6229"/>
    <w:rsid w:val="14ED1437"/>
    <w:rsid w:val="14F260E9"/>
    <w:rsid w:val="150F1F18"/>
    <w:rsid w:val="151237B6"/>
    <w:rsid w:val="15330DA4"/>
    <w:rsid w:val="15542020"/>
    <w:rsid w:val="156F6E5A"/>
    <w:rsid w:val="15824439"/>
    <w:rsid w:val="158A5A42"/>
    <w:rsid w:val="15DE4D5A"/>
    <w:rsid w:val="15EE3D19"/>
    <w:rsid w:val="15F555B1"/>
    <w:rsid w:val="15F80131"/>
    <w:rsid w:val="15FA5B40"/>
    <w:rsid w:val="15FD289E"/>
    <w:rsid w:val="1618522C"/>
    <w:rsid w:val="16596B12"/>
    <w:rsid w:val="166167A3"/>
    <w:rsid w:val="1671402C"/>
    <w:rsid w:val="16753FFC"/>
    <w:rsid w:val="16797F90"/>
    <w:rsid w:val="167C35DD"/>
    <w:rsid w:val="1689304E"/>
    <w:rsid w:val="16917AAF"/>
    <w:rsid w:val="16930926"/>
    <w:rsid w:val="16A33F82"/>
    <w:rsid w:val="16A42B33"/>
    <w:rsid w:val="16E41182"/>
    <w:rsid w:val="16F643D6"/>
    <w:rsid w:val="16FC64CC"/>
    <w:rsid w:val="171B4851"/>
    <w:rsid w:val="172E5AA6"/>
    <w:rsid w:val="17371C20"/>
    <w:rsid w:val="173D3807"/>
    <w:rsid w:val="17435EA8"/>
    <w:rsid w:val="174B3568"/>
    <w:rsid w:val="178D35C8"/>
    <w:rsid w:val="179E5AC1"/>
    <w:rsid w:val="17B60D70"/>
    <w:rsid w:val="17C074F9"/>
    <w:rsid w:val="17C3207F"/>
    <w:rsid w:val="180B5C64"/>
    <w:rsid w:val="18280463"/>
    <w:rsid w:val="182A3CED"/>
    <w:rsid w:val="184533C4"/>
    <w:rsid w:val="18495740"/>
    <w:rsid w:val="1867403C"/>
    <w:rsid w:val="187A1D9E"/>
    <w:rsid w:val="188B7807"/>
    <w:rsid w:val="188C782C"/>
    <w:rsid w:val="18957D76"/>
    <w:rsid w:val="18BC6CD3"/>
    <w:rsid w:val="18CB43A7"/>
    <w:rsid w:val="18D019BE"/>
    <w:rsid w:val="18D3325C"/>
    <w:rsid w:val="18ED6A14"/>
    <w:rsid w:val="18FE652B"/>
    <w:rsid w:val="191044B0"/>
    <w:rsid w:val="19202945"/>
    <w:rsid w:val="19344734"/>
    <w:rsid w:val="19570331"/>
    <w:rsid w:val="19614D0C"/>
    <w:rsid w:val="19632832"/>
    <w:rsid w:val="19726F19"/>
    <w:rsid w:val="1979427D"/>
    <w:rsid w:val="198C1D89"/>
    <w:rsid w:val="198D673D"/>
    <w:rsid w:val="1994748F"/>
    <w:rsid w:val="199912B8"/>
    <w:rsid w:val="19B050C4"/>
    <w:rsid w:val="19E337B3"/>
    <w:rsid w:val="19E5593D"/>
    <w:rsid w:val="19E76F97"/>
    <w:rsid w:val="1A0314F5"/>
    <w:rsid w:val="1A0C38BE"/>
    <w:rsid w:val="1A0D5B58"/>
    <w:rsid w:val="1A1471CB"/>
    <w:rsid w:val="1A1A3838"/>
    <w:rsid w:val="1A1F19EC"/>
    <w:rsid w:val="1A1F513E"/>
    <w:rsid w:val="1A2A15A2"/>
    <w:rsid w:val="1A3666C3"/>
    <w:rsid w:val="1A613215"/>
    <w:rsid w:val="1A676352"/>
    <w:rsid w:val="1A7C004F"/>
    <w:rsid w:val="1A8254F3"/>
    <w:rsid w:val="1A8707A2"/>
    <w:rsid w:val="1A8C6350"/>
    <w:rsid w:val="1A8E20E7"/>
    <w:rsid w:val="1AA06B8F"/>
    <w:rsid w:val="1AA650CC"/>
    <w:rsid w:val="1AB01AA7"/>
    <w:rsid w:val="1ABC1092"/>
    <w:rsid w:val="1AD23BE9"/>
    <w:rsid w:val="1ADA4D76"/>
    <w:rsid w:val="1ADF3874"/>
    <w:rsid w:val="1AEB19D3"/>
    <w:rsid w:val="1AF5395E"/>
    <w:rsid w:val="1B023742"/>
    <w:rsid w:val="1B067919"/>
    <w:rsid w:val="1B087B35"/>
    <w:rsid w:val="1B0E4A1F"/>
    <w:rsid w:val="1B23205F"/>
    <w:rsid w:val="1B2B1202"/>
    <w:rsid w:val="1B2E6728"/>
    <w:rsid w:val="1B4B2131"/>
    <w:rsid w:val="1B56447B"/>
    <w:rsid w:val="1B5C578B"/>
    <w:rsid w:val="1B8E2F0C"/>
    <w:rsid w:val="1B944F25"/>
    <w:rsid w:val="1B947CCE"/>
    <w:rsid w:val="1B995973"/>
    <w:rsid w:val="1BAF2522"/>
    <w:rsid w:val="1BC3580A"/>
    <w:rsid w:val="1BDD4B1E"/>
    <w:rsid w:val="1BE453BB"/>
    <w:rsid w:val="1BE60EA3"/>
    <w:rsid w:val="1C1918CE"/>
    <w:rsid w:val="1C251BBD"/>
    <w:rsid w:val="1C2E5379"/>
    <w:rsid w:val="1C3109C5"/>
    <w:rsid w:val="1C3D736A"/>
    <w:rsid w:val="1C46007A"/>
    <w:rsid w:val="1C623275"/>
    <w:rsid w:val="1C7B1658"/>
    <w:rsid w:val="1C7D1862"/>
    <w:rsid w:val="1C7F196B"/>
    <w:rsid w:val="1C821221"/>
    <w:rsid w:val="1CA4144D"/>
    <w:rsid w:val="1CA935F5"/>
    <w:rsid w:val="1CB02232"/>
    <w:rsid w:val="1CB6711D"/>
    <w:rsid w:val="1CE912A0"/>
    <w:rsid w:val="1CF87735"/>
    <w:rsid w:val="1D122432"/>
    <w:rsid w:val="1D1D4E4F"/>
    <w:rsid w:val="1D330187"/>
    <w:rsid w:val="1D345F22"/>
    <w:rsid w:val="1D383A92"/>
    <w:rsid w:val="1D7875C2"/>
    <w:rsid w:val="1D7B2840"/>
    <w:rsid w:val="1D9678F0"/>
    <w:rsid w:val="1D9E02DC"/>
    <w:rsid w:val="1DD7594F"/>
    <w:rsid w:val="1DF25D06"/>
    <w:rsid w:val="1DFB452B"/>
    <w:rsid w:val="1E00075A"/>
    <w:rsid w:val="1E012619"/>
    <w:rsid w:val="1E047940"/>
    <w:rsid w:val="1E114CAC"/>
    <w:rsid w:val="1E231EA9"/>
    <w:rsid w:val="1E2F3C71"/>
    <w:rsid w:val="1E346CF2"/>
    <w:rsid w:val="1E3649B9"/>
    <w:rsid w:val="1E4946EC"/>
    <w:rsid w:val="1E5A4DE9"/>
    <w:rsid w:val="1E5E36D4"/>
    <w:rsid w:val="1E8177C1"/>
    <w:rsid w:val="1E831280"/>
    <w:rsid w:val="1E9C4A33"/>
    <w:rsid w:val="1EA642E0"/>
    <w:rsid w:val="1EA846EC"/>
    <w:rsid w:val="1EB4417B"/>
    <w:rsid w:val="1EDE115D"/>
    <w:rsid w:val="1EDF5A24"/>
    <w:rsid w:val="1EE066D3"/>
    <w:rsid w:val="1EE13329"/>
    <w:rsid w:val="1EEC2597"/>
    <w:rsid w:val="1F02295F"/>
    <w:rsid w:val="1F053ABF"/>
    <w:rsid w:val="1F26137E"/>
    <w:rsid w:val="1F323FA6"/>
    <w:rsid w:val="1F5211D5"/>
    <w:rsid w:val="1F585598"/>
    <w:rsid w:val="1F77599D"/>
    <w:rsid w:val="1F882FF2"/>
    <w:rsid w:val="1F973FE6"/>
    <w:rsid w:val="1F9E2BB5"/>
    <w:rsid w:val="1FA802B9"/>
    <w:rsid w:val="1FA807DA"/>
    <w:rsid w:val="1FA82440"/>
    <w:rsid w:val="1FAE7424"/>
    <w:rsid w:val="1FB43DE7"/>
    <w:rsid w:val="1FDF7F82"/>
    <w:rsid w:val="1FEF3071"/>
    <w:rsid w:val="1FF93EF0"/>
    <w:rsid w:val="20012DA5"/>
    <w:rsid w:val="203B0065"/>
    <w:rsid w:val="20717F2A"/>
    <w:rsid w:val="20745B20"/>
    <w:rsid w:val="207B66B3"/>
    <w:rsid w:val="208A635C"/>
    <w:rsid w:val="20A42F05"/>
    <w:rsid w:val="20A674DD"/>
    <w:rsid w:val="20AE2AC1"/>
    <w:rsid w:val="20AE49D4"/>
    <w:rsid w:val="20BC79B4"/>
    <w:rsid w:val="20D14EEB"/>
    <w:rsid w:val="20DC6DFA"/>
    <w:rsid w:val="20F5272C"/>
    <w:rsid w:val="21180C06"/>
    <w:rsid w:val="211F34E2"/>
    <w:rsid w:val="21302094"/>
    <w:rsid w:val="214A01DA"/>
    <w:rsid w:val="215533A8"/>
    <w:rsid w:val="215C356A"/>
    <w:rsid w:val="216E446A"/>
    <w:rsid w:val="21A34ECE"/>
    <w:rsid w:val="21AC5DA4"/>
    <w:rsid w:val="21AD0AEE"/>
    <w:rsid w:val="21B46321"/>
    <w:rsid w:val="21DD6EFA"/>
    <w:rsid w:val="21EB09AA"/>
    <w:rsid w:val="21FC7CC7"/>
    <w:rsid w:val="21FF50C2"/>
    <w:rsid w:val="2218467D"/>
    <w:rsid w:val="222C235B"/>
    <w:rsid w:val="224C0FB1"/>
    <w:rsid w:val="224D407F"/>
    <w:rsid w:val="22611524"/>
    <w:rsid w:val="227710FC"/>
    <w:rsid w:val="227B5090"/>
    <w:rsid w:val="229B4DEB"/>
    <w:rsid w:val="22B73896"/>
    <w:rsid w:val="22E22A19"/>
    <w:rsid w:val="22EE1A8E"/>
    <w:rsid w:val="22F45FE7"/>
    <w:rsid w:val="22F9340A"/>
    <w:rsid w:val="23135AC4"/>
    <w:rsid w:val="23307815"/>
    <w:rsid w:val="23333F99"/>
    <w:rsid w:val="2337151E"/>
    <w:rsid w:val="23460B1A"/>
    <w:rsid w:val="235B6220"/>
    <w:rsid w:val="235C39AA"/>
    <w:rsid w:val="238B1303"/>
    <w:rsid w:val="238C0371"/>
    <w:rsid w:val="239B39E3"/>
    <w:rsid w:val="23D06D16"/>
    <w:rsid w:val="23DC56BB"/>
    <w:rsid w:val="23EF4B40"/>
    <w:rsid w:val="23F549CE"/>
    <w:rsid w:val="23F621D9"/>
    <w:rsid w:val="24013373"/>
    <w:rsid w:val="2406098A"/>
    <w:rsid w:val="24125374"/>
    <w:rsid w:val="24150BCD"/>
    <w:rsid w:val="24303C58"/>
    <w:rsid w:val="24311EAA"/>
    <w:rsid w:val="243279D1"/>
    <w:rsid w:val="24424BEC"/>
    <w:rsid w:val="246150C2"/>
    <w:rsid w:val="24675FD1"/>
    <w:rsid w:val="246F29D3"/>
    <w:rsid w:val="247171CC"/>
    <w:rsid w:val="2475511B"/>
    <w:rsid w:val="24830B4E"/>
    <w:rsid w:val="248E73BE"/>
    <w:rsid w:val="24A3267C"/>
    <w:rsid w:val="24C525F3"/>
    <w:rsid w:val="24CF3471"/>
    <w:rsid w:val="24D95C62"/>
    <w:rsid w:val="25070E5D"/>
    <w:rsid w:val="251175E6"/>
    <w:rsid w:val="2513335E"/>
    <w:rsid w:val="25142571"/>
    <w:rsid w:val="25162E4E"/>
    <w:rsid w:val="25166A7C"/>
    <w:rsid w:val="252F19DF"/>
    <w:rsid w:val="25314F3A"/>
    <w:rsid w:val="25454984"/>
    <w:rsid w:val="25513019"/>
    <w:rsid w:val="255B2F57"/>
    <w:rsid w:val="255B4D05"/>
    <w:rsid w:val="25A4045A"/>
    <w:rsid w:val="25C468B3"/>
    <w:rsid w:val="25C81A82"/>
    <w:rsid w:val="25D126B4"/>
    <w:rsid w:val="25D51BCD"/>
    <w:rsid w:val="25D74D32"/>
    <w:rsid w:val="25DC7BF4"/>
    <w:rsid w:val="25E327D5"/>
    <w:rsid w:val="25FA61EA"/>
    <w:rsid w:val="26121B51"/>
    <w:rsid w:val="2613738E"/>
    <w:rsid w:val="261467A0"/>
    <w:rsid w:val="262A7F56"/>
    <w:rsid w:val="26377938"/>
    <w:rsid w:val="264C74D7"/>
    <w:rsid w:val="265E268F"/>
    <w:rsid w:val="26793695"/>
    <w:rsid w:val="2685028B"/>
    <w:rsid w:val="26886BBF"/>
    <w:rsid w:val="269B174A"/>
    <w:rsid w:val="269C3827"/>
    <w:rsid w:val="269D2467"/>
    <w:rsid w:val="26A5092E"/>
    <w:rsid w:val="26B02174"/>
    <w:rsid w:val="26EE4283"/>
    <w:rsid w:val="270F5DA7"/>
    <w:rsid w:val="27124B8F"/>
    <w:rsid w:val="273B411A"/>
    <w:rsid w:val="27400656"/>
    <w:rsid w:val="27475541"/>
    <w:rsid w:val="27580660"/>
    <w:rsid w:val="276600BC"/>
    <w:rsid w:val="276B055C"/>
    <w:rsid w:val="276E51C4"/>
    <w:rsid w:val="27715CCC"/>
    <w:rsid w:val="27847EBB"/>
    <w:rsid w:val="27AF30E6"/>
    <w:rsid w:val="27BA21B7"/>
    <w:rsid w:val="27BB1A8B"/>
    <w:rsid w:val="27CA1F1C"/>
    <w:rsid w:val="27EB349C"/>
    <w:rsid w:val="280D5870"/>
    <w:rsid w:val="2811047F"/>
    <w:rsid w:val="287C121A"/>
    <w:rsid w:val="28904894"/>
    <w:rsid w:val="2897327F"/>
    <w:rsid w:val="28977D93"/>
    <w:rsid w:val="289E5635"/>
    <w:rsid w:val="28B704A4"/>
    <w:rsid w:val="28B74948"/>
    <w:rsid w:val="28C8445F"/>
    <w:rsid w:val="28D177B8"/>
    <w:rsid w:val="28E332F7"/>
    <w:rsid w:val="28E868B0"/>
    <w:rsid w:val="28F50FF7"/>
    <w:rsid w:val="28FB65E3"/>
    <w:rsid w:val="29192F0D"/>
    <w:rsid w:val="292673D8"/>
    <w:rsid w:val="294479FC"/>
    <w:rsid w:val="2956759E"/>
    <w:rsid w:val="29651EE1"/>
    <w:rsid w:val="296803CB"/>
    <w:rsid w:val="297168A5"/>
    <w:rsid w:val="297B5976"/>
    <w:rsid w:val="2996260B"/>
    <w:rsid w:val="29AF0FFC"/>
    <w:rsid w:val="29AF73CD"/>
    <w:rsid w:val="29BB76C7"/>
    <w:rsid w:val="29D11A3A"/>
    <w:rsid w:val="29D46E34"/>
    <w:rsid w:val="29D826AE"/>
    <w:rsid w:val="29EE7EF6"/>
    <w:rsid w:val="2A032EA1"/>
    <w:rsid w:val="2A1E178F"/>
    <w:rsid w:val="2A3C6EB3"/>
    <w:rsid w:val="2A56543D"/>
    <w:rsid w:val="2A594302"/>
    <w:rsid w:val="2A61691A"/>
    <w:rsid w:val="2A670353"/>
    <w:rsid w:val="2A7A3E7F"/>
    <w:rsid w:val="2A7E571E"/>
    <w:rsid w:val="2A802B6A"/>
    <w:rsid w:val="2A830F86"/>
    <w:rsid w:val="2A895E70"/>
    <w:rsid w:val="2A8D3BB3"/>
    <w:rsid w:val="2A9767DF"/>
    <w:rsid w:val="2AA7428B"/>
    <w:rsid w:val="2AC450FA"/>
    <w:rsid w:val="2AC57FFB"/>
    <w:rsid w:val="2AD03C19"/>
    <w:rsid w:val="2AD510B6"/>
    <w:rsid w:val="2AD6555A"/>
    <w:rsid w:val="2AE337D3"/>
    <w:rsid w:val="2AF86659"/>
    <w:rsid w:val="2AFF5157"/>
    <w:rsid w:val="2B147E30"/>
    <w:rsid w:val="2B1716CE"/>
    <w:rsid w:val="2B2C000F"/>
    <w:rsid w:val="2B38144E"/>
    <w:rsid w:val="2B500451"/>
    <w:rsid w:val="2B550013"/>
    <w:rsid w:val="2B5E0357"/>
    <w:rsid w:val="2B6C37C8"/>
    <w:rsid w:val="2B7335D1"/>
    <w:rsid w:val="2B747A07"/>
    <w:rsid w:val="2B7D7783"/>
    <w:rsid w:val="2BB10677"/>
    <w:rsid w:val="2C002162"/>
    <w:rsid w:val="2C412084"/>
    <w:rsid w:val="2C454646"/>
    <w:rsid w:val="2C4D184B"/>
    <w:rsid w:val="2C5030EA"/>
    <w:rsid w:val="2C594BC9"/>
    <w:rsid w:val="2C5C3619"/>
    <w:rsid w:val="2C6B3A80"/>
    <w:rsid w:val="2C7212B2"/>
    <w:rsid w:val="2C7750B4"/>
    <w:rsid w:val="2C810557"/>
    <w:rsid w:val="2C8132A3"/>
    <w:rsid w:val="2C9103E2"/>
    <w:rsid w:val="2C9254B0"/>
    <w:rsid w:val="2CB76CC5"/>
    <w:rsid w:val="2CBD0053"/>
    <w:rsid w:val="2CCA3690"/>
    <w:rsid w:val="2CE64319"/>
    <w:rsid w:val="2CE67649"/>
    <w:rsid w:val="2CE7356C"/>
    <w:rsid w:val="2CF021D7"/>
    <w:rsid w:val="2D086440"/>
    <w:rsid w:val="2D1008EA"/>
    <w:rsid w:val="2D151C3D"/>
    <w:rsid w:val="2D1E6D44"/>
    <w:rsid w:val="2D215E65"/>
    <w:rsid w:val="2D28335D"/>
    <w:rsid w:val="2D296EBB"/>
    <w:rsid w:val="2D2F0F51"/>
    <w:rsid w:val="2D323954"/>
    <w:rsid w:val="2D351F1B"/>
    <w:rsid w:val="2D3C71CA"/>
    <w:rsid w:val="2D40315E"/>
    <w:rsid w:val="2D5D3FE5"/>
    <w:rsid w:val="2D825525"/>
    <w:rsid w:val="2D84411A"/>
    <w:rsid w:val="2D8A2AC2"/>
    <w:rsid w:val="2D92620F"/>
    <w:rsid w:val="2D9E7E85"/>
    <w:rsid w:val="2DB10B63"/>
    <w:rsid w:val="2E132621"/>
    <w:rsid w:val="2E1B4D67"/>
    <w:rsid w:val="2E204D3E"/>
    <w:rsid w:val="2E233D40"/>
    <w:rsid w:val="2E334A71"/>
    <w:rsid w:val="2E5E0013"/>
    <w:rsid w:val="2E707121"/>
    <w:rsid w:val="2E7914BE"/>
    <w:rsid w:val="2E7E2FE0"/>
    <w:rsid w:val="2E921798"/>
    <w:rsid w:val="2E9A064C"/>
    <w:rsid w:val="2E9A689E"/>
    <w:rsid w:val="2EA03711"/>
    <w:rsid w:val="2EB3170E"/>
    <w:rsid w:val="2EB45BB2"/>
    <w:rsid w:val="2EB5196B"/>
    <w:rsid w:val="2EB53C87"/>
    <w:rsid w:val="2EBD3CEC"/>
    <w:rsid w:val="2EC67693"/>
    <w:rsid w:val="2ED80A28"/>
    <w:rsid w:val="2EE10029"/>
    <w:rsid w:val="2F0957D2"/>
    <w:rsid w:val="2F114AE0"/>
    <w:rsid w:val="2F204FF5"/>
    <w:rsid w:val="2F266384"/>
    <w:rsid w:val="2F385C94"/>
    <w:rsid w:val="2F4131BE"/>
    <w:rsid w:val="2F4862FA"/>
    <w:rsid w:val="2F5C037F"/>
    <w:rsid w:val="2F5C7FF7"/>
    <w:rsid w:val="2F640DFD"/>
    <w:rsid w:val="2F663BE6"/>
    <w:rsid w:val="2F765A2C"/>
    <w:rsid w:val="2F8337D6"/>
    <w:rsid w:val="2FB50476"/>
    <w:rsid w:val="2FBF0377"/>
    <w:rsid w:val="2FC11BFB"/>
    <w:rsid w:val="2FEC58D2"/>
    <w:rsid w:val="3005243D"/>
    <w:rsid w:val="30053230"/>
    <w:rsid w:val="300C7328"/>
    <w:rsid w:val="302B532D"/>
    <w:rsid w:val="303139E4"/>
    <w:rsid w:val="30360848"/>
    <w:rsid w:val="303977B3"/>
    <w:rsid w:val="304946AE"/>
    <w:rsid w:val="304B42F4"/>
    <w:rsid w:val="30536D05"/>
    <w:rsid w:val="306D4D2A"/>
    <w:rsid w:val="30766E97"/>
    <w:rsid w:val="30864C3D"/>
    <w:rsid w:val="30923C40"/>
    <w:rsid w:val="30980BBB"/>
    <w:rsid w:val="309E0BBD"/>
    <w:rsid w:val="30B05F05"/>
    <w:rsid w:val="30B30DDC"/>
    <w:rsid w:val="30CD6BD1"/>
    <w:rsid w:val="30D065A7"/>
    <w:rsid w:val="30F508F3"/>
    <w:rsid w:val="31001E98"/>
    <w:rsid w:val="310A66B8"/>
    <w:rsid w:val="311F57E6"/>
    <w:rsid w:val="312C0D1D"/>
    <w:rsid w:val="31305298"/>
    <w:rsid w:val="313D2D64"/>
    <w:rsid w:val="31464ABB"/>
    <w:rsid w:val="31464C5A"/>
    <w:rsid w:val="314C520D"/>
    <w:rsid w:val="31584CAC"/>
    <w:rsid w:val="31616587"/>
    <w:rsid w:val="31727E4B"/>
    <w:rsid w:val="31C04EAC"/>
    <w:rsid w:val="31C325FD"/>
    <w:rsid w:val="31D22FB4"/>
    <w:rsid w:val="31DA60C5"/>
    <w:rsid w:val="31DF584D"/>
    <w:rsid w:val="31E3055C"/>
    <w:rsid w:val="320C7AB3"/>
    <w:rsid w:val="320D528E"/>
    <w:rsid w:val="32102E43"/>
    <w:rsid w:val="32251197"/>
    <w:rsid w:val="3238460E"/>
    <w:rsid w:val="32601335"/>
    <w:rsid w:val="327411B4"/>
    <w:rsid w:val="3277661F"/>
    <w:rsid w:val="32BA306B"/>
    <w:rsid w:val="32CF5A6A"/>
    <w:rsid w:val="32D103B5"/>
    <w:rsid w:val="32D409D8"/>
    <w:rsid w:val="32D54349"/>
    <w:rsid w:val="32E620B2"/>
    <w:rsid w:val="32F81DE5"/>
    <w:rsid w:val="33022C64"/>
    <w:rsid w:val="33213264"/>
    <w:rsid w:val="333F1FA3"/>
    <w:rsid w:val="334931EC"/>
    <w:rsid w:val="33557238"/>
    <w:rsid w:val="335C41FD"/>
    <w:rsid w:val="33615BDC"/>
    <w:rsid w:val="336918AA"/>
    <w:rsid w:val="336E78B3"/>
    <w:rsid w:val="33707330"/>
    <w:rsid w:val="337D5B96"/>
    <w:rsid w:val="33811DDB"/>
    <w:rsid w:val="338213DC"/>
    <w:rsid w:val="3383551B"/>
    <w:rsid w:val="33B977C6"/>
    <w:rsid w:val="33E3199F"/>
    <w:rsid w:val="34175E3F"/>
    <w:rsid w:val="342866FA"/>
    <w:rsid w:val="34401C96"/>
    <w:rsid w:val="346616CA"/>
    <w:rsid w:val="347511DE"/>
    <w:rsid w:val="348808FB"/>
    <w:rsid w:val="348F0527"/>
    <w:rsid w:val="349039AA"/>
    <w:rsid w:val="34936269"/>
    <w:rsid w:val="349479CC"/>
    <w:rsid w:val="349B6ECC"/>
    <w:rsid w:val="349D0E96"/>
    <w:rsid w:val="34B66963"/>
    <w:rsid w:val="34C603ED"/>
    <w:rsid w:val="34D46141"/>
    <w:rsid w:val="34DC6A1B"/>
    <w:rsid w:val="35073803"/>
    <w:rsid w:val="350E769E"/>
    <w:rsid w:val="351705A2"/>
    <w:rsid w:val="35172827"/>
    <w:rsid w:val="351F18AB"/>
    <w:rsid w:val="35282731"/>
    <w:rsid w:val="35374E47"/>
    <w:rsid w:val="354F6B70"/>
    <w:rsid w:val="35647C06"/>
    <w:rsid w:val="35734AA5"/>
    <w:rsid w:val="35772173"/>
    <w:rsid w:val="35AF70D3"/>
    <w:rsid w:val="35B5220F"/>
    <w:rsid w:val="35BE10C4"/>
    <w:rsid w:val="35BE7316"/>
    <w:rsid w:val="35C13564"/>
    <w:rsid w:val="35CD05BD"/>
    <w:rsid w:val="35D35E3E"/>
    <w:rsid w:val="35D74205"/>
    <w:rsid w:val="35ED4AFD"/>
    <w:rsid w:val="360A255B"/>
    <w:rsid w:val="362267D1"/>
    <w:rsid w:val="36237179"/>
    <w:rsid w:val="362B0C09"/>
    <w:rsid w:val="3631169C"/>
    <w:rsid w:val="36363604"/>
    <w:rsid w:val="36557982"/>
    <w:rsid w:val="36663550"/>
    <w:rsid w:val="367856E0"/>
    <w:rsid w:val="367D55BB"/>
    <w:rsid w:val="369576AF"/>
    <w:rsid w:val="36962041"/>
    <w:rsid w:val="36A266D5"/>
    <w:rsid w:val="36AA64F4"/>
    <w:rsid w:val="36AF4EB1"/>
    <w:rsid w:val="36B349A1"/>
    <w:rsid w:val="36FD3E6E"/>
    <w:rsid w:val="36FD79CA"/>
    <w:rsid w:val="37052D23"/>
    <w:rsid w:val="370A750E"/>
    <w:rsid w:val="37116827"/>
    <w:rsid w:val="3718735B"/>
    <w:rsid w:val="373C61C7"/>
    <w:rsid w:val="376F7761"/>
    <w:rsid w:val="3772660A"/>
    <w:rsid w:val="37730B67"/>
    <w:rsid w:val="377A101B"/>
    <w:rsid w:val="377A726D"/>
    <w:rsid w:val="377E4FAF"/>
    <w:rsid w:val="37826121"/>
    <w:rsid w:val="379701A8"/>
    <w:rsid w:val="37971BCD"/>
    <w:rsid w:val="37A52B4A"/>
    <w:rsid w:val="37A9739C"/>
    <w:rsid w:val="37B4487F"/>
    <w:rsid w:val="37B72BD7"/>
    <w:rsid w:val="37D12C8E"/>
    <w:rsid w:val="37D7646D"/>
    <w:rsid w:val="37E62B54"/>
    <w:rsid w:val="38012989"/>
    <w:rsid w:val="380F6744"/>
    <w:rsid w:val="3810197F"/>
    <w:rsid w:val="381059C0"/>
    <w:rsid w:val="381256F7"/>
    <w:rsid w:val="38262F51"/>
    <w:rsid w:val="38410CAA"/>
    <w:rsid w:val="38422044"/>
    <w:rsid w:val="38481119"/>
    <w:rsid w:val="385208D7"/>
    <w:rsid w:val="385B52F0"/>
    <w:rsid w:val="38657F1D"/>
    <w:rsid w:val="386A7208"/>
    <w:rsid w:val="3872263A"/>
    <w:rsid w:val="388008B3"/>
    <w:rsid w:val="38947F13"/>
    <w:rsid w:val="38AA3B82"/>
    <w:rsid w:val="38C369F1"/>
    <w:rsid w:val="38D01806"/>
    <w:rsid w:val="38DC6F07"/>
    <w:rsid w:val="38DD457D"/>
    <w:rsid w:val="38EE470A"/>
    <w:rsid w:val="390037A2"/>
    <w:rsid w:val="391159AF"/>
    <w:rsid w:val="391B15A1"/>
    <w:rsid w:val="394F0285"/>
    <w:rsid w:val="3968126B"/>
    <w:rsid w:val="39682105"/>
    <w:rsid w:val="39733E48"/>
    <w:rsid w:val="397F026C"/>
    <w:rsid w:val="39875C71"/>
    <w:rsid w:val="398E4D3B"/>
    <w:rsid w:val="39A317F3"/>
    <w:rsid w:val="39B527DE"/>
    <w:rsid w:val="39C35AD5"/>
    <w:rsid w:val="39E74EE0"/>
    <w:rsid w:val="39F61744"/>
    <w:rsid w:val="3A0D261A"/>
    <w:rsid w:val="3A122573"/>
    <w:rsid w:val="3A192D6D"/>
    <w:rsid w:val="3A2C21B6"/>
    <w:rsid w:val="3A3E7751"/>
    <w:rsid w:val="3A551B4D"/>
    <w:rsid w:val="3A59585F"/>
    <w:rsid w:val="3A641E47"/>
    <w:rsid w:val="3A900D50"/>
    <w:rsid w:val="3AA47050"/>
    <w:rsid w:val="3AA7795B"/>
    <w:rsid w:val="3AA82343"/>
    <w:rsid w:val="3AB57A75"/>
    <w:rsid w:val="3AB66EC0"/>
    <w:rsid w:val="3ABF1B55"/>
    <w:rsid w:val="3AEE41FA"/>
    <w:rsid w:val="3AF06F08"/>
    <w:rsid w:val="3AF7397A"/>
    <w:rsid w:val="3B11613A"/>
    <w:rsid w:val="3B1672AC"/>
    <w:rsid w:val="3B183024"/>
    <w:rsid w:val="3B1C0CEE"/>
    <w:rsid w:val="3B247C1B"/>
    <w:rsid w:val="3B2F2BFB"/>
    <w:rsid w:val="3B3836C7"/>
    <w:rsid w:val="3B3A1ADE"/>
    <w:rsid w:val="3B4036B1"/>
    <w:rsid w:val="3B44358E"/>
    <w:rsid w:val="3B6D2551"/>
    <w:rsid w:val="3B900DC8"/>
    <w:rsid w:val="3B9E333D"/>
    <w:rsid w:val="3BA50F83"/>
    <w:rsid w:val="3BED44B1"/>
    <w:rsid w:val="3BF5386F"/>
    <w:rsid w:val="3C04163F"/>
    <w:rsid w:val="3C215F09"/>
    <w:rsid w:val="3C357C06"/>
    <w:rsid w:val="3C3A4D34"/>
    <w:rsid w:val="3C705720"/>
    <w:rsid w:val="3CAD59EE"/>
    <w:rsid w:val="3CAE452B"/>
    <w:rsid w:val="3CB419F3"/>
    <w:rsid w:val="3CB91AA9"/>
    <w:rsid w:val="3CC571DC"/>
    <w:rsid w:val="3CC84012"/>
    <w:rsid w:val="3CE128E8"/>
    <w:rsid w:val="3CE8111C"/>
    <w:rsid w:val="3CE82ECA"/>
    <w:rsid w:val="3CF267FA"/>
    <w:rsid w:val="3D08531B"/>
    <w:rsid w:val="3D436353"/>
    <w:rsid w:val="3D4A5933"/>
    <w:rsid w:val="3D7B2748"/>
    <w:rsid w:val="3D7C44EE"/>
    <w:rsid w:val="3D9902F3"/>
    <w:rsid w:val="3D9B7DB7"/>
    <w:rsid w:val="3DA50785"/>
    <w:rsid w:val="3DA768E2"/>
    <w:rsid w:val="3DB334D8"/>
    <w:rsid w:val="3DC26750"/>
    <w:rsid w:val="3DD70D6A"/>
    <w:rsid w:val="3DDE03EB"/>
    <w:rsid w:val="3DDE410B"/>
    <w:rsid w:val="3E011B44"/>
    <w:rsid w:val="3E1026D9"/>
    <w:rsid w:val="3E157A95"/>
    <w:rsid w:val="3E2F74A1"/>
    <w:rsid w:val="3E315B3B"/>
    <w:rsid w:val="3E4D0A07"/>
    <w:rsid w:val="3E667D98"/>
    <w:rsid w:val="3E6D7B2B"/>
    <w:rsid w:val="3E7A5DA4"/>
    <w:rsid w:val="3E8F7AA2"/>
    <w:rsid w:val="3EA90437"/>
    <w:rsid w:val="3EAB2402"/>
    <w:rsid w:val="3EB219E2"/>
    <w:rsid w:val="3EB62CF0"/>
    <w:rsid w:val="3EBC460F"/>
    <w:rsid w:val="3EC8160C"/>
    <w:rsid w:val="3ED56E8F"/>
    <w:rsid w:val="3EF75848"/>
    <w:rsid w:val="3F0A35CC"/>
    <w:rsid w:val="3F0A6108"/>
    <w:rsid w:val="3F12272A"/>
    <w:rsid w:val="3F264280"/>
    <w:rsid w:val="3F37742C"/>
    <w:rsid w:val="3F5860E5"/>
    <w:rsid w:val="3F6224D1"/>
    <w:rsid w:val="3F626642"/>
    <w:rsid w:val="3F626F64"/>
    <w:rsid w:val="3F6C3BEC"/>
    <w:rsid w:val="3F6E4D56"/>
    <w:rsid w:val="3F6E5B61"/>
    <w:rsid w:val="3F8A0269"/>
    <w:rsid w:val="3F8E672A"/>
    <w:rsid w:val="3F8E7D59"/>
    <w:rsid w:val="3F95733A"/>
    <w:rsid w:val="3FA05CDE"/>
    <w:rsid w:val="3FC10EAC"/>
    <w:rsid w:val="3FCA57DD"/>
    <w:rsid w:val="3FDE3473"/>
    <w:rsid w:val="3FF9787E"/>
    <w:rsid w:val="3FFF47B3"/>
    <w:rsid w:val="4005585D"/>
    <w:rsid w:val="400B7412"/>
    <w:rsid w:val="401D2E8B"/>
    <w:rsid w:val="40224945"/>
    <w:rsid w:val="402D7572"/>
    <w:rsid w:val="40383C39"/>
    <w:rsid w:val="404E3684"/>
    <w:rsid w:val="40754A75"/>
    <w:rsid w:val="40776F19"/>
    <w:rsid w:val="407A3976"/>
    <w:rsid w:val="408A7AE3"/>
    <w:rsid w:val="409052BA"/>
    <w:rsid w:val="40905D53"/>
    <w:rsid w:val="40917C36"/>
    <w:rsid w:val="40923879"/>
    <w:rsid w:val="40A23390"/>
    <w:rsid w:val="40AF04F2"/>
    <w:rsid w:val="40B90E06"/>
    <w:rsid w:val="40C9784F"/>
    <w:rsid w:val="40E15D91"/>
    <w:rsid w:val="40F30643"/>
    <w:rsid w:val="40FA2C7E"/>
    <w:rsid w:val="40FA4F7A"/>
    <w:rsid w:val="40FC790A"/>
    <w:rsid w:val="40FE4BEC"/>
    <w:rsid w:val="41024748"/>
    <w:rsid w:val="4112550D"/>
    <w:rsid w:val="411A0D9A"/>
    <w:rsid w:val="411F3F19"/>
    <w:rsid w:val="412D35A2"/>
    <w:rsid w:val="412D5350"/>
    <w:rsid w:val="41395AA3"/>
    <w:rsid w:val="415D6272"/>
    <w:rsid w:val="416E7E42"/>
    <w:rsid w:val="4176647B"/>
    <w:rsid w:val="417E2B57"/>
    <w:rsid w:val="41AF2209"/>
    <w:rsid w:val="41B85768"/>
    <w:rsid w:val="41C000D3"/>
    <w:rsid w:val="41C30927"/>
    <w:rsid w:val="41D35131"/>
    <w:rsid w:val="41D8023A"/>
    <w:rsid w:val="41E974C9"/>
    <w:rsid w:val="41FB359F"/>
    <w:rsid w:val="42102482"/>
    <w:rsid w:val="421F7C94"/>
    <w:rsid w:val="423A0052"/>
    <w:rsid w:val="423C7A69"/>
    <w:rsid w:val="42465B13"/>
    <w:rsid w:val="427509DE"/>
    <w:rsid w:val="42817701"/>
    <w:rsid w:val="42894808"/>
    <w:rsid w:val="4290338A"/>
    <w:rsid w:val="42A11BBC"/>
    <w:rsid w:val="42A47892"/>
    <w:rsid w:val="42A847FA"/>
    <w:rsid w:val="42B31885"/>
    <w:rsid w:val="42BA2C13"/>
    <w:rsid w:val="42C655E0"/>
    <w:rsid w:val="42CD2946"/>
    <w:rsid w:val="42D307E0"/>
    <w:rsid w:val="42DB2141"/>
    <w:rsid w:val="42DE2DA6"/>
    <w:rsid w:val="430345BA"/>
    <w:rsid w:val="430F4175"/>
    <w:rsid w:val="431074E0"/>
    <w:rsid w:val="432509D4"/>
    <w:rsid w:val="432C1A71"/>
    <w:rsid w:val="432E35E7"/>
    <w:rsid w:val="432E715D"/>
    <w:rsid w:val="432F53AF"/>
    <w:rsid w:val="434127D1"/>
    <w:rsid w:val="43430E5B"/>
    <w:rsid w:val="43503578"/>
    <w:rsid w:val="435E3EE6"/>
    <w:rsid w:val="43617533"/>
    <w:rsid w:val="436F7246"/>
    <w:rsid w:val="43882FDB"/>
    <w:rsid w:val="438C0A54"/>
    <w:rsid w:val="43A70C51"/>
    <w:rsid w:val="43AE36D1"/>
    <w:rsid w:val="43B53A55"/>
    <w:rsid w:val="43CF27A6"/>
    <w:rsid w:val="43D16466"/>
    <w:rsid w:val="43D23F8D"/>
    <w:rsid w:val="43D37B6B"/>
    <w:rsid w:val="43DF2B3F"/>
    <w:rsid w:val="43DF5027"/>
    <w:rsid w:val="43F42155"/>
    <w:rsid w:val="440A42B6"/>
    <w:rsid w:val="44141A90"/>
    <w:rsid w:val="441B2885"/>
    <w:rsid w:val="4420119C"/>
    <w:rsid w:val="44224F14"/>
    <w:rsid w:val="44240C8C"/>
    <w:rsid w:val="443609BF"/>
    <w:rsid w:val="445A46AE"/>
    <w:rsid w:val="445D7CFA"/>
    <w:rsid w:val="446A2669"/>
    <w:rsid w:val="446C4F64"/>
    <w:rsid w:val="44817E8C"/>
    <w:rsid w:val="44860B24"/>
    <w:rsid w:val="449303C0"/>
    <w:rsid w:val="44AE49FA"/>
    <w:rsid w:val="44B55D88"/>
    <w:rsid w:val="44B82E89"/>
    <w:rsid w:val="44BC2C73"/>
    <w:rsid w:val="44D97CC8"/>
    <w:rsid w:val="44E64491"/>
    <w:rsid w:val="44E743C8"/>
    <w:rsid w:val="44FA379B"/>
    <w:rsid w:val="44FD0196"/>
    <w:rsid w:val="45252F0E"/>
    <w:rsid w:val="452F3BC7"/>
    <w:rsid w:val="453442A5"/>
    <w:rsid w:val="455B6EA6"/>
    <w:rsid w:val="455C082D"/>
    <w:rsid w:val="455C6204"/>
    <w:rsid w:val="45612033"/>
    <w:rsid w:val="45626470"/>
    <w:rsid w:val="45763769"/>
    <w:rsid w:val="45796DB6"/>
    <w:rsid w:val="45841B5B"/>
    <w:rsid w:val="458F7EAF"/>
    <w:rsid w:val="45A04342"/>
    <w:rsid w:val="45A32D0A"/>
    <w:rsid w:val="45CC15DB"/>
    <w:rsid w:val="45D264C6"/>
    <w:rsid w:val="460E2E62"/>
    <w:rsid w:val="46156B8A"/>
    <w:rsid w:val="461C73CB"/>
    <w:rsid w:val="46206CE3"/>
    <w:rsid w:val="46271E7C"/>
    <w:rsid w:val="462E5DF2"/>
    <w:rsid w:val="4636661C"/>
    <w:rsid w:val="465F5FAB"/>
    <w:rsid w:val="46663EAA"/>
    <w:rsid w:val="466730B2"/>
    <w:rsid w:val="46690BD8"/>
    <w:rsid w:val="466C2476"/>
    <w:rsid w:val="467B19B7"/>
    <w:rsid w:val="468E6B34"/>
    <w:rsid w:val="46B03AF2"/>
    <w:rsid w:val="46F0749F"/>
    <w:rsid w:val="47133764"/>
    <w:rsid w:val="47455B21"/>
    <w:rsid w:val="475F022D"/>
    <w:rsid w:val="47767A51"/>
    <w:rsid w:val="4778657B"/>
    <w:rsid w:val="47887784"/>
    <w:rsid w:val="47904A26"/>
    <w:rsid w:val="47AA594C"/>
    <w:rsid w:val="47B75973"/>
    <w:rsid w:val="47BE60B0"/>
    <w:rsid w:val="47C93435"/>
    <w:rsid w:val="47D06A35"/>
    <w:rsid w:val="47E078BB"/>
    <w:rsid w:val="47EC330C"/>
    <w:rsid w:val="47F15329"/>
    <w:rsid w:val="47FE51C0"/>
    <w:rsid w:val="480173A5"/>
    <w:rsid w:val="480241B2"/>
    <w:rsid w:val="481813EE"/>
    <w:rsid w:val="481A20FA"/>
    <w:rsid w:val="48243A67"/>
    <w:rsid w:val="48270B20"/>
    <w:rsid w:val="482B26F9"/>
    <w:rsid w:val="48401E0D"/>
    <w:rsid w:val="484F61BF"/>
    <w:rsid w:val="48576DDB"/>
    <w:rsid w:val="48653621"/>
    <w:rsid w:val="486755EB"/>
    <w:rsid w:val="48731D83"/>
    <w:rsid w:val="48981C49"/>
    <w:rsid w:val="489C72D5"/>
    <w:rsid w:val="48B3438D"/>
    <w:rsid w:val="48B5518F"/>
    <w:rsid w:val="48D4266A"/>
    <w:rsid w:val="48DE195A"/>
    <w:rsid w:val="48E307AC"/>
    <w:rsid w:val="48E629B4"/>
    <w:rsid w:val="48EE24BE"/>
    <w:rsid w:val="49180694"/>
    <w:rsid w:val="49661C81"/>
    <w:rsid w:val="49674F23"/>
    <w:rsid w:val="496D7AEC"/>
    <w:rsid w:val="498E0956"/>
    <w:rsid w:val="498F1391"/>
    <w:rsid w:val="49926698"/>
    <w:rsid w:val="49A62395"/>
    <w:rsid w:val="49B20359"/>
    <w:rsid w:val="49B91E77"/>
    <w:rsid w:val="49C16F7D"/>
    <w:rsid w:val="49C74869"/>
    <w:rsid w:val="49CF6B65"/>
    <w:rsid w:val="49DA1160"/>
    <w:rsid w:val="49DE18DD"/>
    <w:rsid w:val="49FE5CE5"/>
    <w:rsid w:val="4A306DB0"/>
    <w:rsid w:val="4A370FED"/>
    <w:rsid w:val="4A396B13"/>
    <w:rsid w:val="4A3B6D2F"/>
    <w:rsid w:val="4A4A42F1"/>
    <w:rsid w:val="4A546FEF"/>
    <w:rsid w:val="4A5831B3"/>
    <w:rsid w:val="4A7422A0"/>
    <w:rsid w:val="4A8F4985"/>
    <w:rsid w:val="4A910581"/>
    <w:rsid w:val="4A930919"/>
    <w:rsid w:val="4AB32D6A"/>
    <w:rsid w:val="4ACB4EEE"/>
    <w:rsid w:val="4ACF2EF6"/>
    <w:rsid w:val="4ADD1B95"/>
    <w:rsid w:val="4AE11DA2"/>
    <w:rsid w:val="4AE50A49"/>
    <w:rsid w:val="4AEA1BE7"/>
    <w:rsid w:val="4AEC002A"/>
    <w:rsid w:val="4AF313B8"/>
    <w:rsid w:val="4AFF013F"/>
    <w:rsid w:val="4AFF322B"/>
    <w:rsid w:val="4B0709C0"/>
    <w:rsid w:val="4B254436"/>
    <w:rsid w:val="4B27210C"/>
    <w:rsid w:val="4B4A6983"/>
    <w:rsid w:val="4B5961CB"/>
    <w:rsid w:val="4B5E0F27"/>
    <w:rsid w:val="4B5F07FC"/>
    <w:rsid w:val="4B810772"/>
    <w:rsid w:val="4B8C04E3"/>
    <w:rsid w:val="4B9654E9"/>
    <w:rsid w:val="4B990304"/>
    <w:rsid w:val="4BB55783"/>
    <w:rsid w:val="4BC0573E"/>
    <w:rsid w:val="4BD607B7"/>
    <w:rsid w:val="4BD905AE"/>
    <w:rsid w:val="4BDD447E"/>
    <w:rsid w:val="4BFE16DA"/>
    <w:rsid w:val="4C2417F7"/>
    <w:rsid w:val="4C2743A9"/>
    <w:rsid w:val="4C4C5224"/>
    <w:rsid w:val="4C5E4F57"/>
    <w:rsid w:val="4C6702AF"/>
    <w:rsid w:val="4C7B6F24"/>
    <w:rsid w:val="4C8F6EBF"/>
    <w:rsid w:val="4CD21E7C"/>
    <w:rsid w:val="4CDA2A46"/>
    <w:rsid w:val="4CEA67EB"/>
    <w:rsid w:val="4D1A0E7E"/>
    <w:rsid w:val="4D1F4AE2"/>
    <w:rsid w:val="4D20500B"/>
    <w:rsid w:val="4D6150D8"/>
    <w:rsid w:val="4D724051"/>
    <w:rsid w:val="4D844549"/>
    <w:rsid w:val="4D917710"/>
    <w:rsid w:val="4D9C1893"/>
    <w:rsid w:val="4DA348A5"/>
    <w:rsid w:val="4DA63CEE"/>
    <w:rsid w:val="4DB457AE"/>
    <w:rsid w:val="4DBF37D4"/>
    <w:rsid w:val="4DE925E1"/>
    <w:rsid w:val="4DF90FDC"/>
    <w:rsid w:val="4DF92C45"/>
    <w:rsid w:val="4E097AA7"/>
    <w:rsid w:val="4E2A3343"/>
    <w:rsid w:val="4E306692"/>
    <w:rsid w:val="4E4A7541"/>
    <w:rsid w:val="4E5C1022"/>
    <w:rsid w:val="4E7532B5"/>
    <w:rsid w:val="4E8E64AA"/>
    <w:rsid w:val="4E98767A"/>
    <w:rsid w:val="4E9F24A7"/>
    <w:rsid w:val="4EA13F47"/>
    <w:rsid w:val="4EB2406B"/>
    <w:rsid w:val="4EBB043F"/>
    <w:rsid w:val="4EBB3F9B"/>
    <w:rsid w:val="4ED137BE"/>
    <w:rsid w:val="4ED36CA5"/>
    <w:rsid w:val="4F005E52"/>
    <w:rsid w:val="4F0461EE"/>
    <w:rsid w:val="4F0E056F"/>
    <w:rsid w:val="4F1B0EDE"/>
    <w:rsid w:val="4F1B2C8C"/>
    <w:rsid w:val="4F245FE4"/>
    <w:rsid w:val="4F2578FD"/>
    <w:rsid w:val="4F2B13B4"/>
    <w:rsid w:val="4F511E10"/>
    <w:rsid w:val="4F657F29"/>
    <w:rsid w:val="4F6666E3"/>
    <w:rsid w:val="4FB82BD0"/>
    <w:rsid w:val="4FC450D1"/>
    <w:rsid w:val="4FC53FC9"/>
    <w:rsid w:val="4FC74BC1"/>
    <w:rsid w:val="4FDA48F5"/>
    <w:rsid w:val="4FDE1752"/>
    <w:rsid w:val="4FF06487"/>
    <w:rsid w:val="4FF648CC"/>
    <w:rsid w:val="4FFC5552"/>
    <w:rsid w:val="502142D2"/>
    <w:rsid w:val="502B6EFE"/>
    <w:rsid w:val="5030172E"/>
    <w:rsid w:val="503B109C"/>
    <w:rsid w:val="504B3902"/>
    <w:rsid w:val="505B3C87"/>
    <w:rsid w:val="50667749"/>
    <w:rsid w:val="50715259"/>
    <w:rsid w:val="50826DEE"/>
    <w:rsid w:val="50901457"/>
    <w:rsid w:val="50AD025B"/>
    <w:rsid w:val="50B82E88"/>
    <w:rsid w:val="50EF2622"/>
    <w:rsid w:val="50F96FFC"/>
    <w:rsid w:val="50FE2B61"/>
    <w:rsid w:val="5102383E"/>
    <w:rsid w:val="51024103"/>
    <w:rsid w:val="51071237"/>
    <w:rsid w:val="510F247F"/>
    <w:rsid w:val="510F3982"/>
    <w:rsid w:val="512A5408"/>
    <w:rsid w:val="51385D77"/>
    <w:rsid w:val="514509C7"/>
    <w:rsid w:val="515521F6"/>
    <w:rsid w:val="51592D52"/>
    <w:rsid w:val="51596949"/>
    <w:rsid w:val="515B7CB7"/>
    <w:rsid w:val="51681F89"/>
    <w:rsid w:val="517D3A5D"/>
    <w:rsid w:val="51817C1B"/>
    <w:rsid w:val="51B31BC1"/>
    <w:rsid w:val="51C461B3"/>
    <w:rsid w:val="51C969CF"/>
    <w:rsid w:val="51EE6435"/>
    <w:rsid w:val="51F577C4"/>
    <w:rsid w:val="51FA74D0"/>
    <w:rsid w:val="521263AA"/>
    <w:rsid w:val="52144BD4"/>
    <w:rsid w:val="521D104B"/>
    <w:rsid w:val="525D43FD"/>
    <w:rsid w:val="525F1915"/>
    <w:rsid w:val="52B066D6"/>
    <w:rsid w:val="52BB4EFF"/>
    <w:rsid w:val="52C04276"/>
    <w:rsid w:val="52C64FE2"/>
    <w:rsid w:val="52E87329"/>
    <w:rsid w:val="52F6578A"/>
    <w:rsid w:val="530D47CC"/>
    <w:rsid w:val="532F5024"/>
    <w:rsid w:val="533F163E"/>
    <w:rsid w:val="53411275"/>
    <w:rsid w:val="535C4E0A"/>
    <w:rsid w:val="536A1421"/>
    <w:rsid w:val="537F1579"/>
    <w:rsid w:val="537F5EDF"/>
    <w:rsid w:val="538139B9"/>
    <w:rsid w:val="5382152B"/>
    <w:rsid w:val="538C05FC"/>
    <w:rsid w:val="538C23AA"/>
    <w:rsid w:val="53961EE8"/>
    <w:rsid w:val="539E0AE3"/>
    <w:rsid w:val="539F06B6"/>
    <w:rsid w:val="53B8319F"/>
    <w:rsid w:val="53C71634"/>
    <w:rsid w:val="53DB0C3B"/>
    <w:rsid w:val="53DB3A90"/>
    <w:rsid w:val="53E2021C"/>
    <w:rsid w:val="53FA76FB"/>
    <w:rsid w:val="54164860"/>
    <w:rsid w:val="541F4076"/>
    <w:rsid w:val="54347EB1"/>
    <w:rsid w:val="545B17E4"/>
    <w:rsid w:val="546C0353"/>
    <w:rsid w:val="54BB1726"/>
    <w:rsid w:val="54DE6EBF"/>
    <w:rsid w:val="54E8621A"/>
    <w:rsid w:val="54E87AB4"/>
    <w:rsid w:val="54EA6AB2"/>
    <w:rsid w:val="54FC530D"/>
    <w:rsid w:val="55016734"/>
    <w:rsid w:val="55081F04"/>
    <w:rsid w:val="55154416"/>
    <w:rsid w:val="55444B9F"/>
    <w:rsid w:val="55482300"/>
    <w:rsid w:val="554E3DBB"/>
    <w:rsid w:val="556934B2"/>
    <w:rsid w:val="55741347"/>
    <w:rsid w:val="558136E4"/>
    <w:rsid w:val="55841BAC"/>
    <w:rsid w:val="558B139F"/>
    <w:rsid w:val="558F3104"/>
    <w:rsid w:val="55963554"/>
    <w:rsid w:val="559E677E"/>
    <w:rsid w:val="559F00BA"/>
    <w:rsid w:val="55AD03B6"/>
    <w:rsid w:val="55BA31FE"/>
    <w:rsid w:val="55CC73EA"/>
    <w:rsid w:val="55D50038"/>
    <w:rsid w:val="55DE692D"/>
    <w:rsid w:val="55EC327A"/>
    <w:rsid w:val="562631E1"/>
    <w:rsid w:val="56272324"/>
    <w:rsid w:val="563049D1"/>
    <w:rsid w:val="564156CE"/>
    <w:rsid w:val="565202E1"/>
    <w:rsid w:val="56861332"/>
    <w:rsid w:val="56904658"/>
    <w:rsid w:val="569972B8"/>
    <w:rsid w:val="569F41A2"/>
    <w:rsid w:val="56B131B4"/>
    <w:rsid w:val="56B17176"/>
    <w:rsid w:val="56B2692C"/>
    <w:rsid w:val="56D007FF"/>
    <w:rsid w:val="56D06A51"/>
    <w:rsid w:val="56DC640C"/>
    <w:rsid w:val="56FC33A3"/>
    <w:rsid w:val="570C5CDB"/>
    <w:rsid w:val="571E3672"/>
    <w:rsid w:val="5744628F"/>
    <w:rsid w:val="574F66A5"/>
    <w:rsid w:val="57586497"/>
    <w:rsid w:val="577A48A8"/>
    <w:rsid w:val="57866B83"/>
    <w:rsid w:val="57945CD1"/>
    <w:rsid w:val="57A16008"/>
    <w:rsid w:val="57B90F36"/>
    <w:rsid w:val="57B93E87"/>
    <w:rsid w:val="57D80767"/>
    <w:rsid w:val="57DF519E"/>
    <w:rsid w:val="57E07FE1"/>
    <w:rsid w:val="57E207EA"/>
    <w:rsid w:val="57EF309E"/>
    <w:rsid w:val="58006EC2"/>
    <w:rsid w:val="581617ED"/>
    <w:rsid w:val="58405511"/>
    <w:rsid w:val="585B279E"/>
    <w:rsid w:val="58657E5B"/>
    <w:rsid w:val="587578B0"/>
    <w:rsid w:val="588207AE"/>
    <w:rsid w:val="58873140"/>
    <w:rsid w:val="5895585D"/>
    <w:rsid w:val="58CB74D0"/>
    <w:rsid w:val="58CE361D"/>
    <w:rsid w:val="58CF5213"/>
    <w:rsid w:val="58FC1D80"/>
    <w:rsid w:val="58FE2BBB"/>
    <w:rsid w:val="591A2BA2"/>
    <w:rsid w:val="592F3246"/>
    <w:rsid w:val="593B4656"/>
    <w:rsid w:val="593C03CE"/>
    <w:rsid w:val="59411541"/>
    <w:rsid w:val="594336E6"/>
    <w:rsid w:val="59745DBA"/>
    <w:rsid w:val="59B44408"/>
    <w:rsid w:val="59B47F65"/>
    <w:rsid w:val="59E545C2"/>
    <w:rsid w:val="59F111B9"/>
    <w:rsid w:val="59F248C6"/>
    <w:rsid w:val="5A0C5FF2"/>
    <w:rsid w:val="5A11511A"/>
    <w:rsid w:val="5A19426B"/>
    <w:rsid w:val="5A2450EA"/>
    <w:rsid w:val="5A261897"/>
    <w:rsid w:val="5A517EA9"/>
    <w:rsid w:val="5A557999"/>
    <w:rsid w:val="5A5A794E"/>
    <w:rsid w:val="5A7140A7"/>
    <w:rsid w:val="5A84202D"/>
    <w:rsid w:val="5AE8298C"/>
    <w:rsid w:val="5AF02F48"/>
    <w:rsid w:val="5AF247EA"/>
    <w:rsid w:val="5AF30F60"/>
    <w:rsid w:val="5AF457A9"/>
    <w:rsid w:val="5B0D0C4B"/>
    <w:rsid w:val="5B14236A"/>
    <w:rsid w:val="5B21128F"/>
    <w:rsid w:val="5B48305A"/>
    <w:rsid w:val="5B4D3AF3"/>
    <w:rsid w:val="5B6F235D"/>
    <w:rsid w:val="5B7742C9"/>
    <w:rsid w:val="5B7E4586"/>
    <w:rsid w:val="5B7E4CCE"/>
    <w:rsid w:val="5B841BB9"/>
    <w:rsid w:val="5B867ED9"/>
    <w:rsid w:val="5BAC684A"/>
    <w:rsid w:val="5BB22210"/>
    <w:rsid w:val="5BB406F0"/>
    <w:rsid w:val="5BBE331C"/>
    <w:rsid w:val="5BC361AC"/>
    <w:rsid w:val="5BC70423"/>
    <w:rsid w:val="5BC81F62"/>
    <w:rsid w:val="5BCC3C8B"/>
    <w:rsid w:val="5BD13050"/>
    <w:rsid w:val="5BD90B9E"/>
    <w:rsid w:val="5BED4D13"/>
    <w:rsid w:val="5BF960A1"/>
    <w:rsid w:val="5BFC4D42"/>
    <w:rsid w:val="5BFD2F94"/>
    <w:rsid w:val="5BFE5E0F"/>
    <w:rsid w:val="5C0D1BAE"/>
    <w:rsid w:val="5C115B42"/>
    <w:rsid w:val="5C1C7042"/>
    <w:rsid w:val="5C401F88"/>
    <w:rsid w:val="5C423D51"/>
    <w:rsid w:val="5C4C26D6"/>
    <w:rsid w:val="5C6C24F5"/>
    <w:rsid w:val="5C7B2804"/>
    <w:rsid w:val="5C7B745F"/>
    <w:rsid w:val="5C9A2621"/>
    <w:rsid w:val="5C9A78E6"/>
    <w:rsid w:val="5CCA25B0"/>
    <w:rsid w:val="5CD252D1"/>
    <w:rsid w:val="5CFC234E"/>
    <w:rsid w:val="5D096819"/>
    <w:rsid w:val="5D0E2082"/>
    <w:rsid w:val="5D1432A3"/>
    <w:rsid w:val="5D1A35F9"/>
    <w:rsid w:val="5D1F603D"/>
    <w:rsid w:val="5D2D2508"/>
    <w:rsid w:val="5D2E6E36"/>
    <w:rsid w:val="5D2F2319"/>
    <w:rsid w:val="5D300A23"/>
    <w:rsid w:val="5D431CC8"/>
    <w:rsid w:val="5D4E06D0"/>
    <w:rsid w:val="5D517CB9"/>
    <w:rsid w:val="5D573851"/>
    <w:rsid w:val="5D5C103F"/>
    <w:rsid w:val="5D6B3030"/>
    <w:rsid w:val="5D6F2B20"/>
    <w:rsid w:val="5D7D138D"/>
    <w:rsid w:val="5D902290"/>
    <w:rsid w:val="5D951F0C"/>
    <w:rsid w:val="5D9C3F39"/>
    <w:rsid w:val="5D9F2CDA"/>
    <w:rsid w:val="5DA4446E"/>
    <w:rsid w:val="5DB250F8"/>
    <w:rsid w:val="5DC41F97"/>
    <w:rsid w:val="5DC7295C"/>
    <w:rsid w:val="5DDA50A1"/>
    <w:rsid w:val="5DDF3EC3"/>
    <w:rsid w:val="5DEC4817"/>
    <w:rsid w:val="5DF04204"/>
    <w:rsid w:val="5E0771FD"/>
    <w:rsid w:val="5E162F9C"/>
    <w:rsid w:val="5E2B1CA6"/>
    <w:rsid w:val="5E727476"/>
    <w:rsid w:val="5E780EF1"/>
    <w:rsid w:val="5E7D301B"/>
    <w:rsid w:val="5E88700F"/>
    <w:rsid w:val="5E981F3E"/>
    <w:rsid w:val="5EAC1B52"/>
    <w:rsid w:val="5EB033F0"/>
    <w:rsid w:val="5EC62C14"/>
    <w:rsid w:val="5ED05E06"/>
    <w:rsid w:val="5ED0759E"/>
    <w:rsid w:val="5ED6097D"/>
    <w:rsid w:val="5ED74F3B"/>
    <w:rsid w:val="5EE27322"/>
    <w:rsid w:val="5EE75AFE"/>
    <w:rsid w:val="5EF32AEC"/>
    <w:rsid w:val="5EF62E86"/>
    <w:rsid w:val="5EFC4888"/>
    <w:rsid w:val="5F01026F"/>
    <w:rsid w:val="5F0B7F1D"/>
    <w:rsid w:val="5F0F5A1E"/>
    <w:rsid w:val="5F357D99"/>
    <w:rsid w:val="5F3E6C4E"/>
    <w:rsid w:val="5F4D50E3"/>
    <w:rsid w:val="5F571ABE"/>
    <w:rsid w:val="5F81320D"/>
    <w:rsid w:val="5FAB3BB8"/>
    <w:rsid w:val="5FAF17EE"/>
    <w:rsid w:val="5FB32A6C"/>
    <w:rsid w:val="5FB36828"/>
    <w:rsid w:val="5FB92779"/>
    <w:rsid w:val="5FCD7FD2"/>
    <w:rsid w:val="5FF7504F"/>
    <w:rsid w:val="60194C28"/>
    <w:rsid w:val="601E4291"/>
    <w:rsid w:val="60255718"/>
    <w:rsid w:val="604E74C5"/>
    <w:rsid w:val="604F4CCA"/>
    <w:rsid w:val="606049A2"/>
    <w:rsid w:val="606B0906"/>
    <w:rsid w:val="606C1599"/>
    <w:rsid w:val="60723E49"/>
    <w:rsid w:val="60761A1E"/>
    <w:rsid w:val="608F34D9"/>
    <w:rsid w:val="60912DAE"/>
    <w:rsid w:val="60981844"/>
    <w:rsid w:val="60C74A21"/>
    <w:rsid w:val="60CB2763"/>
    <w:rsid w:val="60DC7F5F"/>
    <w:rsid w:val="60E23267"/>
    <w:rsid w:val="60EB7B09"/>
    <w:rsid w:val="610723A2"/>
    <w:rsid w:val="612C6F7A"/>
    <w:rsid w:val="612F7A4A"/>
    <w:rsid w:val="613C540F"/>
    <w:rsid w:val="615564D1"/>
    <w:rsid w:val="615D311C"/>
    <w:rsid w:val="61630BEE"/>
    <w:rsid w:val="61750921"/>
    <w:rsid w:val="618134E1"/>
    <w:rsid w:val="618D1833"/>
    <w:rsid w:val="61B94FE1"/>
    <w:rsid w:val="61D218D0"/>
    <w:rsid w:val="61D75138"/>
    <w:rsid w:val="61F47A98"/>
    <w:rsid w:val="62387991"/>
    <w:rsid w:val="623E4313"/>
    <w:rsid w:val="624C1682"/>
    <w:rsid w:val="625150D2"/>
    <w:rsid w:val="627E3805"/>
    <w:rsid w:val="628E1C9B"/>
    <w:rsid w:val="629B6165"/>
    <w:rsid w:val="62A90680"/>
    <w:rsid w:val="62B33DF3"/>
    <w:rsid w:val="62C92CD3"/>
    <w:rsid w:val="62E31117"/>
    <w:rsid w:val="62EB30D8"/>
    <w:rsid w:val="62EB42EF"/>
    <w:rsid w:val="62F022EC"/>
    <w:rsid w:val="62FF0009"/>
    <w:rsid w:val="63022D95"/>
    <w:rsid w:val="630F445E"/>
    <w:rsid w:val="63141A74"/>
    <w:rsid w:val="63232045"/>
    <w:rsid w:val="63275C4B"/>
    <w:rsid w:val="6329101D"/>
    <w:rsid w:val="63314950"/>
    <w:rsid w:val="633D39E7"/>
    <w:rsid w:val="634B38FA"/>
    <w:rsid w:val="635F2C1F"/>
    <w:rsid w:val="636429FB"/>
    <w:rsid w:val="636E4956"/>
    <w:rsid w:val="63A25BF3"/>
    <w:rsid w:val="63BA261B"/>
    <w:rsid w:val="63BE65AF"/>
    <w:rsid w:val="63C41147"/>
    <w:rsid w:val="63CD67F3"/>
    <w:rsid w:val="63D25BB7"/>
    <w:rsid w:val="641066DF"/>
    <w:rsid w:val="641461CF"/>
    <w:rsid w:val="641A106C"/>
    <w:rsid w:val="64225C8A"/>
    <w:rsid w:val="64350792"/>
    <w:rsid w:val="64370110"/>
    <w:rsid w:val="643F6FC5"/>
    <w:rsid w:val="644665A5"/>
    <w:rsid w:val="645667E8"/>
    <w:rsid w:val="645E4B0A"/>
    <w:rsid w:val="6468651B"/>
    <w:rsid w:val="646B0F65"/>
    <w:rsid w:val="646F0DFA"/>
    <w:rsid w:val="64713622"/>
    <w:rsid w:val="647174BB"/>
    <w:rsid w:val="647D3881"/>
    <w:rsid w:val="647F43B8"/>
    <w:rsid w:val="64914135"/>
    <w:rsid w:val="64954556"/>
    <w:rsid w:val="64986E00"/>
    <w:rsid w:val="649B6199"/>
    <w:rsid w:val="64A441C4"/>
    <w:rsid w:val="64A4688C"/>
    <w:rsid w:val="64AD1CEC"/>
    <w:rsid w:val="64B24D7F"/>
    <w:rsid w:val="64B55C5D"/>
    <w:rsid w:val="64D71844"/>
    <w:rsid w:val="64D95707"/>
    <w:rsid w:val="64E63914"/>
    <w:rsid w:val="64ED6938"/>
    <w:rsid w:val="64EE099B"/>
    <w:rsid w:val="6507621A"/>
    <w:rsid w:val="651641C9"/>
    <w:rsid w:val="652756A4"/>
    <w:rsid w:val="652A7F0D"/>
    <w:rsid w:val="653528A1"/>
    <w:rsid w:val="65372081"/>
    <w:rsid w:val="653A1C66"/>
    <w:rsid w:val="653F3E5C"/>
    <w:rsid w:val="65444892"/>
    <w:rsid w:val="6580214A"/>
    <w:rsid w:val="659241B0"/>
    <w:rsid w:val="65A92947"/>
    <w:rsid w:val="65AE7F5E"/>
    <w:rsid w:val="65B8584E"/>
    <w:rsid w:val="65CB6D62"/>
    <w:rsid w:val="65D5076F"/>
    <w:rsid w:val="65DA0D53"/>
    <w:rsid w:val="65DC57F8"/>
    <w:rsid w:val="65E55EB8"/>
    <w:rsid w:val="65E9368C"/>
    <w:rsid w:val="65EB11B2"/>
    <w:rsid w:val="65F55B8D"/>
    <w:rsid w:val="65FA31A3"/>
    <w:rsid w:val="65FF4C5D"/>
    <w:rsid w:val="66081D8F"/>
    <w:rsid w:val="661A55F3"/>
    <w:rsid w:val="662841B4"/>
    <w:rsid w:val="662E3130"/>
    <w:rsid w:val="6645101A"/>
    <w:rsid w:val="6645659A"/>
    <w:rsid w:val="664839B0"/>
    <w:rsid w:val="666F0E0F"/>
    <w:rsid w:val="66756CCD"/>
    <w:rsid w:val="667B131C"/>
    <w:rsid w:val="667B2536"/>
    <w:rsid w:val="6680306B"/>
    <w:rsid w:val="66860EDB"/>
    <w:rsid w:val="66A564A0"/>
    <w:rsid w:val="66BE0674"/>
    <w:rsid w:val="66BF7F33"/>
    <w:rsid w:val="66D467CA"/>
    <w:rsid w:val="66D62278"/>
    <w:rsid w:val="66DF16AF"/>
    <w:rsid w:val="671208E9"/>
    <w:rsid w:val="672002AE"/>
    <w:rsid w:val="6738709F"/>
    <w:rsid w:val="673F17B5"/>
    <w:rsid w:val="675E59B4"/>
    <w:rsid w:val="67A6638A"/>
    <w:rsid w:val="67A71109"/>
    <w:rsid w:val="67B72F71"/>
    <w:rsid w:val="67B76EEF"/>
    <w:rsid w:val="67BD603B"/>
    <w:rsid w:val="67C577E1"/>
    <w:rsid w:val="67C779FD"/>
    <w:rsid w:val="67DB0DB2"/>
    <w:rsid w:val="67E22141"/>
    <w:rsid w:val="67FD6EE2"/>
    <w:rsid w:val="680227E3"/>
    <w:rsid w:val="68036130"/>
    <w:rsid w:val="6816689A"/>
    <w:rsid w:val="68170D85"/>
    <w:rsid w:val="6841155D"/>
    <w:rsid w:val="68555008"/>
    <w:rsid w:val="686033F3"/>
    <w:rsid w:val="687311F7"/>
    <w:rsid w:val="68812AA4"/>
    <w:rsid w:val="68822739"/>
    <w:rsid w:val="688558EE"/>
    <w:rsid w:val="68A34BDD"/>
    <w:rsid w:val="68A5389A"/>
    <w:rsid w:val="68B7537B"/>
    <w:rsid w:val="68D0468F"/>
    <w:rsid w:val="68D26960"/>
    <w:rsid w:val="690775B5"/>
    <w:rsid w:val="6917406C"/>
    <w:rsid w:val="69194288"/>
    <w:rsid w:val="69196D35"/>
    <w:rsid w:val="691F3960"/>
    <w:rsid w:val="692A0243"/>
    <w:rsid w:val="692F7AB2"/>
    <w:rsid w:val="695235CB"/>
    <w:rsid w:val="695452C0"/>
    <w:rsid w:val="695C5C9F"/>
    <w:rsid w:val="695D3463"/>
    <w:rsid w:val="696077C1"/>
    <w:rsid w:val="696A0640"/>
    <w:rsid w:val="69700722"/>
    <w:rsid w:val="697308AB"/>
    <w:rsid w:val="6974326C"/>
    <w:rsid w:val="697B26CE"/>
    <w:rsid w:val="69990F25"/>
    <w:rsid w:val="69A8374B"/>
    <w:rsid w:val="69B75B4F"/>
    <w:rsid w:val="69C449BF"/>
    <w:rsid w:val="69C560F3"/>
    <w:rsid w:val="69D865C9"/>
    <w:rsid w:val="69DE07CA"/>
    <w:rsid w:val="69FD7706"/>
    <w:rsid w:val="6A00730B"/>
    <w:rsid w:val="6A034B51"/>
    <w:rsid w:val="6A0E1913"/>
    <w:rsid w:val="6A1011E7"/>
    <w:rsid w:val="6A162648"/>
    <w:rsid w:val="6A182959"/>
    <w:rsid w:val="6A23636D"/>
    <w:rsid w:val="6A3B6E08"/>
    <w:rsid w:val="6A4778AE"/>
    <w:rsid w:val="6A58388D"/>
    <w:rsid w:val="6A7D177A"/>
    <w:rsid w:val="6A8375BA"/>
    <w:rsid w:val="6A8D0A8A"/>
    <w:rsid w:val="6A8D361B"/>
    <w:rsid w:val="6AB2237B"/>
    <w:rsid w:val="6AB92138"/>
    <w:rsid w:val="6AD8789C"/>
    <w:rsid w:val="6AEB0235"/>
    <w:rsid w:val="6AEE49E5"/>
    <w:rsid w:val="6AF24D91"/>
    <w:rsid w:val="6B015B9C"/>
    <w:rsid w:val="6B0B1C6E"/>
    <w:rsid w:val="6B59096C"/>
    <w:rsid w:val="6B607066"/>
    <w:rsid w:val="6B633598"/>
    <w:rsid w:val="6B6568A3"/>
    <w:rsid w:val="6B6A0DCB"/>
    <w:rsid w:val="6B7010B5"/>
    <w:rsid w:val="6B797F3F"/>
    <w:rsid w:val="6B824366"/>
    <w:rsid w:val="6B8E6EE3"/>
    <w:rsid w:val="6BA61998"/>
    <w:rsid w:val="6BAE5CCE"/>
    <w:rsid w:val="6BC02089"/>
    <w:rsid w:val="6BCB4702"/>
    <w:rsid w:val="6BCB7ABB"/>
    <w:rsid w:val="6BD2201D"/>
    <w:rsid w:val="6BDF3567"/>
    <w:rsid w:val="6BEA35D7"/>
    <w:rsid w:val="6BF21BAB"/>
    <w:rsid w:val="6BFF1513"/>
    <w:rsid w:val="6C180827"/>
    <w:rsid w:val="6C18116F"/>
    <w:rsid w:val="6C1A13A6"/>
    <w:rsid w:val="6C1D7BEB"/>
    <w:rsid w:val="6C2C6080"/>
    <w:rsid w:val="6C380273"/>
    <w:rsid w:val="6C3B1211"/>
    <w:rsid w:val="6C3B2DC0"/>
    <w:rsid w:val="6C4272DA"/>
    <w:rsid w:val="6C4D5BC7"/>
    <w:rsid w:val="6C643EE9"/>
    <w:rsid w:val="6C705F6D"/>
    <w:rsid w:val="6C731A73"/>
    <w:rsid w:val="6C7E72AD"/>
    <w:rsid w:val="6C861C34"/>
    <w:rsid w:val="6C8C6B1F"/>
    <w:rsid w:val="6C9D0D2C"/>
    <w:rsid w:val="6C9D2ADA"/>
    <w:rsid w:val="6CA420BB"/>
    <w:rsid w:val="6CA64085"/>
    <w:rsid w:val="6CA70739"/>
    <w:rsid w:val="6CD572C1"/>
    <w:rsid w:val="6CDA788A"/>
    <w:rsid w:val="6CFE5C6F"/>
    <w:rsid w:val="6D0907C7"/>
    <w:rsid w:val="6D237483"/>
    <w:rsid w:val="6D326CB2"/>
    <w:rsid w:val="6D4802BA"/>
    <w:rsid w:val="6D551D38"/>
    <w:rsid w:val="6D5D678F"/>
    <w:rsid w:val="6D611D5A"/>
    <w:rsid w:val="6D837F22"/>
    <w:rsid w:val="6D877A12"/>
    <w:rsid w:val="6D8C327A"/>
    <w:rsid w:val="6D967C55"/>
    <w:rsid w:val="6D9739CD"/>
    <w:rsid w:val="6D9E4D5C"/>
    <w:rsid w:val="6DAF6FBB"/>
    <w:rsid w:val="6DCF760B"/>
    <w:rsid w:val="6DEB34A8"/>
    <w:rsid w:val="6DF003E7"/>
    <w:rsid w:val="6DF01458"/>
    <w:rsid w:val="6DFF6A7A"/>
    <w:rsid w:val="6E0077C5"/>
    <w:rsid w:val="6E021698"/>
    <w:rsid w:val="6E066200"/>
    <w:rsid w:val="6E0C7F17"/>
    <w:rsid w:val="6E143E2C"/>
    <w:rsid w:val="6E2176A3"/>
    <w:rsid w:val="6E276AFF"/>
    <w:rsid w:val="6E3235FE"/>
    <w:rsid w:val="6E3631E6"/>
    <w:rsid w:val="6E414065"/>
    <w:rsid w:val="6E525E34"/>
    <w:rsid w:val="6E55366C"/>
    <w:rsid w:val="6E661D1D"/>
    <w:rsid w:val="6E9F0D8B"/>
    <w:rsid w:val="6EAD2145"/>
    <w:rsid w:val="6EB81E4D"/>
    <w:rsid w:val="6ECC78BC"/>
    <w:rsid w:val="6ED2559D"/>
    <w:rsid w:val="6EDA060A"/>
    <w:rsid w:val="6EE175F6"/>
    <w:rsid w:val="6EF020B7"/>
    <w:rsid w:val="6F194772"/>
    <w:rsid w:val="6F1D78C7"/>
    <w:rsid w:val="6F541B76"/>
    <w:rsid w:val="6F5D7A4A"/>
    <w:rsid w:val="6F655B31"/>
    <w:rsid w:val="6F743FC6"/>
    <w:rsid w:val="6F80296B"/>
    <w:rsid w:val="6F8A7DFB"/>
    <w:rsid w:val="6FB10D76"/>
    <w:rsid w:val="6FC21BFD"/>
    <w:rsid w:val="6FCD36D6"/>
    <w:rsid w:val="6FE56C72"/>
    <w:rsid w:val="6FEC0000"/>
    <w:rsid w:val="6FF173C5"/>
    <w:rsid w:val="6FFA4A82"/>
    <w:rsid w:val="6FFC7B84"/>
    <w:rsid w:val="70057126"/>
    <w:rsid w:val="700912E7"/>
    <w:rsid w:val="700F1F41"/>
    <w:rsid w:val="707053C2"/>
    <w:rsid w:val="70750E6F"/>
    <w:rsid w:val="707A091E"/>
    <w:rsid w:val="70893AA1"/>
    <w:rsid w:val="70945415"/>
    <w:rsid w:val="70974410"/>
    <w:rsid w:val="70BE3F73"/>
    <w:rsid w:val="71016222"/>
    <w:rsid w:val="710F33DD"/>
    <w:rsid w:val="71177976"/>
    <w:rsid w:val="711D139A"/>
    <w:rsid w:val="712612F0"/>
    <w:rsid w:val="71270B2D"/>
    <w:rsid w:val="712D267F"/>
    <w:rsid w:val="713A4D9B"/>
    <w:rsid w:val="713D4620"/>
    <w:rsid w:val="71461992"/>
    <w:rsid w:val="71566079"/>
    <w:rsid w:val="715E6CDC"/>
    <w:rsid w:val="71746F7B"/>
    <w:rsid w:val="71777A60"/>
    <w:rsid w:val="71812496"/>
    <w:rsid w:val="719A04F1"/>
    <w:rsid w:val="719C5A56"/>
    <w:rsid w:val="71AD7C63"/>
    <w:rsid w:val="71BE3C1E"/>
    <w:rsid w:val="71D074AE"/>
    <w:rsid w:val="71E511AB"/>
    <w:rsid w:val="71E55A34"/>
    <w:rsid w:val="71F024AB"/>
    <w:rsid w:val="71F15DA2"/>
    <w:rsid w:val="71F71538"/>
    <w:rsid w:val="72037883"/>
    <w:rsid w:val="72347A3D"/>
    <w:rsid w:val="723D0FE7"/>
    <w:rsid w:val="723D2D95"/>
    <w:rsid w:val="72442A3E"/>
    <w:rsid w:val="724E4FA2"/>
    <w:rsid w:val="72682D8C"/>
    <w:rsid w:val="72691DDC"/>
    <w:rsid w:val="727E6F0A"/>
    <w:rsid w:val="72B37B42"/>
    <w:rsid w:val="72BD7A32"/>
    <w:rsid w:val="72C40894"/>
    <w:rsid w:val="72C9287B"/>
    <w:rsid w:val="72DD2263"/>
    <w:rsid w:val="72DD4690"/>
    <w:rsid w:val="72EB7DC4"/>
    <w:rsid w:val="72ED47BB"/>
    <w:rsid w:val="7318110C"/>
    <w:rsid w:val="733971A1"/>
    <w:rsid w:val="733C4DFB"/>
    <w:rsid w:val="73460307"/>
    <w:rsid w:val="73532145"/>
    <w:rsid w:val="735B47B0"/>
    <w:rsid w:val="73613F86"/>
    <w:rsid w:val="736C6736"/>
    <w:rsid w:val="73724CC1"/>
    <w:rsid w:val="737E3665"/>
    <w:rsid w:val="739015EB"/>
    <w:rsid w:val="73A17354"/>
    <w:rsid w:val="73AA5F3A"/>
    <w:rsid w:val="73D47729"/>
    <w:rsid w:val="73EE094A"/>
    <w:rsid w:val="73F057A2"/>
    <w:rsid w:val="740E4859"/>
    <w:rsid w:val="74201F52"/>
    <w:rsid w:val="74280B6B"/>
    <w:rsid w:val="743C7F24"/>
    <w:rsid w:val="745D771F"/>
    <w:rsid w:val="745F7BFA"/>
    <w:rsid w:val="748A57D7"/>
    <w:rsid w:val="74B0188E"/>
    <w:rsid w:val="74BD1B62"/>
    <w:rsid w:val="74C24C9F"/>
    <w:rsid w:val="74CB28DA"/>
    <w:rsid w:val="74F22942"/>
    <w:rsid w:val="750E09D5"/>
    <w:rsid w:val="75185B79"/>
    <w:rsid w:val="751F6782"/>
    <w:rsid w:val="753D12FE"/>
    <w:rsid w:val="75497797"/>
    <w:rsid w:val="754E350B"/>
    <w:rsid w:val="7556556B"/>
    <w:rsid w:val="755A5A0C"/>
    <w:rsid w:val="75703482"/>
    <w:rsid w:val="75722D56"/>
    <w:rsid w:val="75894543"/>
    <w:rsid w:val="75A269D8"/>
    <w:rsid w:val="75AF3FAA"/>
    <w:rsid w:val="75CB690A"/>
    <w:rsid w:val="75CE2057"/>
    <w:rsid w:val="75F80DF8"/>
    <w:rsid w:val="762A1882"/>
    <w:rsid w:val="762A3524"/>
    <w:rsid w:val="7632691B"/>
    <w:rsid w:val="765165BA"/>
    <w:rsid w:val="7660367E"/>
    <w:rsid w:val="76697616"/>
    <w:rsid w:val="76857E8B"/>
    <w:rsid w:val="76DD2A8A"/>
    <w:rsid w:val="76E13678"/>
    <w:rsid w:val="76E53009"/>
    <w:rsid w:val="76F37EC6"/>
    <w:rsid w:val="77023219"/>
    <w:rsid w:val="770420D4"/>
    <w:rsid w:val="77160E62"/>
    <w:rsid w:val="772439C7"/>
    <w:rsid w:val="77297D8C"/>
    <w:rsid w:val="772B7660"/>
    <w:rsid w:val="774C75D7"/>
    <w:rsid w:val="776B5D27"/>
    <w:rsid w:val="77732DB5"/>
    <w:rsid w:val="777D13D8"/>
    <w:rsid w:val="77982157"/>
    <w:rsid w:val="77A11740"/>
    <w:rsid w:val="77C41B15"/>
    <w:rsid w:val="77C901F3"/>
    <w:rsid w:val="77C90C27"/>
    <w:rsid w:val="77CE3F90"/>
    <w:rsid w:val="77D5581E"/>
    <w:rsid w:val="77E31623"/>
    <w:rsid w:val="77E96871"/>
    <w:rsid w:val="77F263C0"/>
    <w:rsid w:val="780037E6"/>
    <w:rsid w:val="78012A38"/>
    <w:rsid w:val="78117B09"/>
    <w:rsid w:val="781E59B2"/>
    <w:rsid w:val="7830497B"/>
    <w:rsid w:val="783152AD"/>
    <w:rsid w:val="78397B5B"/>
    <w:rsid w:val="78532FC3"/>
    <w:rsid w:val="785C17F8"/>
    <w:rsid w:val="7860158C"/>
    <w:rsid w:val="786C2AD1"/>
    <w:rsid w:val="788E57D6"/>
    <w:rsid w:val="789F7357"/>
    <w:rsid w:val="78A208F2"/>
    <w:rsid w:val="78A96C46"/>
    <w:rsid w:val="78C16047"/>
    <w:rsid w:val="78C7785D"/>
    <w:rsid w:val="78CE2999"/>
    <w:rsid w:val="78DA0C62"/>
    <w:rsid w:val="79126338"/>
    <w:rsid w:val="79167E9C"/>
    <w:rsid w:val="792137D8"/>
    <w:rsid w:val="792C3B64"/>
    <w:rsid w:val="792E7984"/>
    <w:rsid w:val="79357438"/>
    <w:rsid w:val="793C55CB"/>
    <w:rsid w:val="794964C4"/>
    <w:rsid w:val="79651EEC"/>
    <w:rsid w:val="79BC6C95"/>
    <w:rsid w:val="79C124FE"/>
    <w:rsid w:val="79E07D62"/>
    <w:rsid w:val="79EF58A4"/>
    <w:rsid w:val="79F0693F"/>
    <w:rsid w:val="79F734E1"/>
    <w:rsid w:val="7A106FE1"/>
    <w:rsid w:val="7A1F6BE8"/>
    <w:rsid w:val="7A205476"/>
    <w:rsid w:val="7A2605B3"/>
    <w:rsid w:val="7A3F05E4"/>
    <w:rsid w:val="7A5C2227"/>
    <w:rsid w:val="7A7E3F4B"/>
    <w:rsid w:val="7AA32003"/>
    <w:rsid w:val="7ACD6C80"/>
    <w:rsid w:val="7ADE68DB"/>
    <w:rsid w:val="7AEA54F7"/>
    <w:rsid w:val="7AF4245F"/>
    <w:rsid w:val="7AFD4D23"/>
    <w:rsid w:val="7AFF5EC9"/>
    <w:rsid w:val="7B0A3A31"/>
    <w:rsid w:val="7B127206"/>
    <w:rsid w:val="7B18614D"/>
    <w:rsid w:val="7B1D08AD"/>
    <w:rsid w:val="7B1F7B91"/>
    <w:rsid w:val="7B203254"/>
    <w:rsid w:val="7B362A78"/>
    <w:rsid w:val="7B590514"/>
    <w:rsid w:val="7B62045C"/>
    <w:rsid w:val="7B6E26CB"/>
    <w:rsid w:val="7B876E2F"/>
    <w:rsid w:val="7B8E4662"/>
    <w:rsid w:val="7B917CAE"/>
    <w:rsid w:val="7BA442D3"/>
    <w:rsid w:val="7BA5080C"/>
    <w:rsid w:val="7BA96604"/>
    <w:rsid w:val="7BAE5A90"/>
    <w:rsid w:val="7BB50A29"/>
    <w:rsid w:val="7BD464C7"/>
    <w:rsid w:val="7BDA3403"/>
    <w:rsid w:val="7BDF0A19"/>
    <w:rsid w:val="7BF859D9"/>
    <w:rsid w:val="7BFE6D91"/>
    <w:rsid w:val="7C014E34"/>
    <w:rsid w:val="7C127041"/>
    <w:rsid w:val="7C2D097B"/>
    <w:rsid w:val="7C4E4E44"/>
    <w:rsid w:val="7C5238E1"/>
    <w:rsid w:val="7C572CA5"/>
    <w:rsid w:val="7C67238A"/>
    <w:rsid w:val="7C6E3C5D"/>
    <w:rsid w:val="7C734908"/>
    <w:rsid w:val="7C7B2F9C"/>
    <w:rsid w:val="7C9A32A8"/>
    <w:rsid w:val="7CA103C5"/>
    <w:rsid w:val="7CA53136"/>
    <w:rsid w:val="7CAD6D69"/>
    <w:rsid w:val="7CC4247A"/>
    <w:rsid w:val="7CD459C4"/>
    <w:rsid w:val="7CE64029"/>
    <w:rsid w:val="7CFF6260"/>
    <w:rsid w:val="7D2D4ADD"/>
    <w:rsid w:val="7D2F7C6A"/>
    <w:rsid w:val="7D40373A"/>
    <w:rsid w:val="7D4F7E21"/>
    <w:rsid w:val="7D5218B6"/>
    <w:rsid w:val="7D592F5B"/>
    <w:rsid w:val="7D5B5D68"/>
    <w:rsid w:val="7D60158C"/>
    <w:rsid w:val="7D723DB3"/>
    <w:rsid w:val="7D965A4F"/>
    <w:rsid w:val="7DAE3956"/>
    <w:rsid w:val="7DB12889"/>
    <w:rsid w:val="7DB61C4E"/>
    <w:rsid w:val="7DC32703"/>
    <w:rsid w:val="7DC4436B"/>
    <w:rsid w:val="7DCA6284"/>
    <w:rsid w:val="7DCA74A7"/>
    <w:rsid w:val="7DD81C05"/>
    <w:rsid w:val="7DD86068"/>
    <w:rsid w:val="7DE14F1D"/>
    <w:rsid w:val="7DE44A0D"/>
    <w:rsid w:val="7E096221"/>
    <w:rsid w:val="7E125157"/>
    <w:rsid w:val="7E192908"/>
    <w:rsid w:val="7E2B6198"/>
    <w:rsid w:val="7E307C52"/>
    <w:rsid w:val="7E492AC2"/>
    <w:rsid w:val="7E57581C"/>
    <w:rsid w:val="7E5A397E"/>
    <w:rsid w:val="7E6416AA"/>
    <w:rsid w:val="7E7C4C45"/>
    <w:rsid w:val="7E906943"/>
    <w:rsid w:val="7E9F4771"/>
    <w:rsid w:val="7EA95C8A"/>
    <w:rsid w:val="7EB16D09"/>
    <w:rsid w:val="7EB30378"/>
    <w:rsid w:val="7EB5453C"/>
    <w:rsid w:val="7EBE7F33"/>
    <w:rsid w:val="7EC07BD7"/>
    <w:rsid w:val="7ECB62B3"/>
    <w:rsid w:val="7ED06D3F"/>
    <w:rsid w:val="7ED20D09"/>
    <w:rsid w:val="7EF667A6"/>
    <w:rsid w:val="7F0332B5"/>
    <w:rsid w:val="7F0C421B"/>
    <w:rsid w:val="7F207E9F"/>
    <w:rsid w:val="7F2C666B"/>
    <w:rsid w:val="7F4514DB"/>
    <w:rsid w:val="7F460DAF"/>
    <w:rsid w:val="7F4C052A"/>
    <w:rsid w:val="7F5C0145"/>
    <w:rsid w:val="7F5E5DE2"/>
    <w:rsid w:val="7F6251C1"/>
    <w:rsid w:val="7F626F79"/>
    <w:rsid w:val="7F6A2CF0"/>
    <w:rsid w:val="7F736048"/>
    <w:rsid w:val="7F761695"/>
    <w:rsid w:val="7F7865E9"/>
    <w:rsid w:val="7F8244DD"/>
    <w:rsid w:val="7F875650"/>
    <w:rsid w:val="7F89586C"/>
    <w:rsid w:val="7F89761A"/>
    <w:rsid w:val="7F8D69DE"/>
    <w:rsid w:val="7F967F89"/>
    <w:rsid w:val="7FB65C82"/>
    <w:rsid w:val="7FC766BE"/>
    <w:rsid w:val="7FCB2F51"/>
    <w:rsid w:val="7FCF6FF7"/>
    <w:rsid w:val="7FEE3E35"/>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2"/>
      <w:lang w:val="en-US" w:eastAsia="zh-CN" w:bidi="ar-SA"/>
    </w:rPr>
  </w:style>
  <w:style w:type="paragraph" w:styleId="4">
    <w:name w:val="heading 1"/>
    <w:basedOn w:val="1"/>
    <w:next w:val="1"/>
    <w:link w:val="35"/>
    <w:autoRedefine/>
    <w:qFormat/>
    <w:uiPriority w:val="0"/>
    <w:pPr>
      <w:spacing w:beforeAutospacing="1" w:afterAutospacing="1" w:line="360" w:lineRule="auto"/>
      <w:jc w:val="left"/>
      <w:outlineLvl w:val="0"/>
    </w:pPr>
    <w:rPr>
      <w:rFonts w:ascii="Times New Roman" w:hAnsi="Times New Roman" w:eastAsia="黑体"/>
      <w:bCs/>
      <w:snapToGrid w:val="0"/>
      <w:color w:val="000000"/>
      <w:kern w:val="44"/>
      <w:sz w:val="32"/>
      <w:szCs w:val="24"/>
      <w:lang w:bidi="ar"/>
    </w:rPr>
  </w:style>
  <w:style w:type="paragraph" w:styleId="5">
    <w:name w:val="heading 2"/>
    <w:basedOn w:val="1"/>
    <w:next w:val="1"/>
    <w:unhideWhenUsed/>
    <w:qFormat/>
    <w:uiPriority w:val="0"/>
    <w:pPr>
      <w:keepNext/>
      <w:keepLines/>
      <w:spacing w:before="260" w:after="260" w:line="360" w:lineRule="auto"/>
      <w:jc w:val="left"/>
      <w:outlineLvl w:val="1"/>
    </w:pPr>
    <w:rPr>
      <w:rFonts w:ascii="黑体" w:hAnsi="黑体" w:eastAsia="黑体" w:cs="黑体"/>
      <w:bCs/>
      <w:sz w:val="28"/>
      <w:szCs w:val="28"/>
    </w:rPr>
  </w:style>
  <w:style w:type="paragraph" w:styleId="6">
    <w:name w:val="heading 3"/>
    <w:basedOn w:val="1"/>
    <w:next w:val="1"/>
    <w:link w:val="73"/>
    <w:unhideWhenUsed/>
    <w:qFormat/>
    <w:uiPriority w:val="0"/>
    <w:pPr>
      <w:keepNext/>
      <w:keepLines/>
      <w:spacing w:before="260" w:after="260" w:line="416" w:lineRule="auto"/>
      <w:outlineLvl w:val="2"/>
    </w:pPr>
    <w:rPr>
      <w:rFonts w:ascii="Times New Roman" w:hAnsi="Times New Roman" w:eastAsia="黑体"/>
      <w:bCs/>
      <w:szCs w:val="32"/>
    </w:rPr>
  </w:style>
  <w:style w:type="paragraph" w:styleId="7">
    <w:name w:val="heading 4"/>
    <w:basedOn w:val="1"/>
    <w:next w:val="1"/>
    <w:link w:val="36"/>
    <w:unhideWhenUsed/>
    <w:qFormat/>
    <w:uiPriority w:val="0"/>
    <w:pPr>
      <w:keepNext/>
      <w:keepLines/>
      <w:spacing w:before="80" w:after="120"/>
      <w:ind w:leftChars="0"/>
      <w:outlineLvl w:val="3"/>
    </w:pPr>
    <w:rPr>
      <w:rFonts w:ascii="Calibri Light" w:hAnsi="Calibri Light" w:eastAsia="黑体"/>
      <w:bCs/>
      <w:iCs/>
      <w:color w:val="000000"/>
      <w:szCs w:val="21"/>
    </w:rPr>
  </w:style>
  <w:style w:type="paragraph" w:styleId="8">
    <w:name w:val="heading 5"/>
    <w:basedOn w:val="1"/>
    <w:next w:val="1"/>
    <w:autoRedefine/>
    <w:semiHidden/>
    <w:unhideWhenUsed/>
    <w:qFormat/>
    <w:uiPriority w:val="9"/>
    <w:pPr>
      <w:keepNext/>
      <w:keepLines/>
      <w:spacing w:before="280" w:after="290" w:line="376" w:lineRule="auto"/>
      <w:outlineLvl w:val="4"/>
    </w:pPr>
    <w:rPr>
      <w:b/>
      <w:bCs/>
      <w:sz w:val="28"/>
      <w:szCs w:val="28"/>
    </w:rPr>
  </w:style>
  <w:style w:type="character" w:default="1" w:styleId="31">
    <w:name w:val="Default Paragraph Font"/>
    <w:autoRedefine/>
    <w:semiHidden/>
    <w:qFormat/>
    <w:uiPriority w:val="0"/>
  </w:style>
  <w:style w:type="table" w:default="1" w:styleId="29">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unhideWhenUsed/>
    <w:qFormat/>
    <w:uiPriority w:val="99"/>
    <w:pPr>
      <w:spacing w:after="120"/>
    </w:pPr>
  </w:style>
  <w:style w:type="paragraph" w:styleId="3">
    <w:name w:val="macro"/>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left="60" w:leftChars="25" w:right="60" w:rightChars="25"/>
      <w:jc w:val="center"/>
    </w:pPr>
    <w:rPr>
      <w:rFonts w:ascii="Courier New" w:hAnsi="Courier New" w:eastAsia="宋体" w:cs="Courier New"/>
      <w:kern w:val="2"/>
      <w:sz w:val="21"/>
      <w:szCs w:val="24"/>
      <w:lang w:val="en-US" w:eastAsia="zh-CN" w:bidi="ar-SA"/>
    </w:rPr>
  </w:style>
  <w:style w:type="paragraph" w:styleId="9">
    <w:name w:val="Normal Indent"/>
    <w:basedOn w:val="1"/>
    <w:next w:val="1"/>
    <w:autoRedefine/>
    <w:qFormat/>
    <w:uiPriority w:val="0"/>
    <w:pPr>
      <w:spacing w:line="240" w:lineRule="auto"/>
      <w:ind w:firstLine="420"/>
    </w:pPr>
    <w:rPr>
      <w:rFonts w:cs="Times New Roman"/>
      <w:kern w:val="0"/>
      <w:sz w:val="20"/>
      <w:szCs w:val="24"/>
    </w:rPr>
  </w:style>
  <w:style w:type="paragraph" w:styleId="10">
    <w:name w:val="caption"/>
    <w:basedOn w:val="1"/>
    <w:next w:val="1"/>
    <w:autoRedefine/>
    <w:unhideWhenUsed/>
    <w:qFormat/>
    <w:uiPriority w:val="0"/>
    <w:rPr>
      <w:rFonts w:ascii="Calibri Light" w:hAnsi="Calibri Light" w:eastAsia="黑体" w:cs="Times New Roman"/>
      <w:sz w:val="20"/>
      <w:szCs w:val="20"/>
    </w:rPr>
  </w:style>
  <w:style w:type="paragraph" w:styleId="11">
    <w:name w:val="annotation text"/>
    <w:basedOn w:val="1"/>
    <w:autoRedefine/>
    <w:qFormat/>
    <w:uiPriority w:val="0"/>
    <w:pPr>
      <w:ind w:firstLine="200" w:firstLineChars="200"/>
      <w:jc w:val="left"/>
    </w:pPr>
    <w:rPr>
      <w:rFonts w:cs="Times New Roman"/>
      <w:szCs w:val="24"/>
    </w:rPr>
  </w:style>
  <w:style w:type="paragraph" w:styleId="12">
    <w:name w:val="Body Text Indent"/>
    <w:basedOn w:val="1"/>
    <w:next w:val="13"/>
    <w:autoRedefine/>
    <w:qFormat/>
    <w:uiPriority w:val="0"/>
    <w:pPr>
      <w:spacing w:after="120" w:line="240" w:lineRule="auto"/>
      <w:ind w:left="420" w:leftChars="200"/>
    </w:pPr>
    <w:rPr>
      <w:rFonts w:asciiTheme="minorHAnsi" w:hAnsiTheme="minorHAnsi" w:eastAsiaTheme="minorEastAsia"/>
    </w:rPr>
  </w:style>
  <w:style w:type="paragraph" w:customStyle="1" w:styleId="13">
    <w:name w:val="Default"/>
    <w:basedOn w:val="14"/>
    <w:next w:val="15"/>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
    <w:name w:val="纯文本1"/>
    <w:basedOn w:val="1"/>
    <w:autoRedefine/>
    <w:qFormat/>
    <w:uiPriority w:val="0"/>
    <w:pPr>
      <w:adjustRightInd w:val="0"/>
    </w:pPr>
    <w:rPr>
      <w:rFonts w:hAnsi="Courier New"/>
      <w:szCs w:val="20"/>
    </w:rPr>
  </w:style>
  <w:style w:type="paragraph" w:styleId="15">
    <w:name w:val="List"/>
    <w:basedOn w:val="1"/>
    <w:next w:val="1"/>
    <w:autoRedefine/>
    <w:unhideWhenUsed/>
    <w:qFormat/>
    <w:uiPriority w:val="99"/>
    <w:pPr>
      <w:spacing w:line="440" w:lineRule="exact"/>
      <w:ind w:left="200" w:hanging="200" w:hangingChars="200"/>
    </w:pPr>
    <w:rPr>
      <w:sz w:val="24"/>
    </w:rPr>
  </w:style>
  <w:style w:type="paragraph" w:styleId="16">
    <w:name w:val="toc 3"/>
    <w:basedOn w:val="1"/>
    <w:next w:val="1"/>
    <w:autoRedefine/>
    <w:qFormat/>
    <w:uiPriority w:val="0"/>
    <w:pPr>
      <w:ind w:left="840" w:leftChars="400"/>
    </w:pPr>
  </w:style>
  <w:style w:type="paragraph" w:styleId="17">
    <w:name w:val="Plain Text"/>
    <w:basedOn w:val="1"/>
    <w:autoRedefine/>
    <w:qFormat/>
    <w:uiPriority w:val="99"/>
    <w:pPr>
      <w:adjustRightInd w:val="0"/>
      <w:snapToGrid w:val="0"/>
      <w:spacing w:beforeLines="50" w:line="440" w:lineRule="exact"/>
      <w:ind w:firstLine="480" w:firstLineChars="200"/>
    </w:pPr>
    <w:rPr>
      <w:rFonts w:ascii="宋体" w:hAnsi="宋体"/>
      <w:bCs/>
      <w:color w:val="000000"/>
      <w:kern w:val="0"/>
      <w:sz w:val="24"/>
      <w:szCs w:val="21"/>
      <w:lang w:val="zh-CN"/>
    </w:rPr>
  </w:style>
  <w:style w:type="paragraph" w:styleId="18">
    <w:name w:val="Body Text Indent 2"/>
    <w:basedOn w:val="1"/>
    <w:autoRedefine/>
    <w:qFormat/>
    <w:uiPriority w:val="0"/>
    <w:pPr>
      <w:ind w:firstLine="560" w:firstLineChars="200"/>
    </w:pPr>
    <w:rPr>
      <w:rFonts w:ascii="宋体" w:hAnsi="宋体"/>
      <w:color w:val="FF0000"/>
      <w:sz w:val="28"/>
    </w:rPr>
  </w:style>
  <w:style w:type="paragraph" w:styleId="19">
    <w:name w:val="footer"/>
    <w:basedOn w:val="1"/>
    <w:autoRedefine/>
    <w:unhideWhenUsed/>
    <w:qFormat/>
    <w:uiPriority w:val="99"/>
    <w:pPr>
      <w:tabs>
        <w:tab w:val="center" w:pos="4153"/>
        <w:tab w:val="right" w:pos="8306"/>
      </w:tabs>
      <w:snapToGrid w:val="0"/>
      <w:jc w:val="left"/>
    </w:pPr>
    <w:rPr>
      <w:sz w:val="18"/>
      <w:szCs w:val="18"/>
    </w:rPr>
  </w:style>
  <w:style w:type="paragraph" w:styleId="20">
    <w:name w:val="header"/>
    <w:basedOn w:val="1"/>
    <w:next w:val="1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uiPriority w:val="0"/>
  </w:style>
  <w:style w:type="paragraph" w:styleId="22">
    <w:name w:val="index heading"/>
    <w:basedOn w:val="1"/>
    <w:next w:val="23"/>
    <w:autoRedefine/>
    <w:unhideWhenUsed/>
    <w:qFormat/>
    <w:uiPriority w:val="0"/>
    <w:pPr>
      <w:spacing w:beforeLines="0" w:afterLines="0" w:line="240" w:lineRule="auto"/>
      <w:ind w:firstLine="0"/>
    </w:pPr>
    <w:rPr>
      <w:rFonts w:hint="default" w:ascii="Arial" w:hAnsi="Arial"/>
      <w:b/>
      <w:sz w:val="21"/>
    </w:rPr>
  </w:style>
  <w:style w:type="paragraph" w:styleId="23">
    <w:name w:val="index 1"/>
    <w:basedOn w:val="1"/>
    <w:next w:val="1"/>
    <w:autoRedefine/>
    <w:unhideWhenUsed/>
    <w:qFormat/>
    <w:uiPriority w:val="0"/>
    <w:pPr>
      <w:spacing w:beforeLines="0" w:afterLines="0" w:line="240" w:lineRule="auto"/>
      <w:ind w:firstLine="0"/>
    </w:pPr>
    <w:rPr>
      <w:rFonts w:hint="default"/>
      <w:kern w:val="28"/>
      <w:sz w:val="24"/>
    </w:rPr>
  </w:style>
  <w:style w:type="paragraph" w:styleId="24">
    <w:name w:val="toc 2"/>
    <w:basedOn w:val="1"/>
    <w:next w:val="1"/>
    <w:autoRedefine/>
    <w:qFormat/>
    <w:uiPriority w:val="0"/>
    <w:pPr>
      <w:ind w:left="420" w:leftChars="200"/>
    </w:pPr>
  </w:style>
  <w:style w:type="paragraph" w:styleId="25">
    <w:name w:val="Body Text 2"/>
    <w:basedOn w:val="1"/>
    <w:autoRedefine/>
    <w:qFormat/>
    <w:uiPriority w:val="0"/>
    <w:pPr>
      <w:adjustRightInd w:val="0"/>
      <w:snapToGrid w:val="0"/>
      <w:ind w:firstLine="1032" w:firstLineChars="200"/>
      <w:jc w:val="center"/>
    </w:pPr>
    <w:rPr>
      <w:rFonts w:ascii="Times New Roman" w:hAnsi="Times New Roman" w:eastAsia="宋体" w:cs="宋体"/>
      <w:spacing w:val="-2"/>
      <w:kern w:val="0"/>
      <w:sz w:val="24"/>
      <w:szCs w:val="20"/>
    </w:rPr>
  </w:style>
  <w:style w:type="paragraph" w:styleId="26">
    <w:name w:val="Normal (Web)"/>
    <w:basedOn w:val="1"/>
    <w:autoRedefine/>
    <w:unhideWhenUsed/>
    <w:qFormat/>
    <w:uiPriority w:val="0"/>
    <w:pPr>
      <w:ind w:firstLine="480" w:firstLineChars="200"/>
    </w:pPr>
    <w:rPr>
      <w:rFonts w:cs="Times New Roman"/>
      <w:szCs w:val="24"/>
    </w:rPr>
  </w:style>
  <w:style w:type="paragraph" w:styleId="27">
    <w:name w:val="Body Text First Indent"/>
    <w:basedOn w:val="2"/>
    <w:next w:val="1"/>
    <w:autoRedefine/>
    <w:semiHidden/>
    <w:unhideWhenUsed/>
    <w:qFormat/>
    <w:uiPriority w:val="99"/>
    <w:pPr>
      <w:ind w:firstLine="420" w:firstLineChars="100"/>
    </w:pPr>
  </w:style>
  <w:style w:type="paragraph" w:styleId="28">
    <w:name w:val="Body Text First Indent 2"/>
    <w:basedOn w:val="12"/>
    <w:next w:val="27"/>
    <w:autoRedefine/>
    <w:qFormat/>
    <w:uiPriority w:val="0"/>
    <w:pPr>
      <w:ind w:firstLine="420" w:firstLineChars="200"/>
    </w:pPr>
    <w:rPr>
      <w:rFonts w:ascii="Times New Roman" w:hAnsi="Times New Roman" w:eastAsia="宋体" w:cs="Times New Roman"/>
      <w:sz w:val="21"/>
      <w:szCs w:val="24"/>
    </w:rPr>
  </w:style>
  <w:style w:type="table" w:styleId="30">
    <w:name w:val="Table Grid"/>
    <w:basedOn w:val="2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autoRedefine/>
    <w:qFormat/>
    <w:uiPriority w:val="0"/>
    <w:rPr>
      <w:b/>
    </w:rPr>
  </w:style>
  <w:style w:type="character" w:styleId="33">
    <w:name w:val="Hyperlink"/>
    <w:basedOn w:val="31"/>
    <w:autoRedefine/>
    <w:qFormat/>
    <w:uiPriority w:val="0"/>
    <w:rPr>
      <w:color w:val="0000FF"/>
      <w:u w:val="single"/>
    </w:rPr>
  </w:style>
  <w:style w:type="character" w:styleId="34">
    <w:name w:val="annotation reference"/>
    <w:autoRedefine/>
    <w:qFormat/>
    <w:uiPriority w:val="0"/>
    <w:rPr>
      <w:sz w:val="21"/>
      <w:szCs w:val="21"/>
    </w:rPr>
  </w:style>
  <w:style w:type="character" w:customStyle="1" w:styleId="35">
    <w:name w:val="标题 1 Char"/>
    <w:link w:val="4"/>
    <w:autoRedefine/>
    <w:qFormat/>
    <w:uiPriority w:val="0"/>
    <w:rPr>
      <w:rFonts w:ascii="Times New Roman" w:hAnsi="Times New Roman" w:eastAsia="黑体" w:cs="Times New Roman"/>
      <w:bCs/>
      <w:snapToGrid w:val="0"/>
      <w:color w:val="000000"/>
      <w:kern w:val="44"/>
      <w:sz w:val="32"/>
      <w:szCs w:val="24"/>
      <w:lang w:val="en-US" w:eastAsia="zh-CN" w:bidi="ar"/>
    </w:rPr>
  </w:style>
  <w:style w:type="character" w:customStyle="1" w:styleId="36">
    <w:name w:val="标题 4 Char"/>
    <w:link w:val="7"/>
    <w:autoRedefine/>
    <w:qFormat/>
    <w:uiPriority w:val="9"/>
    <w:rPr>
      <w:rFonts w:ascii="Calibri Light" w:hAnsi="Calibri Light" w:eastAsia="黑体" w:cs="Times New Roman"/>
      <w:bCs/>
      <w:iCs/>
      <w:color w:val="000000"/>
      <w:kern w:val="2"/>
      <w:sz w:val="24"/>
      <w:szCs w:val="21"/>
      <w:lang w:val="en-US" w:eastAsia="zh-CN" w:bidi="ar-SA"/>
    </w:rPr>
  </w:style>
  <w:style w:type="character" w:customStyle="1" w:styleId="37">
    <w:name w:val="标题 3 Char"/>
    <w:autoRedefine/>
    <w:qFormat/>
    <w:uiPriority w:val="99"/>
    <w:rPr>
      <w:rFonts w:ascii="Times New Roman" w:hAnsi="Times New Roman" w:eastAsia="宋体" w:cs="Times New Roman"/>
      <w:b/>
      <w:bCs/>
      <w:sz w:val="24"/>
      <w:szCs w:val="32"/>
    </w:rPr>
  </w:style>
  <w:style w:type="paragraph" w:customStyle="1" w:styleId="38">
    <w:name w:val="样式 标题 1 + 四号 段前: 0 磅 段后: 0 磅 行距: 1.5 倍行距"/>
    <w:basedOn w:val="39"/>
    <w:autoRedefine/>
    <w:qFormat/>
    <w:uiPriority w:val="0"/>
    <w:pPr>
      <w:spacing w:line="360" w:lineRule="auto"/>
      <w:jc w:val="center"/>
    </w:pPr>
  </w:style>
  <w:style w:type="paragraph" w:customStyle="1" w:styleId="39">
    <w:name w:val="1正文"/>
    <w:basedOn w:val="1"/>
    <w:autoRedefine/>
    <w:qFormat/>
    <w:uiPriority w:val="0"/>
    <w:pPr>
      <w:ind w:firstLine="200" w:firstLineChars="200"/>
    </w:pPr>
    <w:rPr>
      <w:rFonts w:cs="Times New Roman"/>
      <w:szCs w:val="24"/>
    </w:rPr>
  </w:style>
  <w:style w:type="paragraph" w:customStyle="1" w:styleId="40">
    <w:name w:val="文本正文"/>
    <w:basedOn w:val="1"/>
    <w:autoRedefine/>
    <w:qFormat/>
    <w:uiPriority w:val="0"/>
    <w:pPr>
      <w:snapToGrid w:val="0"/>
      <w:spacing w:line="360" w:lineRule="auto"/>
      <w:ind w:firstLine="510"/>
      <w:jc w:val="left"/>
    </w:pPr>
    <w:rPr>
      <w:spacing w:val="4"/>
      <w:kern w:val="24"/>
      <w:szCs w:val="24"/>
      <w:lang w:val="zh-CN"/>
    </w:rPr>
  </w:style>
  <w:style w:type="paragraph" w:customStyle="1" w:styleId="41">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42">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43">
    <w:name w:val="xl27"/>
    <w:basedOn w:val="1"/>
    <w:autoRedefine/>
    <w:qFormat/>
    <w:uiPriority w:val="99"/>
    <w:pPr>
      <w:widowControl/>
      <w:pBdr>
        <w:left w:val="single" w:color="auto" w:sz="8" w:space="0"/>
        <w:bottom w:val="single" w:color="auto" w:sz="4" w:space="0"/>
        <w:right w:val="single" w:color="auto" w:sz="4" w:space="0"/>
      </w:pBdr>
      <w:spacing w:before="100" w:beforeAutospacing="1" w:after="100" w:afterAutospacing="1"/>
      <w:jc w:val="center"/>
    </w:pPr>
    <w:rPr>
      <w:rFonts w:eastAsia="Arial Unicode MS"/>
      <w:kern w:val="0"/>
      <w:sz w:val="24"/>
      <w:szCs w:val="24"/>
    </w:rPr>
  </w:style>
  <w:style w:type="paragraph" w:customStyle="1" w:styleId="44">
    <w:name w:val="正文1"/>
    <w:basedOn w:val="45"/>
    <w:autoRedefine/>
    <w:qFormat/>
    <w:uiPriority w:val="0"/>
    <w:pPr>
      <w:jc w:val="left"/>
    </w:pPr>
  </w:style>
  <w:style w:type="paragraph" w:customStyle="1" w:styleId="45">
    <w:name w:val="样式1"/>
    <w:basedOn w:val="25"/>
    <w:autoRedefine/>
    <w:qFormat/>
    <w:uiPriority w:val="0"/>
    <w:pPr>
      <w:adjustRightInd w:val="0"/>
      <w:spacing w:line="360" w:lineRule="exact"/>
      <w:ind w:firstLine="480" w:firstLineChars="200"/>
      <w:jc w:val="left"/>
      <w:textAlignment w:val="baseline"/>
    </w:pPr>
    <w:rPr>
      <w:rFonts w:eastAsia="楷体_GB2312"/>
      <w:sz w:val="24"/>
    </w:rPr>
  </w:style>
  <w:style w:type="paragraph" w:styleId="46">
    <w:name w:val="List Paragraph"/>
    <w:basedOn w:val="1"/>
    <w:autoRedefine/>
    <w:qFormat/>
    <w:uiPriority w:val="34"/>
    <w:pPr>
      <w:ind w:firstLine="420" w:firstLineChars="200"/>
    </w:pPr>
  </w:style>
  <w:style w:type="paragraph" w:customStyle="1" w:styleId="47">
    <w:name w:val="表格"/>
    <w:basedOn w:val="48"/>
    <w:autoRedefine/>
    <w:qFormat/>
    <w:uiPriority w:val="0"/>
    <w:pPr>
      <w:adjustRightInd w:val="0"/>
      <w:snapToGrid w:val="0"/>
      <w:spacing w:line="240" w:lineRule="auto"/>
      <w:jc w:val="center"/>
      <w:textAlignment w:val="center"/>
    </w:pPr>
    <w:rPr>
      <w:rFonts w:eastAsia="Times New Roman" w:cs="Times New Roman"/>
      <w:sz w:val="21"/>
      <w:szCs w:val="24"/>
    </w:rPr>
  </w:style>
  <w:style w:type="paragraph" w:customStyle="1" w:styleId="48">
    <w:name w:val="表题"/>
    <w:basedOn w:val="49"/>
    <w:autoRedefine/>
    <w:qFormat/>
    <w:uiPriority w:val="0"/>
    <w:pPr>
      <w:autoSpaceDE w:val="0"/>
      <w:autoSpaceDN w:val="0"/>
      <w:adjustRightInd w:val="0"/>
      <w:ind w:firstLine="0" w:firstLineChars="0"/>
      <w:jc w:val="center"/>
    </w:pPr>
    <w:rPr>
      <w:b/>
      <w:spacing w:val="1"/>
      <w:kern w:val="0"/>
      <w:sz w:val="21"/>
      <w:szCs w:val="21"/>
    </w:rPr>
  </w:style>
  <w:style w:type="paragraph" w:customStyle="1" w:styleId="49">
    <w:name w:val="表 格"/>
    <w:basedOn w:val="1"/>
    <w:autoRedefine/>
    <w:qFormat/>
    <w:uiPriority w:val="0"/>
    <w:pPr>
      <w:spacing w:line="240" w:lineRule="auto"/>
      <w:ind w:firstLine="0" w:firstLineChars="0"/>
      <w:jc w:val="center"/>
    </w:pPr>
    <w:rPr>
      <w:sz w:val="24"/>
    </w:rPr>
  </w:style>
  <w:style w:type="paragraph" w:customStyle="1" w:styleId="50">
    <w:name w:val="表头"/>
    <w:basedOn w:val="1"/>
    <w:next w:val="1"/>
    <w:autoRedefine/>
    <w:qFormat/>
    <w:uiPriority w:val="0"/>
    <w:pPr>
      <w:adjustRightInd w:val="0"/>
      <w:snapToGrid w:val="0"/>
      <w:spacing w:beforeLines="50"/>
      <w:ind w:firstLine="200" w:firstLineChars="200"/>
    </w:pPr>
    <w:rPr>
      <w:rFonts w:eastAsia="楷体_GB2312" w:cs="Times New Roman"/>
      <w:sz w:val="28"/>
      <w:szCs w:val="24"/>
    </w:rPr>
  </w:style>
  <w:style w:type="paragraph" w:customStyle="1" w:styleId="51">
    <w:name w:val="Heading #1|1"/>
    <w:basedOn w:val="1"/>
    <w:autoRedefine/>
    <w:qFormat/>
    <w:uiPriority w:val="0"/>
    <w:pPr>
      <w:autoSpaceDE w:val="0"/>
      <w:autoSpaceDN w:val="0"/>
      <w:spacing w:after="300" w:line="240" w:lineRule="auto"/>
      <w:jc w:val="left"/>
      <w:outlineLvl w:val="0"/>
    </w:pPr>
    <w:rPr>
      <w:rFonts w:ascii="宋体" w:hAnsi="宋体" w:cs="宋体"/>
      <w:kern w:val="0"/>
      <w:sz w:val="28"/>
      <w:szCs w:val="28"/>
      <w:lang w:val="zh-TW" w:eastAsia="zh-TW" w:bidi="zh-TW"/>
    </w:rPr>
  </w:style>
  <w:style w:type="paragraph" w:customStyle="1" w:styleId="52">
    <w:name w:val="表标题"/>
    <w:basedOn w:val="1"/>
    <w:next w:val="1"/>
    <w:autoRedefine/>
    <w:qFormat/>
    <w:uiPriority w:val="0"/>
    <w:pPr>
      <w:adjustRightInd w:val="0"/>
      <w:snapToGrid w:val="0"/>
      <w:spacing w:line="240" w:lineRule="auto"/>
      <w:ind w:firstLine="482" w:firstLineChars="200"/>
      <w:jc w:val="center"/>
      <w:textAlignment w:val="baseline"/>
    </w:pPr>
    <w:rPr>
      <w:rFonts w:eastAsia="Times New Roman" w:cs="Times New Roman"/>
      <w:b/>
      <w:bCs/>
      <w:kern w:val="0"/>
      <w:szCs w:val="24"/>
    </w:rPr>
  </w:style>
  <w:style w:type="paragraph" w:customStyle="1" w:styleId="53">
    <w:name w:val="Table Paragraph"/>
    <w:basedOn w:val="1"/>
    <w:autoRedefine/>
    <w:qFormat/>
    <w:uiPriority w:val="1"/>
    <w:pPr>
      <w:autoSpaceDE w:val="0"/>
      <w:autoSpaceDN w:val="0"/>
      <w:jc w:val="center"/>
    </w:pPr>
    <w:rPr>
      <w:rFonts w:ascii="宋体" w:hAnsi="宋体" w:cs="宋体"/>
      <w:kern w:val="0"/>
      <w:lang w:val="zh-CN" w:bidi="zh-CN"/>
    </w:rPr>
  </w:style>
  <w:style w:type="character" w:customStyle="1" w:styleId="54">
    <w:name w:val="文本内容 Char"/>
    <w:link w:val="55"/>
    <w:autoRedefine/>
    <w:qFormat/>
    <w:uiPriority w:val="0"/>
    <w:rPr>
      <w:rFonts w:cs="宋体"/>
      <w:kern w:val="0"/>
      <w:szCs w:val="20"/>
    </w:rPr>
  </w:style>
  <w:style w:type="paragraph" w:customStyle="1" w:styleId="55">
    <w:name w:val="文本内容"/>
    <w:basedOn w:val="1"/>
    <w:link w:val="54"/>
    <w:qFormat/>
    <w:uiPriority w:val="0"/>
    <w:pPr>
      <w:widowControl/>
      <w:adjustRightInd w:val="0"/>
      <w:snapToGrid w:val="0"/>
      <w:ind w:firstLine="480" w:firstLineChars="200"/>
      <w:jc w:val="left"/>
    </w:pPr>
    <w:rPr>
      <w:rFonts w:cs="宋体"/>
      <w:kern w:val="0"/>
      <w:szCs w:val="20"/>
    </w:rPr>
  </w:style>
  <w:style w:type="paragraph" w:customStyle="1" w:styleId="56">
    <w:name w:val="Char Char Char Char Char Char2"/>
    <w:basedOn w:val="1"/>
    <w:autoRedefine/>
    <w:qFormat/>
    <w:uiPriority w:val="0"/>
    <w:pPr>
      <w:widowControl/>
      <w:spacing w:line="240" w:lineRule="auto"/>
    </w:pPr>
    <w:rPr>
      <w:rFonts w:cs="Times New Roman"/>
      <w:szCs w:val="24"/>
    </w:rPr>
  </w:style>
  <w:style w:type="paragraph" w:customStyle="1" w:styleId="57">
    <w:name w:val="Char Char Char Char Char Char Char Char Char Char Char Char2"/>
    <w:basedOn w:val="1"/>
    <w:autoRedefine/>
    <w:qFormat/>
    <w:uiPriority w:val="0"/>
    <w:pPr>
      <w:widowControl/>
      <w:spacing w:line="240" w:lineRule="auto"/>
    </w:pPr>
    <w:rPr>
      <w:rFonts w:ascii="宋体" w:hAnsi="宋体" w:cs="Times New Roman"/>
      <w:szCs w:val="20"/>
    </w:rPr>
  </w:style>
  <w:style w:type="character" w:customStyle="1" w:styleId="58">
    <w:name w:val="fontstyle01"/>
    <w:autoRedefine/>
    <w:qFormat/>
    <w:uiPriority w:val="0"/>
    <w:rPr>
      <w:rFonts w:hint="eastAsia" w:ascii="宋体" w:hAnsi="宋体" w:eastAsia="宋体"/>
      <w:color w:val="000000"/>
      <w:sz w:val="24"/>
      <w:szCs w:val="24"/>
    </w:rPr>
  </w:style>
  <w:style w:type="paragraph" w:customStyle="1" w:styleId="59">
    <w:name w:val="表格标题"/>
    <w:basedOn w:val="1"/>
    <w:autoRedefine/>
    <w:qFormat/>
    <w:uiPriority w:val="0"/>
    <w:pPr>
      <w:ind w:firstLine="0" w:firstLineChars="0"/>
      <w:jc w:val="center"/>
    </w:pPr>
    <w:rPr>
      <w:b/>
      <w:sz w:val="21"/>
    </w:rPr>
  </w:style>
  <w:style w:type="paragraph" w:customStyle="1" w:styleId="60">
    <w:name w:val="小标题"/>
    <w:basedOn w:val="1"/>
    <w:autoRedefine/>
    <w:qFormat/>
    <w:uiPriority w:val="0"/>
    <w:pPr>
      <w:jc w:val="left"/>
    </w:pPr>
    <w:rPr>
      <w:b/>
    </w:rPr>
  </w:style>
  <w:style w:type="paragraph" w:customStyle="1" w:styleId="61">
    <w:name w:val="表格文字"/>
    <w:basedOn w:val="62"/>
    <w:next w:val="1"/>
    <w:autoRedefine/>
    <w:qFormat/>
    <w:uiPriority w:val="1"/>
    <w:pPr>
      <w:tabs>
        <w:tab w:val="left" w:pos="3780"/>
      </w:tabs>
      <w:adjustRightInd w:val="0"/>
      <w:snapToGrid w:val="0"/>
      <w:spacing w:beforeLines="10" w:afterLines="10" w:line="240" w:lineRule="auto"/>
      <w:jc w:val="center"/>
      <w:textAlignment w:val="baseline"/>
    </w:pPr>
    <w:rPr>
      <w:rFonts w:cs="黑体"/>
      <w:b/>
      <w:kern w:val="0"/>
      <w:sz w:val="21"/>
    </w:rPr>
  </w:style>
  <w:style w:type="paragraph" w:customStyle="1" w:styleId="62">
    <w:name w:val="正文格式"/>
    <w:basedOn w:val="1"/>
    <w:autoRedefine/>
    <w:qFormat/>
    <w:uiPriority w:val="0"/>
    <w:pPr>
      <w:ind w:firstLine="480"/>
    </w:pPr>
    <w:rPr>
      <w:rFonts w:eastAsia="仿宋_GB2312"/>
    </w:rPr>
  </w:style>
  <w:style w:type="paragraph" w:customStyle="1" w:styleId="63">
    <w:name w:val="报告书正文"/>
    <w:basedOn w:val="27"/>
    <w:qFormat/>
    <w:uiPriority w:val="0"/>
    <w:pPr>
      <w:autoSpaceDE w:val="0"/>
      <w:autoSpaceDN w:val="0"/>
      <w:spacing w:after="0"/>
      <w:ind w:left="200" w:leftChars="200" w:firstLine="200" w:firstLineChars="200"/>
      <w:jc w:val="left"/>
    </w:pPr>
    <w:rPr>
      <w:rFonts w:ascii="宋体" w:hAnsi="宋体" w:cs="Times New Roman"/>
      <w:kern w:val="0"/>
      <w:szCs w:val="24"/>
      <w:lang w:val="zh-CN" w:bidi="zh-CN"/>
    </w:rPr>
  </w:style>
  <w:style w:type="paragraph" w:customStyle="1" w:styleId="64">
    <w:name w:val="正文001"/>
    <w:basedOn w:val="1"/>
    <w:autoRedefine/>
    <w:qFormat/>
    <w:uiPriority w:val="0"/>
    <w:pPr>
      <w:spacing w:before="60" w:line="460" w:lineRule="exact"/>
      <w:ind w:firstLine="482"/>
    </w:pPr>
    <w:rPr>
      <w:sz w:val="24"/>
      <w:szCs w:val="22"/>
    </w:rPr>
  </w:style>
  <w:style w:type="character" w:customStyle="1" w:styleId="65">
    <w:name w:val="font21"/>
    <w:basedOn w:val="31"/>
    <w:autoRedefine/>
    <w:qFormat/>
    <w:uiPriority w:val="0"/>
    <w:rPr>
      <w:rFonts w:hint="eastAsia" w:ascii="宋体" w:hAnsi="宋体" w:eastAsia="宋体" w:cs="宋体"/>
      <w:color w:val="000000"/>
      <w:sz w:val="22"/>
      <w:szCs w:val="22"/>
      <w:u w:val="none"/>
      <w:vertAlign w:val="superscript"/>
    </w:rPr>
  </w:style>
  <w:style w:type="paragraph" w:customStyle="1" w:styleId="66">
    <w:name w:val="表格内容"/>
    <w:basedOn w:val="1"/>
    <w:next w:val="1"/>
    <w:autoRedefine/>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table" w:customStyle="1" w:styleId="67">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68">
    <w:name w:val="正文 李健"/>
    <w:basedOn w:val="1"/>
    <w:autoRedefine/>
    <w:qFormat/>
    <w:uiPriority w:val="0"/>
    <w:pPr>
      <w:adjustRightInd w:val="0"/>
      <w:snapToGrid w:val="0"/>
      <w:textAlignment w:val="baseline"/>
    </w:pPr>
    <w:rPr>
      <w:szCs w:val="21"/>
    </w:rPr>
  </w:style>
  <w:style w:type="paragraph" w:customStyle="1" w:styleId="69">
    <w:name w:val="11正文"/>
    <w:basedOn w:val="1"/>
    <w:autoRedefine/>
    <w:qFormat/>
    <w:uiPriority w:val="0"/>
    <w:pPr>
      <w:spacing w:line="360" w:lineRule="auto"/>
      <w:ind w:firstLine="200" w:firstLineChars="200"/>
    </w:pPr>
    <w:rPr>
      <w:sz w:val="24"/>
      <w:szCs w:val="24"/>
    </w:rPr>
  </w:style>
  <w:style w:type="paragraph" w:customStyle="1" w:styleId="70">
    <w:name w:val="正文文字"/>
    <w:basedOn w:val="1"/>
    <w:autoRedefine/>
    <w:qFormat/>
    <w:uiPriority w:val="0"/>
    <w:pPr>
      <w:widowControl/>
      <w:spacing w:line="360" w:lineRule="auto"/>
      <w:ind w:firstLine="480" w:firstLineChars="200"/>
      <w:jc w:val="left"/>
    </w:pPr>
    <w:rPr>
      <w:bCs/>
      <w:color w:val="FF0000"/>
      <w:kern w:val="0"/>
      <w:sz w:val="24"/>
    </w:rPr>
  </w:style>
  <w:style w:type="character" w:customStyle="1" w:styleId="71">
    <w:name w:val="font131"/>
    <w:basedOn w:val="31"/>
    <w:autoRedefine/>
    <w:qFormat/>
    <w:uiPriority w:val="0"/>
    <w:rPr>
      <w:rFonts w:hint="default" w:ascii="Times New Roman" w:hAnsi="Times New Roman" w:cs="Times New Roman"/>
      <w:color w:val="000000"/>
      <w:sz w:val="18"/>
      <w:szCs w:val="18"/>
      <w:u w:val="none"/>
      <w:vertAlign w:val="subscript"/>
    </w:rPr>
  </w:style>
  <w:style w:type="character" w:customStyle="1" w:styleId="72">
    <w:name w:val="font112"/>
    <w:basedOn w:val="31"/>
    <w:autoRedefine/>
    <w:qFormat/>
    <w:uiPriority w:val="0"/>
    <w:rPr>
      <w:rFonts w:hint="default" w:ascii="Calibri" w:hAnsi="Calibri" w:cs="Calibri"/>
      <w:color w:val="000000"/>
      <w:sz w:val="18"/>
      <w:szCs w:val="18"/>
      <w:u w:val="none"/>
      <w:vertAlign w:val="superscript"/>
    </w:rPr>
  </w:style>
  <w:style w:type="character" w:customStyle="1" w:styleId="73">
    <w:name w:val="标题 3 Char1"/>
    <w:link w:val="6"/>
    <w:autoRedefine/>
    <w:qFormat/>
    <w:uiPriority w:val="0"/>
    <w:rPr>
      <w:rFonts w:ascii="Times New Roman" w:hAnsi="Times New Roman" w:eastAsia="黑体"/>
      <w:bCs/>
      <w:szCs w:val="32"/>
    </w:rPr>
  </w:style>
  <w:style w:type="paragraph" w:customStyle="1" w:styleId="74">
    <w:name w:val="赵"/>
    <w:basedOn w:val="1"/>
    <w:autoRedefine/>
    <w:qFormat/>
    <w:uiPriority w:val="0"/>
    <w:pPr>
      <w:widowControl/>
      <w:tabs>
        <w:tab w:val="left" w:pos="540"/>
        <w:tab w:val="left" w:pos="851"/>
        <w:tab w:val="left" w:pos="994"/>
        <w:tab w:val="left" w:pos="1260"/>
        <w:tab w:val="left" w:pos="3108"/>
        <w:tab w:val="left" w:pos="3150"/>
      </w:tabs>
      <w:adjustRightInd w:val="0"/>
      <w:spacing w:line="360" w:lineRule="auto"/>
      <w:ind w:firstLine="200" w:firstLineChars="200"/>
    </w:pPr>
    <w:rPr>
      <w:snapToGrid w:val="0"/>
      <w:color w:val="000000"/>
      <w:kern w:val="32"/>
      <w:sz w:val="24"/>
      <w:szCs w:val="28"/>
    </w:rPr>
  </w:style>
  <w:style w:type="paragraph" w:customStyle="1" w:styleId="75">
    <w:name w:val="Normal Indent1"/>
    <w:basedOn w:val="1"/>
    <w:autoRedefine/>
    <w:qFormat/>
    <w:uiPriority w:val="0"/>
    <w:pPr>
      <w:ind w:firstLine="420"/>
    </w:pPr>
  </w:style>
  <w:style w:type="paragraph" w:customStyle="1" w:styleId="76">
    <w:name w:val="标题4"/>
    <w:basedOn w:val="4"/>
    <w:autoRedefine/>
    <w:qFormat/>
    <w:uiPriority w:val="0"/>
    <w:pPr>
      <w:spacing w:before="80" w:after="80"/>
      <w:jc w:val="left"/>
      <w:outlineLvl w:val="3"/>
    </w:pPr>
    <w:rPr>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3.png"/><Relationship Id="rId52" Type="http://schemas.openxmlformats.org/officeDocument/2006/relationships/image" Target="media/image32.wmf"/><Relationship Id="rId51" Type="http://schemas.openxmlformats.org/officeDocument/2006/relationships/oleObject" Target="embeddings/oleObject9.bin"/><Relationship Id="rId50" Type="http://schemas.openxmlformats.org/officeDocument/2006/relationships/image" Target="media/image31.png"/><Relationship Id="rId5" Type="http://schemas.openxmlformats.org/officeDocument/2006/relationships/footer" Target="footer1.xml"/><Relationship Id="rId49" Type="http://schemas.openxmlformats.org/officeDocument/2006/relationships/image" Target="media/image30.png"/><Relationship Id="rId48" Type="http://schemas.openxmlformats.org/officeDocument/2006/relationships/image" Target="media/image29.jpeg"/><Relationship Id="rId47" Type="http://schemas.openxmlformats.org/officeDocument/2006/relationships/image" Target="media/image28.png"/><Relationship Id="rId46" Type="http://schemas.openxmlformats.org/officeDocument/2006/relationships/image" Target="media/image27.jpeg"/><Relationship Id="rId45" Type="http://schemas.openxmlformats.org/officeDocument/2006/relationships/image" Target="media/image26.wmf"/><Relationship Id="rId44" Type="http://schemas.openxmlformats.org/officeDocument/2006/relationships/oleObject" Target="embeddings/oleObject8.bin"/><Relationship Id="rId43" Type="http://schemas.openxmlformats.org/officeDocument/2006/relationships/image" Target="media/image25.png"/><Relationship Id="rId42" Type="http://schemas.openxmlformats.org/officeDocument/2006/relationships/image" Target="media/image24.wmf"/><Relationship Id="rId41" Type="http://schemas.openxmlformats.org/officeDocument/2006/relationships/oleObject" Target="embeddings/oleObject7.bin"/><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chart" Target="charts/chart3.xml"/><Relationship Id="rId34" Type="http://schemas.openxmlformats.org/officeDocument/2006/relationships/chart" Target="charts/chart2.xml"/><Relationship Id="rId33" Type="http://schemas.openxmlformats.org/officeDocument/2006/relationships/chart" Target="charts/chart1.xml"/><Relationship Id="rId32" Type="http://schemas.openxmlformats.org/officeDocument/2006/relationships/image" Target="media/image18.pn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5.bin"/><Relationship Id="rId17" Type="http://schemas.openxmlformats.org/officeDocument/2006/relationships/image" Target="media/image5.emf"/><Relationship Id="rId16" Type="http://schemas.openxmlformats.org/officeDocument/2006/relationships/oleObject" Target="embeddings/oleObject4.bin"/><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jpeg"/><Relationship Id="rId10" Type="http://schemas.openxmlformats.org/officeDocument/2006/relationships/image" Target="media/image1.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Administrator\Desktop\&#22320;&#19979;&#27700;&#39044;&#27979;.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C:\Users\Administrator\Desktop\&#22320;&#19979;&#27700;&#39044;&#27979;.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file:///C:\Users\Administrator\Desktop\&#22320;&#19979;&#27700;&#39044;&#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[地下水预测.xlsx]Sheet1!$B$1</c:f>
              <c:strCache>
                <c:ptCount val="1"/>
                <c:pt idx="0">
                  <c:v>100d</c:v>
                </c:pt>
              </c:strCache>
            </c:strRef>
          </c:tx>
          <c:spPr>
            <a:ln w="28575" cap="rnd" cmpd="sng">
              <a:solidFill>
                <a:schemeClr val="accent2"/>
              </a:solidFill>
              <a:prstDash val="solid"/>
              <a:round/>
            </a:ln>
            <a:effectLst/>
          </c:spPr>
          <c:marker>
            <c:symbol val="none"/>
          </c:marker>
          <c:dLbls>
            <c:delete val="1"/>
          </c:dLbls>
          <c:cat>
            <c:numRef>
              <c:f>[地下水预测.xlsx]Sheet1!$A$2:$A$42</c:f>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f>[地下水预测.xlsx]Sheet1!$B$2:$B$42</c:f>
              <c:numCache>
                <c:formatCode>General</c:formatCode>
                <c:ptCount val="41"/>
                <c:pt idx="0">
                  <c:v>30</c:v>
                </c:pt>
                <c:pt idx="1">
                  <c:v>9.672199</c:v>
                </c:pt>
                <c:pt idx="2">
                  <c:v>1.409256</c:v>
                </c:pt>
                <c:pt idx="3">
                  <c:v>0.08497152</c:v>
                </c:pt>
                <c:pt idx="4">
                  <c:v>0.002026581</c:v>
                </c:pt>
                <c:pt idx="5" c:formatCode="0.00E+00">
                  <c:v>1.86588e-5</c:v>
                </c:pt>
                <c:pt idx="6" c:formatCode="0.00E+00">
                  <c:v>6.538518e-8</c:v>
                </c:pt>
                <c:pt idx="7" c:formatCode="0.00E+00">
                  <c:v>8.643573e-11</c:v>
                </c:pt>
                <c:pt idx="8" c:formatCode="0.00E+00">
                  <c:v>4.482669e-14</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0"/>
        </c:ser>
        <c:ser>
          <c:idx val="2"/>
          <c:order val="2"/>
          <c:tx>
            <c:strRef>
              <c:f>[地下水预测.xlsx]Sheet1!$C$1</c:f>
              <c:strCache>
                <c:ptCount val="1"/>
                <c:pt idx="0">
                  <c:v>365d</c:v>
                </c:pt>
              </c:strCache>
            </c:strRef>
          </c:tx>
          <c:spPr>
            <a:ln w="28575" cap="rnd" cmpd="sng">
              <a:solidFill>
                <a:schemeClr val="accent3"/>
              </a:solidFill>
              <a:prstDash val="solid"/>
              <a:round/>
            </a:ln>
            <a:effectLst/>
          </c:spPr>
          <c:marker>
            <c:symbol val="none"/>
          </c:marker>
          <c:dLbls>
            <c:delete val="1"/>
          </c:dLbls>
          <c:cat>
            <c:numRef>
              <c:f>[地下水预测.xlsx]Sheet1!$A$2:$A$42</c:f>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f>[地下水预测.xlsx]Sheet1!$C$2:$C$42</c:f>
              <c:numCache>
                <c:formatCode>General</c:formatCode>
                <c:ptCount val="41"/>
                <c:pt idx="0">
                  <c:v>30</c:v>
                </c:pt>
                <c:pt idx="1">
                  <c:v>18.30818</c:v>
                </c:pt>
                <c:pt idx="2">
                  <c:v>9.140733</c:v>
                </c:pt>
                <c:pt idx="3">
                  <c:v>3.66104</c:v>
                </c:pt>
                <c:pt idx="4">
                  <c:v>1.160146</c:v>
                </c:pt>
                <c:pt idx="5">
                  <c:v>0.2880746</c:v>
                </c:pt>
                <c:pt idx="6">
                  <c:v>0.05566991</c:v>
                </c:pt>
                <c:pt idx="7">
                  <c:v>0.008331832</c:v>
                </c:pt>
                <c:pt idx="8">
                  <c:v>0.0009623168</c:v>
                </c:pt>
                <c:pt idx="9" c:formatCode="0.00E+00">
                  <c:v>8.554591e-5</c:v>
                </c:pt>
                <c:pt idx="10" c:formatCode="0.00E+00">
                  <c:v>5.841236e-6</c:v>
                </c:pt>
                <c:pt idx="11" c:formatCode="0.00E+00">
                  <c:v>3.058797e-7</c:v>
                </c:pt>
                <c:pt idx="12" c:formatCode="0.00E+00">
                  <c:v>1.226862e-8</c:v>
                </c:pt>
                <c:pt idx="13" c:formatCode="0.00E+00">
                  <c:v>3.765359e-10</c:v>
                </c:pt>
                <c:pt idx="14" c:formatCode="0.00E+00">
                  <c:v>9.47904e-12</c:v>
                </c:pt>
                <c:pt idx="15" c:formatCode="0.00E+00">
                  <c:v>1.683625e-13</c:v>
                </c:pt>
                <c:pt idx="16" c:formatCode="0.00E+00">
                  <c:v>1.665335e-15</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0"/>
        </c:ser>
        <c:ser>
          <c:idx val="3"/>
          <c:order val="3"/>
          <c:tx>
            <c:strRef>
              <c:f>[地下水预测.xlsx]Sheet1!$D$1</c:f>
              <c:strCache>
                <c:ptCount val="1"/>
                <c:pt idx="0">
                  <c:v>1000d</c:v>
                </c:pt>
              </c:strCache>
            </c:strRef>
          </c:tx>
          <c:spPr>
            <a:ln w="28575" cap="rnd" cmpd="sng">
              <a:solidFill>
                <a:schemeClr val="accent4"/>
              </a:solidFill>
              <a:prstDash val="solid"/>
              <a:round/>
            </a:ln>
            <a:effectLst/>
          </c:spPr>
          <c:marker>
            <c:symbol val="none"/>
          </c:marker>
          <c:dLbls>
            <c:delete val="1"/>
          </c:dLbls>
          <c:cat>
            <c:numRef>
              <c:f>[地下水预测.xlsx]Sheet1!$A$2:$A$42</c:f>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f>[地下水预测.xlsx]Sheet1!$D$2:$D$42</c:f>
              <c:numCache>
                <c:formatCode>General</c:formatCode>
                <c:ptCount val="41"/>
                <c:pt idx="0">
                  <c:v>30</c:v>
                </c:pt>
                <c:pt idx="1">
                  <c:v>22.91224</c:v>
                </c:pt>
                <c:pt idx="2">
                  <c:v>16.31884</c:v>
                </c:pt>
                <c:pt idx="3">
                  <c:v>10.78208</c:v>
                </c:pt>
                <c:pt idx="4">
                  <c:v>6.580284</c:v>
                </c:pt>
                <c:pt idx="5">
                  <c:v>3.696652</c:v>
                </c:pt>
                <c:pt idx="6">
                  <c:v>1.906253</c:v>
                </c:pt>
                <c:pt idx="7">
                  <c:v>0.9002903</c:v>
                </c:pt>
                <c:pt idx="8">
                  <c:v>0.3887099</c:v>
                </c:pt>
                <c:pt idx="9">
                  <c:v>0.1532038</c:v>
                </c:pt>
                <c:pt idx="10">
                  <c:v>0.0550545</c:v>
                </c:pt>
                <c:pt idx="11">
                  <c:v>0.01802048</c:v>
                </c:pt>
                <c:pt idx="12">
                  <c:v>0.005368283</c:v>
                </c:pt>
                <c:pt idx="13">
                  <c:v>0.001454467</c:v>
                </c:pt>
                <c:pt idx="14">
                  <c:v>0.0003581976</c:v>
                </c:pt>
                <c:pt idx="15" c:formatCode="0.00E+00">
                  <c:v>8.014585e-5</c:v>
                </c:pt>
                <c:pt idx="16" c:formatCode="0.00E+00">
                  <c:v>1.628541e-5</c:v>
                </c:pt>
                <c:pt idx="17" c:formatCode="0.00E+00">
                  <c:v>3.004144e-6</c:v>
                </c:pt>
                <c:pt idx="18" c:formatCode="0.00E+00">
                  <c:v>5.029361e-7</c:v>
                </c:pt>
                <c:pt idx="19" c:formatCode="0.00E+00">
                  <c:v>7.639382e-8</c:v>
                </c:pt>
                <c:pt idx="20" c:formatCode="0.00E+00">
                  <c:v>1.052578e-8</c:v>
                </c:pt>
                <c:pt idx="21" c:formatCode="0.00E+00">
                  <c:v>1.315259e-9</c:v>
                </c:pt>
                <c:pt idx="22" c:formatCode="0.00E+00">
                  <c:v>1.490202e-10</c:v>
                </c:pt>
                <c:pt idx="23" c:formatCode="0.00E+00">
                  <c:v>1.644605e-11</c:v>
                </c:pt>
                <c:pt idx="24" c:formatCode="0.00E+00">
                  <c:v>1.519859e-12</c:v>
                </c:pt>
                <c:pt idx="25" c:formatCode="0.00E+00">
                  <c:v>1.262893e-13</c:v>
                </c:pt>
                <c:pt idx="26" c:formatCode="0.00E+00">
                  <c:v>8.822793e-15</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0"/>
        </c:ser>
        <c:ser>
          <c:idx val="4"/>
          <c:order val="4"/>
          <c:tx>
            <c:strRef>
              <c:f>[地下水预测.xlsx]Sheet1!$E$1</c:f>
              <c:strCache>
                <c:ptCount val="1"/>
                <c:pt idx="0">
                  <c:v>1825d</c:v>
                </c:pt>
              </c:strCache>
            </c:strRef>
          </c:tx>
          <c:spPr>
            <a:ln w="28575" cap="rnd" cmpd="sng">
              <a:solidFill>
                <a:schemeClr val="accent5"/>
              </a:solidFill>
              <a:prstDash val="solid"/>
              <a:round/>
            </a:ln>
            <a:effectLst/>
          </c:spPr>
          <c:marker>
            <c:symbol val="none"/>
          </c:marker>
          <c:dLbls>
            <c:delete val="1"/>
          </c:dLbls>
          <c:cat>
            <c:numRef>
              <c:f>[地下水预测.xlsx]Sheet1!$A$2:$A$42</c:f>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f>[地下水预测.xlsx]Sheet1!$E$2:$E$42</c:f>
              <c:numCache>
                <c:formatCode>General</c:formatCode>
                <c:ptCount val="41"/>
                <c:pt idx="0">
                  <c:v>30</c:v>
                </c:pt>
                <c:pt idx="1">
                  <c:v>24.83219</c:v>
                </c:pt>
                <c:pt idx="2">
                  <c:v>19.79995</c:v>
                </c:pt>
                <c:pt idx="3">
                  <c:v>15.17285</c:v>
                </c:pt>
                <c:pt idx="4">
                  <c:v>11.15217</c:v>
                </c:pt>
                <c:pt idx="5">
                  <c:v>7.848737</c:v>
                </c:pt>
                <c:pt idx="6">
                  <c:v>5.281462</c:v>
                </c:pt>
                <c:pt idx="7">
                  <c:v>3.393769</c:v>
                </c:pt>
                <c:pt idx="8">
                  <c:v>2.080292</c:v>
                </c:pt>
                <c:pt idx="9">
                  <c:v>1.215314</c:v>
                </c:pt>
                <c:pt idx="10">
                  <c:v>0.6761458</c:v>
                </c:pt>
                <c:pt idx="11">
                  <c:v>0.3580092</c:v>
                </c:pt>
                <c:pt idx="12">
                  <c:v>0.1803039</c:v>
                </c:pt>
                <c:pt idx="13">
                  <c:v>0.08633001</c:v>
                </c:pt>
                <c:pt idx="14">
                  <c:v>0.03928098</c:v>
                </c:pt>
                <c:pt idx="15">
                  <c:v>0.01697887</c:v>
                </c:pt>
                <c:pt idx="16">
                  <c:v>0.006969522</c:v>
                </c:pt>
                <c:pt idx="17">
                  <c:v>0.002716094</c:v>
                </c:pt>
                <c:pt idx="18">
                  <c:v>0.001004681</c:v>
                </c:pt>
                <c:pt idx="19">
                  <c:v>0.0003526629</c:v>
                </c:pt>
                <c:pt idx="20">
                  <c:v>0.000117451</c:v>
                </c:pt>
                <c:pt idx="21" c:formatCode="0.00E+00">
                  <c:v>3.710606e-5</c:v>
                </c:pt>
                <c:pt idx="22" c:formatCode="0.00E+00">
                  <c:v>1.111882e-5</c:v>
                </c:pt>
                <c:pt idx="23" c:formatCode="0.00E+00">
                  <c:v>3.159651e-6</c:v>
                </c:pt>
                <c:pt idx="24" c:formatCode="0.00E+00">
                  <c:v>8.513983e-7</c:v>
                </c:pt>
                <c:pt idx="25" c:formatCode="0.00E+00">
                  <c:v>2.175162e-7</c:v>
                </c:pt>
                <c:pt idx="26" c:formatCode="0.00E+00">
                  <c:v>5.268322e-8</c:v>
                </c:pt>
                <c:pt idx="27" c:formatCode="0.00E+00">
                  <c:v>1.209581e-8</c:v>
                </c:pt>
                <c:pt idx="28" c:formatCode="0.00E+00">
                  <c:v>2.632352e-9</c:v>
                </c:pt>
                <c:pt idx="29" c:formatCode="0.00E+00">
                  <c:v>5.429552e-10</c:v>
                </c:pt>
                <c:pt idx="30" c:formatCode="0.00E+00">
                  <c:v>1.103302e-10</c:v>
                </c:pt>
                <c:pt idx="31" c:formatCode="0.00E+00">
                  <c:v>2.113432e-11</c:v>
                </c:pt>
                <c:pt idx="32" c:formatCode="0.00E+00">
                  <c:v>3.690411e-12</c:v>
                </c:pt>
                <c:pt idx="33" c:formatCode="0.00E+00">
                  <c:v>6.097047e-13</c:v>
                </c:pt>
                <c:pt idx="34" c:formatCode="0.00E+00">
                  <c:v>9.772735e-14</c:v>
                </c:pt>
                <c:pt idx="35" c:formatCode="0.00E+00">
                  <c:v>1.176535e-14</c:v>
                </c:pt>
                <c:pt idx="36" c:formatCode="0.00E+00">
                  <c:v>1.665335e-15</c:v>
                </c:pt>
                <c:pt idx="37">
                  <c:v>0</c:v>
                </c:pt>
                <c:pt idx="38">
                  <c:v>0</c:v>
                </c:pt>
                <c:pt idx="39">
                  <c:v>0</c:v>
                </c:pt>
                <c:pt idx="40">
                  <c:v>0</c:v>
                </c:pt>
              </c:numCache>
            </c:numRef>
          </c:val>
          <c:smooth val="0"/>
        </c:ser>
        <c:dLbls>
          <c:showLegendKey val="0"/>
          <c:showVal val="0"/>
          <c:showCatName val="0"/>
          <c:showSerName val="0"/>
          <c:showPercent val="0"/>
          <c:showBubbleSize val="0"/>
        </c:dLbls>
        <c:dropLines>
          <c:spPr>
            <a:ln w="12700" cap="flat" cmpd="sng" algn="ctr">
              <a:noFill/>
              <a:prstDash val="sysDash"/>
              <a:round/>
            </a:ln>
            <a:effectLst/>
          </c:spPr>
        </c:dropLines>
        <c:marker val="0"/>
        <c:smooth val="0"/>
        <c:axId val="907891956"/>
        <c:axId val="666396215"/>
        <c:extLst>
          <c:ext xmlns:c15="http://schemas.microsoft.com/office/drawing/2012/chart" uri="{02D57815-91ED-43cb-92C2-25804820EDAC}">
            <c15:filteredLineSeries>
              <c15:ser>
                <c:idx val="0"/>
                <c:order val="0"/>
                <c:tx>
                  <c:strRef>
                    <c:extLst>
                      <c:ext uri="{02D57815-91ED-43cb-92C2-25804820EDAC}">
                        <c15:formulaRef>
                          <c15:sqref>[地下水预测.xlsx]Sheet1!$A$1</c15:sqref>
                        </c15:formulaRef>
                      </c:ext>
                    </c:extLst>
                    <c:strCache>
                      <c:ptCount val="1"/>
                      <c:pt idx="0">
                        <c:v>距离</c:v>
                      </c:pt>
                    </c:strCache>
                  </c:strRef>
                </c:tx>
                <c:spPr>
                  <a:ln w="28575" cap="rnd" cmpd="sng">
                    <a:solidFill>
                      <a:schemeClr val="accent1"/>
                    </a:solidFill>
                    <a:prstDash val="solid"/>
                    <a:round/>
                  </a:ln>
                  <a:effectLst/>
                </c:spPr>
                <c:marker>
                  <c:symbol val="none"/>
                </c:marker>
                <c:dLbls>
                  <c:delete val="1"/>
                </c:dLbls>
                <c:cat>
                  <c:numRef>
                    <c:extLst>
                      <c:ext uri="{02D57815-91ED-43cb-92C2-25804820EDAC}">
                        <c15:fullRef>
                          <c15:sqref/>
                        </c15:fullRef>
                        <c15:formulaRef>
                          <c15:sqref>[地下水预测.xlsx]Sheet1!$A$2:$A$42</c15:sqref>
                        </c15:formulaRef>
                      </c:ext>
                    </c:extLst>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extLst>
                      <c:ext uri="{02D57815-91ED-43cb-92C2-25804820EDAC}">
                        <c15:formulaRef>
                          <c15:sqref>{0,10,20,30,40,50,60,70,80,90,100,110,120,130,140,150,160,170,180,190,200,210,220,230,240,250,260,270,280,290,300,310,320,330,340,350,360,370,380,390,400,0,30,30,30,30,0,30,30,30,30}</c15:sqref>
                        </c15:formulaRef>
                      </c:ext>
                    </c:extLst>
                    <c:numCache>
                      <c:formatCode>General</c:formatCode>
                      <c:ptCount val="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0</c:v>
                      </c:pt>
                      <c:pt idx="42">
                        <c:v>30</c:v>
                      </c:pt>
                      <c:pt idx="43">
                        <c:v>30</c:v>
                      </c:pt>
                      <c:pt idx="44">
                        <c:v>30</c:v>
                      </c:pt>
                      <c:pt idx="45">
                        <c:v>30</c:v>
                      </c:pt>
                      <c:pt idx="46">
                        <c:v>0</c:v>
                      </c:pt>
                      <c:pt idx="47">
                        <c:v>30</c:v>
                      </c:pt>
                      <c:pt idx="48">
                        <c:v>30</c:v>
                      </c:pt>
                      <c:pt idx="49">
                        <c:v>30</c:v>
                      </c:pt>
                      <c:pt idx="50">
                        <c:v>30</c:v>
                      </c:pt>
                    </c:numCache>
                  </c:numRef>
                </c:val>
                <c:smooth val="0"/>
              </c15:ser>
            </c15:filteredLineSeries>
          </c:ext>
        </c:extLst>
      </c:lineChart>
      <c:catAx>
        <c:axId val="907891956"/>
        <c:scaling>
          <c:orientation val="minMax"/>
        </c:scaling>
        <c:delete val="0"/>
        <c:axPos val="b"/>
        <c:title>
          <c:tx>
            <c:rich>
              <a:bodyPr rot="0" spcFirstLastPara="0" vertOverflow="ellipsis" vert="horz" wrap="square" anchor="ctr" anchorCtr="1"/>
              <a:lstStyle/>
              <a:p>
                <a:pPr defTabSz="914400">
                  <a:defRPr lang="zh-CN" sz="1400" b="0" i="0" u="none" strike="noStrike" kern="1200" baseline="0">
                    <a:solidFill>
                      <a:schemeClr val="tx1">
                        <a:lumMod val="65000"/>
                        <a:lumOff val="35000"/>
                      </a:schemeClr>
                    </a:solidFill>
                    <a:latin typeface="+mj-lt"/>
                    <a:ea typeface="+mj-lt"/>
                    <a:cs typeface="+mj-lt"/>
                    <a:sym typeface="+mj-lt"/>
                  </a:defRPr>
                </a:pPr>
                <a:r>
                  <a:t>距离</a:t>
                </a:r>
                <a:r>
                  <a:rPr lang="en-US" altLang="zh-CN"/>
                  <a:t>m</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50000"/>
                    <a:lumOff val="50000"/>
                  </a:schemeClr>
                </a:solidFill>
                <a:latin typeface="+mj-lt"/>
                <a:ea typeface="+mj-lt"/>
                <a:cs typeface="+mj-lt"/>
                <a:sym typeface="+mj-lt"/>
              </a:defRPr>
            </a:pPr>
          </a:p>
        </c:txPr>
        <c:crossAx val="666396215"/>
        <c:crosses val="autoZero"/>
        <c:auto val="1"/>
        <c:lblAlgn val="ctr"/>
        <c:lblOffset val="100"/>
        <c:noMultiLvlLbl val="0"/>
      </c:catAx>
      <c:valAx>
        <c:axId val="666396215"/>
        <c:scaling>
          <c:orientation val="minMax"/>
        </c:scaling>
        <c:delete val="0"/>
        <c:axPos val="l"/>
        <c:majorGridlines>
          <c:spPr>
            <a:ln w="12700" cap="flat" cmpd="sng" algn="ctr">
              <a:solidFill>
                <a:schemeClr val="bg1">
                  <a:lumMod val="95000"/>
                </a:schemeClr>
              </a:solidFill>
              <a:prstDash val="solid"/>
              <a:round/>
            </a:ln>
            <a:effectLst/>
          </c:spPr>
        </c:majorGridlines>
        <c:title>
          <c:tx>
            <c:rich>
              <a:bodyPr rot="-5400000" spcFirstLastPara="0" vertOverflow="ellipsis" vert="horz" wrap="square" anchor="ctr" anchorCtr="1"/>
              <a:lstStyle/>
              <a:p>
                <a:pPr defTabSz="914400">
                  <a:defRPr lang="zh-CN" sz="1400" b="0" i="0" u="none" strike="noStrike" kern="1200" baseline="0">
                    <a:solidFill>
                      <a:schemeClr val="tx1">
                        <a:lumMod val="65000"/>
                        <a:lumOff val="35000"/>
                      </a:schemeClr>
                    </a:solidFill>
                    <a:latin typeface="+mj-lt"/>
                    <a:ea typeface="+mj-lt"/>
                    <a:cs typeface="+mj-lt"/>
                    <a:sym typeface="+mj-lt"/>
                  </a:defRPr>
                </a:pPr>
                <a:r>
                  <a:rPr altLang="en-US"/>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50000"/>
                    <a:lumOff val="50000"/>
                  </a:schemeClr>
                </a:solidFill>
                <a:latin typeface="+mj-lt"/>
                <a:ea typeface="+mj-lt"/>
                <a:cs typeface="+mj-lt"/>
                <a:sym typeface="+mj-lt"/>
              </a:defRPr>
            </a:pPr>
          </a:p>
        </c:txPr>
        <c:crossAx val="907891956"/>
        <c:crosses val="autoZero"/>
        <c:crossBetween val="between"/>
      </c:valAx>
      <c:spPr>
        <a:noFill/>
        <a:ln>
          <a:noFill/>
        </a:ln>
        <a:effectLst/>
      </c:spPr>
    </c:plotArea>
    <c:legend>
      <c:legendPos val="t"/>
      <c:layout>
        <c:manualLayout>
          <c:xMode val="edge"/>
          <c:yMode val="edge"/>
          <c:x val="0.105139787236541"/>
          <c:y val="0.12850803792488"/>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j-lt"/>
              <a:ea typeface="+mj-lt"/>
              <a:cs typeface="+mj-lt"/>
              <a:sym typeface="+mj-lt"/>
            </a:defRPr>
          </a:pPr>
        </a:p>
      </c:txPr>
    </c:legend>
    <c:plotVisOnly val="1"/>
    <c:dispBlanksAs val="gap"/>
    <c:showDLblsOverMax val="0"/>
  </c:chart>
  <c:spPr>
    <a:solidFill>
      <a:schemeClr val="bg1"/>
    </a:solidFill>
    <a:ln w="12700" cap="flat" cmpd="sng" algn="ctr">
      <a:solidFill>
        <a:schemeClr val="bg1">
          <a:lumMod val="85000"/>
        </a:schemeClr>
      </a:solidFill>
      <a:prstDash val="dashDot"/>
      <a:round/>
    </a:ln>
    <a:effectLst>
      <a:outerShdw blurRad="63500" dist="37357" dir="2700000" sx="0" sy="0" rotWithShape="0">
        <a:scrgbClr r="0" g="0" b="0"/>
      </a:outerShdw>
    </a:effectLst>
  </c:spPr>
  <c:txPr>
    <a:bodyPr anchor="ctr"/>
    <a:lstStyle/>
    <a:p>
      <a:pPr>
        <a:defRPr lang="zh-CN" sz="1400">
          <a:latin typeface="+mj-lt"/>
          <a:ea typeface="+mj-lt"/>
          <a:cs typeface="+mj-lt"/>
          <a:sym typeface="+mj-lt"/>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[地下水预测.xlsx]Sheet1!$B$1</c:f>
              <c:strCache>
                <c:ptCount val="1"/>
                <c:pt idx="0">
                  <c:v>100d</c:v>
                </c:pt>
              </c:strCache>
            </c:strRef>
          </c:tx>
          <c:spPr>
            <a:ln w="28575" cap="rnd" cmpd="sng">
              <a:solidFill>
                <a:schemeClr val="accent2"/>
              </a:solidFill>
              <a:prstDash val="solid"/>
              <a:round/>
            </a:ln>
            <a:effectLst/>
          </c:spPr>
          <c:marker>
            <c:symbol val="none"/>
          </c:marker>
          <c:dLbls>
            <c:delete val="1"/>
          </c:dLbls>
          <c:cat>
            <c:numRef>
              <c:f>[地下水预测.xlsx]Sheet1!$A$2:$A$42</c:f>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f>[地下水预测.xlsx]Sheet1!$B$2:$B$42</c:f>
              <c:numCache>
                <c:formatCode>General</c:formatCode>
                <c:ptCount val="41"/>
                <c:pt idx="0">
                  <c:v>0.21</c:v>
                </c:pt>
                <c:pt idx="1">
                  <c:v>0.06770539</c:v>
                </c:pt>
                <c:pt idx="2">
                  <c:v>0.009864789</c:v>
                </c:pt>
                <c:pt idx="3">
                  <c:v>0.0005948007</c:v>
                </c:pt>
                <c:pt idx="4" c:formatCode="0.00E+00">
                  <c:v>1.418606e-5</c:v>
                </c:pt>
                <c:pt idx="5" c:formatCode="0.00E+00">
                  <c:v>1.306116e-7</c:v>
                </c:pt>
                <c:pt idx="6" c:formatCode="0.00E+00">
                  <c:v>4.576963e-10</c:v>
                </c:pt>
                <c:pt idx="7" c:formatCode="0.00E+00">
                  <c:v>6.0505e-13</c:v>
                </c:pt>
                <c:pt idx="8" c:formatCode="0.00E+00">
                  <c:v>3.137868e-16</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0"/>
        </c:ser>
        <c:ser>
          <c:idx val="2"/>
          <c:order val="2"/>
          <c:tx>
            <c:strRef>
              <c:f>[地下水预测.xlsx]Sheet1!$C$1</c:f>
              <c:strCache>
                <c:ptCount val="1"/>
                <c:pt idx="0">
                  <c:v>365d</c:v>
                </c:pt>
              </c:strCache>
            </c:strRef>
          </c:tx>
          <c:spPr>
            <a:ln w="28575" cap="rnd" cmpd="sng">
              <a:solidFill>
                <a:schemeClr val="accent3"/>
              </a:solidFill>
              <a:prstDash val="solid"/>
              <a:round/>
            </a:ln>
            <a:effectLst/>
          </c:spPr>
          <c:marker>
            <c:symbol val="none"/>
          </c:marker>
          <c:dLbls>
            <c:delete val="1"/>
          </c:dLbls>
          <c:cat>
            <c:numRef>
              <c:f>[地下水预测.xlsx]Sheet1!$A$2:$A$42</c:f>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f>[地下水预测.xlsx]Sheet1!$C$2:$C$42</c:f>
              <c:numCache>
                <c:formatCode>General</c:formatCode>
                <c:ptCount val="41"/>
                <c:pt idx="0">
                  <c:v>0.21</c:v>
                </c:pt>
                <c:pt idx="1">
                  <c:v>0.1281573</c:v>
                </c:pt>
                <c:pt idx="2">
                  <c:v>0.06398513</c:v>
                </c:pt>
                <c:pt idx="3">
                  <c:v>0.02562728</c:v>
                </c:pt>
                <c:pt idx="4">
                  <c:v>0.008121023</c:v>
                </c:pt>
                <c:pt idx="5">
                  <c:v>0.002016522</c:v>
                </c:pt>
                <c:pt idx="6">
                  <c:v>0.0003896893</c:v>
                </c:pt>
                <c:pt idx="7" c:formatCode="0.00E+00">
                  <c:v>5.832282e-5</c:v>
                </c:pt>
                <c:pt idx="8" c:formatCode="0.00E+00">
                  <c:v>6.736218e-6</c:v>
                </c:pt>
                <c:pt idx="9" c:formatCode="0.00E+00">
                  <c:v>5.988214e-7</c:v>
                </c:pt>
                <c:pt idx="10" c:formatCode="0.00E+00">
                  <c:v>4.088865e-8</c:v>
                </c:pt>
                <c:pt idx="11" c:formatCode="0.00E+00">
                  <c:v>2.141158e-9</c:v>
                </c:pt>
                <c:pt idx="12" c:formatCode="0.00E+00">
                  <c:v>8.588034e-11</c:v>
                </c:pt>
                <c:pt idx="13" c:formatCode="0.00E+00">
                  <c:v>2.635751e-12</c:v>
                </c:pt>
                <c:pt idx="14" c:formatCode="0.00E+00">
                  <c:v>6.635327e-14</c:v>
                </c:pt>
                <c:pt idx="15" c:formatCode="0.00E+00">
                  <c:v>1.178538e-15</c:v>
                </c:pt>
                <c:pt idx="16" c:formatCode="0.00E+00">
                  <c:v>1.165734e-17</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0"/>
        </c:ser>
        <c:ser>
          <c:idx val="3"/>
          <c:order val="3"/>
          <c:tx>
            <c:strRef>
              <c:f>[地下水预测.xlsx]Sheet1!$D$1</c:f>
              <c:strCache>
                <c:ptCount val="1"/>
                <c:pt idx="0">
                  <c:v>1000d</c:v>
                </c:pt>
              </c:strCache>
            </c:strRef>
          </c:tx>
          <c:spPr>
            <a:ln w="28575" cap="rnd" cmpd="sng">
              <a:solidFill>
                <a:schemeClr val="accent4"/>
              </a:solidFill>
              <a:prstDash val="solid"/>
              <a:round/>
            </a:ln>
            <a:effectLst/>
          </c:spPr>
          <c:marker>
            <c:symbol val="none"/>
          </c:marker>
          <c:dLbls>
            <c:delete val="1"/>
          </c:dLbls>
          <c:cat>
            <c:numRef>
              <c:f>[地下水预测.xlsx]Sheet1!$A$2:$A$42</c:f>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f>[地下水预测.xlsx]Sheet1!$D$2:$D$42</c:f>
              <c:numCache>
                <c:formatCode>General</c:formatCode>
                <c:ptCount val="41"/>
                <c:pt idx="0">
                  <c:v>0.21</c:v>
                </c:pt>
                <c:pt idx="1">
                  <c:v>0.1603857</c:v>
                </c:pt>
                <c:pt idx="2">
                  <c:v>0.1142319</c:v>
                </c:pt>
                <c:pt idx="3">
                  <c:v>0.07547457</c:v>
                </c:pt>
                <c:pt idx="4">
                  <c:v>0.04606199</c:v>
                </c:pt>
                <c:pt idx="5">
                  <c:v>0.02587657</c:v>
                </c:pt>
                <c:pt idx="6">
                  <c:v>0.01334377</c:v>
                </c:pt>
                <c:pt idx="7">
                  <c:v>0.006302032</c:v>
                </c:pt>
                <c:pt idx="8">
                  <c:v>0.002720969</c:v>
                </c:pt>
                <c:pt idx="9">
                  <c:v>0.001072427</c:v>
                </c:pt>
                <c:pt idx="10">
                  <c:v>0.0003853815</c:v>
                </c:pt>
                <c:pt idx="11">
                  <c:v>0.0001261433</c:v>
                </c:pt>
                <c:pt idx="12" c:formatCode="0.00E+00">
                  <c:v>3.757797e-5</c:v>
                </c:pt>
                <c:pt idx="13" c:formatCode="0.00E+00">
                  <c:v>1.018127e-5</c:v>
                </c:pt>
                <c:pt idx="14" c:formatCode="0.00E+00">
                  <c:v>2.507383e-6</c:v>
                </c:pt>
                <c:pt idx="15" c:formatCode="0.00E+00">
                  <c:v>5.61021e-7</c:v>
                </c:pt>
                <c:pt idx="16" c:formatCode="0.00E+00">
                  <c:v>1.139979e-7</c:v>
                </c:pt>
                <c:pt idx="17" c:formatCode="0.00E+00">
                  <c:v>2.1029e-8</c:v>
                </c:pt>
                <c:pt idx="18" c:formatCode="0.00E+00">
                  <c:v>3.520553e-9</c:v>
                </c:pt>
                <c:pt idx="19" c:formatCode="0.00E+00">
                  <c:v>5.347567e-10</c:v>
                </c:pt>
                <c:pt idx="20" c:formatCode="0.00E+00">
                  <c:v>7.368047e-11</c:v>
                </c:pt>
                <c:pt idx="21" c:formatCode="0.00E+00">
                  <c:v>9.206812e-12</c:v>
                </c:pt>
                <c:pt idx="22" c:formatCode="0.00E+00">
                  <c:v>1.043141e-12</c:v>
                </c:pt>
                <c:pt idx="23" c:formatCode="0.00E+00">
                  <c:v>1.151223e-13</c:v>
                </c:pt>
                <c:pt idx="24" c:formatCode="0.00E+00">
                  <c:v>1.063901e-14</c:v>
                </c:pt>
                <c:pt idx="25" c:formatCode="0.00E+00">
                  <c:v>8.840251e-16</c:v>
                </c:pt>
                <c:pt idx="26" c:formatCode="0.00E+00">
                  <c:v>6.175955e-17</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0"/>
        </c:ser>
        <c:ser>
          <c:idx val="4"/>
          <c:order val="4"/>
          <c:tx>
            <c:strRef>
              <c:f>[地下水预测.xlsx]Sheet1!$E$1</c:f>
              <c:strCache>
                <c:ptCount val="1"/>
                <c:pt idx="0">
                  <c:v>1825d</c:v>
                </c:pt>
              </c:strCache>
            </c:strRef>
          </c:tx>
          <c:spPr>
            <a:ln w="28575" cap="rnd" cmpd="sng">
              <a:solidFill>
                <a:schemeClr val="accent5"/>
              </a:solidFill>
              <a:prstDash val="solid"/>
              <a:round/>
            </a:ln>
            <a:effectLst/>
          </c:spPr>
          <c:marker>
            <c:symbol val="none"/>
          </c:marker>
          <c:dLbls>
            <c:delete val="1"/>
          </c:dLbls>
          <c:cat>
            <c:numRef>
              <c:f>[地下水预测.xlsx]Sheet1!$A$2:$A$42</c:f>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f>[地下水预测.xlsx]Sheet1!$E$2:$E$42</c:f>
              <c:numCache>
                <c:formatCode>General</c:formatCode>
                <c:ptCount val="41"/>
                <c:pt idx="0">
                  <c:v>0.21</c:v>
                </c:pt>
                <c:pt idx="1">
                  <c:v>0.1738253</c:v>
                </c:pt>
                <c:pt idx="2">
                  <c:v>0.1385996</c:v>
                </c:pt>
                <c:pt idx="3">
                  <c:v>0.1062099</c:v>
                </c:pt>
                <c:pt idx="4">
                  <c:v>0.07806522</c:v>
                </c:pt>
                <c:pt idx="5">
                  <c:v>0.05494116</c:v>
                </c:pt>
                <c:pt idx="6">
                  <c:v>0.03697023</c:v>
                </c:pt>
                <c:pt idx="7">
                  <c:v>0.02375638</c:v>
                </c:pt>
                <c:pt idx="8">
                  <c:v>0.01456205</c:v>
                </c:pt>
                <c:pt idx="9">
                  <c:v>0.008507198</c:v>
                </c:pt>
                <c:pt idx="10">
                  <c:v>0.00473302</c:v>
                </c:pt>
                <c:pt idx="11">
                  <c:v>0.002506065</c:v>
                </c:pt>
                <c:pt idx="12">
                  <c:v>0.001262127</c:v>
                </c:pt>
                <c:pt idx="13">
                  <c:v>0.0006043101</c:v>
                </c:pt>
                <c:pt idx="14">
                  <c:v>0.0002749669</c:v>
                </c:pt>
                <c:pt idx="15">
                  <c:v>0.0001188521</c:v>
                </c:pt>
                <c:pt idx="16" c:formatCode="0.00E+00">
                  <c:v>4.878665e-5</c:v>
                </c:pt>
                <c:pt idx="17" c:formatCode="0.00E+00">
                  <c:v>1.901266e-5</c:v>
                </c:pt>
                <c:pt idx="18" c:formatCode="0.00E+00">
                  <c:v>7.032768e-6</c:v>
                </c:pt>
                <c:pt idx="19" c:formatCode="0.00E+00">
                  <c:v>2.46864e-6</c:v>
                </c:pt>
                <c:pt idx="20" c:formatCode="0.00E+00">
                  <c:v>8.221567e-7</c:v>
                </c:pt>
                <c:pt idx="21" c:formatCode="0.00E+00">
                  <c:v>2.597424e-7</c:v>
                </c:pt>
                <c:pt idx="22" c:formatCode="0.00E+00">
                  <c:v>7.783174e-8</c:v>
                </c:pt>
                <c:pt idx="23" c:formatCode="0.00E+00">
                  <c:v>2.211756e-8</c:v>
                </c:pt>
                <c:pt idx="24" c:formatCode="0.00E+00">
                  <c:v>5.959788e-9</c:v>
                </c:pt>
                <c:pt idx="25" c:formatCode="0.00E+00">
                  <c:v>1.522614e-9</c:v>
                </c:pt>
                <c:pt idx="26" c:formatCode="0.00E+00">
                  <c:v>3.687825e-10</c:v>
                </c:pt>
                <c:pt idx="27" c:formatCode="0.00E+00">
                  <c:v>8.467067e-11</c:v>
                </c:pt>
                <c:pt idx="28" c:formatCode="0.00E+00">
                  <c:v>1.842647e-11</c:v>
                </c:pt>
                <c:pt idx="29" c:formatCode="0.00E+00">
                  <c:v>3.800686e-12</c:v>
                </c:pt>
                <c:pt idx="30" c:formatCode="0.00E+00">
                  <c:v>7.723115e-13</c:v>
                </c:pt>
                <c:pt idx="31" c:formatCode="0.00E+00">
                  <c:v>1.479403e-13</c:v>
                </c:pt>
                <c:pt idx="32" c:formatCode="0.00E+00">
                  <c:v>2.583288e-14</c:v>
                </c:pt>
                <c:pt idx="33" c:formatCode="0.00E+00">
                  <c:v>4.267933e-15</c:v>
                </c:pt>
                <c:pt idx="34" c:formatCode="0.00E+00">
                  <c:v>6.840914e-16</c:v>
                </c:pt>
                <c:pt idx="35" c:formatCode="0.00E+00">
                  <c:v>8.235742e-17</c:v>
                </c:pt>
                <c:pt idx="36" c:formatCode="0.00E+00">
                  <c:v>1.165734e-17</c:v>
                </c:pt>
                <c:pt idx="37">
                  <c:v>0</c:v>
                </c:pt>
                <c:pt idx="38">
                  <c:v>0</c:v>
                </c:pt>
                <c:pt idx="39">
                  <c:v>0</c:v>
                </c:pt>
                <c:pt idx="40">
                  <c:v>0</c:v>
                </c:pt>
              </c:numCache>
            </c:numRef>
          </c:val>
          <c:smooth val="0"/>
        </c:ser>
        <c:dLbls>
          <c:showLegendKey val="0"/>
          <c:showVal val="0"/>
          <c:showCatName val="0"/>
          <c:showSerName val="0"/>
          <c:showPercent val="0"/>
          <c:showBubbleSize val="0"/>
        </c:dLbls>
        <c:dropLines>
          <c:spPr>
            <a:ln w="12700" cap="flat" cmpd="sng" algn="ctr">
              <a:noFill/>
              <a:prstDash val="sysDash"/>
              <a:round/>
            </a:ln>
            <a:effectLst/>
          </c:spPr>
        </c:dropLines>
        <c:marker val="0"/>
        <c:smooth val="0"/>
        <c:axId val="907891956"/>
        <c:axId val="666396215"/>
        <c:extLst>
          <c:ext xmlns:c15="http://schemas.microsoft.com/office/drawing/2012/chart" uri="{02D57815-91ED-43cb-92C2-25804820EDAC}">
            <c15:filteredLineSeries>
              <c15:ser>
                <c:idx val="0"/>
                <c:order val="0"/>
                <c:tx>
                  <c:strRef>
                    <c:extLst>
                      <c:ext uri="{02D57815-91ED-43cb-92C2-25804820EDAC}">
                        <c15:formulaRef>
                          <c15:sqref>[地下水预测.xlsx]Sheet1!$A$1</c15:sqref>
                        </c15:formulaRef>
                      </c:ext>
                    </c:extLst>
                    <c:strCache>
                      <c:ptCount val="1"/>
                      <c:pt idx="0">
                        <c:v>距离</c:v>
                      </c:pt>
                    </c:strCache>
                  </c:strRef>
                </c:tx>
                <c:spPr>
                  <a:ln w="28575" cap="rnd" cmpd="sng">
                    <a:solidFill>
                      <a:schemeClr val="accent1"/>
                    </a:solidFill>
                    <a:prstDash val="solid"/>
                    <a:round/>
                  </a:ln>
                  <a:effectLst/>
                </c:spPr>
                <c:marker>
                  <c:symbol val="none"/>
                </c:marker>
                <c:dLbls>
                  <c:delete val="1"/>
                </c:dLbls>
                <c:cat>
                  <c:numRef>
                    <c:extLst>
                      <c:ext uri="{02D57815-91ED-43cb-92C2-25804820EDAC}">
                        <c15:fullRef>
                          <c15:sqref/>
                        </c15:fullRef>
                        <c15:formulaRef>
                          <c15:sqref>[地下水预测.xlsx]Sheet1!$A$2:$A$42</c15:sqref>
                        </c15:formulaRef>
                      </c:ext>
                    </c:extLst>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extLst>
                      <c:ext uri="{02D57815-91ED-43cb-92C2-25804820EDAC}">
                        <c15:formulaRef>
                          <c15:sqref>{0,10,20,30,40,50,60,70,80,90,100,110,120,130,140,150,160,170,180,190,200,210,220,230,240,250,260,270,280,290,300,310,320,330,340,350,360,370,380,390,400,0,0.21,0.21,0.21,0.21,0,0.21,0.21,0.21,0.21}</c15:sqref>
                        </c15:formulaRef>
                      </c:ext>
                    </c:extLst>
                    <c:numCache>
                      <c:formatCode>General</c:formatCode>
                      <c:ptCount val="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0</c:v>
                      </c:pt>
                      <c:pt idx="42">
                        <c:v>0.21</c:v>
                      </c:pt>
                      <c:pt idx="43">
                        <c:v>0.21</c:v>
                      </c:pt>
                      <c:pt idx="44">
                        <c:v>0.21</c:v>
                      </c:pt>
                      <c:pt idx="45">
                        <c:v>0.21</c:v>
                      </c:pt>
                      <c:pt idx="46">
                        <c:v>0</c:v>
                      </c:pt>
                      <c:pt idx="47">
                        <c:v>0.21</c:v>
                      </c:pt>
                      <c:pt idx="48">
                        <c:v>0.21</c:v>
                      </c:pt>
                      <c:pt idx="49">
                        <c:v>0.21</c:v>
                      </c:pt>
                      <c:pt idx="50">
                        <c:v>0.21</c:v>
                      </c:pt>
                    </c:numCache>
                  </c:numRef>
                </c:val>
                <c:smooth val="0"/>
              </c15:ser>
            </c15:filteredLineSeries>
          </c:ext>
        </c:extLst>
      </c:lineChart>
      <c:catAx>
        <c:axId val="907891956"/>
        <c:scaling>
          <c:orientation val="minMax"/>
        </c:scaling>
        <c:delete val="0"/>
        <c:axPos val="b"/>
        <c:title>
          <c:tx>
            <c:rich>
              <a:bodyPr rot="0" spcFirstLastPara="0" vertOverflow="ellipsis" vert="horz" wrap="square" anchor="ctr" anchorCtr="1"/>
              <a:lstStyle/>
              <a:p>
                <a:pPr defTabSz="914400">
                  <a:defRPr lang="zh-CN" sz="1400" b="0" i="0" u="none" strike="noStrike" kern="1200" baseline="0">
                    <a:solidFill>
                      <a:schemeClr val="tx1">
                        <a:lumMod val="65000"/>
                        <a:lumOff val="35000"/>
                      </a:schemeClr>
                    </a:solidFill>
                    <a:latin typeface="+mj-lt"/>
                    <a:ea typeface="+mj-lt"/>
                    <a:cs typeface="+mj-lt"/>
                    <a:sym typeface="+mj-lt"/>
                  </a:defRPr>
                </a:pPr>
                <a:r>
                  <a:t>距离</a:t>
                </a:r>
                <a:r>
                  <a:rPr lang="en-US" altLang="zh-CN"/>
                  <a:t>m</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50000"/>
                    <a:lumOff val="50000"/>
                  </a:schemeClr>
                </a:solidFill>
                <a:latin typeface="+mj-lt"/>
                <a:ea typeface="+mj-lt"/>
                <a:cs typeface="+mj-lt"/>
                <a:sym typeface="+mj-lt"/>
              </a:defRPr>
            </a:pPr>
          </a:p>
        </c:txPr>
        <c:crossAx val="666396215"/>
        <c:crosses val="autoZero"/>
        <c:auto val="1"/>
        <c:lblAlgn val="ctr"/>
        <c:lblOffset val="100"/>
        <c:noMultiLvlLbl val="0"/>
      </c:catAx>
      <c:valAx>
        <c:axId val="666396215"/>
        <c:scaling>
          <c:orientation val="minMax"/>
        </c:scaling>
        <c:delete val="0"/>
        <c:axPos val="l"/>
        <c:majorGridlines>
          <c:spPr>
            <a:ln w="12700" cap="flat" cmpd="sng" algn="ctr">
              <a:solidFill>
                <a:schemeClr val="bg1">
                  <a:lumMod val="95000"/>
                </a:schemeClr>
              </a:solidFill>
              <a:prstDash val="solid"/>
              <a:round/>
            </a:ln>
            <a:effectLst/>
          </c:spPr>
        </c:majorGridlines>
        <c:title>
          <c:tx>
            <c:rich>
              <a:bodyPr rot="-5400000" spcFirstLastPara="0" vertOverflow="ellipsis" vert="horz" wrap="square" anchor="ctr" anchorCtr="1"/>
              <a:lstStyle/>
              <a:p>
                <a:pPr defTabSz="914400">
                  <a:defRPr lang="zh-CN" sz="1400" b="0" i="0" u="none" strike="noStrike" kern="1200" baseline="0">
                    <a:solidFill>
                      <a:schemeClr val="tx1">
                        <a:lumMod val="65000"/>
                        <a:lumOff val="35000"/>
                      </a:schemeClr>
                    </a:solidFill>
                    <a:latin typeface="+mj-lt"/>
                    <a:ea typeface="+mj-lt"/>
                    <a:cs typeface="+mj-lt"/>
                    <a:sym typeface="+mj-lt"/>
                  </a:defRPr>
                </a:pPr>
                <a:r>
                  <a:rPr altLang="en-US"/>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50000"/>
                    <a:lumOff val="50000"/>
                  </a:schemeClr>
                </a:solidFill>
                <a:latin typeface="+mj-lt"/>
                <a:ea typeface="+mj-lt"/>
                <a:cs typeface="+mj-lt"/>
                <a:sym typeface="+mj-lt"/>
              </a:defRPr>
            </a:pPr>
          </a:p>
        </c:txPr>
        <c:crossAx val="907891956"/>
        <c:crosses val="autoZero"/>
        <c:crossBetween val="between"/>
      </c:valAx>
      <c:spPr>
        <a:noFill/>
        <a:ln>
          <a:noFill/>
        </a:ln>
        <a:effectLst/>
      </c:spPr>
    </c:plotArea>
    <c:legend>
      <c:legendPos val="t"/>
      <c:layout>
        <c:manualLayout>
          <c:xMode val="edge"/>
          <c:yMode val="edge"/>
          <c:x val="0.213692418815488"/>
          <c:y val="0.0521191490359911"/>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j-lt"/>
              <a:ea typeface="+mj-lt"/>
              <a:cs typeface="+mj-lt"/>
              <a:sym typeface="+mj-lt"/>
            </a:defRPr>
          </a:pPr>
        </a:p>
      </c:txPr>
    </c:legend>
    <c:plotVisOnly val="1"/>
    <c:dispBlanksAs val="gap"/>
    <c:showDLblsOverMax val="0"/>
  </c:chart>
  <c:spPr>
    <a:solidFill>
      <a:schemeClr val="bg1"/>
    </a:solidFill>
    <a:ln w="12700" cap="flat" cmpd="sng" algn="ctr">
      <a:solidFill>
        <a:schemeClr val="bg1">
          <a:lumMod val="85000"/>
        </a:schemeClr>
      </a:solidFill>
      <a:prstDash val="dashDot"/>
      <a:round/>
    </a:ln>
    <a:effectLst>
      <a:outerShdw blurRad="63500" dist="37357" dir="2700000" sx="0" sy="0" rotWithShape="0">
        <a:scrgbClr r="0" g="0" b="0"/>
      </a:outerShdw>
    </a:effectLst>
  </c:spPr>
  <c:txPr>
    <a:bodyPr anchor="ctr"/>
    <a:lstStyle/>
    <a:p>
      <a:pPr>
        <a:defRPr lang="zh-CN" sz="1400">
          <a:latin typeface="+mj-lt"/>
          <a:ea typeface="+mj-lt"/>
          <a:cs typeface="+mj-lt"/>
          <a:sym typeface="+mj-lt"/>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[地下水预测.xlsx]Sheet1!$B$1</c:f>
              <c:strCache>
                <c:ptCount val="1"/>
                <c:pt idx="0">
                  <c:v>100d</c:v>
                </c:pt>
              </c:strCache>
            </c:strRef>
          </c:tx>
          <c:spPr>
            <a:ln w="28575" cap="rnd" cmpd="sng">
              <a:solidFill>
                <a:schemeClr val="accent2"/>
              </a:solidFill>
              <a:prstDash val="solid"/>
              <a:round/>
            </a:ln>
            <a:effectLst/>
          </c:spPr>
          <c:marker>
            <c:symbol val="none"/>
          </c:marker>
          <c:dLbls>
            <c:delete val="1"/>
          </c:dLbls>
          <c:cat>
            <c:numRef>
              <c:f>[地下水预测.xlsx]Sheet1!$A$2:$A$42</c:f>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f>[地下水预测.xlsx]Sheet1!$B$2:$B$42</c:f>
              <c:numCache>
                <c:formatCode>General</c:formatCode>
                <c:ptCount val="41"/>
                <c:pt idx="0">
                  <c:v>0.02</c:v>
                </c:pt>
                <c:pt idx="1">
                  <c:v>0.006448133</c:v>
                </c:pt>
                <c:pt idx="2">
                  <c:v>0.0009395037</c:v>
                </c:pt>
                <c:pt idx="3" c:formatCode="0.00E+00">
                  <c:v>5.664768e-5</c:v>
                </c:pt>
                <c:pt idx="4" c:formatCode="0.00E+00">
                  <c:v>1.351054e-6</c:v>
                </c:pt>
                <c:pt idx="5" c:formatCode="0.00E+00">
                  <c:v>1.24392e-8</c:v>
                </c:pt>
                <c:pt idx="6" c:formatCode="0.00E+00">
                  <c:v>4.359012e-11</c:v>
                </c:pt>
                <c:pt idx="7" c:formatCode="0.00E+00">
                  <c:v>5.762381e-14</c:v>
                </c:pt>
                <c:pt idx="8" c:formatCode="0.00E+00">
                  <c:v>2.988446e-17</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0"/>
        </c:ser>
        <c:ser>
          <c:idx val="2"/>
          <c:order val="2"/>
          <c:tx>
            <c:strRef>
              <c:f>[地下水预测.xlsx]Sheet1!$C$1</c:f>
              <c:strCache>
                <c:ptCount val="1"/>
                <c:pt idx="0">
                  <c:v>365d</c:v>
                </c:pt>
              </c:strCache>
            </c:strRef>
          </c:tx>
          <c:spPr>
            <a:ln w="28575" cap="rnd" cmpd="sng">
              <a:solidFill>
                <a:schemeClr val="accent3"/>
              </a:solidFill>
              <a:prstDash val="solid"/>
              <a:round/>
            </a:ln>
            <a:effectLst/>
          </c:spPr>
          <c:marker>
            <c:symbol val="none"/>
          </c:marker>
          <c:dLbls>
            <c:delete val="1"/>
          </c:dLbls>
          <c:cat>
            <c:numRef>
              <c:f>[地下水预测.xlsx]Sheet1!$A$2:$A$42</c:f>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f>[地下水预测.xlsx]Sheet1!$C$2:$C$42</c:f>
              <c:numCache>
                <c:formatCode>General</c:formatCode>
                <c:ptCount val="41"/>
                <c:pt idx="0">
                  <c:v>0.02</c:v>
                </c:pt>
                <c:pt idx="1">
                  <c:v>0.01220545</c:v>
                </c:pt>
                <c:pt idx="2">
                  <c:v>0.006093822</c:v>
                </c:pt>
                <c:pt idx="3">
                  <c:v>0.002440693</c:v>
                </c:pt>
                <c:pt idx="4">
                  <c:v>0.0007734308</c:v>
                </c:pt>
                <c:pt idx="5">
                  <c:v>0.0001920497</c:v>
                </c:pt>
                <c:pt idx="6" c:formatCode="0.00E+00">
                  <c:v>3.711327e-5</c:v>
                </c:pt>
                <c:pt idx="7" c:formatCode="0.00E+00">
                  <c:v>5.554555e-6</c:v>
                </c:pt>
                <c:pt idx="8" c:formatCode="0.00E+00">
                  <c:v>6.415445e-7</c:v>
                </c:pt>
                <c:pt idx="9" c:formatCode="0.00E+00">
                  <c:v>5.703061e-8</c:v>
                </c:pt>
                <c:pt idx="10" c:formatCode="0.00E+00">
                  <c:v>3.894157e-9</c:v>
                </c:pt>
                <c:pt idx="11" c:formatCode="0.00E+00">
                  <c:v>2.039198e-10</c:v>
                </c:pt>
                <c:pt idx="12" c:formatCode="0.00E+00">
                  <c:v>8.17908e-12</c:v>
                </c:pt>
                <c:pt idx="13" c:formatCode="0.00E+00">
                  <c:v>2.510239e-13</c:v>
                </c:pt>
                <c:pt idx="14" c:formatCode="0.00E+00">
                  <c:v>6.31936e-15</c:v>
                </c:pt>
                <c:pt idx="15" c:formatCode="0.00E+00">
                  <c:v>1.122417e-16</c:v>
                </c:pt>
                <c:pt idx="16" c:formatCode="0.00E+00">
                  <c:v>1.110223e-18</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0"/>
        </c:ser>
        <c:ser>
          <c:idx val="3"/>
          <c:order val="3"/>
          <c:tx>
            <c:strRef>
              <c:f>[地下水预测.xlsx]Sheet1!$D$1</c:f>
              <c:strCache>
                <c:ptCount val="1"/>
                <c:pt idx="0">
                  <c:v>1000d</c:v>
                </c:pt>
              </c:strCache>
            </c:strRef>
          </c:tx>
          <c:spPr>
            <a:ln w="28575" cap="rnd" cmpd="sng">
              <a:solidFill>
                <a:schemeClr val="accent4"/>
              </a:solidFill>
              <a:prstDash val="solid"/>
              <a:round/>
            </a:ln>
            <a:effectLst/>
          </c:spPr>
          <c:marker>
            <c:symbol val="none"/>
          </c:marker>
          <c:dLbls>
            <c:delete val="1"/>
          </c:dLbls>
          <c:cat>
            <c:numRef>
              <c:f>[地下水预测.xlsx]Sheet1!$A$2:$A$42</c:f>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f>[地下水预测.xlsx]Sheet1!$D$2:$D$42</c:f>
              <c:numCache>
                <c:formatCode>General</c:formatCode>
                <c:ptCount val="41"/>
                <c:pt idx="0">
                  <c:v>0.02</c:v>
                </c:pt>
                <c:pt idx="1">
                  <c:v>0.01527483</c:v>
                </c:pt>
                <c:pt idx="2">
                  <c:v>0.01087923</c:v>
                </c:pt>
                <c:pt idx="3">
                  <c:v>0.007188054</c:v>
                </c:pt>
                <c:pt idx="4">
                  <c:v>0.004386856</c:v>
                </c:pt>
                <c:pt idx="5">
                  <c:v>0.002464435</c:v>
                </c:pt>
                <c:pt idx="6">
                  <c:v>0.001270835</c:v>
                </c:pt>
                <c:pt idx="7">
                  <c:v>0.0006001935</c:v>
                </c:pt>
                <c:pt idx="8">
                  <c:v>0.0002591399</c:v>
                </c:pt>
                <c:pt idx="9">
                  <c:v>0.0001021359</c:v>
                </c:pt>
                <c:pt idx="10" c:formatCode="0.00E+00">
                  <c:v>3.6703e-5</c:v>
                </c:pt>
                <c:pt idx="11" c:formatCode="0.00E+00">
                  <c:v>1.201365e-5</c:v>
                </c:pt>
                <c:pt idx="12" c:formatCode="0.00E+00">
                  <c:v>3.578855e-6</c:v>
                </c:pt>
                <c:pt idx="13" c:formatCode="0.00E+00">
                  <c:v>9.696445e-7</c:v>
                </c:pt>
                <c:pt idx="14" c:formatCode="0.00E+00">
                  <c:v>2.387984e-7</c:v>
                </c:pt>
                <c:pt idx="15" c:formatCode="0.00E+00">
                  <c:v>5.343057e-8</c:v>
                </c:pt>
                <c:pt idx="16" c:formatCode="0.00E+00">
                  <c:v>1.085694e-8</c:v>
                </c:pt>
                <c:pt idx="17" c:formatCode="0.00E+00">
                  <c:v>2.002762e-9</c:v>
                </c:pt>
                <c:pt idx="18" c:formatCode="0.00E+00">
                  <c:v>3.352907e-10</c:v>
                </c:pt>
                <c:pt idx="19" c:formatCode="0.00E+00">
                  <c:v>5.092921e-11</c:v>
                </c:pt>
                <c:pt idx="20" c:formatCode="0.00E+00">
                  <c:v>7.017188e-12</c:v>
                </c:pt>
                <c:pt idx="21" c:formatCode="0.00E+00">
                  <c:v>8.768392e-13</c:v>
                </c:pt>
                <c:pt idx="22" c:formatCode="0.00E+00">
                  <c:v>9.93468e-14</c:v>
                </c:pt>
                <c:pt idx="23" c:formatCode="0.00E+00">
                  <c:v>1.096403e-14</c:v>
                </c:pt>
                <c:pt idx="24" c:formatCode="0.00E+00">
                  <c:v>1.013239e-15</c:v>
                </c:pt>
                <c:pt idx="25" c:formatCode="0.00E+00">
                  <c:v>8.419286e-17</c:v>
                </c:pt>
                <c:pt idx="26" c:formatCode="0.00E+00">
                  <c:v>5.881861e-18</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0"/>
        </c:ser>
        <c:ser>
          <c:idx val="4"/>
          <c:order val="4"/>
          <c:tx>
            <c:strRef>
              <c:f>[地下水预测.xlsx]Sheet1!$E$1</c:f>
              <c:strCache>
                <c:ptCount val="1"/>
                <c:pt idx="0">
                  <c:v>1825d</c:v>
                </c:pt>
              </c:strCache>
            </c:strRef>
          </c:tx>
          <c:spPr>
            <a:ln w="28575" cap="rnd" cmpd="sng">
              <a:solidFill>
                <a:schemeClr val="accent5"/>
              </a:solidFill>
              <a:prstDash val="solid"/>
              <a:round/>
            </a:ln>
            <a:effectLst/>
          </c:spPr>
          <c:marker>
            <c:symbol val="none"/>
          </c:marker>
          <c:dLbls>
            <c:delete val="1"/>
          </c:dLbls>
          <c:cat>
            <c:numRef>
              <c:f>[地下水预测.xlsx]Sheet1!$A$2:$A$42</c:f>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f>[地下水预测.xlsx]Sheet1!$E$2:$E$42</c:f>
              <c:numCache>
                <c:formatCode>General</c:formatCode>
                <c:ptCount val="41"/>
                <c:pt idx="0">
                  <c:v>0.02</c:v>
                </c:pt>
                <c:pt idx="1">
                  <c:v>0.01655479</c:v>
                </c:pt>
                <c:pt idx="2">
                  <c:v>0.01319997</c:v>
                </c:pt>
                <c:pt idx="3">
                  <c:v>0.01011523</c:v>
                </c:pt>
                <c:pt idx="4">
                  <c:v>0.007434782</c:v>
                </c:pt>
                <c:pt idx="5">
                  <c:v>0.005232492</c:v>
                </c:pt>
                <c:pt idx="6">
                  <c:v>0.003520974</c:v>
                </c:pt>
                <c:pt idx="7">
                  <c:v>0.002262513</c:v>
                </c:pt>
                <c:pt idx="8">
                  <c:v>0.001386862</c:v>
                </c:pt>
                <c:pt idx="9">
                  <c:v>0.0008102093</c:v>
                </c:pt>
                <c:pt idx="10">
                  <c:v>0.0004507639</c:v>
                </c:pt>
                <c:pt idx="11">
                  <c:v>0.0002386728</c:v>
                </c:pt>
                <c:pt idx="12">
                  <c:v>0.0001202026</c:v>
                </c:pt>
                <c:pt idx="13" c:formatCode="0.00E+00">
                  <c:v>5.755334e-5</c:v>
                </c:pt>
                <c:pt idx="14" c:formatCode="0.00E+00">
                  <c:v>2.618732e-5</c:v>
                </c:pt>
                <c:pt idx="15" c:formatCode="0.00E+00">
                  <c:v>1.131924e-5</c:v>
                </c:pt>
                <c:pt idx="16" c:formatCode="0.00E+00">
                  <c:v>4.646348e-6</c:v>
                </c:pt>
                <c:pt idx="17" c:formatCode="0.00E+00">
                  <c:v>1.810729e-6</c:v>
                </c:pt>
                <c:pt idx="18" c:formatCode="0.00E+00">
                  <c:v>6.697874e-7</c:v>
                </c:pt>
                <c:pt idx="19" c:formatCode="0.00E+00">
                  <c:v>2.351086e-7</c:v>
                </c:pt>
                <c:pt idx="20" c:formatCode="0.00E+00">
                  <c:v>7.830064e-8</c:v>
                </c:pt>
                <c:pt idx="21" c:formatCode="0.00E+00">
                  <c:v>2.473737e-8</c:v>
                </c:pt>
                <c:pt idx="22" c:formatCode="0.00E+00">
                  <c:v>7.412547e-9</c:v>
                </c:pt>
                <c:pt idx="23" c:formatCode="0.00E+00">
                  <c:v>2.106434e-9</c:v>
                </c:pt>
                <c:pt idx="24" c:formatCode="0.00E+00">
                  <c:v>5.675989e-10</c:v>
                </c:pt>
                <c:pt idx="25" c:formatCode="0.00E+00">
                  <c:v>1.450108e-10</c:v>
                </c:pt>
                <c:pt idx="26" c:formatCode="0.00E+00">
                  <c:v>3.512214e-11</c:v>
                </c:pt>
                <c:pt idx="27" c:formatCode="0.00E+00">
                  <c:v>8.063873e-12</c:v>
                </c:pt>
                <c:pt idx="28" c:formatCode="0.00E+00">
                  <c:v>1.754901e-12</c:v>
                </c:pt>
                <c:pt idx="29" c:formatCode="0.00E+00">
                  <c:v>3.619701e-13</c:v>
                </c:pt>
                <c:pt idx="30" c:formatCode="0.00E+00">
                  <c:v>7.355348e-14</c:v>
                </c:pt>
                <c:pt idx="31" c:formatCode="0.00E+00">
                  <c:v>1.408955e-14</c:v>
                </c:pt>
                <c:pt idx="32" c:formatCode="0.00E+00">
                  <c:v>2.460274e-15</c:v>
                </c:pt>
                <c:pt idx="33" c:formatCode="0.00E+00">
                  <c:v>4.064698e-16</c:v>
                </c:pt>
                <c:pt idx="34" c:formatCode="0.00E+00">
                  <c:v>6.515156e-17</c:v>
                </c:pt>
                <c:pt idx="35" c:formatCode="0.00E+00">
                  <c:v>7.843563e-18</c:v>
                </c:pt>
                <c:pt idx="36" c:formatCode="0.00E+00">
                  <c:v>1.110223e-18</c:v>
                </c:pt>
                <c:pt idx="37">
                  <c:v>0</c:v>
                </c:pt>
                <c:pt idx="38">
                  <c:v>0</c:v>
                </c:pt>
                <c:pt idx="39">
                  <c:v>0</c:v>
                </c:pt>
                <c:pt idx="40">
                  <c:v>0</c:v>
                </c:pt>
              </c:numCache>
            </c:numRef>
          </c:val>
          <c:smooth val="0"/>
        </c:ser>
        <c:dLbls>
          <c:showLegendKey val="0"/>
          <c:showVal val="0"/>
          <c:showCatName val="0"/>
          <c:showSerName val="0"/>
          <c:showPercent val="0"/>
          <c:showBubbleSize val="0"/>
        </c:dLbls>
        <c:dropLines>
          <c:spPr>
            <a:ln w="12700" cap="flat" cmpd="sng" algn="ctr">
              <a:noFill/>
              <a:prstDash val="sysDash"/>
              <a:round/>
            </a:ln>
            <a:effectLst/>
          </c:spPr>
        </c:dropLines>
        <c:marker val="0"/>
        <c:smooth val="0"/>
        <c:axId val="907891956"/>
        <c:axId val="666396215"/>
        <c:extLst>
          <c:ext xmlns:c15="http://schemas.microsoft.com/office/drawing/2012/chart" uri="{02D57815-91ED-43cb-92C2-25804820EDAC}">
            <c15:filteredLineSeries>
              <c15:ser>
                <c:idx val="0"/>
                <c:order val="0"/>
                <c:tx>
                  <c:strRef>
                    <c:extLst>
                      <c:ext uri="{02D57815-91ED-43cb-92C2-25804820EDAC}">
                        <c15:formulaRef>
                          <c15:sqref>[地下水预测.xlsx]Sheet1!$A$1</c15:sqref>
                        </c15:formulaRef>
                      </c:ext>
                    </c:extLst>
                    <c:strCache>
                      <c:ptCount val="1"/>
                      <c:pt idx="0">
                        <c:v>距离</c:v>
                      </c:pt>
                    </c:strCache>
                  </c:strRef>
                </c:tx>
                <c:spPr>
                  <a:ln w="28575" cap="rnd" cmpd="sng">
                    <a:solidFill>
                      <a:schemeClr val="accent1"/>
                    </a:solidFill>
                    <a:prstDash val="solid"/>
                    <a:round/>
                  </a:ln>
                  <a:effectLst/>
                </c:spPr>
                <c:marker>
                  <c:symbol val="none"/>
                </c:marker>
                <c:dLbls>
                  <c:delete val="1"/>
                </c:dLbls>
                <c:cat>
                  <c:numRef>
                    <c:extLst>
                      <c:ext uri="{02D57815-91ED-43cb-92C2-25804820EDAC}">
                        <c15:fullRef>
                          <c15:sqref/>
                        </c15:fullRef>
                        <c15:formulaRef>
                          <c15:sqref>[地下水预测.xlsx]Sheet1!$A$2:$A$42</c15:sqref>
                        </c15:formulaRef>
                      </c:ext>
                    </c:extLst>
                    <c:numCache>
                      <c:formatCode>General</c:formatCode>
                      <c:ptCount val="4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cat>
                <c:val>
                  <c:numRef>
                    <c:extLst>
                      <c:ext uri="{02D57815-91ED-43cb-92C2-25804820EDAC}">
                        <c15:formulaRef>
                          <c15:sqref>{0,10,20,30,40,50,60,70,80,90,100,110,120,130,140,150,160,170,180,190,200,210,220,230,240,250,260,270,280,290,300,310,320,330,340,350,360,370,380,390,400,0,0.02,0.02,0.02,0.02,0,0.02,0.02,0.02,0.02}</c15:sqref>
                        </c15:formulaRef>
                      </c:ext>
                    </c:extLst>
                    <c:numCache>
                      <c:formatCode>General</c:formatCode>
                      <c:ptCount val="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0</c:v>
                      </c:pt>
                      <c:pt idx="42">
                        <c:v>0.02</c:v>
                      </c:pt>
                      <c:pt idx="43">
                        <c:v>0.02</c:v>
                      </c:pt>
                      <c:pt idx="44">
                        <c:v>0.02</c:v>
                      </c:pt>
                      <c:pt idx="45">
                        <c:v>0.02</c:v>
                      </c:pt>
                      <c:pt idx="46">
                        <c:v>0</c:v>
                      </c:pt>
                      <c:pt idx="47">
                        <c:v>0.02</c:v>
                      </c:pt>
                      <c:pt idx="48">
                        <c:v>0.02</c:v>
                      </c:pt>
                      <c:pt idx="49">
                        <c:v>0.02</c:v>
                      </c:pt>
                      <c:pt idx="50">
                        <c:v>0.02</c:v>
                      </c:pt>
                    </c:numCache>
                  </c:numRef>
                </c:val>
                <c:smooth val="0"/>
              </c15:ser>
            </c15:filteredLineSeries>
          </c:ext>
        </c:extLst>
      </c:lineChart>
      <c:catAx>
        <c:axId val="907891956"/>
        <c:scaling>
          <c:orientation val="minMax"/>
        </c:scaling>
        <c:delete val="0"/>
        <c:axPos val="b"/>
        <c:title>
          <c:tx>
            <c:rich>
              <a:bodyPr rot="0" spcFirstLastPara="0" vertOverflow="ellipsis" vert="horz" wrap="square" anchor="ctr" anchorCtr="1"/>
              <a:lstStyle/>
              <a:p>
                <a:pPr defTabSz="914400">
                  <a:defRPr lang="zh-CN" sz="1400" b="0" i="0" u="none" strike="noStrike" kern="1200" baseline="0">
                    <a:solidFill>
                      <a:schemeClr val="tx1">
                        <a:lumMod val="65000"/>
                        <a:lumOff val="35000"/>
                      </a:schemeClr>
                    </a:solidFill>
                    <a:latin typeface="+mj-lt"/>
                    <a:ea typeface="+mj-lt"/>
                    <a:cs typeface="+mj-lt"/>
                    <a:sym typeface="+mj-lt"/>
                  </a:defRPr>
                </a:pPr>
                <a:r>
                  <a:t>距离</a:t>
                </a:r>
                <a:r>
                  <a:rPr lang="en-US" altLang="zh-CN"/>
                  <a:t>m</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50000"/>
                    <a:lumOff val="50000"/>
                  </a:schemeClr>
                </a:solidFill>
                <a:latin typeface="+mj-lt"/>
                <a:ea typeface="+mj-lt"/>
                <a:cs typeface="+mj-lt"/>
                <a:sym typeface="+mj-lt"/>
              </a:defRPr>
            </a:pPr>
          </a:p>
        </c:txPr>
        <c:crossAx val="666396215"/>
        <c:crosses val="autoZero"/>
        <c:auto val="1"/>
        <c:lblAlgn val="ctr"/>
        <c:lblOffset val="100"/>
        <c:noMultiLvlLbl val="0"/>
      </c:catAx>
      <c:valAx>
        <c:axId val="666396215"/>
        <c:scaling>
          <c:orientation val="minMax"/>
        </c:scaling>
        <c:delete val="0"/>
        <c:axPos val="l"/>
        <c:majorGridlines>
          <c:spPr>
            <a:ln w="12700" cap="flat" cmpd="sng" algn="ctr">
              <a:solidFill>
                <a:schemeClr val="bg1">
                  <a:lumMod val="95000"/>
                </a:schemeClr>
              </a:solidFill>
              <a:prstDash val="solid"/>
              <a:round/>
            </a:ln>
            <a:effectLst/>
          </c:spPr>
        </c:majorGridlines>
        <c:title>
          <c:tx>
            <c:rich>
              <a:bodyPr rot="-5400000" spcFirstLastPara="0" vertOverflow="ellipsis" vert="horz" wrap="square" anchor="ctr" anchorCtr="1"/>
              <a:lstStyle/>
              <a:p>
                <a:pPr defTabSz="914400">
                  <a:defRPr lang="zh-CN" sz="1400" b="0" i="0" u="none" strike="noStrike" kern="1200" baseline="0">
                    <a:solidFill>
                      <a:schemeClr val="tx1">
                        <a:lumMod val="65000"/>
                        <a:lumOff val="35000"/>
                      </a:schemeClr>
                    </a:solidFill>
                    <a:latin typeface="+mj-lt"/>
                    <a:ea typeface="+mj-lt"/>
                    <a:cs typeface="+mj-lt"/>
                    <a:sym typeface="+mj-lt"/>
                  </a:defRPr>
                </a:pPr>
                <a:r>
                  <a:rPr altLang="en-US"/>
                  <a:t>浓度</a:t>
                </a:r>
                <a:r>
                  <a:rPr lang="en-US" altLang="zh-CN"/>
                  <a:t>mg/L</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50000"/>
                    <a:lumOff val="50000"/>
                  </a:schemeClr>
                </a:solidFill>
                <a:latin typeface="+mj-lt"/>
                <a:ea typeface="+mj-lt"/>
                <a:cs typeface="+mj-lt"/>
                <a:sym typeface="+mj-lt"/>
              </a:defRPr>
            </a:pPr>
          </a:p>
        </c:txPr>
        <c:crossAx val="907891956"/>
        <c:crosses val="autoZero"/>
        <c:crossBetween val="between"/>
      </c:valAx>
      <c:spPr>
        <a:noFill/>
        <a:ln>
          <a:noFill/>
        </a:ln>
        <a:effectLst/>
      </c:spPr>
    </c:plotArea>
    <c:legend>
      <c:legendPos val="t"/>
      <c:layout>
        <c:manualLayout>
          <c:xMode val="edge"/>
          <c:yMode val="edge"/>
          <c:x val="0.213692418815488"/>
          <c:y val="0.0521191490359911"/>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j-lt"/>
              <a:ea typeface="+mj-lt"/>
              <a:cs typeface="+mj-lt"/>
              <a:sym typeface="+mj-lt"/>
            </a:defRPr>
          </a:pPr>
        </a:p>
      </c:txPr>
    </c:legend>
    <c:plotVisOnly val="1"/>
    <c:dispBlanksAs val="gap"/>
    <c:showDLblsOverMax val="0"/>
  </c:chart>
  <c:spPr>
    <a:solidFill>
      <a:schemeClr val="bg1"/>
    </a:solidFill>
    <a:ln w="12700" cap="flat" cmpd="sng" algn="ctr">
      <a:solidFill>
        <a:schemeClr val="bg1">
          <a:lumMod val="85000"/>
        </a:schemeClr>
      </a:solidFill>
      <a:prstDash val="dashDot"/>
      <a:round/>
    </a:ln>
    <a:effectLst>
      <a:outerShdw blurRad="63500" dist="37357" dir="2700000" sx="0" sy="0" rotWithShape="0">
        <a:scrgbClr r="0" g="0" b="0"/>
      </a:outerShdw>
    </a:effectLst>
  </c:spPr>
  <c:txPr>
    <a:bodyPr anchor="ctr"/>
    <a:lstStyle/>
    <a:p>
      <a:pPr>
        <a:defRPr lang="zh-CN" sz="1400">
          <a:latin typeface="+mj-lt"/>
          <a:ea typeface="+mj-lt"/>
          <a:cs typeface="+mj-lt"/>
          <a:sym typeface="+mj-lt"/>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自定义 202">
    <a:dk1>
      <a:srgbClr val="000000"/>
    </a:dk1>
    <a:lt1>
      <a:srgbClr val="FFFFFF"/>
    </a:lt1>
    <a:dk2>
      <a:srgbClr val="000000"/>
    </a:dk2>
    <a:lt2>
      <a:srgbClr val="FFFBF7"/>
    </a:lt2>
    <a:accent1>
      <a:srgbClr val="A2D230"/>
    </a:accent1>
    <a:accent2>
      <a:srgbClr val="4568D6"/>
    </a:accent2>
    <a:accent3>
      <a:srgbClr val="F6D834"/>
    </a:accent3>
    <a:accent4>
      <a:srgbClr val="42EAB1"/>
    </a:accent4>
    <a:accent5>
      <a:srgbClr val="D4B5FE"/>
    </a:accent5>
    <a:accent6>
      <a:srgbClr val="FB7E00"/>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自定义 202">
    <a:dk1>
      <a:srgbClr val="000000"/>
    </a:dk1>
    <a:lt1>
      <a:srgbClr val="FFFFFF"/>
    </a:lt1>
    <a:dk2>
      <a:srgbClr val="000000"/>
    </a:dk2>
    <a:lt2>
      <a:srgbClr val="FFFBF7"/>
    </a:lt2>
    <a:accent1>
      <a:srgbClr val="A2D230"/>
    </a:accent1>
    <a:accent2>
      <a:srgbClr val="4568D6"/>
    </a:accent2>
    <a:accent3>
      <a:srgbClr val="F6D834"/>
    </a:accent3>
    <a:accent4>
      <a:srgbClr val="42EAB1"/>
    </a:accent4>
    <a:accent5>
      <a:srgbClr val="D4B5FE"/>
    </a:accent5>
    <a:accent6>
      <a:srgbClr val="FB7E00"/>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自定义 202">
    <a:dk1>
      <a:srgbClr val="000000"/>
    </a:dk1>
    <a:lt1>
      <a:srgbClr val="FFFFFF"/>
    </a:lt1>
    <a:dk2>
      <a:srgbClr val="000000"/>
    </a:dk2>
    <a:lt2>
      <a:srgbClr val="FFFBF7"/>
    </a:lt2>
    <a:accent1>
      <a:srgbClr val="A2D230"/>
    </a:accent1>
    <a:accent2>
      <a:srgbClr val="4568D6"/>
    </a:accent2>
    <a:accent3>
      <a:srgbClr val="F6D834"/>
    </a:accent3>
    <a:accent4>
      <a:srgbClr val="42EAB1"/>
    </a:accent4>
    <a:accent5>
      <a:srgbClr val="D4B5FE"/>
    </a:accent5>
    <a:accent6>
      <a:srgbClr val="FB7E00"/>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5923</Words>
  <Characters>6640</Characters>
  <Lines>0</Lines>
  <Paragraphs>0</Paragraphs>
  <TotalTime>9</TotalTime>
  <ScaleCrop>false</ScaleCrop>
  <LinksUpToDate>false</LinksUpToDate>
  <CharactersWithSpaces>6719</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2023-08-15T06:42:00Z</dcterms:created>
  <dc:creator>Administrator</dc:creator>
  <cp:lastModifiedBy>王振华</cp:lastModifiedBy>
  <dcterms:modified xsi:type="dcterms:W3CDTF">2024-12-31T03:16:44Z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33DC40E6145341FB9A2643402D5A4E34_13</vt:lpwstr>
  </property>
  <property fmtid="{D5CDD505-2E9C-101B-9397-08002B2CF9AE}" pid="4" name="KSOTemplateDocerSaveRecord">
    <vt:lpwstr>eyJoZGlkIjoiMDcxNzNiOWY5YmEzODg1MzdlNDFkYWNlMTQ0Nzk1ZWYiLCJ1c2VySWQiOiIyNTIyNDkxOTkifQ==</vt:lpwstr>
  </property>
</Properties>
</file>