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Style w:val="5"/>
          <w:rFonts w:hint="default" w:ascii="Times New Roman" w:hAnsi="Times New Roman" w:eastAsia="方正黑体_GBK" w:cs="Times New Roman"/>
          <w:i w:val="0"/>
          <w:iCs w:val="0"/>
          <w:caps w:val="0"/>
          <w:color w:val="000000"/>
          <w:spacing w:val="0"/>
          <w:sz w:val="21"/>
          <w:szCs w:val="21"/>
          <w:shd w:val="clear" w:fill="FFFFFF"/>
        </w:rPr>
      </w:pPr>
      <w:r>
        <w:rPr>
          <w:rStyle w:val="5"/>
          <w:rFonts w:hint="default" w:ascii="Times New Roman" w:hAnsi="Times New Roman" w:eastAsia="方正黑体_GBK" w:cs="Times New Roman"/>
          <w:i w:val="0"/>
          <w:iCs w:val="0"/>
          <w:caps w:val="0"/>
          <w:color w:val="000000"/>
          <w:spacing w:val="0"/>
          <w:sz w:val="21"/>
          <w:szCs w:val="21"/>
          <w:shd w:val="clear" w:fill="FFFFFF"/>
        </w:rPr>
        <w:t>监督索引号53040000335101000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Style w:val="5"/>
          <w:rFonts w:hint="default" w:ascii="Times New Roman" w:hAnsi="Times New Roman" w:eastAsia="方正黑体_GBK" w:cs="Times New Roman"/>
          <w:i w:val="0"/>
          <w:iCs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center"/>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玉溪市工业和信息化委员会部门2018年度部门决算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宋体" w:cs="Times New Roman"/>
          <w:i w:val="0"/>
          <w:iCs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黑体_GBK" w:cs="Times New Roman"/>
          <w:i w:val="0"/>
          <w:iCs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黑体_GBK" w:cs="Times New Roman"/>
          <w:i w:val="0"/>
          <w:iCs w:val="0"/>
          <w:caps w:val="0"/>
          <w:color w:val="000000"/>
          <w:spacing w:val="0"/>
          <w:sz w:val="21"/>
          <w:szCs w:val="21"/>
        </w:rPr>
      </w:pPr>
      <w:r>
        <w:rPr>
          <w:rFonts w:hint="default" w:ascii="Times New Roman" w:hAnsi="Times New Roman" w:eastAsia="方正黑体_GBK" w:cs="Times New Roman"/>
          <w:i w:val="0"/>
          <w:iCs w:val="0"/>
          <w:caps w:val="0"/>
          <w:color w:val="000000"/>
          <w:spacing w:val="0"/>
          <w:sz w:val="21"/>
          <w:szCs w:val="21"/>
          <w:shd w:val="clear" w:fill="FFFFFF"/>
        </w:rPr>
        <w:t>   </w:t>
      </w:r>
      <w:r>
        <w:rPr>
          <w:rFonts w:hint="default" w:ascii="Times New Roman" w:hAnsi="Times New Roman" w:eastAsia="方正黑体_GBK" w:cs="Times New Roman"/>
          <w:i w:val="0"/>
          <w:iCs w:val="0"/>
          <w:caps w:val="0"/>
          <w:color w:val="000000"/>
          <w:spacing w:val="0"/>
          <w:sz w:val="30"/>
          <w:szCs w:val="30"/>
          <w:shd w:val="clear" w:fill="FFFFFF"/>
        </w:rPr>
        <w:t>第一部分</w:t>
      </w:r>
      <w:r>
        <w:rPr>
          <w:rFonts w:hint="default" w:ascii="Times New Roman" w:hAnsi="Times New Roman" w:eastAsia="方正黑体_GBK" w:cs="Times New Roman"/>
          <w:i w:val="0"/>
          <w:iCs w:val="0"/>
          <w:caps w:val="0"/>
          <w:color w:val="000000"/>
          <w:spacing w:val="0"/>
          <w:sz w:val="21"/>
          <w:szCs w:val="21"/>
          <w:shd w:val="clear" w:fill="FFFFFF"/>
        </w:rPr>
        <w:t>  </w:t>
      </w:r>
      <w:r>
        <w:rPr>
          <w:rFonts w:hint="default" w:ascii="Times New Roman" w:hAnsi="Times New Roman" w:eastAsia="方正黑体_GBK" w:cs="Times New Roman"/>
          <w:i w:val="0"/>
          <w:iCs w:val="0"/>
          <w:caps w:val="0"/>
          <w:color w:val="000000"/>
          <w:spacing w:val="0"/>
          <w:sz w:val="30"/>
          <w:szCs w:val="30"/>
          <w:shd w:val="clear" w:fill="FFFFFF"/>
        </w:rPr>
        <w:t>玉溪市工业和信息化委员会概况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黑体_GBK" w:cs="Times New Roman"/>
          <w:i w:val="0"/>
          <w:iCs w:val="0"/>
          <w:caps w:val="0"/>
          <w:color w:val="000000"/>
          <w:spacing w:val="0"/>
          <w:sz w:val="21"/>
          <w:szCs w:val="21"/>
        </w:rPr>
      </w:pPr>
      <w:r>
        <w:rPr>
          <w:rFonts w:hint="default" w:ascii="Times New Roman" w:hAnsi="Times New Roman" w:eastAsia="方正黑体_GBK" w:cs="Times New Roman"/>
          <w:i w:val="0"/>
          <w:iCs w:val="0"/>
          <w:caps w:val="0"/>
          <w:color w:val="000000"/>
          <w:spacing w:val="0"/>
          <w:sz w:val="21"/>
          <w:szCs w:val="21"/>
          <w:shd w:val="clear" w:fill="FFFFFF"/>
        </w:rPr>
        <w:t>   </w:t>
      </w:r>
      <w:r>
        <w:rPr>
          <w:rFonts w:hint="default" w:ascii="Times New Roman" w:hAnsi="Times New Roman" w:eastAsia="方正黑体_GBK" w:cs="Times New Roman"/>
          <w:i w:val="0"/>
          <w:iCs w:val="0"/>
          <w:caps w:val="0"/>
          <w:color w:val="000000"/>
          <w:spacing w:val="0"/>
          <w:sz w:val="30"/>
          <w:szCs w:val="30"/>
          <w:shd w:val="clear" w:fill="FFFFFF"/>
        </w:rPr>
        <w:t>第二部分</w:t>
      </w:r>
      <w:r>
        <w:rPr>
          <w:rFonts w:hint="default" w:ascii="Times New Roman" w:hAnsi="Times New Roman" w:eastAsia="方正黑体_GBK" w:cs="Times New Roman"/>
          <w:i w:val="0"/>
          <w:iCs w:val="0"/>
          <w:caps w:val="0"/>
          <w:color w:val="000000"/>
          <w:spacing w:val="0"/>
          <w:sz w:val="21"/>
          <w:szCs w:val="21"/>
          <w:shd w:val="clear" w:fill="FFFFFF"/>
        </w:rPr>
        <w:t>  </w:t>
      </w:r>
      <w:r>
        <w:rPr>
          <w:rFonts w:hint="default" w:ascii="Times New Roman" w:hAnsi="Times New Roman" w:eastAsia="方正黑体_GBK" w:cs="Times New Roman"/>
          <w:i w:val="0"/>
          <w:iCs w:val="0"/>
          <w:caps w:val="0"/>
          <w:color w:val="000000"/>
          <w:spacing w:val="0"/>
          <w:sz w:val="30"/>
          <w:szCs w:val="30"/>
          <w:shd w:val="clear" w:fill="FFFFFF"/>
        </w:rPr>
        <w:t>2018年度部门决算表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七、政府性基金预算财政拨款收入支出决算表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八、财政专户管理资金收入支出决算表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九、“三公”经费、行政参公单位机关运行经费情况表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黑体_GBK" w:cs="Times New Roman"/>
          <w:i w:val="0"/>
          <w:iCs w:val="0"/>
          <w:caps w:val="0"/>
          <w:color w:val="000000"/>
          <w:spacing w:val="0"/>
          <w:sz w:val="21"/>
          <w:szCs w:val="21"/>
        </w:rPr>
      </w:pPr>
      <w:r>
        <w:rPr>
          <w:rFonts w:hint="default" w:ascii="Times New Roman" w:hAnsi="Times New Roman" w:eastAsia="方正黑体_GBK" w:cs="Times New Roman"/>
          <w:i w:val="0"/>
          <w:iCs w:val="0"/>
          <w:caps w:val="0"/>
          <w:color w:val="000000"/>
          <w:spacing w:val="0"/>
          <w:sz w:val="21"/>
          <w:szCs w:val="21"/>
          <w:shd w:val="clear" w:fill="FFFFFF"/>
        </w:rPr>
        <w:t>   </w:t>
      </w:r>
      <w:r>
        <w:rPr>
          <w:rFonts w:hint="default" w:ascii="Times New Roman" w:hAnsi="Times New Roman" w:eastAsia="方正黑体_GBK" w:cs="Times New Roman"/>
          <w:i w:val="0"/>
          <w:iCs w:val="0"/>
          <w:caps w:val="0"/>
          <w:color w:val="000000"/>
          <w:spacing w:val="0"/>
          <w:sz w:val="30"/>
          <w:szCs w:val="30"/>
          <w:shd w:val="clear" w:fill="FFFFFF"/>
        </w:rPr>
        <w:t>第三部分</w:t>
      </w:r>
      <w:r>
        <w:rPr>
          <w:rFonts w:hint="default" w:ascii="Times New Roman" w:hAnsi="Times New Roman" w:eastAsia="方正黑体_GBK" w:cs="Times New Roman"/>
          <w:i w:val="0"/>
          <w:iCs w:val="0"/>
          <w:caps w:val="0"/>
          <w:color w:val="000000"/>
          <w:spacing w:val="0"/>
          <w:sz w:val="21"/>
          <w:szCs w:val="21"/>
          <w:shd w:val="clear" w:fill="FFFFFF"/>
        </w:rPr>
        <w:t>  </w:t>
      </w:r>
      <w:r>
        <w:rPr>
          <w:rFonts w:hint="default" w:ascii="Times New Roman" w:hAnsi="Times New Roman" w:eastAsia="方正黑体_GBK" w:cs="Times New Roman"/>
          <w:i w:val="0"/>
          <w:iCs w:val="0"/>
          <w:caps w:val="0"/>
          <w:color w:val="000000"/>
          <w:spacing w:val="0"/>
          <w:sz w:val="30"/>
          <w:szCs w:val="30"/>
          <w:shd w:val="clear" w:fill="FFFFFF"/>
        </w:rPr>
        <w:t>2018年度部门决算情况说明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四、一般公共预算财政拨款“三公”经费支出决算情况说明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黑体_GBK" w:cs="Times New Roman"/>
          <w:i w:val="0"/>
          <w:iCs w:val="0"/>
          <w:caps w:val="0"/>
          <w:color w:val="000000"/>
          <w:spacing w:val="0"/>
          <w:sz w:val="21"/>
          <w:szCs w:val="21"/>
        </w:rPr>
      </w:pPr>
      <w:r>
        <w:rPr>
          <w:rFonts w:hint="default" w:ascii="Times New Roman" w:hAnsi="Times New Roman" w:eastAsia="方正黑体_GBK" w:cs="Times New Roman"/>
          <w:i w:val="0"/>
          <w:iCs w:val="0"/>
          <w:caps w:val="0"/>
          <w:color w:val="000000"/>
          <w:spacing w:val="0"/>
          <w:sz w:val="21"/>
          <w:szCs w:val="21"/>
          <w:shd w:val="clear" w:fill="FFFFFF"/>
        </w:rPr>
        <w:t>   </w:t>
      </w:r>
      <w:r>
        <w:rPr>
          <w:rFonts w:hint="default" w:ascii="Times New Roman" w:hAnsi="Times New Roman" w:eastAsia="方正黑体_GBK" w:cs="Times New Roman"/>
          <w:i w:val="0"/>
          <w:iCs w:val="0"/>
          <w:caps w:val="0"/>
          <w:color w:val="000000"/>
          <w:spacing w:val="0"/>
          <w:sz w:val="30"/>
          <w:szCs w:val="30"/>
          <w:shd w:val="clear" w:fill="FFFFFF"/>
        </w:rPr>
        <w:t>第四部分</w:t>
      </w:r>
      <w:r>
        <w:rPr>
          <w:rFonts w:hint="default" w:ascii="Times New Roman" w:hAnsi="Times New Roman" w:eastAsia="方正黑体_GBK" w:cs="Times New Roman"/>
          <w:i w:val="0"/>
          <w:iCs w:val="0"/>
          <w:caps w:val="0"/>
          <w:color w:val="000000"/>
          <w:spacing w:val="0"/>
          <w:sz w:val="21"/>
          <w:szCs w:val="21"/>
          <w:shd w:val="clear" w:fill="FFFFFF"/>
        </w:rPr>
        <w:t>  </w:t>
      </w:r>
      <w:r>
        <w:rPr>
          <w:rFonts w:hint="default" w:ascii="Times New Roman" w:hAnsi="Times New Roman" w:eastAsia="方正黑体_GBK" w:cs="Times New Roman"/>
          <w:i w:val="0"/>
          <w:iCs w:val="0"/>
          <w:caps w:val="0"/>
          <w:color w:val="000000"/>
          <w:spacing w:val="0"/>
          <w:sz w:val="30"/>
          <w:szCs w:val="3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二、国有资产占有情况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21"/>
          <w:szCs w:val="21"/>
        </w:rPr>
      </w:pPr>
      <w:r>
        <w:rPr>
          <w:rFonts w:hint="default" w:ascii="Times New Roman" w:hAnsi="Times New Roman" w:eastAsia="方正楷体_GBK" w:cs="Times New Roman"/>
          <w:i w:val="0"/>
          <w:iCs w:val="0"/>
          <w:caps w:val="0"/>
          <w:color w:val="000000"/>
          <w:spacing w:val="0"/>
          <w:sz w:val="21"/>
          <w:szCs w:val="21"/>
          <w:shd w:val="clear" w:fill="FFFFFF"/>
        </w:rPr>
        <w:t>   </w:t>
      </w:r>
      <w:r>
        <w:rPr>
          <w:rFonts w:hint="default" w:ascii="Times New Roman" w:hAnsi="Times New Roman" w:eastAsia="方正楷体_GBK" w:cs="Times New Roman"/>
          <w:i w:val="0"/>
          <w:iCs w:val="0"/>
          <w:caps w:val="0"/>
          <w:color w:val="000000"/>
          <w:spacing w:val="0"/>
          <w:sz w:val="30"/>
          <w:szCs w:val="3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仿宋_GBK" w:cs="Times New Roman"/>
          <w:b/>
          <w:bCs/>
          <w:i w:val="0"/>
          <w:iCs w:val="0"/>
          <w:caps w:val="0"/>
          <w:color w:val="000000"/>
          <w:spacing w:val="0"/>
          <w:sz w:val="21"/>
          <w:szCs w:val="21"/>
        </w:rPr>
      </w:pPr>
      <w:r>
        <w:rPr>
          <w:rFonts w:hint="default" w:ascii="Times New Roman" w:hAnsi="Times New Roman" w:eastAsia="方正仿宋_GBK" w:cs="Times New Roman"/>
          <w:b/>
          <w:bCs/>
          <w:i w:val="0"/>
          <w:iCs w:val="0"/>
          <w:caps w:val="0"/>
          <w:color w:val="000000"/>
          <w:spacing w:val="0"/>
          <w:sz w:val="30"/>
          <w:szCs w:val="30"/>
          <w:shd w:val="clear" w:fill="FFFFFF"/>
        </w:rPr>
        <w:t>（一）项目支出概况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仿宋_GBK" w:cs="Times New Roman"/>
          <w:b/>
          <w:bCs/>
          <w:i w:val="0"/>
          <w:iCs w:val="0"/>
          <w:caps w:val="0"/>
          <w:color w:val="000000"/>
          <w:spacing w:val="0"/>
          <w:sz w:val="21"/>
          <w:szCs w:val="21"/>
        </w:rPr>
      </w:pPr>
      <w:r>
        <w:rPr>
          <w:rFonts w:hint="default" w:ascii="Times New Roman" w:hAnsi="Times New Roman" w:eastAsia="方正仿宋_GBK" w:cs="Times New Roman"/>
          <w:b/>
          <w:bCs/>
          <w:i w:val="0"/>
          <w:iCs w:val="0"/>
          <w:caps w:val="0"/>
          <w:color w:val="000000"/>
          <w:spacing w:val="0"/>
          <w:sz w:val="30"/>
          <w:szCs w:val="30"/>
          <w:shd w:val="clear" w:fill="FFFFFF"/>
        </w:rPr>
        <w:t>（二）项目支出绩效自评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仿宋_GBK" w:cs="Times New Roman"/>
          <w:b/>
          <w:bCs/>
          <w:i w:val="0"/>
          <w:iCs w:val="0"/>
          <w:caps w:val="0"/>
          <w:color w:val="000000"/>
          <w:spacing w:val="0"/>
          <w:sz w:val="21"/>
          <w:szCs w:val="21"/>
        </w:rPr>
      </w:pPr>
      <w:r>
        <w:rPr>
          <w:rFonts w:hint="default" w:ascii="Times New Roman" w:hAnsi="Times New Roman" w:eastAsia="方正仿宋_GBK" w:cs="Times New Roman"/>
          <w:b/>
          <w:bCs/>
          <w:i w:val="0"/>
          <w:iCs w:val="0"/>
          <w:caps w:val="0"/>
          <w:color w:val="000000"/>
          <w:spacing w:val="0"/>
          <w:sz w:val="30"/>
          <w:szCs w:val="30"/>
          <w:shd w:val="clear" w:fill="FFFFFF"/>
        </w:rPr>
        <w:t>（三）项目绩效目标管理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仿宋_GBK" w:cs="Times New Roman"/>
          <w:b/>
          <w:bCs/>
          <w:i w:val="0"/>
          <w:iCs w:val="0"/>
          <w:caps w:val="0"/>
          <w:color w:val="000000"/>
          <w:spacing w:val="0"/>
          <w:sz w:val="21"/>
          <w:szCs w:val="21"/>
        </w:rPr>
      </w:pPr>
      <w:r>
        <w:rPr>
          <w:rFonts w:hint="default" w:ascii="Times New Roman" w:hAnsi="Times New Roman" w:eastAsia="方正仿宋_GBK" w:cs="Times New Roman"/>
          <w:b/>
          <w:bCs/>
          <w:i w:val="0"/>
          <w:iCs w:val="0"/>
          <w:caps w:val="0"/>
          <w:color w:val="000000"/>
          <w:spacing w:val="0"/>
          <w:sz w:val="30"/>
          <w:szCs w:val="30"/>
          <w:shd w:val="clear" w:fill="FFFFFF"/>
        </w:rPr>
        <w:t>（四）2018部门整体支出绩效自评报告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仿宋_GBK" w:cs="Times New Roman"/>
          <w:b/>
          <w:bCs/>
          <w:i w:val="0"/>
          <w:iCs w:val="0"/>
          <w:caps w:val="0"/>
          <w:color w:val="000000"/>
          <w:spacing w:val="0"/>
          <w:sz w:val="21"/>
          <w:szCs w:val="21"/>
        </w:rPr>
      </w:pPr>
      <w:r>
        <w:rPr>
          <w:rFonts w:hint="default" w:ascii="Times New Roman" w:hAnsi="Times New Roman" w:eastAsia="方正仿宋_GBK" w:cs="Times New Roman"/>
          <w:b/>
          <w:bCs/>
          <w:i w:val="0"/>
          <w:iCs w:val="0"/>
          <w:caps w:val="0"/>
          <w:color w:val="000000"/>
          <w:spacing w:val="0"/>
          <w:sz w:val="30"/>
          <w:szCs w:val="30"/>
          <w:shd w:val="clear" w:fill="FFFFFF"/>
        </w:rPr>
        <w:t>（五）部门整体支出绩效自评表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 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   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center"/>
        <w:rPr>
          <w:rFonts w:hint="default" w:ascii="Times New Roman" w:hAnsi="Times New Roman" w:eastAsia="黑体" w:cs="Times New Roman"/>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黑体" w:cs="Times New Roman"/>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center"/>
        <w:rPr>
          <w:rFonts w:hint="default" w:ascii="Times New Roman" w:hAnsi="Times New Roman" w:eastAsia="方正小标宋_GBK" w:cs="Times New Roman"/>
          <w:i w:val="0"/>
          <w:iCs w:val="0"/>
          <w:caps w:val="0"/>
          <w:color w:val="000000"/>
          <w:spacing w:val="0"/>
          <w:sz w:val="32"/>
          <w:szCs w:val="32"/>
        </w:rPr>
      </w:pPr>
      <w:r>
        <w:rPr>
          <w:rFonts w:hint="default" w:ascii="Times New Roman" w:hAnsi="Times New Roman" w:eastAsia="方正小标宋_GBK" w:cs="Times New Roman"/>
          <w:i w:val="0"/>
          <w:iCs w:val="0"/>
          <w:caps w:val="0"/>
          <w:color w:val="000000"/>
          <w:spacing w:val="0"/>
          <w:sz w:val="32"/>
          <w:szCs w:val="32"/>
          <w:shd w:val="clear" w:fill="FFFFFF"/>
        </w:rPr>
        <w:t>第一部分  玉溪市工业和信息化委员会概况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玉溪市工业和信息化委员会属一级预算单位。市工信委作为市政府重的要综合职能部门，主要负责全市研究提出工业和信息化产业发展政策，制定并组织实施工业和信息化产业布局规划和结构调整的政策措施，推进工业园区建设，服务中小企业及非公经济，产业结构调整和优化升级，淘汰落后产能，节能降耗，推进新型工业化和工业经济跨越发展，加强工业和信息化行业人才队伍建设,促进全市工业经济发展等工作任务,承办市人民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（二）2018年度重点工作任务介绍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2018年在市委、市政府的坚强领导下，玉溪工业和信息化工作紧扣推进“两型三化”、打造“三张牌”、“六个走在全省前列”的要求，围绕经济社会发展“5577”总体思路和“四带多园”发展布局，坚定不移打好工业经济攻坚战，年初目标任务全面完成。全市规模以上工业增加值增长8.1%，非烟规上工业增加值增长21.2%，工业投资增长15.3%以上，园区经济增加值（不含烟厂）增长13.84%以上，民营经济增加值增长10.4%，预计完成单位GDP能耗同比下降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重点工作推进落实情况：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1</w:t>
      </w: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w:t>
      </w:r>
      <w:r>
        <w:rPr>
          <w:rFonts w:hint="default" w:ascii="Times New Roman" w:hAnsi="Times New Roman" w:eastAsia="方正仿宋_GBK" w:cs="Times New Roman"/>
          <w:b/>
          <w:bCs/>
          <w:i w:val="0"/>
          <w:iCs w:val="0"/>
          <w:caps w:val="0"/>
          <w:color w:val="000000"/>
          <w:spacing w:val="0"/>
          <w:sz w:val="32"/>
          <w:szCs w:val="32"/>
          <w:shd w:val="clear" w:fill="FFFFFF"/>
        </w:rPr>
        <w:t>抓攻坚稳增长。</w:t>
      </w:r>
      <w:r>
        <w:rPr>
          <w:rFonts w:hint="default" w:ascii="Times New Roman" w:hAnsi="Times New Roman" w:eastAsia="方正仿宋_GBK" w:cs="Times New Roman"/>
          <w:i w:val="0"/>
          <w:iCs w:val="0"/>
          <w:caps w:val="0"/>
          <w:color w:val="000000"/>
          <w:spacing w:val="0"/>
          <w:sz w:val="32"/>
          <w:szCs w:val="32"/>
          <w:shd w:val="clear" w:fill="FFFFFF"/>
        </w:rPr>
        <w:t>认真贯彻落实好省政府稳增长政策和市政府25条措施，组建6个督导帮扶工作组。组织489户企业参与电力市场化交易，节省电费开支9.75亿元。争取铁路实施运价优惠政策，企业节约运费2542万元。加大企业纳规入统工作力度，新增规上企业41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2</w:t>
      </w: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w:t>
      </w:r>
      <w:r>
        <w:rPr>
          <w:rFonts w:hint="default" w:ascii="Times New Roman" w:hAnsi="Times New Roman" w:eastAsia="方正仿宋_GBK" w:cs="Times New Roman"/>
          <w:b/>
          <w:bCs/>
          <w:i w:val="0"/>
          <w:iCs w:val="0"/>
          <w:caps w:val="0"/>
          <w:color w:val="000000"/>
          <w:spacing w:val="0"/>
          <w:sz w:val="32"/>
          <w:szCs w:val="32"/>
          <w:shd w:val="clear" w:fill="FFFFFF"/>
        </w:rPr>
        <w:t>抓产业促转型。</w:t>
      </w:r>
      <w:r>
        <w:rPr>
          <w:rFonts w:hint="default" w:ascii="Times New Roman" w:hAnsi="Times New Roman" w:eastAsia="方正仿宋_GBK" w:cs="Times New Roman"/>
          <w:i w:val="0"/>
          <w:iCs w:val="0"/>
          <w:caps w:val="0"/>
          <w:color w:val="000000"/>
          <w:spacing w:val="0"/>
          <w:sz w:val="32"/>
          <w:szCs w:val="32"/>
          <w:shd w:val="clear" w:fill="FFFFFF"/>
        </w:rPr>
        <w:t>严防地条钢死灰复燃，化解过剩炼铁产能55万吨、水泥45万吨、粗铜5万吨。加快推进仙福、太标钢铁产能置换技术升级改造，易门铜业“5改10”，矿冶及装备制造业增加值增长26.3%。蓝晶科技3500万片LED衬底片扩建项目进展顺利，电子信息产品制造业增加值增长70.6%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3</w:t>
      </w: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w:t>
      </w:r>
      <w:r>
        <w:rPr>
          <w:rFonts w:hint="default" w:ascii="Times New Roman" w:hAnsi="Times New Roman" w:eastAsia="方正仿宋_GBK" w:cs="Times New Roman"/>
          <w:b/>
          <w:bCs/>
          <w:i w:val="0"/>
          <w:iCs w:val="0"/>
          <w:caps w:val="0"/>
          <w:color w:val="000000"/>
          <w:spacing w:val="0"/>
          <w:sz w:val="32"/>
          <w:szCs w:val="32"/>
          <w:shd w:val="clear" w:fill="FFFFFF"/>
        </w:rPr>
        <w:t>抓民营激活力。</w:t>
      </w:r>
      <w:r>
        <w:rPr>
          <w:rFonts w:hint="default" w:ascii="Times New Roman" w:hAnsi="Times New Roman" w:eastAsia="方正仿宋_GBK" w:cs="Times New Roman"/>
          <w:i w:val="0"/>
          <w:iCs w:val="0"/>
          <w:caps w:val="0"/>
          <w:color w:val="000000"/>
          <w:spacing w:val="0"/>
          <w:sz w:val="32"/>
          <w:szCs w:val="32"/>
          <w:shd w:val="clear" w:fill="FFFFFF"/>
        </w:rPr>
        <w:t>优化营商环境，大力开展互联网+小微企业、企业管理素质提升、金融服务等各类培训，免费服务企业4195户、7400人次。多渠道帮助企业融资19亿元，为356户微型企业发放贷款1.62亿元。新增省级成长型中小企业12户，培育小巨人企业50户。全省州市民营经济发展考评玉溪位居第一，13户企业上榜2018年全省非公企业100强，蓝晶科技蓝宝石衬底片被工信部认定为国家级制造业单项冠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4</w:t>
      </w: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w:t>
      </w:r>
      <w:r>
        <w:rPr>
          <w:rFonts w:hint="default" w:ascii="Times New Roman" w:hAnsi="Times New Roman" w:eastAsia="方正仿宋_GBK" w:cs="Times New Roman"/>
          <w:b/>
          <w:bCs/>
          <w:i w:val="0"/>
          <w:iCs w:val="0"/>
          <w:caps w:val="0"/>
          <w:color w:val="000000"/>
          <w:spacing w:val="0"/>
          <w:sz w:val="32"/>
          <w:szCs w:val="32"/>
          <w:shd w:val="clear" w:fill="FFFFFF"/>
        </w:rPr>
        <w:t>抓瘦身壮园区。</w:t>
      </w:r>
      <w:r>
        <w:rPr>
          <w:rFonts w:hint="default" w:ascii="Times New Roman" w:hAnsi="Times New Roman" w:eastAsia="方正仿宋_GBK" w:cs="Times New Roman"/>
          <w:i w:val="0"/>
          <w:iCs w:val="0"/>
          <w:caps w:val="0"/>
          <w:color w:val="000000"/>
          <w:spacing w:val="0"/>
          <w:sz w:val="32"/>
          <w:szCs w:val="32"/>
          <w:shd w:val="clear" w:fill="FFFFFF"/>
        </w:rPr>
        <w:t>调减园区规划面积，全市园区瘦身面积110.5平方公里。园区实体化改革取得新突破，园区污水处理、标准厂房等设施建设不断完善。全市建成标准厂房80万平方米，园区工业增加值增长10%。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5</w:t>
      </w: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w:t>
      </w:r>
      <w:r>
        <w:rPr>
          <w:rFonts w:hint="default" w:ascii="Times New Roman" w:hAnsi="Times New Roman" w:eastAsia="方正仿宋_GBK" w:cs="Times New Roman"/>
          <w:b/>
          <w:bCs/>
          <w:i w:val="0"/>
          <w:iCs w:val="0"/>
          <w:caps w:val="0"/>
          <w:color w:val="000000"/>
          <w:spacing w:val="0"/>
          <w:sz w:val="32"/>
          <w:szCs w:val="32"/>
          <w:shd w:val="clear" w:fill="FFFFFF"/>
        </w:rPr>
        <w:t>抓绿色增效益。</w:t>
      </w:r>
      <w:r>
        <w:rPr>
          <w:rFonts w:hint="default" w:ascii="Times New Roman" w:hAnsi="Times New Roman" w:eastAsia="方正仿宋_GBK" w:cs="Times New Roman"/>
          <w:i w:val="0"/>
          <w:iCs w:val="0"/>
          <w:caps w:val="0"/>
          <w:color w:val="000000"/>
          <w:spacing w:val="0"/>
          <w:sz w:val="32"/>
          <w:szCs w:val="32"/>
          <w:shd w:val="clear" w:fill="FFFFFF"/>
        </w:rPr>
        <w:t>强化节能管理和监察，加强节能环保技术、工艺装备推广使用，实施11个市级重点节能示范项目，预计节能量9.67万吨标煤。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6</w:t>
      </w: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w:t>
      </w:r>
      <w:r>
        <w:rPr>
          <w:rFonts w:hint="default" w:ascii="Times New Roman" w:hAnsi="Times New Roman" w:eastAsia="方正仿宋_GBK" w:cs="Times New Roman"/>
          <w:b/>
          <w:bCs/>
          <w:i w:val="0"/>
          <w:iCs w:val="0"/>
          <w:caps w:val="0"/>
          <w:color w:val="000000"/>
          <w:spacing w:val="0"/>
          <w:sz w:val="32"/>
          <w:szCs w:val="32"/>
          <w:shd w:val="clear" w:fill="FFFFFF"/>
        </w:rPr>
        <w:t>抓信息强动力。</w:t>
      </w:r>
      <w:r>
        <w:rPr>
          <w:rFonts w:hint="default" w:ascii="Times New Roman" w:hAnsi="Times New Roman" w:eastAsia="方正仿宋_GBK" w:cs="Times New Roman"/>
          <w:i w:val="0"/>
          <w:iCs w:val="0"/>
          <w:caps w:val="0"/>
          <w:color w:val="000000"/>
          <w:spacing w:val="0"/>
          <w:sz w:val="32"/>
          <w:szCs w:val="32"/>
          <w:shd w:val="clear" w:fill="FFFFFF"/>
        </w:rPr>
        <w:t>加大投入和扶持力度，全年完成信息通信基础设施投资45487万元，光纤总长达70592皮长公里。深化与华为、阿里巴巴、腾讯、亿赞普等知名企业的合作，加快推进华为玉溪云计算数据中心、手机等智能终端制造及配套产业等重点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b/>
          <w:bCs/>
          <w:i w:val="0"/>
          <w:iCs w:val="0"/>
          <w:caps w:val="0"/>
          <w:color w:val="000000"/>
          <w:spacing w:val="0"/>
          <w:sz w:val="32"/>
          <w:szCs w:val="32"/>
          <w:shd w:val="clear" w:fill="FFFFFF"/>
        </w:rPr>
        <w:t>7</w:t>
      </w:r>
      <w:r>
        <w:rPr>
          <w:rFonts w:hint="default" w:ascii="Times New Roman" w:hAnsi="Times New Roman" w:eastAsia="方正仿宋_GBK" w:cs="Times New Roman"/>
          <w:b/>
          <w:bCs/>
          <w:i w:val="0"/>
          <w:iCs w:val="0"/>
          <w:caps w:val="0"/>
          <w:color w:val="000000"/>
          <w:spacing w:val="0"/>
          <w:sz w:val="32"/>
          <w:szCs w:val="32"/>
          <w:shd w:val="clear" w:fill="FFFFFF"/>
          <w:lang w:val="en-US" w:eastAsia="zh-CN"/>
        </w:rPr>
        <w:t>.</w:t>
      </w:r>
      <w:r>
        <w:rPr>
          <w:rFonts w:hint="default" w:ascii="Times New Roman" w:hAnsi="Times New Roman" w:eastAsia="方正仿宋_GBK" w:cs="Times New Roman"/>
          <w:b/>
          <w:bCs/>
          <w:i w:val="0"/>
          <w:iCs w:val="0"/>
          <w:caps w:val="0"/>
          <w:color w:val="000000"/>
          <w:spacing w:val="0"/>
          <w:sz w:val="32"/>
          <w:szCs w:val="32"/>
          <w:shd w:val="clear" w:fill="FFFFFF"/>
        </w:rPr>
        <w:t>依托窗口平台</w:t>
      </w:r>
      <w:r>
        <w:rPr>
          <w:rFonts w:hint="default" w:ascii="Times New Roman" w:hAnsi="Times New Roman" w:eastAsia="方正仿宋_GBK" w:cs="Times New Roman"/>
          <w:b/>
          <w:bCs/>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积极为中小企业提供各项服务;开展企业服务需求调查，为企业提供精准服务提供依据;做好玉溪中小企业云服务网试运营管理工作；积极开展三项专项行动和三项重点工程及两项重点工作，依托窗口平台入驻服务机构积极开展了“互联网+”中小微企业专项行动、中小微企业成长陪伴专项行动、中小企业志愿服务专项行动、“专精特新”中小企业培训工程、服务机构从业人员服务能力提升工程和中小企业管理能力提升工程及中小企业促进法宣贯、金融知识普及教育两项重点工作，共举办活动65场，服务企业2729户，服务人数5155人次；多形式开展“双创”活动，助推企业创业创新，营造双创氛围，强化双创服务，积极宣传创业创新政策，促进小微企业健康发展，共开展活动10场，服务企业488户，服务人数691人，营造了全民创新创业的浓厚氛围，进一步激发了全社会创新创业的活力，汇聚了创新创业资源，为我市经济社会发展提供了新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（一）部门决算单位构成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纳入玉溪市工业和信息化委员会部门2018年度部门决算编报的单位共3个。其中：行政单位1个，事业单位2个，其他事业单位0个。分别是：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1. 玉溪市工业和信息化委员会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2.玉溪市无线电监测站（财务未独立核算）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3.玉溪市工业和信息化培训中心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（二）部门人员和车辆的编制及实有情况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玉溪市工业和信息化委员会部门2018年末实有人员编制63人。其中：行政编制50人（含行政工勤编制4人），事业编制13人（含参公管理事业编制0人）；在职在编实有行政人员61人（含行政工勤人员8人），事业人员13人（含参公管理事业人员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离退休人员121人。其中：离休9人，退休112人(年终决算未填列退休人数)。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105" w:afterAutospacing="0" w:line="600" w:lineRule="atLeast"/>
        <w:ind w:left="0" w:right="0" w:firstLine="63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实有车辆编制2辆，在编实有车辆3辆。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center"/>
        <w:rPr>
          <w:rFonts w:hint="default" w:ascii="Times New Roman" w:hAnsi="Times New Roman" w:eastAsia="方正小标宋_GBK" w:cs="Times New Roman"/>
          <w:i w:val="0"/>
          <w:iCs w:val="0"/>
          <w:caps w:val="0"/>
          <w:color w:val="000000"/>
          <w:spacing w:val="0"/>
          <w:sz w:val="32"/>
          <w:szCs w:val="32"/>
        </w:rPr>
      </w:pPr>
      <w:r>
        <w:rPr>
          <w:rFonts w:hint="default" w:ascii="Times New Roman" w:hAnsi="Times New Roman" w:eastAsia="方正小标宋_GBK" w:cs="Times New Roman"/>
          <w:i w:val="0"/>
          <w:iCs w:val="0"/>
          <w:caps w:val="0"/>
          <w:color w:val="000000"/>
          <w:spacing w:val="0"/>
          <w:sz w:val="32"/>
          <w:szCs w:val="32"/>
          <w:shd w:val="clear" w:fill="FFFFFF"/>
        </w:rPr>
        <w:t>第二部分  2018年度部门决算表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center"/>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center"/>
        <w:rPr>
          <w:rFonts w:hint="default" w:ascii="Times New Roman" w:hAnsi="Times New Roman" w:eastAsia="方正小标宋_GBK" w:cs="Times New Roman"/>
          <w:i w:val="0"/>
          <w:iCs w:val="0"/>
          <w:caps w:val="0"/>
          <w:color w:val="000000"/>
          <w:spacing w:val="0"/>
          <w:sz w:val="32"/>
          <w:szCs w:val="32"/>
        </w:rPr>
      </w:pPr>
      <w:r>
        <w:rPr>
          <w:rFonts w:hint="default" w:ascii="Times New Roman" w:hAnsi="Times New Roman" w:eastAsia="方正小标宋_GBK" w:cs="Times New Roman"/>
          <w:i w:val="0"/>
          <w:iCs w:val="0"/>
          <w:caps w:val="0"/>
          <w:color w:val="000000"/>
          <w:spacing w:val="0"/>
          <w:sz w:val="32"/>
          <w:szCs w:val="32"/>
          <w:shd w:val="clear" w:fill="FFFFFF"/>
        </w:rPr>
        <w:t>第三部分  2018年度部门决算情况说明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玉溪市工业和信息化委员会部门2018年度收入合计4,700.64万元。其中：财政拨款收入4,675.33万元，占总收入的99.46%；上级补助收入0.00万元，占总收入的0.00%；事业收入0.00万元，占总收入的0.00%；经营收入0.00万元，占总收入的0.00%；附属单位缴款收入0.00万元，占总收入的0.00%；其他收入25.32万元，占总收入的0.54%。与上年对比财政拨款收入比上年减少5310.31万元，减53.18%，减少的主要原因是2017年拨入了信息化建设专项资金1940万元和玉溪云计算数据中心购买云服务专项资金3150万元，2018年上述资金直接下达县区未拨付到市工业化信息化委员会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玉溪市工业和信息化委员会部门2018年度支出合计12,383.16万元。其中：基本支出2,688.90万元，占总支出的21.71%；项目支出9,694.26万元，占总支出的78.29%；上缴上级支出、经营支出、对附属单位补助支出共0.00万元，占总支出的0.00%。全年支出项目支出占比最大。与上年对比增加支出2509.61万元,增长25.42%，增长的主要原因是按市四届政次常务会议及玉政办通〔2017〕111号文件精神将以前年度结转工业企业扩销促产信贷引导专项资金8000万元拨付玉溪市工业信息投资有限公司作为注册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2018年度用于保障玉溪市工业和信息化委员会机关、下属事业单位等机构正常运转的日常支出2,688.90万元。与上年对比增加12.49万元,增长了0.5%，增长的主要原因是人员工资、奖金、社会保障缴费等增加。包括基本工资、津贴补贴等人员经费支出占基本支出的80.84%；办公费、印刷费、水电费、办公设备购置等日常公用经费占基本支出的19.16%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2018年度用于保障玉溪市工业和信息化委员会机构、下属事业单位等机构为完成特定的行政工作任务或事业发展目标，用于专项业务工作的经费支出9,694.26万元。与上年对比增长2522.09万元增长35.16%，增长的主要原因是按市四届政次常务会议及玉政办通〔2017〕111号文件精神将以前年度结转工业企业扩销促产信贷引导专项资金8000万元拨付玉溪市工业信息投资有限公司作为注册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具体项目开支及开展工作情况如下：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2018年市本级调整预算工业和信息化重点工作项目资金813.84万元（支付2017年应付未付合同款项），完成以“信息消费”“信息惠民”和“宽带乡村”试点城市建设为契机，以华为玉溪云计算数据中心、融创天下“微总部经济园区”等项目为依托，紧跟世界电子信息技术发展趋势，以全球视野前瞻布局、发挥优势、集聚资源，以应用为先导、产业为核心、创新为动力，大力发展以云计算、大数据和移动电子商务为代表的新一代信息技术产业，着力培育新业态、发展新型商业模式、完善产业链、引导电子信息企业集群集聚发展，带动信息产业整体快速发展，推动全市经济转型升级和提升社会发展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2018年重点项目市级预算内前期工作经费44.2万元完成了《玉溪市新能源汽车及配套产业发展规划（2018-2025）技术服务合同》和《玉溪市数控机床产业发展规划（2018-2025）技术服务合同》的签订及编制的实施。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按市四届政次常务会议及玉政办通〔2017〕111号文件精神将上年结转工业企业扩销促产信贷引导专项资金8000万元拨付玉溪市工业信息投资有限公司作为注册资本金，资本金的注入推进了大化产业园区、玉溪市应急指挥中心搬迁改造、玉溪市突发事件应急管理系统搬迁改造、玉溪市政务中心搬迁改造等项目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无线电管理经费支出422.42万元，完成了上一年度实施的“玉溪市无线电现场监测系统”和“可搬移无线电信号压制系统建设”，分别为县区无线电管理机构配备了无线电管理方面的便携式机器辅助信号测向设备，并具备了普通模拟信号监听功能，减轻了县区有关工作人员的操作难度，提高了管理水平和效率，随后实施的“县区全向宽带车载便携天线”为县区监测无线电环境和考试保障等相关工作提供了必备的工作条件。另外对存在问题的EB500接收机进行了维修使之恢复正常的性能指标、支付了应付未付的易门高山测向站的基础设施租用费，对几个重要易受雷击的固定监测点实施了防雷改造；并升级了移动监测车识别新型数字信号的能力；对无线电监测网重要技术设备构置了运行维护服务等，从而确保了我市无线电监测网技术设施的正常运行，为保障好我市的无线电频谱资源利用有序，更好地服务社会经济的发展起到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玉溪市工业和信息化委员会部门2018年度一般公共预算财政拨款支出12,361.96万元,占本年支出合计的99.83%。与上年对比增长2527.82万元，增长25.70%，增长的主要是按市四届政次常务会议及玉政办通〔2017〕111号文件精神将以前年度结转工业企业扩销促产信贷引导专项资金8000万元拨付玉溪市工业信息投资有限公司作为注册资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一般公共服务（类）支出10,587.04万元，占一般公共预算财政拨款总支出的85.64%。主要用于（1）行政运行1283.63万元，支付人员支出和日常公用支出；（2）一般行政管理事务28.20万元，支付政府购买岗位人员支出；（3）战略规划与实施9104.37万元，支付按市四届政次常务会议及玉政办通〔2017〕111号文件精神将以前年度结转工业企业扩销促产信贷引导专项资金8000万元拨付玉溪市工业信息投资有限公司作为注册资本金及信息化建设资金813.84万元等；（4）事业运行170.84万元，支付玉溪市工业和信息化培训中心和玉溪市无线电监测站人员及运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2.外交（类）支出0.00万元，占一般公共预算财政拨款总支出的0.00%。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3.国防（类）支出0.00万元，占一般公共预算财政拨款总支出的0.00%。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4.公共安全（类）支出0.00万元，占一般公共预算财政拨款总支出的0.00%。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5.教育（类）支出0.00万元，占一般公共预算财政拨款总支出的0.00%。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6.科学技术（类）支出44.52万元，占一般公共预算财政拨款总支出的0.36%。主要用于《玉溪市新能源汽车及配套产业发展规划（2018-2025）技术服务合同》和《玉溪市数控机床产业发展规划（2018-2025）技术服务合同》的签订及编制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7.文化体育与传媒（类）支出0.00万元，占一般公共预算财政拨款总支出的0.00%。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8.社会保障和就业（类）支出709.13万元，占一般公共预算财政拨款总支出的5.74%。主要用于（1）归口管理的行政单位离退休485.75万元；（2）事业单位离退休7.94万元；（3）机关事业单位基本养老保险缴费支出134.58万元；（4）机关事业单位职业年金缴费支出20.50万元；（5）死亡抚恤55.32万元；（6）财政对其他社会保险基金的补助（失业、工伤、生育）5.04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9.医疗卫生与计划生育（类）支出173.48万元，占一般公共预算财政拨款总支出的1.40%。主要用于（1）行政单位医疗102.27万元；（2）事业单位医疗4.27万元；（3）公务员医疗补助66.94万元。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10.节能环保（类）支出0.00万元，占一般公共预算财政拨款总支出的0.00%。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11.城乡社区（类）支出0.00万元，占一般公共预算财政拨款总支出的0.00%。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12.农林水（类）支出0.00万元，占一般公共预算财政拨款总支出的0.00%。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13.交通运输（类）支出0.00万元，占一般公共预算财政拨款总支出的0.00%。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14.资源勘探信息等（类）支出726.27万元，占一般公共预算财政拨款总支出的5.88%。要用于（1） 无线电监管422.42万元；（2）工业和信息产业支持74.86万元；（3）中小企业发展专项228.99万元。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15.商业服务业等（类）支出0.00万元，占一般公共预算财政拨款总支出的0.00%。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16.金融（类）支出0.00万元，占一般公共预算财政拨款总支出的0.00%。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17.援助其他地区（类）支出0.00万元，占一般公共预算财政拨款总支出的0.00%。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18.国土海洋气象等（类）支出0.00万元，占一般公共预算财政拨款总支出的0.00%。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19.住房保障（类）支出121.51万元，占一般公共预算财政拨款总支出的0.98%。主要用于（1）住房公积金119.08万元；（2）购房补贴2.43万元。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20.粮油物资储备（类）支出0.00万元，占一般公共预算财政拨款总支出的0.00%。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21.其他（类）支出0.00万元，占一般公共预算财政拨款总支出的0.00%。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22.债务还本（类）支出0.00万元，占一般公共预算财政拨款总支出的0.00%。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23.债务付息（类）支出0.00万元，占一般公共预算财政拨款总支出的0.00%。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四、一般公共预算财政拨款“三公”经费支出决算情况说明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(一) 一般公共预算财政拨款“三公”经费支出决算总体情况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玉溪市工业和信息化委员会部门2018年度一般公共预算财政拨款“三公”经费支出预算为82.20万元，支出决算为66.67万元，完成预算的81.11%。其中：因公出国（境）费支出决算为0.00万元，完成预算的0%；公务用车购置及运行费支出决算为49.66万元，完成预算的324.15%；公务接待费支出决算为17.01万元，完成预算的25.43%。2018年度一般公共预算财政拨款“三公”经费支出决算数小于预算数的主要原因是我委进一步严格贯彻落实中央八项规定精神，坚持厉行节约，反对浪费，坚持从俭从严，勤俭办事，切实降低公务活动成本，将相关支出严格控制在年初预算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2018年度一般公共预算财政拨款“三公”经费支出决算数66.67万元比2017年增加9.30万元，增长16.21%。其中：因公出国（境）费支出决算0.00万元；公务用车购置及运行费支出决算49.66万元增加35.72万元，增长256.24%；公务接待费支出决算17.01万元比2017年减少26.42万元，下降60.83%。2018年度一般公共预算财政拨款“三公”经费支出决算增加的主要原因是新增公务用车购置费37.99万元（云南省公务用车配备通知单号20180004购置无线电专用车辆），但剔除公务用车购置后2018年度一般公共预算财政拨款“三公”经费支出决算28.68万元比2017 年度下降28.69万元，下降了50%。2018年度一般公共预算财政拨款“三公”经费支出决算下降的主要原因是我委持续认真贯彻落实中央关于厉行节约的要求，严格控制公务接待标准及次数，不断减少公务接待支出费用；严格规范公务用车管理，减少公务用车购置及运行维护经费支出；完善制度建设，强化执行力度，切实减少了“三公”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楷体_GBK" w:cs="Times New Roman"/>
          <w:i w:val="0"/>
          <w:iCs w:val="0"/>
          <w:caps w:val="0"/>
          <w:color w:val="000000"/>
          <w:spacing w:val="0"/>
          <w:sz w:val="32"/>
          <w:szCs w:val="32"/>
        </w:rPr>
      </w:pPr>
      <w:r>
        <w:rPr>
          <w:rFonts w:hint="default" w:ascii="Times New Roman" w:hAnsi="Times New Roman" w:eastAsia="方正楷体_GBK" w:cs="Times New Roman"/>
          <w:i w:val="0"/>
          <w:iCs w:val="0"/>
          <w:caps w:val="0"/>
          <w:color w:val="000000"/>
          <w:spacing w:val="0"/>
          <w:sz w:val="32"/>
          <w:szCs w:val="32"/>
          <w:shd w:val="clear" w:fill="FFFFFF"/>
        </w:rPr>
        <w:t>(二) 一般公共预算财政拨款“三公”经费支出决算具体情况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2018年度一般公共预算财政拨款“三公”经费支出决算中，因公出国（境）费支出0.00万元，占0.00%；公务用车购置及运行维护费支出49.66万元，占74.49%；公务接待费支出17.01万元，占25.51%。具体情况如下：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1.</w:t>
      </w:r>
      <w:r>
        <w:rPr>
          <w:rFonts w:hint="default" w:ascii="Times New Roman" w:hAnsi="Times New Roman" w:eastAsia="方正仿宋_GBK" w:cs="Times New Roman"/>
          <w:b/>
          <w:bCs/>
          <w:i w:val="0"/>
          <w:iCs w:val="0"/>
          <w:caps w:val="0"/>
          <w:color w:val="000000"/>
          <w:spacing w:val="0"/>
          <w:sz w:val="32"/>
          <w:szCs w:val="32"/>
          <w:shd w:val="clear" w:fill="FFFFFF"/>
        </w:rPr>
        <w:t>因公出国（境）费</w:t>
      </w:r>
      <w:r>
        <w:rPr>
          <w:rFonts w:hint="default" w:ascii="Times New Roman" w:hAnsi="Times New Roman" w:eastAsia="方正仿宋_GBK" w:cs="Times New Roman"/>
          <w:i w:val="0"/>
          <w:iCs w:val="0"/>
          <w:caps w:val="0"/>
          <w:color w:val="000000"/>
          <w:spacing w:val="0"/>
          <w:sz w:val="32"/>
          <w:szCs w:val="32"/>
          <w:shd w:val="clear" w:fill="FFFFFF"/>
        </w:rPr>
        <w:t>支出0.00万元，共安排因公出国（境）团组0个，累计0人次。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2. </w:t>
      </w:r>
      <w:r>
        <w:rPr>
          <w:rFonts w:hint="default" w:ascii="Times New Roman" w:hAnsi="Times New Roman" w:eastAsia="方正仿宋_GBK" w:cs="Times New Roman"/>
          <w:b/>
          <w:bCs/>
          <w:i w:val="0"/>
          <w:iCs w:val="0"/>
          <w:caps w:val="0"/>
          <w:color w:val="000000"/>
          <w:spacing w:val="0"/>
          <w:sz w:val="32"/>
          <w:szCs w:val="32"/>
          <w:shd w:val="clear" w:fill="FFFFFF"/>
        </w:rPr>
        <w:t>公务用车购置及运行维护费</w:t>
      </w:r>
      <w:r>
        <w:rPr>
          <w:rFonts w:hint="default" w:ascii="Times New Roman" w:hAnsi="Times New Roman" w:eastAsia="方正仿宋_GBK" w:cs="Times New Roman"/>
          <w:i w:val="0"/>
          <w:iCs w:val="0"/>
          <w:caps w:val="0"/>
          <w:color w:val="000000"/>
          <w:spacing w:val="0"/>
          <w:sz w:val="32"/>
          <w:szCs w:val="32"/>
          <w:shd w:val="clear" w:fill="FFFFFF"/>
        </w:rPr>
        <w:t>支出49.66万元。其中：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公务用车购置支出37.99万元，购置车辆1辆。具体购置车辆原因是按玉财资〔2018〕71号文件淘汰黄标车云F00019车辆为无线电特种专用车辆，云财建〔2018〕95号中央无线电管理经费下达了无线电管理特种车辆购置费45万元，玉溪市公务用车编制管理领导小组办公室同意配置无线电特种专用车辆1辆（云南省公务用车配备通知单号为20180004），购置经费为37.99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公务用车运行维护支出11.67万元，开支财政拨款的公务用车保有量为3辆。主要用于产业转型升级，在信息化和信息产业、技术进步、园区发展建设、中小企业、节能、原材料、食品药品、无线电监督检查等工作所需车辆燃料费、维修费、过路过桥费、保险费、车船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3.</w:t>
      </w:r>
      <w:r>
        <w:rPr>
          <w:rFonts w:hint="default" w:ascii="Times New Roman" w:hAnsi="Times New Roman" w:eastAsia="方正仿宋_GBK" w:cs="Times New Roman"/>
          <w:b/>
          <w:bCs/>
          <w:i w:val="0"/>
          <w:iCs w:val="0"/>
          <w:caps w:val="0"/>
          <w:color w:val="000000"/>
          <w:spacing w:val="0"/>
          <w:sz w:val="32"/>
          <w:szCs w:val="32"/>
          <w:shd w:val="clear" w:fill="FFFFFF"/>
        </w:rPr>
        <w:t>公务接待费</w:t>
      </w:r>
      <w:r>
        <w:rPr>
          <w:rFonts w:hint="default" w:ascii="Times New Roman" w:hAnsi="Times New Roman" w:eastAsia="方正仿宋_GBK" w:cs="Times New Roman"/>
          <w:i w:val="0"/>
          <w:iCs w:val="0"/>
          <w:caps w:val="0"/>
          <w:color w:val="000000"/>
          <w:spacing w:val="0"/>
          <w:sz w:val="32"/>
          <w:szCs w:val="32"/>
          <w:shd w:val="clear" w:fill="FFFFFF"/>
        </w:rPr>
        <w:t>支出17.01万元。其中：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国内接待费支出17.01万元（其中：外事接待费支出0.00万元），共安排国内公务接待134批次（其中：外事接待0批次），接待人次1866人（其中：外事接待人次0人）。主要用于</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开展招商引资、向上争取资金及调研等发生的接待支出。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国（境）外接待费支出0.00万元，共安排国（境）外公务接待0批次，接待人次0人。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45"/>
        <w:jc w:val="center"/>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黑体" w:cs="Times New Roman"/>
          <w:i w:val="0"/>
          <w:iCs w:val="0"/>
          <w:caps w:val="0"/>
          <w:color w:val="000000"/>
          <w:spacing w:val="0"/>
          <w:sz w:val="32"/>
          <w:szCs w:val="32"/>
          <w:shd w:val="clear" w:fill="FFFFFF"/>
        </w:rPr>
        <w:t>第四部分</w:t>
      </w:r>
      <w:r>
        <w:rPr>
          <w:rFonts w:hint="default" w:ascii="Times New Roman" w:hAnsi="Times New Roman" w:eastAsia="宋体" w:cs="Times New Roman"/>
          <w:i w:val="0"/>
          <w:iCs w:val="0"/>
          <w:caps w:val="0"/>
          <w:color w:val="000000"/>
          <w:spacing w:val="0"/>
          <w:sz w:val="32"/>
          <w:szCs w:val="32"/>
          <w:shd w:val="clear" w:fill="FFFFFF"/>
        </w:rPr>
        <w:t>  </w:t>
      </w:r>
      <w:r>
        <w:rPr>
          <w:rFonts w:hint="default" w:ascii="Times New Roman" w:hAnsi="Times New Roman" w:eastAsia="黑体" w:cs="Times New Roman"/>
          <w:i w:val="0"/>
          <w:iCs w:val="0"/>
          <w:caps w:val="0"/>
          <w:color w:val="000000"/>
          <w:spacing w:val="0"/>
          <w:sz w:val="32"/>
          <w:szCs w:val="32"/>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玉溪市工业和信息化委员会部门2018年机关运行经费支出470.48万元，与上年对比增长234.28万元,增长的主要原因是2018年的预算安排中工作业务经费309万元列入了基本支出中而2017年则列入项目支出，款项为一般公共服务支出中的行政运行和战略规划与实施。部门机关运行经费主要用于办公费16.90万元，水费4.43万元，电费5.92万元，邮电费3.50万元，物业管理费49.9万元，差旅费54.25万元，维修费17.04万元，培训费86.23万元，会议费26.54万元，公务接待费5.92万元，公务用车运行维护费5.65万元，其他交通费用73.03万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54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截至2018年12月31日，玉溪市工业和信息化委员会部门资产总额33,325.13万元，其中，流动资产24,562.53万元，固定资产8,489.87万元，对外投资及有价证券0.00万元，在建工程10.30万元，无形资产262.43万元，其他资产0.00万元（具体内容详见附表）。与上年相比，本年资产总额减少7,995.32万元，其中;流动资产减少8,090.65万元，固定资产增加99.80万元,对外投资及有价证券增加（减少）0.00万元，在建工程减少36.70万元，无形资产减少32.23万元，其他资产增加（减少）0.00万元。处置房屋建筑物0平方米，账面原值0元；处置车辆1辆，账面原值28.74万元；报废报损资产0项，账面原值0万元，实现资产处置收入0.06万元；出租房屋2,010.74平方米，账面原值1,449.65万元，实现资产使用收入18.12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p>
    <w:tbl>
      <w:tblPr>
        <w:tblStyle w:val="3"/>
        <w:tblW w:w="12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2"/>
        <w:gridCol w:w="363"/>
        <w:gridCol w:w="1420"/>
        <w:gridCol w:w="1420"/>
        <w:gridCol w:w="1250"/>
        <w:gridCol w:w="1250"/>
        <w:gridCol w:w="1081"/>
        <w:gridCol w:w="1081"/>
        <w:gridCol w:w="190"/>
        <w:gridCol w:w="1061"/>
        <w:gridCol w:w="477"/>
        <w:gridCol w:w="911"/>
        <w:gridCol w:w="1081"/>
        <w:gridCol w:w="493"/>
        <w:gridCol w:w="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205" w:type="dxa"/>
            <w:gridSpan w:val="14"/>
            <w:tcBorders>
              <w:top w:val="nil"/>
              <w:left w:val="nil"/>
              <w:bottom w:val="nil"/>
              <w:right w:val="nil"/>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Style w:val="5"/>
                <w:rFonts w:hint="default" w:ascii="Times New Roman" w:hAnsi="Times New Roman" w:eastAsia="方正仿宋_GBK" w:cs="Times New Roman"/>
                <w:i w:val="0"/>
                <w:iCs w:val="0"/>
                <w:caps w:val="0"/>
                <w:color w:val="000000"/>
                <w:spacing w:val="0"/>
                <w:sz w:val="32"/>
                <w:szCs w:val="32"/>
              </w:rPr>
              <w:t>国有资产占有使用情况表</w:t>
            </w: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5610" w:type="dxa"/>
            <w:gridSpan w:val="9"/>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435" w:type="dxa"/>
            <w:tcBorders>
              <w:top w:val="nil"/>
              <w:left w:val="nil"/>
              <w:bottom w:val="single" w:color="000000" w:sz="6" w:space="0"/>
              <w:right w:val="nil"/>
            </w:tcBorders>
            <w:shd w:val="clear" w:color="auto" w:fill="FFFFFF"/>
            <w:tcMar>
              <w:top w:w="15" w:type="dxa"/>
              <w:left w:w="15" w:type="dxa"/>
              <w:bottom w:w="30" w:type="dxa"/>
              <w:right w:w="15" w:type="dxa"/>
            </w:tcMar>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2190" w:type="dxa"/>
            <w:gridSpan w:val="4"/>
            <w:tcBorders>
              <w:top w:val="nil"/>
              <w:left w:val="nil"/>
              <w:bottom w:val="single" w:color="000000" w:sz="6" w:space="0"/>
              <w:right w:val="nil"/>
            </w:tcBorders>
            <w:shd w:val="clear" w:color="auto" w:fill="FFFFFF"/>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righ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单位：万元</w:t>
            </w: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5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项目</w:t>
            </w:r>
          </w:p>
        </w:tc>
        <w:tc>
          <w:tcPr>
            <w:tcW w:w="240" w:type="dxa"/>
            <w:vMerge w:val="restart"/>
            <w:tcBorders>
              <w:top w:val="nil"/>
              <w:left w:val="nil"/>
              <w:bottom w:val="single" w:color="000000" w:sz="6" w:space="0"/>
              <w:right w:val="single" w:color="000000" w:sz="6" w:space="0"/>
            </w:tcBorders>
            <w:shd w:val="clear" w:color="auto" w:fill="FFFFFF"/>
            <w:tcMar>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行次</w:t>
            </w:r>
          </w:p>
        </w:tc>
        <w:tc>
          <w:tcPr>
            <w:tcW w:w="840" w:type="dxa"/>
            <w:vMerge w:val="restart"/>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资产总额</w:t>
            </w:r>
          </w:p>
        </w:tc>
        <w:tc>
          <w:tcPr>
            <w:tcW w:w="975" w:type="dxa"/>
            <w:vMerge w:val="restart"/>
            <w:tcBorders>
              <w:top w:val="single" w:color="000000" w:sz="6" w:space="0"/>
              <w:left w:val="nil"/>
              <w:bottom w:val="single" w:color="000000" w:sz="6" w:space="0"/>
              <w:right w:val="single" w:color="000000" w:sz="6" w:space="0"/>
            </w:tcBorders>
            <w:shd w:val="clear" w:color="auto" w:fill="FFFFFF"/>
            <w:tcMar>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流动资产</w:t>
            </w:r>
          </w:p>
        </w:tc>
        <w:tc>
          <w:tcPr>
            <w:tcW w:w="3765" w:type="dxa"/>
            <w:gridSpan w:val="6"/>
            <w:tcBorders>
              <w:top w:val="single" w:color="000000" w:sz="6" w:space="0"/>
              <w:left w:val="nil"/>
              <w:bottom w:val="single" w:color="000000" w:sz="6" w:space="0"/>
              <w:right w:val="single" w:color="000000" w:sz="6" w:space="0"/>
            </w:tcBorders>
            <w:shd w:val="clear" w:color="auto" w:fill="FFFFFF"/>
            <w:tcMar>
              <w:top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固定资产</w:t>
            </w:r>
          </w:p>
        </w:tc>
        <w:tc>
          <w:tcPr>
            <w:tcW w:w="450" w:type="dxa"/>
            <w:vMerge w:val="restart"/>
            <w:tcBorders>
              <w:top w:val="nil"/>
              <w:left w:val="nil"/>
              <w:bottom w:val="single" w:color="000000" w:sz="6" w:space="0"/>
              <w:right w:val="single" w:color="000000" w:sz="6" w:space="0"/>
            </w:tcBorders>
            <w:shd w:val="clear" w:color="auto" w:fill="FFFFFF"/>
            <w:tcMar>
              <w:top w:w="30" w:type="dxa"/>
              <w:left w:w="15"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对外投资/有价证券</w:t>
            </w:r>
          </w:p>
        </w:tc>
        <w:tc>
          <w:tcPr>
            <w:tcW w:w="555" w:type="dxa"/>
            <w:vMerge w:val="restart"/>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在建工程</w:t>
            </w:r>
          </w:p>
        </w:tc>
        <w:tc>
          <w:tcPr>
            <w:tcW w:w="840" w:type="dxa"/>
            <w:vMerge w:val="restart"/>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无形资产</w:t>
            </w:r>
          </w:p>
        </w:tc>
        <w:tc>
          <w:tcPr>
            <w:tcW w:w="465" w:type="dxa"/>
            <w:vMerge w:val="restart"/>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其他资产</w:t>
            </w: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240" w:type="dxa"/>
            <w:vMerge w:val="continue"/>
            <w:tcBorders>
              <w:top w:val="nil"/>
              <w:left w:val="nil"/>
              <w:bottom w:val="single" w:color="000000" w:sz="6" w:space="0"/>
              <w:right w:val="single" w:color="000000" w:sz="6" w:space="0"/>
            </w:tcBorders>
            <w:shd w:val="clear" w:color="auto" w:fill="FFFFFF"/>
            <w:tcMar>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840" w:type="dxa"/>
            <w:vMerge w:val="continue"/>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975" w:type="dxa"/>
            <w:vMerge w:val="continue"/>
            <w:tcBorders>
              <w:top w:val="single" w:color="000000" w:sz="6" w:space="0"/>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810" w:type="dxa"/>
            <w:vMerge w:val="restart"/>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小计</w:t>
            </w:r>
          </w:p>
        </w:tc>
        <w:tc>
          <w:tcPr>
            <w:tcW w:w="780" w:type="dxa"/>
            <w:vMerge w:val="restart"/>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房屋构筑物</w:t>
            </w:r>
          </w:p>
        </w:tc>
        <w:tc>
          <w:tcPr>
            <w:tcW w:w="795" w:type="dxa"/>
            <w:vMerge w:val="restart"/>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车辆</w:t>
            </w:r>
          </w:p>
        </w:tc>
        <w:tc>
          <w:tcPr>
            <w:tcW w:w="690" w:type="dxa"/>
            <w:vMerge w:val="restart"/>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单价200万以上大型设备</w:t>
            </w:r>
          </w:p>
        </w:tc>
        <w:tc>
          <w:tcPr>
            <w:tcW w:w="900" w:type="dxa"/>
            <w:gridSpan w:val="2"/>
            <w:vMerge w:val="restart"/>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其他固定资产</w:t>
            </w:r>
          </w:p>
        </w:tc>
        <w:tc>
          <w:tcPr>
            <w:tcW w:w="450" w:type="dxa"/>
            <w:vMerge w:val="continue"/>
            <w:tcBorders>
              <w:top w:val="nil"/>
              <w:left w:val="nil"/>
              <w:bottom w:val="single" w:color="000000" w:sz="6" w:space="0"/>
              <w:right w:val="single" w:color="000000" w:sz="6" w:space="0"/>
            </w:tcBorders>
            <w:shd w:val="clear" w:color="auto" w:fill="FFFFFF"/>
            <w:tcMar>
              <w:top w:w="30" w:type="dxa"/>
              <w:left w:w="15" w:type="dxa"/>
              <w:bottom w:w="30" w:type="dxa"/>
              <w:right w:w="30"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555" w:type="dxa"/>
            <w:vMerge w:val="continue"/>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840" w:type="dxa"/>
            <w:vMerge w:val="continue"/>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465" w:type="dxa"/>
            <w:vMerge w:val="continue"/>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25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240" w:type="dxa"/>
            <w:vMerge w:val="continue"/>
            <w:tcBorders>
              <w:top w:val="nil"/>
              <w:left w:val="nil"/>
              <w:bottom w:val="single" w:color="000000" w:sz="6" w:space="0"/>
              <w:right w:val="single" w:color="000000" w:sz="6" w:space="0"/>
            </w:tcBorders>
            <w:shd w:val="clear" w:color="auto" w:fill="FFFFFF"/>
            <w:tcMar>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840" w:type="dxa"/>
            <w:vMerge w:val="continue"/>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975" w:type="dxa"/>
            <w:vMerge w:val="continue"/>
            <w:tcBorders>
              <w:top w:val="single" w:color="000000" w:sz="6" w:space="0"/>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810" w:type="dxa"/>
            <w:vMerge w:val="continue"/>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780" w:type="dxa"/>
            <w:vMerge w:val="continue"/>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795" w:type="dxa"/>
            <w:vMerge w:val="continue"/>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690" w:type="dxa"/>
            <w:vMerge w:val="continue"/>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900" w:type="dxa"/>
            <w:gridSpan w:val="2"/>
            <w:vMerge w:val="continue"/>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450" w:type="dxa"/>
            <w:vMerge w:val="continue"/>
            <w:tcBorders>
              <w:top w:val="nil"/>
              <w:left w:val="nil"/>
              <w:bottom w:val="single" w:color="000000" w:sz="6" w:space="0"/>
              <w:right w:val="single" w:color="000000" w:sz="6" w:space="0"/>
            </w:tcBorders>
            <w:shd w:val="clear" w:color="auto" w:fill="FFFFFF"/>
            <w:tcMar>
              <w:top w:w="30" w:type="dxa"/>
              <w:left w:w="15" w:type="dxa"/>
              <w:bottom w:w="30" w:type="dxa"/>
              <w:right w:w="30"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555" w:type="dxa"/>
            <w:vMerge w:val="continue"/>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840" w:type="dxa"/>
            <w:vMerge w:val="continue"/>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465" w:type="dxa"/>
            <w:vMerge w:val="continue"/>
            <w:tcBorders>
              <w:top w:val="nil"/>
              <w:left w:val="nil"/>
              <w:bottom w:val="single" w:color="000000" w:sz="6" w:space="0"/>
              <w:right w:val="single" w:color="000000" w:sz="6" w:space="0"/>
            </w:tcBorders>
            <w:shd w:val="clear" w:color="auto" w:fill="FFFFFF"/>
            <w:tcMar>
              <w:left w:w="15" w:type="dxa"/>
              <w:bottom w:w="15" w:type="dxa"/>
              <w:right w:w="15" w:type="dxa"/>
            </w:tcMar>
            <w:vAlign w:val="center"/>
          </w:tcPr>
          <w:p>
            <w:pPr>
              <w:jc w:val="both"/>
              <w:rPr>
                <w:rFonts w:hint="default" w:ascii="Times New Roman" w:hAnsi="Times New Roman" w:eastAsia="方正仿宋_GBK" w:cs="Times New Roman"/>
                <w:i w:val="0"/>
                <w:iCs w:val="0"/>
                <w:caps w:val="0"/>
                <w:color w:val="000000"/>
                <w:spacing w:val="0"/>
                <w:sz w:val="32"/>
                <w:szCs w:val="32"/>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285" w:type="dxa"/>
            <w:tcBorders>
              <w:top w:val="nil"/>
              <w:left w:val="single" w:color="000000" w:sz="6" w:space="0"/>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栏次</w:t>
            </w:r>
          </w:p>
        </w:tc>
        <w:tc>
          <w:tcPr>
            <w:tcW w:w="270" w:type="dxa"/>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87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1</w:t>
            </w:r>
          </w:p>
        </w:tc>
        <w:tc>
          <w:tcPr>
            <w:tcW w:w="1005"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2</w:t>
            </w:r>
          </w:p>
        </w:tc>
        <w:tc>
          <w:tcPr>
            <w:tcW w:w="81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3</w:t>
            </w:r>
          </w:p>
        </w:tc>
        <w:tc>
          <w:tcPr>
            <w:tcW w:w="78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4</w:t>
            </w:r>
          </w:p>
        </w:tc>
        <w:tc>
          <w:tcPr>
            <w:tcW w:w="795"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5</w:t>
            </w:r>
          </w:p>
        </w:tc>
        <w:tc>
          <w:tcPr>
            <w:tcW w:w="69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6</w:t>
            </w:r>
          </w:p>
        </w:tc>
        <w:tc>
          <w:tcPr>
            <w:tcW w:w="900" w:type="dxa"/>
            <w:gridSpan w:val="2"/>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7</w:t>
            </w:r>
          </w:p>
        </w:tc>
        <w:tc>
          <w:tcPr>
            <w:tcW w:w="45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8</w:t>
            </w:r>
          </w:p>
        </w:tc>
        <w:tc>
          <w:tcPr>
            <w:tcW w:w="555"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9</w:t>
            </w:r>
          </w:p>
        </w:tc>
        <w:tc>
          <w:tcPr>
            <w:tcW w:w="84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10</w:t>
            </w:r>
          </w:p>
        </w:tc>
        <w:tc>
          <w:tcPr>
            <w:tcW w:w="465"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11</w:t>
            </w: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285" w:type="dxa"/>
            <w:tcBorders>
              <w:top w:val="nil"/>
              <w:left w:val="single" w:color="000000" w:sz="6" w:space="0"/>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合计</w:t>
            </w:r>
          </w:p>
        </w:tc>
        <w:tc>
          <w:tcPr>
            <w:tcW w:w="270" w:type="dxa"/>
            <w:tcBorders>
              <w:top w:val="nil"/>
              <w:left w:val="nil"/>
              <w:bottom w:val="single" w:color="000000" w:sz="6" w:space="0"/>
              <w:right w:val="single" w:color="000000" w:sz="6" w:space="0"/>
            </w:tcBorders>
            <w:shd w:val="clear" w:color="auto" w:fill="FFFFFF"/>
            <w:tcMar>
              <w:top w:w="15" w:type="dxa"/>
              <w:left w:w="15"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1</w:t>
            </w:r>
          </w:p>
        </w:tc>
        <w:tc>
          <w:tcPr>
            <w:tcW w:w="87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 33325.13</w:t>
            </w:r>
          </w:p>
        </w:tc>
        <w:tc>
          <w:tcPr>
            <w:tcW w:w="1005"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 24562.53</w:t>
            </w:r>
          </w:p>
        </w:tc>
        <w:tc>
          <w:tcPr>
            <w:tcW w:w="81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 8489.87</w:t>
            </w:r>
          </w:p>
        </w:tc>
        <w:tc>
          <w:tcPr>
            <w:tcW w:w="78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both"/>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4041.47 </w:t>
            </w:r>
          </w:p>
        </w:tc>
        <w:tc>
          <w:tcPr>
            <w:tcW w:w="795"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 107.99</w:t>
            </w:r>
          </w:p>
        </w:tc>
        <w:tc>
          <w:tcPr>
            <w:tcW w:w="69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240.00 </w:t>
            </w:r>
          </w:p>
        </w:tc>
        <w:tc>
          <w:tcPr>
            <w:tcW w:w="900" w:type="dxa"/>
            <w:gridSpan w:val="2"/>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 4100.41</w:t>
            </w:r>
          </w:p>
        </w:tc>
        <w:tc>
          <w:tcPr>
            <w:tcW w:w="45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555"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10.30 </w:t>
            </w:r>
          </w:p>
        </w:tc>
        <w:tc>
          <w:tcPr>
            <w:tcW w:w="840"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cente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 262.43</w:t>
            </w:r>
          </w:p>
        </w:tc>
        <w:tc>
          <w:tcPr>
            <w:tcW w:w="465" w:type="dxa"/>
            <w:tcBorders>
              <w:top w:val="nil"/>
              <w:left w:val="nil"/>
              <w:bottom w:val="single" w:color="000000" w:sz="6" w:space="0"/>
              <w:right w:val="single" w:color="000000" w:sz="6" w:space="0"/>
            </w:tcBorders>
            <w:shd w:val="clear" w:color="auto" w:fill="FFFFFF"/>
            <w:tcMar>
              <w:top w:w="15" w:type="dxa"/>
              <w:left w:w="30" w:type="dxa"/>
              <w:bottom w:w="30" w:type="dxa"/>
              <w:right w:w="30" w:type="dxa"/>
            </w:tcMar>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1" w:hRule="atLeast"/>
        </w:trPr>
        <w:tc>
          <w:tcPr>
            <w:tcW w:w="6945" w:type="dxa"/>
            <w:gridSpan w:val="12"/>
            <w:tcBorders>
              <w:top w:val="nil"/>
              <w:left w:val="nil"/>
              <w:bottom w:val="nil"/>
              <w:right w:val="nil"/>
            </w:tcBorders>
            <w:shd w:val="clear" w:color="auto" w:fill="FFFFFF"/>
            <w:vAlign w:val="bottom"/>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840" w:type="dxa"/>
            <w:tcBorders>
              <w:top w:val="nil"/>
              <w:left w:val="nil"/>
              <w:bottom w:val="nil"/>
              <w:right w:val="nil"/>
            </w:tcBorders>
            <w:shd w:val="clear" w:color="auto" w:fill="FFFFFF"/>
            <w:tcMar>
              <w:top w:w="15" w:type="dxa"/>
              <w:left w:w="15" w:type="dxa"/>
              <w:bottom w:w="15" w:type="dxa"/>
              <w:right w:w="15" w:type="dxa"/>
            </w:tcMar>
            <w:vAlign w:val="bottom"/>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450" w:type="dxa"/>
            <w:tcBorders>
              <w:top w:val="nil"/>
              <w:left w:val="nil"/>
              <w:bottom w:val="nil"/>
              <w:right w:val="nil"/>
            </w:tcBorders>
            <w:shd w:val="clear" w:color="auto" w:fill="FFFFFF"/>
            <w:vAlign w:val="bottom"/>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8205" w:type="dxa"/>
            <w:gridSpan w:val="14"/>
            <w:tcBorders>
              <w:top w:val="nil"/>
              <w:left w:val="nil"/>
              <w:bottom w:val="nil"/>
              <w:right w:val="nil"/>
            </w:tcBorders>
            <w:shd w:val="clear" w:color="auto" w:fill="FFFFFF"/>
            <w:tcMar>
              <w:top w:w="15" w:type="dxa"/>
              <w:left w:w="15" w:type="dxa"/>
              <w:bottom w:w="15" w:type="dxa"/>
              <w:right w:w="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05" w:afterAutospacing="0" w:line="450" w:lineRule="atLeast"/>
              <w:ind w:left="0" w:right="0"/>
              <w:jc w:val="both"/>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i w:val="0"/>
                <w:iCs w:val="0"/>
                <w:caps w:val="0"/>
                <w:color w:val="000000"/>
                <w:spacing w:val="0"/>
                <w:sz w:val="32"/>
                <w:szCs w:val="32"/>
              </w:rPr>
              <w:t>填报说明：1.资产总额＝流动资产＋固定资产＋对外投资／有价证券＋在建工程＋无形资产＋其他资产2.固定资产＝房屋构筑物＋车辆＋单价200万元以上大型设备＋其他固定资产</w:t>
            </w:r>
          </w:p>
        </w:tc>
        <w:tc>
          <w:tcPr>
            <w:tcW w:w="1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28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2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10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8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7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79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6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1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78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45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5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8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46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c>
          <w:tcPr>
            <w:tcW w:w="25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50" w:lineRule="atLeast"/>
              <w:ind w:left="0" w:right="0"/>
              <w:jc w:val="both"/>
              <w:rPr>
                <w:rFonts w:hint="default" w:ascii="Times New Roman" w:hAnsi="Times New Roman" w:eastAsia="方正仿宋_GBK" w:cs="Times New Roman"/>
                <w:i w:val="0"/>
                <w:iCs w:val="0"/>
                <w:caps w:val="0"/>
                <w:color w:val="000000"/>
                <w:spacing w:val="0"/>
                <w:sz w:val="32"/>
                <w:szCs w:val="32"/>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center"/>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仿宋_GB2312" w:cs="Times New Roman"/>
          <w:i w:val="0"/>
          <w:iCs w:val="0"/>
          <w:caps w:val="0"/>
          <w:color w:val="FF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2018年度，部门政府采购支出总额454.83万元,其中：政府采购货物支出64.34万元;政府采购工程支出0万元;政府采购服务支出391.14万元;授予中小企业合同金额454.83万元，占政府采购支出总额的100%。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部门绩效自评情况表详见附表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按照《行政事业单位资产清查核实管理办法》等相关文件的规定， 2018年组织实施了资产自查工作，召开了相关工作会议、成立了资产清查工作机构、制定了相关清查底稿与要求；开展了固定资产账账核对、账表核对，由于历史原因，市工信委机构合并分立所涉及的时间较长及部门较多，资产在机构合并过程中未进行详细的登记和移交，后期也未对资产进行清点登记，年代最早的为1986年原信息产业办机构改革合并资产，涉及无线电管理机构的资产大量拟报废资产因购置年限较长已丧失使用价值，或已损坏且无法修复的固定资产达1126.50万元，按资产管理规定待对专用设备做鉴定后申报报废，由于资产数额过大会导致2019年的资产存量大幅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15" w:lineRule="atLeast"/>
        <w:ind w:left="0" w:right="0" w:firstLine="600"/>
        <w:jc w:val="both"/>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（一）基本支出中人员经费包括工资福利支出和对个人和家庭的补助，日常公用支出包括商品和服务支出、其他资本性支出等人员经费以外的支出。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（二）机关运行经费指行政单位和参照公务员法管理的事业单位使用一般公共预算财政拨款安排的除人员经费以外的基本支出。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按照党中央、国务院有关文件及部门预算管理有关规定，“三公”经费包括因公出国（境）费、公务用车购置及运行维护费、公务接待费。其中：因公出国（境）费，指单位工作人员公务出国（境）的国际旅费、国外城市间交通费、住宿费、伙食费、培训费、公杂费等支出；公务用车购置费，指单位公务用车车辆购置支出（含车辆购置税）；公务用车运行维护费，指单位按规定保留的公务用车燃料费、维修费、过路过桥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45"/>
        <w:jc w:val="center"/>
        <w:rPr>
          <w:rFonts w:hint="default" w:ascii="Times New Roman" w:hAnsi="Times New Roman" w:eastAsia="方正小标宋_GBK" w:cs="Times New Roman"/>
          <w:i w:val="0"/>
          <w:iCs w:val="0"/>
          <w:caps w:val="0"/>
          <w:color w:val="000000"/>
          <w:spacing w:val="0"/>
          <w:sz w:val="32"/>
          <w:szCs w:val="32"/>
        </w:rPr>
      </w:pPr>
      <w:r>
        <w:rPr>
          <w:rFonts w:hint="default" w:ascii="Times New Roman" w:hAnsi="Times New Roman" w:eastAsia="方正小标宋_GBK" w:cs="Times New Roman"/>
          <w:i w:val="0"/>
          <w:iCs w:val="0"/>
          <w:caps w:val="0"/>
          <w:color w:val="000000"/>
          <w:spacing w:val="0"/>
          <w:sz w:val="32"/>
          <w:szCs w:val="32"/>
          <w:shd w:val="clear" w:fill="FFFFFF"/>
        </w:rPr>
        <w:t>第五部分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宋体"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【资源勘探信息等支出】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资源勘探信息等支出：</w:t>
      </w:r>
      <w:r>
        <w:rPr>
          <w:rFonts w:hint="default" w:ascii="Times New Roman" w:hAnsi="Times New Roman" w:eastAsia="方正仿宋_GBK" w:cs="Times New Roman"/>
          <w:i w:val="0"/>
          <w:iCs w:val="0"/>
          <w:caps w:val="0"/>
          <w:color w:val="333333"/>
          <w:spacing w:val="0"/>
          <w:sz w:val="32"/>
          <w:szCs w:val="32"/>
          <w:shd w:val="clear" w:fill="FFFFFF"/>
        </w:rPr>
        <w:t>反映政府对资源勘探信息等事务支出，包括资源勘探业、制造业、建筑业、工业和信息产业监管、安全生产监管、国有资产监管及支持中小企业发展和管理等方面支出。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【一般公共预算收入】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性收费、罚没收入、专项收入、国有资源（资产）有偿使用收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【一般公共预算支出】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务、住房保障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【三公经费】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公”经费预算数是指个部门从年初预算安排用于因公出国（境）费用、公务用车购置及运行维护费、公务接待费用的预算数。其中，因公出国（境）费用指单位工作人员公务出国（境）的住宿费、差旅费、伙食补助费、杂费、培训费等支出；公务用车购置及运行维护费指单位公务用车购置、燃料费、维修费、过路过桥费、保险费等支出；公务接待费指单位按规定开支的各类公务接待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right="0" w:firstLine="3520" w:firstLineChars="11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玉溪市工业和信息化委员会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right="0" w:firstLine="4160" w:firstLineChars="1300"/>
        <w:jc w:val="both"/>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2019年9月23日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600"/>
        <w:jc w:val="both"/>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18"/>
          <w:szCs w:val="1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50" w:lineRule="atLeast"/>
        <w:ind w:left="0" w:right="0" w:firstLine="0"/>
        <w:jc w:val="both"/>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Times New Roman" w:hAnsi="Times New Roman" w:eastAsia="方正黑体_GBK" w:cs="Times New Roman"/>
          <w:i w:val="0"/>
          <w:iCs w:val="0"/>
          <w:caps w:val="0"/>
          <w:color w:val="000000"/>
          <w:spacing w:val="0"/>
          <w:sz w:val="21"/>
          <w:szCs w:val="21"/>
        </w:rPr>
      </w:pPr>
      <w:r>
        <w:rPr>
          <w:rStyle w:val="5"/>
          <w:rFonts w:hint="default" w:ascii="Times New Roman" w:hAnsi="Times New Roman" w:eastAsia="方正黑体_GBK" w:cs="Times New Roman"/>
          <w:i w:val="0"/>
          <w:iCs w:val="0"/>
          <w:caps w:val="0"/>
          <w:color w:val="000000"/>
          <w:spacing w:val="0"/>
          <w:sz w:val="21"/>
          <w:szCs w:val="21"/>
          <w:shd w:val="clear" w:fill="FFFFFF"/>
        </w:rPr>
        <w:t>监督索引号53040000335101111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Times New Roman" w:hAnsi="Times New Roman" w:eastAsia="宋体" w:cs="Times New Roman"/>
          <w:i w:val="0"/>
          <w:iCs w:val="0"/>
          <w:caps w:val="0"/>
          <w:color w:val="000000"/>
          <w:spacing w:val="0"/>
          <w:sz w:val="21"/>
          <w:szCs w:val="21"/>
        </w:rPr>
      </w:pPr>
      <w:r>
        <w:rPr>
          <w:rFonts w:hint="default" w:ascii="Times New Roman" w:hAnsi="Times New Roman" w:eastAsia="宋体" w:cs="Times New Roman"/>
          <w:i w:val="0"/>
          <w:iCs w:val="0"/>
          <w:caps w:val="0"/>
          <w:color w:val="000000"/>
          <w:spacing w:val="0"/>
          <w:sz w:val="21"/>
          <w:szCs w:val="21"/>
          <w:shd w:val="clear" w:fill="FFFFFF"/>
        </w:rPr>
        <w:t> </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N2JjNjEzNmYxMjlkMTBjMDU3ZjQ0NTM5NWU3MWQifQ=="/>
  </w:docVars>
  <w:rsids>
    <w:rsidRoot w:val="00000000"/>
    <w:rsid w:val="29465A59"/>
    <w:rsid w:val="3C7FB302"/>
    <w:rsid w:val="7A65F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2024-10-12T02:01:00Z</dcterms:created>
  <dc:creator>Lenovo</dc:creator>
  <cp:lastModifiedBy>user</cp:lastModifiedBy>
  <dcterms:modified xsi:type="dcterms:W3CDTF">2024-10-12T09:34:51Z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37BC8D3A86024B909B008D113C34B71A_12</vt:lpwstr>
  </property>
</Properties>
</file>