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bookmarkStart w:id="0" w:name="_GoBack"/>
      <w:bookmarkEnd w:id="0"/>
      <w:r>
        <w:rPr>
          <w:rFonts w:ascii="Arial" w:hAnsi="Arial" w:eastAsia="Arial" w:cs="Arial"/>
          <w:b/>
          <w:sz w:val="36"/>
        </w:rPr>
        <w:t>监督索引号53040000233200101000</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玉溪市中心城区水资源调度管理局2022年度部门决算</w:t>
      </w:r>
    </w:p>
    <w:p>
      <w:pPr>
        <w:keepNext w:val="0"/>
        <w:keepLines w:val="0"/>
        <w:pageBreakBefore w:val="0"/>
        <w:widowControl w:val="0"/>
        <w:kinsoku/>
        <w:wordWrap/>
        <w:overflowPunct/>
        <w:topLinePunct w:val="0"/>
        <w:autoSpaceDE/>
        <w:autoSpaceDN/>
        <w:bidi w:val="0"/>
        <w:adjustRightInd/>
        <w:snapToGrid/>
        <w:ind w:firstLine="3960" w:firstLineChars="900"/>
        <w:jc w:val="both"/>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第一部分  玉溪市中心城区水资源调度管理局概况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二、部门基本情况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第二部分  2022年度部门决算表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一、收入支出决算表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二、收入决算表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三、支出决算表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四、财政拨款收入支出决算表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五、一般公共预算财政拨款收入支出决算表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七、一般公共预算财政拨款项目支出决算表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十、“三公”经费、行政参公单位机关运行经费情况表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第三部分  2022年度部门决算情况说明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一、收入决算情况说明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二、支出决算情况说明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三、一般公共预算财政拨款支出决算情况说明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四、财政拨款“三公”经费支出决算情况说明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一、机关运行经费支出情况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二、国有资产占用情况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三、政府采购支出情况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四、部门绩效自评情况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（一）部门整体支出绩效自评情况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（二）部门整体支出绩效自评表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（三）项目支出绩效自评表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五、其他重要事项情况说明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六、相关口径说明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第五部分  名词解释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rPr>
        <w:t>第一部分  玉溪市中心城区水资源调度管理局概况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一、主要职能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（一）主要职能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中心城区水资源调度管理局的主要职责是：负责对抚仙湖、星云湖、东风水库、化念水库水资源的综合调度管理；组织编制中心城区水资源调度开发利用的年度计划及工程项目年度计划。根据国家、省有关水利工程项目管理方面的法律法规和技术标准，组织制定工程项目管理办法，操作规程，并组织实施；负责综合管理抚仙湖、星云湖与东风水库、化念水库的蓄水、防汛及城市供水、排水、统一调度，保障中心城区及峨山化念镇工业生产、农田灌溉和城市居民生活用水的安全，峨山化念镇工业园区新增加供水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（二）2022年度重点工作任务概述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加强干部职工的政治思想教育，促进了管理局各项工作的开展。一是干部职工的政治觉悟进一步提高。通过开展党史学习教育、四史教育和“明职责、强能力、勇担当”专项行动，进一步提升了干部职工的精气神，</w:t>
      </w:r>
      <w:r>
        <w:rPr>
          <w:rFonts w:hint="eastAsia" w:ascii="Times New Roman" w:hAnsi="Times New Roman" w:eastAsia="仿宋" w:cs="Times New Roman"/>
          <w:sz w:val="32"/>
          <w:szCs w:val="32"/>
          <w:lang w:eastAsia="zh-CN"/>
        </w:rPr>
        <w:t>增强“四个意识”、坚定“四个自信”</w:t>
      </w:r>
      <w:r>
        <w:rPr>
          <w:rFonts w:hint="default" w:ascii="Times New Roman" w:hAnsi="Times New Roman" w:eastAsia="仿宋" w:cs="Times New Roman"/>
          <w:sz w:val="32"/>
          <w:szCs w:val="32"/>
        </w:rPr>
        <w:t>，坚决做到“两个维护”。二是规章制度的进一步建立健全，干部职工的教育培训，有力地促进管理局水资源调度管理、水利工程安全运行管理、水源地保护等各项工作的开展。三是保证了管理局管辖的水利工程安全运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二、部门基本情况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（一）机构设置情况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中心城区水资源调度管理局为玉溪市水利局下属差额拨款事业单位，机构规格为正科级。根据职能、本单位设置10个内设机构，包括：办公室、党建办公室、计划财务科、工程技术与安全生产科、水文水情监测所、东风水库管理所、化念水库管理所、出流改道工程管理所、渠道管理所和玉溪大河管理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所属单位0个。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（二）决算单位构成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纳入玉溪市中心城区水资源调度管理局2022年度部门决算编报的单位共1个。其中：行政单位0个，参照公务员法管理的事业单位0个，其他事业单位1个。分别是：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1.玉溪市中心城区水资源调度管理局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（三）部门人员和车辆的编制及实有情况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中心城区水资源调度管理局2022年末实有人员编制85人。其中：行政编制0人（含行政工勤编制0人），事业编制85人（含参公管理事业编制0人）；在职在编实有行政人员0人（含行政工勤人员0人），事业人员86人（含参公管理事业人员0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尚未移交养老保险基金发放养老金的离退休人员共计0人（离休0人，退休0人）；由养老保险基金发放养老金的离退休人员66人（离休0人，退休66人）。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仿宋" w:hAnsi="仿宋" w:eastAsia="仿宋" w:cs="仿宋"/>
          <w:sz w:val="32"/>
          <w:szCs w:val="32"/>
        </w:rPr>
        <w:t>实有车辆编制0辆，在编实有车辆4辆。</w:t>
      </w:r>
      <w:r>
        <w:rPr>
          <w:rFonts w:hint="eastAsia" w:ascii="仿宋" w:hAnsi="仿宋" w:eastAsia="仿宋" w:cs="仿宋"/>
          <w:sz w:val="32"/>
          <w:szCs w:val="32"/>
          <w:lang w:eastAsia="zh-CN"/>
        </w:rPr>
        <w:t>玉溪市中心城区水资源调度管理局属于差额拨款事业单位，财政未核定车辆编制数，实有车辆</w:t>
      </w:r>
      <w:r>
        <w:rPr>
          <w:rFonts w:hint="eastAsia" w:ascii="仿宋" w:hAnsi="仿宋" w:eastAsia="仿宋" w:cs="仿宋"/>
          <w:sz w:val="32"/>
          <w:szCs w:val="32"/>
          <w:lang w:val="en-US" w:eastAsia="zh-CN"/>
        </w:rPr>
        <w:t>4辆，经费来源为自有资金。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2022年度部门决算表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（详见附件）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本部门2022年度无国有资本经营预算财政拨款收入，《国有资本经营预算财政拨款收入支出决算表》为空表。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本部门2022年度</w:t>
      </w:r>
      <w:r>
        <w:rPr>
          <w:rFonts w:hint="eastAsia" w:ascii="Times New Roman" w:hAnsi="Times New Roman" w:eastAsia="仿宋" w:cs="Times New Roman"/>
          <w:sz w:val="32"/>
          <w:szCs w:val="32"/>
          <w:lang w:eastAsia="zh-CN"/>
        </w:rPr>
        <w:t>我单位不属于</w:t>
      </w:r>
      <w:r>
        <w:rPr>
          <w:rFonts w:hint="eastAsia" w:ascii="Times New Roman" w:hAnsi="Times New Roman" w:eastAsia="仿宋" w:cs="Times New Roman"/>
          <w:sz w:val="32"/>
          <w:szCs w:val="32"/>
          <w:lang w:val="en-US" w:eastAsia="zh-CN"/>
        </w:rPr>
        <w:t>行政参公单位</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没有</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三公</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经费</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的财政拨款预算收入、支出，</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三公</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经费、行政参公单位机关运行经费情况表</w:t>
      </w:r>
      <w:r>
        <w:rPr>
          <w:rFonts w:hint="default" w:ascii="Times New Roman" w:hAnsi="Times New Roman" w:eastAsia="仿宋" w:cs="Times New Roman"/>
          <w:sz w:val="32"/>
          <w:szCs w:val="32"/>
        </w:rPr>
        <w:t>》为空表。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第三部分  2022年度部门决算情况说明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一、收入决算情况说明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中心城区水资源调度管理局2022年度收入合计31,426,412.42元。与2021年收入26,410,397.87元相比增加5,016,014.55元，增长18.99%，其中：财政拨款收入14,312,218.69元，占总收入的45.54%，比2021年财政拨款收入13,261,231.67元增加1,050,987.02元，增长7.93%，增加原因：基本支出6,946,578.17元比2021年的6,827,622.51元增加118，955.66元，财政供养人员增加2人，退休1人；项目支出7,365,640.52元相比2021年项目支出6,433,609.16元增加932，031.36元。</w:t>
      </w:r>
      <w:r>
        <w:rPr>
          <w:rFonts w:hint="eastAsia" w:ascii="Times New Roman" w:hAnsi="Times New Roman" w:eastAsia="仿宋" w:cs="Times New Roman"/>
          <w:sz w:val="32"/>
          <w:szCs w:val="32"/>
          <w:lang w:eastAsia="zh-CN"/>
        </w:rPr>
        <w:t>增减变动主要原因</w:t>
      </w:r>
      <w:r>
        <w:rPr>
          <w:rFonts w:hint="default" w:ascii="Times New Roman" w:hAnsi="Times New Roman" w:eastAsia="仿宋" w:cs="Times New Roman"/>
          <w:sz w:val="32"/>
          <w:szCs w:val="32"/>
        </w:rPr>
        <w:t>是：增加东风水库水质达标应急（水质在线监测及其他）专项资金955,800.00元和中央水利发展（市本级）专项资金300,000.00元；减少2021年省级水利救灾专项资金500,000.00元。上级补助收入与上年数据相比无变动；事业收入与上年数据相比无变动；经营收入17,114,193.73元，占总收入的54.46%，与2021年经营收入13,149,166.20元相比增加了3,965,027.53元，增长30.15%，主要原因：2022年1月收到2021年10月至12月水费收入5,168,042.02元，未达账项影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2022年的生活供水量减少，水费收入减少；附属单位上缴收入与上年数据相比无变动；其他收入与上年数据相比无变动。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二、支出决算情况说明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中心城区水资源调度管理局2022年度支出合计26,368,814.70元。其中：基本支出6,946,578.17元，占总支出的26.34%；项目支出7,365,640.52元，占总支出的27.93%；上缴上级支出0.00元，占总支出的0.00％；经营支出12,056,596.01元，占总支出的45.72％；对附属单位补助支出0.00元，占总支出的0.00％。与上年相比，支出合计增加69,380.57元，增长0.26%</w:t>
      </w:r>
      <w:r>
        <w:rPr>
          <w:rFonts w:hint="eastAsia" w:ascii="Times New Roman" w:hAnsi="Times New Roman" w:eastAsia="仿宋" w:cs="Times New Roman"/>
          <w:sz w:val="32"/>
          <w:szCs w:val="32"/>
          <w:lang w:eastAsia="zh-CN"/>
        </w:rPr>
        <w:t>，其中</w:t>
      </w:r>
      <w:r>
        <w:rPr>
          <w:rFonts w:hint="default" w:ascii="Times New Roman" w:hAnsi="Times New Roman" w:eastAsia="仿宋" w:cs="Times New Roman"/>
          <w:sz w:val="32"/>
          <w:szCs w:val="32"/>
        </w:rPr>
        <w:t>基本支出增加118,955.66元，增长1.74%；</w:t>
      </w:r>
      <w:r>
        <w:rPr>
          <w:rFonts w:hint="eastAsia" w:ascii="Times New Roman" w:hAnsi="Times New Roman" w:eastAsia="仿宋" w:cs="Times New Roman"/>
          <w:sz w:val="32"/>
          <w:szCs w:val="32"/>
          <w:lang w:eastAsia="zh-CN"/>
        </w:rPr>
        <w:t>变动</w:t>
      </w:r>
      <w:r>
        <w:rPr>
          <w:rFonts w:hint="default" w:ascii="Times New Roman" w:hAnsi="Times New Roman" w:eastAsia="仿宋" w:cs="Times New Roman"/>
          <w:sz w:val="32"/>
          <w:szCs w:val="32"/>
        </w:rPr>
        <w:t>原因是财政供养职工增加2人，退休1人；项目支出增加932,031.36元，增长14.49%；主要原因是增加东风水库水质达标应急专项资金955,900.00元和中央水利发展（市本级）专项资金300,000.00元，减少2021年省级水利救灾专项资金500,000.00元等。上缴上级支出与上年</w:t>
      </w:r>
      <w:r>
        <w:rPr>
          <w:rFonts w:hint="eastAsia" w:ascii="Times New Roman" w:hAnsi="Times New Roman" w:eastAsia="仿宋" w:cs="Times New Roman"/>
          <w:sz w:val="32"/>
          <w:szCs w:val="32"/>
          <w:lang w:eastAsia="zh-CN"/>
        </w:rPr>
        <w:t>数据</w:t>
      </w:r>
      <w:r>
        <w:rPr>
          <w:rFonts w:hint="default" w:ascii="Times New Roman" w:hAnsi="Times New Roman" w:eastAsia="仿宋" w:cs="Times New Roman"/>
          <w:sz w:val="32"/>
          <w:szCs w:val="32"/>
        </w:rPr>
        <w:t>相比</w:t>
      </w:r>
      <w:r>
        <w:rPr>
          <w:rFonts w:hint="eastAsia" w:ascii="Times New Roman" w:hAnsi="Times New Roman" w:eastAsia="仿宋" w:cs="Times New Roman"/>
          <w:sz w:val="32"/>
          <w:szCs w:val="32"/>
          <w:lang w:eastAsia="zh-CN"/>
        </w:rPr>
        <w:t>无变动</w:t>
      </w:r>
      <w:r>
        <w:rPr>
          <w:rFonts w:hint="default" w:ascii="Times New Roman" w:hAnsi="Times New Roman" w:eastAsia="仿宋" w:cs="Times New Roman"/>
          <w:sz w:val="32"/>
          <w:szCs w:val="32"/>
        </w:rPr>
        <w:t>；经营支出减少981,606.45元，下降7.53%；主要原因是增加自收自支职工退休6人。对附属单位补助支出与上年数据相比无</w:t>
      </w:r>
      <w:r>
        <w:rPr>
          <w:rFonts w:hint="eastAsia" w:ascii="Times New Roman" w:hAnsi="Times New Roman" w:eastAsia="仿宋" w:cs="Times New Roman"/>
          <w:sz w:val="32"/>
          <w:szCs w:val="32"/>
          <w:lang w:eastAsia="zh-CN"/>
        </w:rPr>
        <w:t>变动</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2022年度用于保障玉溪市中心城区水资源调度管理局机构正常运转的日常支出6,946,578.17元。其中：基本工资、津贴补贴等人员经费支出6,665,343.13元，占基本支出的95.95％，基本支出增加118,955.66元，增长1.7</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原因是财政供养职工增加2人，退休1人；办公费、印刷费、水电费、办公设备购置等公用经费281,235.04元，占基本支出的4.05％，与2021年公用经费397,959.52元相比，减少了116,724.48元，减少29.33%，原因是：办公费减少44,296.60元，咨询费减少60,000.00元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（二）项目支出情况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度用于保障玉溪市中心城区水资源调度管理局机构为完成特定的行政工作任务或事业发展目标，用于专项业务工作的经费支出7,365,640.52元。其中：基本建设类项目支出0.00元。用于项目工作经费7,365,640.52元。项目经费中主要用于星云湖抚仙湖出流改道工程运行管理费共计1,562,070.43元；大矣资农田淹没大米赔偿503,092.00元；大矣资社区东风水库水体养殖补偿专项资金500,000.00元；水资源管理局水源地保护工作经费1,709,078.09元；东风水库水质达标应急专项资金2,791,400.00元</w:t>
      </w:r>
      <w:r>
        <w:rPr>
          <w:rFonts w:hint="eastAsia" w:ascii="Times New Roman" w:hAnsi="Times New Roman" w:eastAsia="仿宋" w:cs="Times New Roman"/>
          <w:sz w:val="32"/>
          <w:szCs w:val="32"/>
          <w:lang w:eastAsia="zh-CN"/>
        </w:rPr>
        <w:t>；中央水利发展专项资金</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00,000.00</w:t>
      </w:r>
      <w:r>
        <w:rPr>
          <w:rFonts w:hint="eastAsia" w:ascii="Times New Roman" w:hAnsi="Times New Roman" w:eastAsia="仿宋" w:cs="Times New Roman"/>
          <w:sz w:val="32"/>
          <w:szCs w:val="32"/>
          <w:lang w:val="en-US" w:eastAsia="zh-CN"/>
        </w:rPr>
        <w:t>元</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具体项目开支及开展工作情况如下：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1.2130311—水资源节约管理与保护支出6,024,034.18元，主要用于：星云湖抚仙湖出流改道工程运行管理专项资金220,464.09元；水库水体养殖补偿500,000.00元；大矣资农田淹没大米赔偿专项资金503,092.00元；水资源管理水源地保护工作经费1,709,078.09元,东风水库水质达标应急专项资金2,791,400.00元；中央水利发展专项资金300,000.00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2.2120899—其他国有土地使用权出让收入安排的支出市水资源局水利专项资金1,341,606.34元。主要用于：星云湖抚仙湖出流改道工程运行管理费 1,341,606.34元。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（三）经营支出情况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经营支出12,056,596.01元，其中：基本工资、社会保障费和住房公积金等人员经费支出11,133,329.68元，占</w:t>
      </w:r>
      <w:r>
        <w:rPr>
          <w:rFonts w:hint="eastAsia" w:ascii="Times New Roman" w:hAnsi="Times New Roman" w:eastAsia="仿宋" w:cs="Times New Roman"/>
          <w:sz w:val="32"/>
          <w:szCs w:val="32"/>
          <w:lang w:eastAsia="zh-CN"/>
        </w:rPr>
        <w:t>经营</w:t>
      </w:r>
      <w:r>
        <w:rPr>
          <w:rFonts w:hint="default" w:ascii="Times New Roman" w:hAnsi="Times New Roman" w:eastAsia="仿宋" w:cs="Times New Roman"/>
          <w:sz w:val="32"/>
          <w:szCs w:val="32"/>
        </w:rPr>
        <w:t>支出的92.34％；办公费、邮电费、差旅费、维修（护）费等公用经费922,306.33元，占经营总支出的7.66％。资本性支出960.00元，占经营总支出的0.00%。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玉溪市中心城区水资源调度管理局2022年度一般公共预算财政拨款支出12,970,612.35元，占本年支出合计的49.19%。与上年相比减少290,619.32元，下降2.19%，主要原因：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1.基本支出6,946,578.17元比2021年的支出6,827,622.51元增加118,955.66无，财政职工退休2人，新增职工1人；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2.项目支出7,365,640.52元，包括一般公共预算财政拨款支出项目资金6,024,034.18元和政府性基金预算财政拨款收入增加1,341,606.3元。项目资金7,365,640.52元比上年6,433,609.16元增加932,031.36元。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1.一般公共服务（类）支出0.00元，占一般公共预算财政拨款总支出的0.00%。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2.外交（类）支出0.00元，占一般公共预算财政拨款总支出的0.00%。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3.国防（类）支出0.00元，占一般公共预算财政拨款总支出的0.00%。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4.公共安全（类）支出0.00元，占一般公共预算财政拨款总支出的0.00%。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5.教育（类）支出0.00元，占一般公共预算财政拨款总支出的0.00%。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6.科学技术（类）支出0.00元，占一般公共预算财政拨款总支出的0.00%。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7.文化旅游体育与传媒（类）支出0.00元，占一般公共预算财政拨款总支出的0.00%。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8.社会保障和就业（类）支出2,184,054.13元，占一般公共预算财政拨款总支出的16.84%。主要用于支付玉溪市中心城区水资源调度管理局财政供养人员单位基本养老保险、单位职业年金险、单位退休人员退休费。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9.卫生健康（类）支出370,965.13元，占一般公共预算财政拨款总支出的2.86%。主要用于行政事业单位医疗和公务员医疗补助。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10.节能环保（类）支出0.00元，占一般公共预算财政拨款总支出的0.00%。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11.城乡社区（类）支出0.00元，占一般公共预算财政拨款总支出的0.00%。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12.农林水（类）支出9,984,045.09元，占一般公共预算财政拨款总支出的76.97%。主要用于保障本部门正常运转的基本支出3,960,010.91元，专项工作经费6,024,034.18元。</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13.交通运输（类）支出0.00元，占一般公共预算财政拨款总支出的0.00%。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14.资源勘探工业信息等（类）支出类0.00元，占一般公共预算财政拨款总支出的0.00%。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15.商业服务业等（类）支出0.00元，占一般公共预算财政拨款总支出的0.00%。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16.金融（类）支出0.00元，占一般公共预算财政拨款总支出的0.00%。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17.援助其他地区（类）支出0.00元，占一般公共预算财政拨款总支出的0.00%。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18.自然资源海洋气象等（类）支出0.00元，占一般公共预算财政拨款总支出的0.00%。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19.住房保障（类）支出431,548.00元，占一般公共预算财政拨款总支出的3.33%。主要用于支付住房公积金和住房补贴。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20.粮油物资储备（类）支出0.00元，占一般公共预算财政拨款总支出的0.00%。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21.国有资本经营预算（类）支出0.00元，占一般公共预算财政拨款总支出的0.00%。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22.灾害防治及应急管理（类）支出0.00元，占一般公共预算财政拨款总支出的0.00%。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23.其他（类）支出0.00元，占一般公共预算财政拨款总支出的0.00%。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24.债务还本（类）支出0.00元，占一般公共预算财政拨款总支出的0.00%。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25.债务付息（类）支出0.00元，占一般公共预算财政拨款总支出的0.00%。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26.抗疫特别国债安排（类）支出0.00元，占一般公共预算财政拨款总支出的0.00%。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四、财政拨款“三公”经费支出决算情况说明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度财政拨款“三公”经费支出决算中，财政拨款“三公”经费支出年初预算为0.00元，支出决算为0.00元，完成年初预算的0.00%。其中：因公出国（境）费支出决算0.00元，占总支出决算的0.00%；公务用车购置费支出决算0.00元，占总支出决算的0.00%；公务用车运行维护费支出决算0.00元，占总支出决算的0.00%；公务接待费支出决算0.00元，占总支出决算的0.00%，具体是国内接待费支出决算0.00元（其中：外事接待费支出决算0.00元），国（境）外接待费支出决算0.00元。明细情况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 xml:space="preserve"> 一般公共预算财政拨款“三公”经费支出决算总体情况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中心城区水资源调度管理局2022年度一般公共预算财政拨款“三公”经费支出年初预算为0.00元，支出决算为0.00元，完成年初预算的0.0%。其中：因公出国（境）费支出决算为0.00元，完成年初预算的0.00%；公务用车购置费支出决算为0.00元，完成年初预算的0.00%；公务用车运行维护费支出决算为0.00元，完成年初预算的0.00%；公务接待费支出决算为0.00元，完成年初预算的0.00%。与2021年数据相比无增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2022年度一般公共预算财政拨款“三公”经费支出决算数比上年</w:t>
      </w:r>
      <w:r>
        <w:rPr>
          <w:rFonts w:hint="eastAsia" w:ascii="Times New Roman" w:hAnsi="Times New Roman" w:eastAsia="仿宋" w:cs="Times New Roman"/>
          <w:sz w:val="32"/>
          <w:szCs w:val="32"/>
          <w:lang w:eastAsia="zh-CN"/>
        </w:rPr>
        <w:t>相比无变动</w:t>
      </w:r>
      <w:r>
        <w:rPr>
          <w:rFonts w:hint="default" w:ascii="Times New Roman" w:hAnsi="Times New Roman" w:eastAsia="仿宋" w:cs="Times New Roman"/>
          <w:sz w:val="32"/>
          <w:szCs w:val="32"/>
        </w:rPr>
        <w:t>。其中：因公出国（境）费支出上年</w:t>
      </w:r>
      <w:r>
        <w:rPr>
          <w:rFonts w:hint="eastAsia" w:ascii="Times New Roman" w:hAnsi="Times New Roman" w:eastAsia="仿宋" w:cs="Times New Roman"/>
          <w:sz w:val="32"/>
          <w:szCs w:val="32"/>
          <w:lang w:eastAsia="zh-CN"/>
        </w:rPr>
        <w:t>相比无变动</w:t>
      </w:r>
      <w:r>
        <w:rPr>
          <w:rFonts w:hint="default" w:ascii="Times New Roman" w:hAnsi="Times New Roman" w:eastAsia="仿宋" w:cs="Times New Roman"/>
          <w:sz w:val="32"/>
          <w:szCs w:val="32"/>
        </w:rPr>
        <w:t>；公务用车购置费支出上年</w:t>
      </w:r>
      <w:r>
        <w:rPr>
          <w:rFonts w:hint="eastAsia" w:ascii="Times New Roman" w:hAnsi="Times New Roman" w:eastAsia="仿宋" w:cs="Times New Roman"/>
          <w:sz w:val="32"/>
          <w:szCs w:val="32"/>
          <w:lang w:eastAsia="zh-CN"/>
        </w:rPr>
        <w:t>相比无变动</w:t>
      </w:r>
      <w:r>
        <w:rPr>
          <w:rFonts w:hint="default" w:ascii="Times New Roman" w:hAnsi="Times New Roman" w:eastAsia="仿宋" w:cs="Times New Roman"/>
          <w:sz w:val="32"/>
          <w:szCs w:val="32"/>
        </w:rPr>
        <w:t>；公务用车运行维护费支出上年</w:t>
      </w:r>
      <w:r>
        <w:rPr>
          <w:rFonts w:hint="eastAsia" w:ascii="Times New Roman" w:hAnsi="Times New Roman" w:eastAsia="仿宋" w:cs="Times New Roman"/>
          <w:sz w:val="32"/>
          <w:szCs w:val="32"/>
          <w:lang w:eastAsia="zh-CN"/>
        </w:rPr>
        <w:t>相比无变动</w:t>
      </w:r>
      <w:r>
        <w:rPr>
          <w:rFonts w:hint="default" w:ascii="Times New Roman" w:hAnsi="Times New Roman" w:eastAsia="仿宋" w:cs="Times New Roman"/>
          <w:sz w:val="32"/>
          <w:szCs w:val="32"/>
        </w:rPr>
        <w:t>；公务接待费支出上年</w:t>
      </w:r>
      <w:r>
        <w:rPr>
          <w:rFonts w:hint="eastAsia" w:ascii="Times New Roman" w:hAnsi="Times New Roman" w:eastAsia="仿宋" w:cs="Times New Roman"/>
          <w:sz w:val="32"/>
          <w:szCs w:val="32"/>
          <w:lang w:eastAsia="zh-CN"/>
        </w:rPr>
        <w:t>相比无变动</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 一般公共预算财政拨款“三公”经费支出实物量的具体情况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1.安排因公出国（境）团组0个，累计0人次。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2.购置车辆0辆。开支一般公共预算财政拨款的公务用车保有量为0辆。</w:t>
      </w:r>
      <w:r>
        <w:rPr>
          <w:rFonts w:hint="eastAsia" w:ascii="Times New Roman" w:hAnsi="Times New Roman" w:eastAsia="仿宋" w:cs="Times New Roman"/>
          <w:sz w:val="32"/>
          <w:szCs w:val="32"/>
          <w:lang w:eastAsia="zh-CN"/>
        </w:rPr>
        <w:t>主要用于所需车辆燃料费、维修费、过路过桥费、保险费等。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3.安排国内公务接待0批次（其中：外事接待0批次），接待人次0人（其中：外事接待人次0人）。主要用于发生的接待支出。安排国（境）外公务接待0批次，接待人次0人。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一、机关运行经费支出情况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玉溪市中心城区水资源调度管理局</w:t>
      </w:r>
      <w:r>
        <w:rPr>
          <w:rFonts w:hint="eastAsia" w:ascii="Times New Roman" w:hAnsi="Times New Roman" w:eastAsia="仿宋" w:cs="Times New Roman"/>
          <w:sz w:val="32"/>
          <w:szCs w:val="32"/>
          <w:lang w:eastAsia="zh-CN"/>
        </w:rPr>
        <w:t>为事业单位，无</w:t>
      </w:r>
      <w:r>
        <w:rPr>
          <w:rFonts w:hint="default" w:ascii="Times New Roman" w:hAnsi="Times New Roman" w:eastAsia="仿宋" w:cs="Times New Roman"/>
          <w:sz w:val="32"/>
          <w:szCs w:val="32"/>
        </w:rPr>
        <w:t>机关运行经费支出情况</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二、国有资产占用情况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截至2022年12月31日，玉溪市中心城区水资源调度管理局资产总额51,0861,063.76元，其中，流动资产26,190,809.85元，固定资产</w:t>
      </w:r>
      <w:r>
        <w:rPr>
          <w:rFonts w:hint="eastAsia" w:ascii="Times New Roman" w:hAnsi="Times New Roman" w:eastAsia="仿宋" w:cs="Times New Roman"/>
          <w:sz w:val="32"/>
          <w:szCs w:val="32"/>
          <w:lang w:val="en-US" w:eastAsia="zh-CN"/>
        </w:rPr>
        <w:t>478</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150</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904</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60</w:t>
      </w:r>
      <w:r>
        <w:rPr>
          <w:rFonts w:hint="default" w:ascii="Times New Roman" w:hAnsi="Times New Roman" w:eastAsia="仿宋" w:cs="Times New Roman"/>
          <w:sz w:val="32"/>
          <w:szCs w:val="32"/>
        </w:rPr>
        <w:t>元，对外投资及有价证券0.00元，在建工程6,519,349.31元，无形资产0.00元，其他资产0.00元（具体内容详见附表）。与上年相比，本年资产总额增加88,168,822.92元，其中固定资产增加9,087,491.35元。处置房屋建筑物0.00平方米，账面原值0.00元；处置车辆0辆，账面原值0.00元；报废报损资产0项，账面原值0.00元，实现资产处置收入0.00元；出租房屋0.00平方米，账面原值0.00元，实现资产使用收入0.00元。（国有资产占有使用情况表详见附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三、政府采购支出情况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2022年度，部门政府采购支出总额960.00元，其中：政府采购货物支出960.00元；政府采购工程支出0.00元；政府采购服务支出0.00元。授予中小企业合同金额960.00元，占政府采购支出总额的</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0.00%。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四、部门绩效自评情况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部门绩效自评情况详见附表。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五、其他重要事项情况说明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eastAsia" w:ascii="仿宋" w:hAnsi="仿宋" w:eastAsia="仿宋" w:cs="仿宋"/>
          <w:sz w:val="32"/>
          <w:szCs w:val="32"/>
        </w:rPr>
        <w:t>实有车辆编制0辆，在编实有车辆4辆。</w:t>
      </w:r>
      <w:r>
        <w:rPr>
          <w:rFonts w:hint="eastAsia" w:ascii="仿宋" w:hAnsi="仿宋" w:eastAsia="仿宋" w:cs="仿宋"/>
          <w:sz w:val="32"/>
          <w:szCs w:val="32"/>
          <w:lang w:eastAsia="zh-CN"/>
        </w:rPr>
        <w:t>玉溪市中心城区水资源调度管理局属于差额拨款事业单位，财政未核定车辆编制数，实有车辆</w:t>
      </w:r>
      <w:r>
        <w:rPr>
          <w:rFonts w:hint="eastAsia" w:ascii="仿宋" w:hAnsi="仿宋" w:eastAsia="仿宋" w:cs="仿宋"/>
          <w:sz w:val="32"/>
          <w:szCs w:val="32"/>
          <w:lang w:val="en-US" w:eastAsia="zh-CN"/>
        </w:rPr>
        <w:t>4辆，经费来源为自有资金。</w:t>
      </w:r>
      <w:r>
        <w:rPr>
          <w:rFonts w:hint="default" w:ascii="Times New Roman" w:hAnsi="Times New Roman" w:eastAsia="仿宋" w:cs="Times New Roman"/>
          <w:sz w:val="32"/>
          <w:szCs w:val="32"/>
        </w:rPr>
        <w:t>2022年由经营收入</w:t>
      </w:r>
      <w:r>
        <w:rPr>
          <w:rFonts w:hint="eastAsia" w:ascii="Times New Roman" w:hAnsi="Times New Roman" w:eastAsia="仿宋" w:cs="Times New Roman"/>
          <w:sz w:val="32"/>
          <w:szCs w:val="32"/>
          <w:lang w:eastAsia="zh-CN"/>
        </w:rPr>
        <w:t>中的</w:t>
      </w:r>
      <w:r>
        <w:rPr>
          <w:rFonts w:hint="default" w:ascii="Times New Roman" w:hAnsi="Times New Roman" w:eastAsia="仿宋" w:cs="Times New Roman"/>
          <w:sz w:val="32"/>
          <w:szCs w:val="32"/>
        </w:rPr>
        <w:t>水费收入列支91,337.26元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主要用于相关工作所需车辆燃料费、维修费、过路过桥费、保险费等。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截至2022年12月31日，从玉溪市东风水库路坝合一工程建设管理局无偿调入资产东风水库除险加固暨路坝合一坝体培厚工程109,268,170.34元，玉溪市中心城区水资源调度管理局增加固定资产6,352,758.80元和水利公共基础设施102,933,411.54元。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default" w:ascii="Times New Roman" w:hAnsi="Times New Roman" w:eastAsia="仿宋" w:cs="Times New Roman"/>
          <w:sz w:val="32"/>
          <w:szCs w:val="32"/>
        </w:rPr>
        <w:t xml:space="preserve"> </w:t>
      </w:r>
      <w:r>
        <w:rPr>
          <w:rFonts w:hint="eastAsia" w:ascii="黑体" w:hAnsi="黑体" w:eastAsia="黑体" w:cs="黑体"/>
          <w:sz w:val="32"/>
          <w:szCs w:val="32"/>
        </w:rPr>
        <w:t>六、相关口径说明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（二）机关运行经费指行政单位和参照公务员法管理的事业单位使用财政拨款安排的基本支出中的公用经费支出。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line="570" w:lineRule="exact"/>
        <w:ind w:firstLine="2200" w:firstLineChars="500"/>
        <w:textAlignment w:val="auto"/>
        <w:rPr>
          <w:rFonts w:hint="eastAsia" w:ascii="黑体" w:hAnsi="黑体" w:eastAsia="黑体" w:cs="黑体"/>
          <w:sz w:val="44"/>
          <w:szCs w:val="44"/>
        </w:rPr>
      </w:pPr>
      <w:r>
        <w:rPr>
          <w:rFonts w:hint="eastAsia" w:ascii="黑体" w:hAnsi="黑体" w:eastAsia="黑体" w:cs="黑体"/>
          <w:sz w:val="44"/>
          <w:szCs w:val="44"/>
        </w:rPr>
        <w:t>第五部分  名词解释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一、部门决算：各部门依据国家有关法律法规规定及其履行职能情况编制，反映部门所</w:t>
      </w:r>
      <w:r>
        <w:rPr>
          <w:rFonts w:hint="eastAsia" w:ascii="仿宋" w:hAnsi="仿宋" w:eastAsia="仿宋" w:cs="仿宋"/>
          <w:sz w:val="32"/>
          <w:szCs w:val="32"/>
          <w:lang w:eastAsia="zh-CN"/>
        </w:rPr>
        <w:t>有</w:t>
      </w:r>
      <w:r>
        <w:rPr>
          <w:rFonts w:hint="eastAsia" w:ascii="仿宋" w:hAnsi="仿宋" w:eastAsia="仿宋" w:cs="仿宋"/>
          <w:sz w:val="32"/>
          <w:szCs w:val="32"/>
        </w:rPr>
        <w:t>预算收支和结余执行结果及绩效等情况的综合性年度报告，是改进部门预算执行以及编制后续年度部门预算的参考和依据。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二、政府采购：是指各级国家机关、事业单位和团体组织，使用财政性资金采购依法制定的集中采购目录以内的或者采购限额标准以上的货物、工程和服务的行为。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w:t>
      </w:r>
    </w:p>
    <w:p>
      <w:pPr>
        <w:rPr>
          <w:rFonts w:hint="eastAsia" w:ascii="Arial" w:hAnsi="Arial" w:eastAsia="宋体" w:cs="Arial"/>
          <w:b/>
          <w:sz w:val="36"/>
          <w:lang w:eastAsia="zh-CN"/>
        </w:rPr>
      </w:pPr>
      <w:r>
        <w:rPr>
          <w:rFonts w:ascii="Arial" w:hAnsi="Arial" w:eastAsia="Arial" w:cs="Arial"/>
          <w:b/>
          <w:sz w:val="36"/>
        </w:rPr>
        <w:t>监督索引号53040000233200101000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26E33"/>
    <w:rsid w:val="065572A1"/>
    <w:rsid w:val="0A126E33"/>
    <w:rsid w:val="0CC56BA4"/>
    <w:rsid w:val="0D5143CF"/>
    <w:rsid w:val="2DDB4C27"/>
    <w:rsid w:val="2F010C99"/>
    <w:rsid w:val="35D03B89"/>
    <w:rsid w:val="37A84AC7"/>
    <w:rsid w:val="38816532"/>
    <w:rsid w:val="42632A51"/>
    <w:rsid w:val="47152AF3"/>
    <w:rsid w:val="625150CE"/>
    <w:rsid w:val="647B6580"/>
    <w:rsid w:val="660711A8"/>
    <w:rsid w:val="68935CAB"/>
    <w:rsid w:val="6A87170F"/>
    <w:rsid w:val="7D705DA2"/>
    <w:rsid w:val="7FFF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2023-10-26T13:03:00Z</dcterms:created>
  <dc:creator>波波</dc:creator>
  <cp:lastModifiedBy>潘艳美</cp:lastModifiedBy>
  <dcterms:modified xsi:type="dcterms:W3CDTF">2024-08-07T06:45:10Z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