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pStyle w:val="2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pStyle w:val="2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pStyle w:val="2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pStyle w:val="2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pStyle w:val="2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玉溪市生态环境局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zh-CN"/>
        </w:rPr>
        <w:t>易门工业园区麦子田片区110千伏输变电工程建设项目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zh-CN"/>
        </w:rPr>
        <w:t>环境影响报告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zh-CN" w:eastAsia="zh-CN"/>
        </w:rPr>
        <w:t>表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zh-CN"/>
        </w:rPr>
        <w:t>的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易门晶科新能源有限公司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你</w:t>
      </w:r>
      <w:r>
        <w:rPr>
          <w:rFonts w:hint="eastAsia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申请报送的委托</w:t>
      </w:r>
      <w:r>
        <w:rPr>
          <w:rFonts w:hint="eastAsia" w:ascii="仿宋" w:hAnsi="仿宋" w:eastAsia="仿宋"/>
          <w:sz w:val="32"/>
          <w:szCs w:val="32"/>
          <w:lang w:val="zh-CN"/>
        </w:rPr>
        <w:t>云南协同环保工程有限公司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编制的《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/>
        </w:rPr>
        <w:t>易门工业园区麦子田片区110千伏输变电工程建设项目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环境影响报告表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》收悉。经研究，批复如下：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一、基本情况</w:t>
      </w:r>
    </w:p>
    <w:p>
      <w:pPr>
        <w:spacing w:line="600" w:lineRule="exact"/>
        <w:ind w:firstLine="630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本项目位于易门县龙泉（街道）易门产业园区麦子田片区，项目包括110kv麦子田变电站以及110kv水麦线（1.8km）。</w:t>
      </w:r>
      <w:bookmarkStart w:id="0" w:name="_Hlk163061326"/>
      <w:r>
        <w:rPr>
          <w:rFonts w:hint="eastAsia" w:eastAsia="方正仿宋_GBK" w:cs="Times New Roman"/>
          <w:sz w:val="32"/>
          <w:szCs w:val="32"/>
          <w:lang w:val="en-US" w:eastAsia="zh-CN"/>
        </w:rPr>
        <w:t>项目1#主变及输电线路已投入试运行</w:t>
      </w:r>
      <w:bookmarkEnd w:id="0"/>
      <w:r>
        <w:rPr>
          <w:rFonts w:hint="eastAsia" w:eastAsia="方正仿宋_GBK" w:cs="Times New Roman"/>
          <w:sz w:val="32"/>
          <w:szCs w:val="32"/>
          <w:lang w:val="en-US" w:eastAsia="zh-CN"/>
        </w:rPr>
        <w:t>，属于“未批先建”项目，玉溪市生态环境局于2023年12月9日下发了项目行政处罚决定书（玉环罚〔2023〕10-11号），建设单位易门晶科新能源有限公司于2024年2月22日缴纳了相关罚款。根据《玉溪市发展和改革委员会关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/>
        </w:rPr>
        <w:t>易门工业园区麦子田片区110千伏输变电工程建设项目</w:t>
      </w:r>
      <w:r>
        <w:rPr>
          <w:rFonts w:hint="eastAsia" w:eastAsia="方正仿宋_GBK" w:cs="Times New Roman"/>
          <w:sz w:val="32"/>
          <w:szCs w:val="32"/>
          <w:lang w:val="zh-CN"/>
        </w:rPr>
        <w:t>核准的批复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》，新建110kV麦子田变电站（2台主变，2×20MVA，其中1#主变及其配套设备已经建成）以及</w:t>
      </w:r>
      <w:bookmarkStart w:id="1" w:name="_Hlk163060356"/>
      <w:r>
        <w:rPr>
          <w:rFonts w:hint="eastAsia" w:eastAsia="方正仿宋_GBK" w:cs="Times New Roman"/>
          <w:sz w:val="32"/>
          <w:szCs w:val="32"/>
          <w:lang w:val="en-US" w:eastAsia="zh-CN"/>
        </w:rPr>
        <w:t>110kV水麦线</w:t>
      </w:r>
      <w:bookmarkEnd w:id="1"/>
      <w:r>
        <w:rPr>
          <w:rFonts w:hint="eastAsia" w:eastAsia="方正仿宋_GBK" w:cs="Times New Roman"/>
          <w:sz w:val="32"/>
          <w:szCs w:val="32"/>
          <w:lang w:val="en-US" w:eastAsia="zh-CN"/>
        </w:rPr>
        <w:t>（共1.8km）线路工程（已经建成）。变电站电压等级110/10kV，主变采用三相双绕组有载调压，110kV侧采用单母线接线，10kV主接线采用单母线分段接线；110kV出线1回，10kV出线4回（2×4回）；配套建设生活设施及辅助生产用房及环保工程等，总占地面积3034m</w:t>
      </w:r>
      <w:r>
        <w:rPr>
          <w:rFonts w:hint="eastAsia" w:eastAsia="方正仿宋_GBK" w:cs="Times New Roman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，永久占地面积2585m</w:t>
      </w:r>
      <w:r>
        <w:rPr>
          <w:rFonts w:hint="eastAsia" w:eastAsia="方正仿宋_GBK" w:cs="Times New Roman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，其中变电站站址占地2397m</w:t>
      </w:r>
      <w:r>
        <w:rPr>
          <w:rFonts w:hint="eastAsia" w:eastAsia="方正仿宋_GBK" w:cs="Times New Roman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；线路塔基占地188m</w:t>
      </w:r>
      <w:r>
        <w:rPr>
          <w:rFonts w:hint="eastAsia" w:eastAsia="方正仿宋_GBK" w:cs="Times New Roman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；临时占地面积为449m</w:t>
      </w:r>
      <w:r>
        <w:rPr>
          <w:rFonts w:hint="eastAsia" w:eastAsia="方正仿宋_GBK" w:cs="Times New Roman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。110kV水麦线起于220kV水城变，以1回110kV线路接入新建设的110kV麦子田变，线路长约1.8km，其中架空线路长约1.4km、截面按240mm²，电缆线路约为0.4km、截面按300mm²选择。共建杆塔7基。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立项依据：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《玉溪市发展和改革委员会关于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/>
        </w:rPr>
        <w:t>易门工业园区麦子田片区110千伏输变电工程建设项目</w:t>
      </w:r>
      <w:r>
        <w:rPr>
          <w:rFonts w:hint="eastAsia" w:eastAsia="方正仿宋_GBK" w:cs="Times New Roman"/>
          <w:sz w:val="32"/>
          <w:szCs w:val="32"/>
          <w:lang w:val="zh-CN"/>
        </w:rPr>
        <w:t>核准的批复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玉发改能源复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[202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]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号），项目代码：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2302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-5304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-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04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-0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-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345874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总投资5200万元，其中环保总投资45.8万元，占总投资的0.88%。</w:t>
      </w:r>
    </w:p>
    <w:p>
      <w:pPr>
        <w:spacing w:line="600" w:lineRule="exact"/>
        <w:ind w:firstLine="630"/>
        <w:outlineLvl w:val="9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sz w:val="32"/>
          <w:szCs w:val="32"/>
          <w:lang w:val="zh-CN" w:eastAsia="zh-CN"/>
        </w:rPr>
        <w:t>根据云南正德环境评估有限公司《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关于易门晶科新能源有限公司易门工业园区麦子田片区110千伏输变电工程建设项目环境影响报告表的技术评估意见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》（正德评估表〔202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号），在全面落实《报告表》提出的各项污染防治和生态保护措施后，项目建设和运营的不良环境影响可以得到减缓和控制。同意项目按照《报告表》中所述工程内容、规模、功能、地点和拟采取的环境保护对策措施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eastAsia="方正黑体_GBK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、项目建设和运营过程中应重点做好的工作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20" w:firstLineChars="194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一）加强施工期的环境管理，必须切实做好施工扬尘、噪声的污染防治工作，严防施工扬尘、噪声对环境保护目标、动植物及周围环境造成影响。同时，按照项目水土保持方案及本报告提出的防治措施严格施工，减少水土流失，及时做好塔基占地范围内土地和植被恢复工作，并加强后期养护和维护，做好生态环</w:t>
      </w:r>
      <w:bookmarkStart w:id="2" w:name="_GoBack"/>
      <w:bookmarkEnd w:id="2"/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境保护工作。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20" w:firstLineChars="194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（二）项目必须严格按《输变电建设项目环境保护技术要求》（HJ1113-2020）及《110～750kV架空输电线路设计规范》（GB50545-2010）等相关规定设计、建设、运营。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20" w:firstLineChars="194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（三）认真落实《报告表》提出的环境保护措施，确保项目运行后变电站四周、输电线路两侧区域电磁环境满足《电磁环境控制限值》（GB8702-2014）相应限值的要求。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20" w:firstLineChars="194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（四）切实落实各项高压电安全防护措施，设置警示和防护指示牌等措施，避免闲杂等人进入输变电系统安全防护距离内，以保障人身安全。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三、其他相关要求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（一）该项目《报告表》经批准后，若发生重大变动，须另行开展环境影响评价并重新报批。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二）严格执行环境保护设施与主体工程同时设计、同时施工、同时投入使用的环境保护“三同时”制度；项目建成投入试运行后，及时报告并按规定自行组织开展竣工环保验收，经验收合格后方可正式投入运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（三）玉溪市生态环境保护综合行政执法支队、玉溪市生态环境局</w:t>
      </w:r>
      <w:r>
        <w:rPr>
          <w:rFonts w:hint="eastAsia" w:eastAsia="方正仿宋_GBK" w:cs="Times New Roman"/>
          <w:sz w:val="32"/>
          <w:szCs w:val="32"/>
          <w:lang w:eastAsia="zh-CN"/>
        </w:rPr>
        <w:t>易门分局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要切实承担事中事后监管责任，履行属地监管职责，按照相关法律法规及《关于进一步完善建设项目环境保护“三同时”及竣工环境保护自主验收监管工作机制的意见》（环执法〔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号）要求，加强对该项目环境保护“三同时”及自主验收的监管</w:t>
      </w:r>
      <w:r>
        <w:rPr>
          <w:rFonts w:hint="eastAsia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41" w:right="1474" w:bottom="1304" w:left="1587" w:header="1361" w:footer="1191" w:gutter="0"/>
      <w:pgNumType w:fmt="decimal"/>
      <w:cols w:space="0" w:num="1"/>
      <w:rtlGutter w:val="0"/>
      <w:docGrid w:type="linesAndChar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42670" cy="26416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2670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8pt;width:82.1pt;mso-position-horizontal:outside;mso-position-horizontal-relative:margin;z-index:251659264;mso-width-relative:page;mso-height-relative:page;" filled="f" stroked="f" coordsize="21600,21600" o:gfxdata="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85EP61AAAAAQBAAAPAAAAAAAAAAEAIAAAACIAAABkcnMvZG93bnJldi54&#10;bWxQSwECFAAUAAAACACHTuJA9V7MpzcCAABiBAAADgAAAAAAAAABACAAAAAj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0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4YjcyM2E0ZTg3YjgyZjQyYTg2ZTRkMGM4ZDdhMWUifQ=="/>
  </w:docVars>
  <w:rsids>
    <w:rsidRoot w:val="2AAF282F"/>
    <w:rsid w:val="00251335"/>
    <w:rsid w:val="002C7551"/>
    <w:rsid w:val="002E39CB"/>
    <w:rsid w:val="00354601"/>
    <w:rsid w:val="00621CDB"/>
    <w:rsid w:val="007216D3"/>
    <w:rsid w:val="009E4FAC"/>
    <w:rsid w:val="00DE2824"/>
    <w:rsid w:val="00E32A7B"/>
    <w:rsid w:val="00E779F3"/>
    <w:rsid w:val="00F138BA"/>
    <w:rsid w:val="017B43B2"/>
    <w:rsid w:val="01901A10"/>
    <w:rsid w:val="022E6AD9"/>
    <w:rsid w:val="02C92423"/>
    <w:rsid w:val="02D359C2"/>
    <w:rsid w:val="03405326"/>
    <w:rsid w:val="03DF7990"/>
    <w:rsid w:val="047A7F12"/>
    <w:rsid w:val="05436FA8"/>
    <w:rsid w:val="066A0886"/>
    <w:rsid w:val="06D849E3"/>
    <w:rsid w:val="075F1CAC"/>
    <w:rsid w:val="07CE7264"/>
    <w:rsid w:val="09294E4C"/>
    <w:rsid w:val="0A5D4D3F"/>
    <w:rsid w:val="0A955323"/>
    <w:rsid w:val="0B2C6D5D"/>
    <w:rsid w:val="0C11428E"/>
    <w:rsid w:val="0CD1482E"/>
    <w:rsid w:val="0D625FF1"/>
    <w:rsid w:val="0DF93715"/>
    <w:rsid w:val="0EE81C04"/>
    <w:rsid w:val="10085FCB"/>
    <w:rsid w:val="10600A97"/>
    <w:rsid w:val="11851A07"/>
    <w:rsid w:val="11DC6270"/>
    <w:rsid w:val="12080F2A"/>
    <w:rsid w:val="126224F8"/>
    <w:rsid w:val="13DD3E12"/>
    <w:rsid w:val="14325F56"/>
    <w:rsid w:val="143A6D20"/>
    <w:rsid w:val="147C6156"/>
    <w:rsid w:val="147D33EC"/>
    <w:rsid w:val="14A7237E"/>
    <w:rsid w:val="14F53A51"/>
    <w:rsid w:val="150771D6"/>
    <w:rsid w:val="15906E34"/>
    <w:rsid w:val="15B44512"/>
    <w:rsid w:val="175B5421"/>
    <w:rsid w:val="17773ABF"/>
    <w:rsid w:val="17951DDA"/>
    <w:rsid w:val="17D20987"/>
    <w:rsid w:val="18C74774"/>
    <w:rsid w:val="18CE063C"/>
    <w:rsid w:val="19234F44"/>
    <w:rsid w:val="1A3C7BBE"/>
    <w:rsid w:val="1A5F6E8E"/>
    <w:rsid w:val="1A8C320C"/>
    <w:rsid w:val="1AF06846"/>
    <w:rsid w:val="1B5961B8"/>
    <w:rsid w:val="1D22560D"/>
    <w:rsid w:val="1D36222A"/>
    <w:rsid w:val="1EE0592A"/>
    <w:rsid w:val="208965AF"/>
    <w:rsid w:val="20AA77ED"/>
    <w:rsid w:val="22070E99"/>
    <w:rsid w:val="221338AA"/>
    <w:rsid w:val="22B47180"/>
    <w:rsid w:val="24404051"/>
    <w:rsid w:val="252B1D4D"/>
    <w:rsid w:val="254949A5"/>
    <w:rsid w:val="259A3B4A"/>
    <w:rsid w:val="25B310C3"/>
    <w:rsid w:val="25B61F3B"/>
    <w:rsid w:val="26E52AD8"/>
    <w:rsid w:val="26F33055"/>
    <w:rsid w:val="270A1F02"/>
    <w:rsid w:val="272844C9"/>
    <w:rsid w:val="273C53CB"/>
    <w:rsid w:val="2750082C"/>
    <w:rsid w:val="27D902BE"/>
    <w:rsid w:val="27E028FD"/>
    <w:rsid w:val="285716F9"/>
    <w:rsid w:val="286E622A"/>
    <w:rsid w:val="2AAF282F"/>
    <w:rsid w:val="2B5D1FBE"/>
    <w:rsid w:val="2BA80578"/>
    <w:rsid w:val="2C4B3AF0"/>
    <w:rsid w:val="2CE31097"/>
    <w:rsid w:val="2D9B5CF7"/>
    <w:rsid w:val="2E8D30CF"/>
    <w:rsid w:val="2FAE1C18"/>
    <w:rsid w:val="301F335D"/>
    <w:rsid w:val="30AB341D"/>
    <w:rsid w:val="30BA0CF3"/>
    <w:rsid w:val="30E34D34"/>
    <w:rsid w:val="31A812D2"/>
    <w:rsid w:val="32810117"/>
    <w:rsid w:val="33364881"/>
    <w:rsid w:val="334A0CFF"/>
    <w:rsid w:val="35692B73"/>
    <w:rsid w:val="370D5223"/>
    <w:rsid w:val="376E2D82"/>
    <w:rsid w:val="38403B90"/>
    <w:rsid w:val="38AC02C2"/>
    <w:rsid w:val="38B41D0D"/>
    <w:rsid w:val="3BA00084"/>
    <w:rsid w:val="3C7F4DE2"/>
    <w:rsid w:val="3C7F7E1B"/>
    <w:rsid w:val="3EF1250A"/>
    <w:rsid w:val="3F155B26"/>
    <w:rsid w:val="41332E43"/>
    <w:rsid w:val="416A0536"/>
    <w:rsid w:val="41D86F7B"/>
    <w:rsid w:val="423A11FD"/>
    <w:rsid w:val="429513FF"/>
    <w:rsid w:val="432D68FF"/>
    <w:rsid w:val="436F1C50"/>
    <w:rsid w:val="43E27842"/>
    <w:rsid w:val="43F3462F"/>
    <w:rsid w:val="449823AC"/>
    <w:rsid w:val="44A14CE2"/>
    <w:rsid w:val="44C339FF"/>
    <w:rsid w:val="4580253E"/>
    <w:rsid w:val="4586478D"/>
    <w:rsid w:val="45A5300C"/>
    <w:rsid w:val="45B72F61"/>
    <w:rsid w:val="46D524F5"/>
    <w:rsid w:val="481B4AAA"/>
    <w:rsid w:val="48E376BD"/>
    <w:rsid w:val="49600971"/>
    <w:rsid w:val="498875C7"/>
    <w:rsid w:val="4A51456E"/>
    <w:rsid w:val="4AEF13B7"/>
    <w:rsid w:val="4B0E06C8"/>
    <w:rsid w:val="4C2226B4"/>
    <w:rsid w:val="4CFC6926"/>
    <w:rsid w:val="4DD53083"/>
    <w:rsid w:val="4ECA26AB"/>
    <w:rsid w:val="4FBF2EF4"/>
    <w:rsid w:val="4FC24B2F"/>
    <w:rsid w:val="501F6C42"/>
    <w:rsid w:val="51C9023B"/>
    <w:rsid w:val="51FE1BA6"/>
    <w:rsid w:val="524D5852"/>
    <w:rsid w:val="52601BDC"/>
    <w:rsid w:val="52D2446B"/>
    <w:rsid w:val="534A1F20"/>
    <w:rsid w:val="54B95797"/>
    <w:rsid w:val="54ED6695"/>
    <w:rsid w:val="54FD6EDC"/>
    <w:rsid w:val="55C5056F"/>
    <w:rsid w:val="56490678"/>
    <w:rsid w:val="56685559"/>
    <w:rsid w:val="56BD2497"/>
    <w:rsid w:val="56C8798F"/>
    <w:rsid w:val="570502E5"/>
    <w:rsid w:val="57BF3583"/>
    <w:rsid w:val="583667C1"/>
    <w:rsid w:val="583C72D7"/>
    <w:rsid w:val="591816AF"/>
    <w:rsid w:val="5A4822A0"/>
    <w:rsid w:val="5A7D0E49"/>
    <w:rsid w:val="5B530E0D"/>
    <w:rsid w:val="5BBB79D4"/>
    <w:rsid w:val="5BEC4998"/>
    <w:rsid w:val="5C590380"/>
    <w:rsid w:val="5CFE5258"/>
    <w:rsid w:val="5E04242A"/>
    <w:rsid w:val="5E9B6186"/>
    <w:rsid w:val="5EB95888"/>
    <w:rsid w:val="5EE571AE"/>
    <w:rsid w:val="5F402FCF"/>
    <w:rsid w:val="5F4A3E48"/>
    <w:rsid w:val="5FA40E41"/>
    <w:rsid w:val="6158114D"/>
    <w:rsid w:val="61682A0D"/>
    <w:rsid w:val="62197AC8"/>
    <w:rsid w:val="629C6B78"/>
    <w:rsid w:val="63161C90"/>
    <w:rsid w:val="644E7BB0"/>
    <w:rsid w:val="65BD6006"/>
    <w:rsid w:val="65C33A84"/>
    <w:rsid w:val="65D43D57"/>
    <w:rsid w:val="65EF6265"/>
    <w:rsid w:val="661C059B"/>
    <w:rsid w:val="664C74D8"/>
    <w:rsid w:val="66C51CC3"/>
    <w:rsid w:val="670F1B12"/>
    <w:rsid w:val="677B038D"/>
    <w:rsid w:val="6783156C"/>
    <w:rsid w:val="67E051FD"/>
    <w:rsid w:val="67E67E6E"/>
    <w:rsid w:val="67F40045"/>
    <w:rsid w:val="69624277"/>
    <w:rsid w:val="6A065065"/>
    <w:rsid w:val="6A970CFF"/>
    <w:rsid w:val="6B24315D"/>
    <w:rsid w:val="6B8F627B"/>
    <w:rsid w:val="6C196406"/>
    <w:rsid w:val="6CC816B1"/>
    <w:rsid w:val="6D9A715C"/>
    <w:rsid w:val="6DC4470E"/>
    <w:rsid w:val="6F4C5C4D"/>
    <w:rsid w:val="702C48A1"/>
    <w:rsid w:val="70967830"/>
    <w:rsid w:val="709D12FB"/>
    <w:rsid w:val="71280BD2"/>
    <w:rsid w:val="737547B1"/>
    <w:rsid w:val="7417602D"/>
    <w:rsid w:val="74667AB9"/>
    <w:rsid w:val="75A07590"/>
    <w:rsid w:val="76862181"/>
    <w:rsid w:val="76EB5318"/>
    <w:rsid w:val="783F1C54"/>
    <w:rsid w:val="789718A7"/>
    <w:rsid w:val="7A1F67B7"/>
    <w:rsid w:val="7A2E13A1"/>
    <w:rsid w:val="7AA60FD4"/>
    <w:rsid w:val="7ADA625F"/>
    <w:rsid w:val="7B7E0F63"/>
    <w:rsid w:val="7BD56DC6"/>
    <w:rsid w:val="7CCE20D6"/>
    <w:rsid w:val="7D2257CD"/>
    <w:rsid w:val="7E5B1083"/>
    <w:rsid w:val="7E8004BE"/>
    <w:rsid w:val="7FBA0DBB"/>
    <w:rsid w:val="7FCB2CDB"/>
    <w:rsid w:val="7FE49F59"/>
    <w:rsid w:val="9FF3C456"/>
    <w:rsid w:val="ADFF37CF"/>
    <w:rsid w:val="BBA5F45B"/>
    <w:rsid w:val="F77383FA"/>
    <w:rsid w:val="FFF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 首行缩进:  2 字符 + 首行缩进:  2 字符"/>
    <w:basedOn w:val="1"/>
    <w:autoRedefine/>
    <w:qFormat/>
    <w:uiPriority w:val="0"/>
    <w:pPr>
      <w:adjustRightInd w:val="0"/>
      <w:snapToGrid w:val="0"/>
      <w:ind w:left="1134" w:firstLine="480"/>
      <w:jc w:val="left"/>
    </w:pPr>
    <w:rPr>
      <w:rFonts w:cs="宋体"/>
      <w:color w:val="000000"/>
      <w:szCs w:val="20"/>
    </w:rPr>
  </w:style>
  <w:style w:type="paragraph" w:styleId="5">
    <w:name w:val="Normal Indent"/>
    <w:basedOn w:val="1"/>
    <w:next w:val="1"/>
    <w:autoRedefine/>
    <w:qFormat/>
    <w:uiPriority w:val="0"/>
    <w:pPr>
      <w:widowControl/>
      <w:ind w:firstLine="420"/>
    </w:pPr>
    <w:rPr>
      <w:sz w:val="28"/>
      <w:szCs w:val="28"/>
    </w:rPr>
  </w:style>
  <w:style w:type="paragraph" w:styleId="6">
    <w:name w:val="Body Text"/>
    <w:basedOn w:val="1"/>
    <w:next w:val="7"/>
    <w:autoRedefine/>
    <w:qFormat/>
    <w:uiPriority w:val="0"/>
    <w:pPr>
      <w:spacing w:after="120"/>
    </w:pPr>
  </w:style>
  <w:style w:type="paragraph" w:customStyle="1" w:styleId="7">
    <w:name w:val="明显引用1"/>
    <w:next w:val="1"/>
    <w:autoRedefine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8">
    <w:name w:val="Plain Text"/>
    <w:basedOn w:val="1"/>
    <w:next w:val="1"/>
    <w:autoRedefine/>
    <w:qFormat/>
    <w:uiPriority w:val="0"/>
    <w:rPr>
      <w:rFonts w:ascii="宋体" w:hAnsi="Courier New"/>
      <w:szCs w:val="20"/>
    </w:rPr>
  </w:style>
  <w:style w:type="paragraph" w:styleId="9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next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2">
    <w:name w:val="正文1"/>
    <w:autoRedefine/>
    <w:qFormat/>
    <w:uiPriority w:val="0"/>
    <w:pPr>
      <w:widowControl w:val="0"/>
      <w:adjustRightInd w:val="0"/>
      <w:spacing w:line="360" w:lineRule="auto"/>
      <w:ind w:firstLine="200" w:firstLineChars="200"/>
      <w:jc w:val="both"/>
      <w:textAlignment w:val="baseline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styleId="13">
    <w:name w:val="toc 2"/>
    <w:basedOn w:val="1"/>
    <w:next w:val="1"/>
    <w:autoRedefine/>
    <w:qFormat/>
    <w:uiPriority w:val="39"/>
    <w:pPr>
      <w:ind w:left="420" w:leftChars="200"/>
    </w:pPr>
    <w:rPr>
      <w:szCs w:val="24"/>
    </w:rPr>
  </w:style>
  <w:style w:type="paragraph" w:styleId="14">
    <w:name w:val="Body Text First Indent"/>
    <w:basedOn w:val="6"/>
    <w:next w:val="1"/>
    <w:autoRedefine/>
    <w:qFormat/>
    <w:uiPriority w:val="0"/>
    <w:pPr>
      <w:widowControl/>
      <w:ind w:firstLine="420" w:firstLineChars="100"/>
      <w:jc w:val="left"/>
    </w:pPr>
    <w:rPr>
      <w:rFonts w:ascii="Calibri" w:hAnsi="Calibri" w:cs="宋体"/>
      <w:kern w:val="0"/>
    </w:rPr>
  </w:style>
  <w:style w:type="paragraph" w:styleId="15">
    <w:name w:val="Body Text First Indent 2"/>
    <w:basedOn w:val="1"/>
    <w:next w:val="14"/>
    <w:autoRedefine/>
    <w:qFormat/>
    <w:uiPriority w:val="0"/>
    <w:pPr>
      <w:ind w:firstLine="420" w:firstLineChars="200"/>
    </w:pPr>
  </w:style>
  <w:style w:type="character" w:styleId="18">
    <w:name w:val="page number"/>
    <w:basedOn w:val="17"/>
    <w:autoRedefine/>
    <w:qFormat/>
    <w:uiPriority w:val="0"/>
  </w:style>
  <w:style w:type="paragraph" w:customStyle="1" w:styleId="19">
    <w:name w:val="纯文本1"/>
    <w:basedOn w:val="1"/>
    <w:autoRedefine/>
    <w:qFormat/>
    <w:uiPriority w:val="0"/>
    <w:rPr>
      <w:rFonts w:ascii="宋体" w:hAnsi="Courier New"/>
    </w:rPr>
  </w:style>
  <w:style w:type="paragraph" w:customStyle="1" w:styleId="20">
    <w:name w:val="Plain Text1"/>
    <w:basedOn w:val="1"/>
    <w:autoRedefine/>
    <w:qFormat/>
    <w:uiPriority w:val="0"/>
    <w:rPr>
      <w:rFonts w:ascii="宋体" w:hAnsi="Courier New"/>
    </w:rPr>
  </w:style>
  <w:style w:type="paragraph" w:customStyle="1" w:styleId="21">
    <w:name w:val="Normal Indent1"/>
    <w:basedOn w:val="1"/>
    <w:autoRedefine/>
    <w:qFormat/>
    <w:uiPriority w:val="0"/>
    <w:pPr>
      <w:ind w:firstLine="420"/>
    </w:pPr>
  </w:style>
  <w:style w:type="paragraph" w:customStyle="1" w:styleId="22">
    <w:name w:val="p0"/>
    <w:basedOn w:val="1"/>
    <w:autoRedefine/>
    <w:qFormat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玉溪市直属党政机关单位</Company>
  <Pages>4</Pages>
  <Words>1823</Words>
  <Characters>2036</Characters>
  <Lines>17</Lines>
  <Paragraphs>4</Paragraphs>
  <TotalTime>3</TotalTime>
  <ScaleCrop>false</ScaleCrop>
  <LinksUpToDate>false</LinksUpToDate>
  <CharactersWithSpaces>2106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2020-08-05T22:42:00Z</dcterms:created>
  <dc:creator>马腾</dc:creator>
  <cp:lastModifiedBy>Administrator</cp:lastModifiedBy>
  <cp:lastPrinted>2024-03-12T03:16:00Z</cp:lastPrinted>
  <dcterms:modified xsi:type="dcterms:W3CDTF">2024-04-28T09:48:36Z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F2717023F39C420E98216C416EEC2B17</vt:lpwstr>
  </property>
</Properties>
</file>