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N w:val="0"/>
        <w:jc w:val="center"/>
        <w:rPr>
          <w:rFonts w:ascii="宋体" w:hAnsi="宋体" w:eastAsia="宋体" w:cs="宋体"/>
          <w:b/>
          <w:sz w:val="36"/>
          <w:szCs w:val="36"/>
          <w:lang w:val="zh-CN"/>
        </w:rPr>
      </w:pPr>
      <w:r>
        <w:rPr>
          <w:rFonts w:hint="eastAsia" w:ascii="宋体" w:hAnsi="宋体" w:eastAsia="宋体"/>
          <w:b/>
          <w:sz w:val="36"/>
          <w:szCs w:val="36"/>
          <w:lang w:val="zh-CN"/>
        </w:rPr>
        <w:t>目</w:t>
      </w:r>
      <w:r>
        <w:rPr>
          <w:rFonts w:ascii="宋体" w:hAnsi="宋体" w:eastAsia="宋体"/>
          <w:b/>
          <w:sz w:val="36"/>
          <w:szCs w:val="36"/>
        </w:rPr>
        <w:t xml:space="preserve"> </w:t>
      </w:r>
      <w:r>
        <w:rPr>
          <w:rFonts w:hint="eastAsia" w:ascii="宋体" w:hAnsi="宋体" w:eastAsia="宋体"/>
          <w:b/>
          <w:sz w:val="36"/>
          <w:szCs w:val="36"/>
          <w:lang w:val="zh-CN"/>
        </w:rPr>
        <w:t>录</w:t>
      </w:r>
    </w:p>
    <w:p>
      <w:pPr>
        <w:widowControl/>
        <w:tabs>
          <w:tab w:val="right" w:leader="dot" w:pos="12008"/>
        </w:tabs>
        <w:autoSpaceDN w:val="0"/>
        <w:spacing w:line="400" w:lineRule="exact"/>
        <w:jc w:val="center"/>
        <w:rPr>
          <w:rFonts w:asciiTheme="minorEastAsia" w:hAnsiTheme="minorEastAsia" w:eastAsiaTheme="minorEastAsia"/>
          <w:bCs/>
          <w:sz w:val="28"/>
          <w:szCs w:val="28"/>
        </w:rPr>
      </w:pPr>
    </w:p>
    <w:sdt>
      <w:sdtPr>
        <w:rPr>
          <w:rFonts w:hint="eastAsia" w:asciiTheme="minorEastAsia" w:hAnsiTheme="minorEastAsia" w:cstheme="minorEastAsia"/>
          <w:bCs/>
          <w:kern w:val="30"/>
          <w:sz w:val="28"/>
          <w:szCs w:val="28"/>
          <w:lang w:val="zh-CN"/>
        </w:rPr>
        <w:id w:val="-201706083"/>
      </w:sdtPr>
      <w:sdtEndPr>
        <w:rPr>
          <w:rFonts w:hint="eastAsia" w:cs="宋体" w:asciiTheme="minorEastAsia" w:hAnsiTheme="minorEastAsia"/>
          <w:bCs/>
          <w:kern w:val="0"/>
          <w:sz w:val="28"/>
          <w:szCs w:val="28"/>
          <w:lang w:val="en-US"/>
        </w:rPr>
      </w:sdtEndPr>
      <w:sdtContent>
        <w:p>
          <w:pPr>
            <w:pStyle w:val="12"/>
            <w:spacing w:line="440" w:lineRule="exact"/>
            <w:jc w:val="both"/>
            <w:rPr>
              <w:rFonts w:asciiTheme="minorEastAsia" w:hAnsiTheme="minorEastAsia" w:cstheme="minorBidi"/>
              <w:kern w:val="2"/>
              <w:sz w:val="28"/>
              <w:szCs w:val="28"/>
              <w14:ligatures w14:val="standardContextual"/>
            </w:rPr>
          </w:pPr>
          <w:r>
            <w:rPr>
              <w:rStyle w:val="22"/>
              <w:rFonts w:hint="eastAsia" w:cs="宋体" w:asciiTheme="majorEastAsia" w:hAnsiTheme="majorEastAsia" w:eastAsiaTheme="majorEastAsia"/>
              <w:bCs/>
              <w:sz w:val="28"/>
              <w:szCs w:val="28"/>
            </w:rPr>
            <w:fldChar w:fldCharType="begin"/>
          </w:r>
          <w:r>
            <w:rPr>
              <w:rStyle w:val="22"/>
              <w:rFonts w:hint="eastAsia" w:cs="宋体" w:asciiTheme="majorEastAsia" w:hAnsiTheme="majorEastAsia" w:eastAsiaTheme="majorEastAsia"/>
              <w:bCs/>
              <w:sz w:val="28"/>
              <w:szCs w:val="28"/>
            </w:rPr>
            <w:instrText xml:space="preserve"> TOC \o "1-3" \h \z \u </w:instrText>
          </w:r>
          <w:r>
            <w:rPr>
              <w:rStyle w:val="22"/>
              <w:rFonts w:hint="eastAsia" w:cs="宋体" w:asciiTheme="majorEastAsia" w:hAnsiTheme="majorEastAsia" w:eastAsiaTheme="majorEastAsia"/>
              <w:bCs/>
              <w:sz w:val="28"/>
              <w:szCs w:val="28"/>
            </w:rPr>
            <w:fldChar w:fldCharType="separate"/>
          </w:r>
          <w:r>
            <w:fldChar w:fldCharType="begin"/>
          </w:r>
          <w:r>
            <w:instrText xml:space="preserve"> HYPERLINK \l "_Toc144740035" </w:instrText>
          </w:r>
          <w:r>
            <w:fldChar w:fldCharType="separate"/>
          </w:r>
          <w:r>
            <w:rPr>
              <w:rStyle w:val="22"/>
              <w:rFonts w:asciiTheme="minorEastAsia" w:hAnsiTheme="minorEastAsia"/>
              <w:sz w:val="28"/>
              <w:szCs w:val="28"/>
            </w:rPr>
            <w:t>摘  要</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_Toc144740035 \h </w:instrText>
          </w:r>
          <w:r>
            <w:rPr>
              <w:rFonts w:asciiTheme="minorEastAsia" w:hAnsiTheme="minorEastAsia"/>
              <w:sz w:val="28"/>
              <w:szCs w:val="28"/>
            </w:rPr>
            <w:fldChar w:fldCharType="separate"/>
          </w:r>
          <w:r>
            <w:rPr>
              <w:rFonts w:asciiTheme="minorEastAsia" w:hAnsiTheme="minorEastAsia"/>
              <w:sz w:val="28"/>
              <w:szCs w:val="28"/>
            </w:rPr>
            <w:t>i</w:t>
          </w:r>
          <w:r>
            <w:rPr>
              <w:rFonts w:asciiTheme="minorEastAsia" w:hAnsiTheme="minorEastAsia"/>
              <w:sz w:val="28"/>
              <w:szCs w:val="28"/>
            </w:rPr>
            <w:fldChar w:fldCharType="end"/>
          </w:r>
          <w:r>
            <w:rPr>
              <w:rFonts w:asciiTheme="minorEastAsia" w:hAnsiTheme="minorEastAsia"/>
              <w:sz w:val="28"/>
              <w:szCs w:val="28"/>
            </w:rPr>
            <w:fldChar w:fldCharType="end"/>
          </w:r>
        </w:p>
        <w:p>
          <w:pPr>
            <w:pStyle w:val="12"/>
            <w:spacing w:line="440" w:lineRule="exact"/>
            <w:jc w:val="both"/>
            <w:rPr>
              <w:rFonts w:asciiTheme="minorEastAsia" w:hAnsiTheme="minorEastAsia" w:cstheme="minorBidi"/>
              <w:kern w:val="2"/>
              <w:sz w:val="28"/>
              <w:szCs w:val="28"/>
              <w14:ligatures w14:val="standardContextual"/>
            </w:rPr>
          </w:pPr>
          <w:r>
            <w:fldChar w:fldCharType="begin"/>
          </w:r>
          <w:r>
            <w:instrText xml:space="preserve"> HYPERLINK \l "_Toc144740036" </w:instrText>
          </w:r>
          <w:r>
            <w:fldChar w:fldCharType="separate"/>
          </w:r>
          <w:r>
            <w:rPr>
              <w:rStyle w:val="22"/>
              <w:rFonts w:cs="宋体" w:asciiTheme="minorEastAsia" w:hAnsiTheme="minorEastAsia"/>
              <w:sz w:val="28"/>
              <w:szCs w:val="28"/>
            </w:rPr>
            <w:t>一、基本情况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_Toc144740036 \h </w:instrText>
          </w:r>
          <w:r>
            <w:rPr>
              <w:rFonts w:asciiTheme="minorEastAsia" w:hAnsiTheme="minorEastAsia"/>
              <w:sz w:val="28"/>
              <w:szCs w:val="28"/>
            </w:rPr>
            <w:fldChar w:fldCharType="separate"/>
          </w:r>
          <w:r>
            <w:rPr>
              <w:rFonts w:asciiTheme="minorEastAsia" w:hAnsiTheme="minorEastAsia"/>
              <w:sz w:val="28"/>
              <w:szCs w:val="28"/>
            </w:rPr>
            <w:t>1</w:t>
          </w:r>
          <w:r>
            <w:rPr>
              <w:rFonts w:asciiTheme="minorEastAsia" w:hAnsiTheme="minorEastAsia"/>
              <w:sz w:val="28"/>
              <w:szCs w:val="28"/>
            </w:rPr>
            <w:fldChar w:fldCharType="end"/>
          </w:r>
          <w:r>
            <w:rPr>
              <w:rFonts w:asciiTheme="minorEastAsia" w:hAnsiTheme="minorEastAsia"/>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"_Toc144740037" </w:instrText>
          </w:r>
          <w:r>
            <w:fldChar w:fldCharType="separate"/>
          </w:r>
          <w:r>
            <w:rPr>
              <w:rStyle w:val="22"/>
              <w:rFonts w:cs="楷体_GB2312" w:asciiTheme="minorEastAsia" w:hAnsiTheme="minorEastAsia" w:eastAsiaTheme="minorEastAsia"/>
              <w:b w:val="0"/>
              <w:bCs w:val="0"/>
              <w:sz w:val="28"/>
              <w:szCs w:val="28"/>
            </w:rPr>
            <w:t>（一）项目概况</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_Toc144740037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1</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"_Toc144740041" </w:instrText>
          </w:r>
          <w:r>
            <w:fldChar w:fldCharType="separate"/>
          </w:r>
          <w:r>
            <w:rPr>
              <w:rStyle w:val="22"/>
              <w:rFonts w:asciiTheme="minorEastAsia" w:hAnsiTheme="minorEastAsia" w:eastAsiaTheme="minorEastAsia"/>
              <w:b w:val="0"/>
              <w:bCs w:val="0"/>
              <w:sz w:val="28"/>
              <w:szCs w:val="28"/>
            </w:rPr>
            <w:t>（二）绩效目标设立情况</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_Toc144740041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3</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"_Toc144740042" </w:instrText>
          </w:r>
          <w:r>
            <w:fldChar w:fldCharType="separate"/>
          </w:r>
          <w:r>
            <w:rPr>
              <w:rStyle w:val="22"/>
              <w:rFonts w:asciiTheme="minorEastAsia" w:hAnsiTheme="minorEastAsia" w:eastAsiaTheme="minorEastAsia"/>
              <w:b w:val="0"/>
              <w:bCs w:val="0"/>
              <w:sz w:val="28"/>
              <w:szCs w:val="28"/>
            </w:rPr>
            <w:t>（三）项目组织管理情况</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_Toc144740042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3</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2"/>
            <w:spacing w:line="440" w:lineRule="exact"/>
            <w:jc w:val="both"/>
            <w:rPr>
              <w:rFonts w:asciiTheme="minorEastAsia" w:hAnsiTheme="minorEastAsia" w:cstheme="minorBidi"/>
              <w:kern w:val="2"/>
              <w:sz w:val="28"/>
              <w:szCs w:val="28"/>
              <w14:ligatures w14:val="standardContextual"/>
            </w:rPr>
          </w:pPr>
          <w:r>
            <w:fldChar w:fldCharType="begin"/>
          </w:r>
          <w:r>
            <w:instrText xml:space="preserve"> HYPERLINK \l "_Toc144740047" </w:instrText>
          </w:r>
          <w:r>
            <w:fldChar w:fldCharType="separate"/>
          </w:r>
          <w:r>
            <w:rPr>
              <w:rStyle w:val="22"/>
              <w:rFonts w:cs="宋体" w:asciiTheme="minorEastAsia" w:hAnsiTheme="minorEastAsia"/>
              <w:sz w:val="28"/>
              <w:szCs w:val="28"/>
            </w:rPr>
            <w:t>二、绩效评价工作开展情况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_Toc144740047 \h </w:instrText>
          </w:r>
          <w:r>
            <w:rPr>
              <w:rFonts w:asciiTheme="minorEastAsia" w:hAnsiTheme="minorEastAsia"/>
              <w:sz w:val="28"/>
              <w:szCs w:val="28"/>
            </w:rPr>
            <w:fldChar w:fldCharType="separate"/>
          </w:r>
          <w:r>
            <w:rPr>
              <w:rFonts w:asciiTheme="minorEastAsia" w:hAnsiTheme="minorEastAsia"/>
              <w:sz w:val="28"/>
              <w:szCs w:val="28"/>
            </w:rPr>
            <w:t>6</w:t>
          </w:r>
          <w:r>
            <w:rPr>
              <w:rFonts w:asciiTheme="minorEastAsia" w:hAnsiTheme="minorEastAsia"/>
              <w:sz w:val="28"/>
              <w:szCs w:val="28"/>
            </w:rPr>
            <w:fldChar w:fldCharType="end"/>
          </w:r>
          <w:r>
            <w:rPr>
              <w:rFonts w:asciiTheme="minorEastAsia" w:hAnsiTheme="minorEastAsia"/>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"_Toc144740048" </w:instrText>
          </w:r>
          <w:r>
            <w:fldChar w:fldCharType="separate"/>
          </w:r>
          <w:r>
            <w:rPr>
              <w:rStyle w:val="22"/>
              <w:rFonts w:cs="楷体_GB2312" w:asciiTheme="minorEastAsia" w:hAnsiTheme="minorEastAsia" w:eastAsiaTheme="minorEastAsia"/>
              <w:b w:val="0"/>
              <w:bCs w:val="0"/>
              <w:sz w:val="28"/>
              <w:szCs w:val="28"/>
            </w:rPr>
            <w:t>（一）绩效评价目的、对象和范围</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_Toc144740048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6</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"_Toc144740051" </w:instrText>
          </w:r>
          <w:r>
            <w:fldChar w:fldCharType="separate"/>
          </w:r>
          <w:r>
            <w:rPr>
              <w:rStyle w:val="22"/>
              <w:rFonts w:cs="楷体_GB2312" w:asciiTheme="minorEastAsia" w:hAnsiTheme="minorEastAsia" w:eastAsiaTheme="minorEastAsia"/>
              <w:b w:val="0"/>
              <w:bCs w:val="0"/>
              <w:sz w:val="28"/>
              <w:szCs w:val="28"/>
            </w:rPr>
            <w:t>（二）绩效评价原则、评价指标体系、评价方法、评价标准和评价抽样</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_Toc144740051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6</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"_Toc144740057" </w:instrText>
          </w:r>
          <w:r>
            <w:fldChar w:fldCharType="separate"/>
          </w:r>
          <w:r>
            <w:rPr>
              <w:rStyle w:val="22"/>
              <w:rFonts w:cs="楷体_GB2312" w:asciiTheme="minorEastAsia" w:hAnsiTheme="minorEastAsia" w:eastAsiaTheme="minorEastAsia"/>
              <w:b w:val="0"/>
              <w:bCs w:val="0"/>
              <w:sz w:val="28"/>
              <w:szCs w:val="28"/>
            </w:rPr>
            <w:t>（三）绩效评价工作过程</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_Toc144740057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11</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2"/>
            <w:spacing w:line="440" w:lineRule="exact"/>
            <w:jc w:val="both"/>
            <w:rPr>
              <w:rFonts w:asciiTheme="minorEastAsia" w:hAnsiTheme="minorEastAsia" w:cstheme="minorBidi"/>
              <w:kern w:val="2"/>
              <w:sz w:val="28"/>
              <w:szCs w:val="28"/>
              <w14:ligatures w14:val="standardContextual"/>
            </w:rPr>
          </w:pPr>
          <w:r>
            <w:fldChar w:fldCharType="begin"/>
          </w:r>
          <w:r>
            <w:instrText xml:space="preserve"> HYPERLINK \l "_Toc144740062" </w:instrText>
          </w:r>
          <w:r>
            <w:fldChar w:fldCharType="separate"/>
          </w:r>
          <w:r>
            <w:rPr>
              <w:rStyle w:val="22"/>
              <w:rFonts w:cs="宋体" w:asciiTheme="minorEastAsia" w:hAnsiTheme="minorEastAsia"/>
              <w:sz w:val="28"/>
              <w:szCs w:val="28"/>
            </w:rPr>
            <w:t>三、绩效评价结论</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_Toc144740062 \h </w:instrText>
          </w:r>
          <w:r>
            <w:rPr>
              <w:rFonts w:asciiTheme="minorEastAsia" w:hAnsiTheme="minorEastAsia"/>
              <w:sz w:val="28"/>
              <w:szCs w:val="28"/>
            </w:rPr>
            <w:fldChar w:fldCharType="separate"/>
          </w:r>
          <w:r>
            <w:rPr>
              <w:rFonts w:asciiTheme="minorEastAsia" w:hAnsiTheme="minorEastAsia"/>
              <w:sz w:val="28"/>
              <w:szCs w:val="28"/>
            </w:rPr>
            <w:t>14</w:t>
          </w:r>
          <w:r>
            <w:rPr>
              <w:rFonts w:asciiTheme="minorEastAsia" w:hAnsiTheme="minorEastAsia"/>
              <w:sz w:val="28"/>
              <w:szCs w:val="28"/>
            </w:rPr>
            <w:fldChar w:fldCharType="end"/>
          </w:r>
          <w:r>
            <w:rPr>
              <w:rFonts w:asciiTheme="minorEastAsia" w:hAnsiTheme="minorEastAsia"/>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"_Toc144740063" </w:instrText>
          </w:r>
          <w:r>
            <w:fldChar w:fldCharType="separate"/>
          </w:r>
          <w:r>
            <w:rPr>
              <w:rStyle w:val="22"/>
              <w:rFonts w:cs="楷体_GB2312" w:asciiTheme="minorEastAsia" w:hAnsiTheme="minorEastAsia" w:eastAsiaTheme="minorEastAsia"/>
              <w:b w:val="0"/>
              <w:bCs w:val="0"/>
              <w:sz w:val="28"/>
              <w:szCs w:val="28"/>
            </w:rPr>
            <w:t>（一）绩效评价综合结论</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_Toc144740063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14</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"_Toc144740064" </w:instrText>
          </w:r>
          <w:r>
            <w:fldChar w:fldCharType="separate"/>
          </w:r>
          <w:r>
            <w:rPr>
              <w:rStyle w:val="22"/>
              <w:rFonts w:cs="楷体_GB2312" w:asciiTheme="minorEastAsia" w:hAnsiTheme="minorEastAsia" w:eastAsiaTheme="minorEastAsia"/>
              <w:b w:val="0"/>
              <w:bCs w:val="0"/>
              <w:sz w:val="28"/>
              <w:szCs w:val="28"/>
            </w:rPr>
            <w:t>（二）绩效目标实现情况</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_Toc144740064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15</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2"/>
            <w:spacing w:line="440" w:lineRule="exact"/>
            <w:jc w:val="both"/>
            <w:rPr>
              <w:rFonts w:asciiTheme="minorEastAsia" w:hAnsiTheme="minorEastAsia" w:cstheme="minorBidi"/>
              <w:kern w:val="2"/>
              <w:sz w:val="28"/>
              <w:szCs w:val="28"/>
              <w14:ligatures w14:val="standardContextual"/>
            </w:rPr>
          </w:pPr>
          <w:r>
            <w:fldChar w:fldCharType="begin"/>
          </w:r>
          <w:r>
            <w:instrText xml:space="preserve"> HYPERLINK \l "_Toc144740065" </w:instrText>
          </w:r>
          <w:r>
            <w:fldChar w:fldCharType="separate"/>
          </w:r>
          <w:r>
            <w:rPr>
              <w:rStyle w:val="22"/>
              <w:rFonts w:cs="宋体" w:asciiTheme="minorEastAsia" w:hAnsiTheme="minorEastAsia"/>
              <w:sz w:val="28"/>
              <w:szCs w:val="28"/>
            </w:rPr>
            <w:t>四、绩效评价情况分析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_Toc144740065 \h </w:instrText>
          </w:r>
          <w:r>
            <w:rPr>
              <w:rFonts w:asciiTheme="minorEastAsia" w:hAnsiTheme="minorEastAsia"/>
              <w:sz w:val="28"/>
              <w:szCs w:val="28"/>
            </w:rPr>
            <w:fldChar w:fldCharType="separate"/>
          </w:r>
          <w:r>
            <w:rPr>
              <w:rFonts w:asciiTheme="minorEastAsia" w:hAnsiTheme="minorEastAsia"/>
              <w:sz w:val="28"/>
              <w:szCs w:val="28"/>
            </w:rPr>
            <w:t>17</w:t>
          </w:r>
          <w:r>
            <w:rPr>
              <w:rFonts w:asciiTheme="minorEastAsia" w:hAnsiTheme="minorEastAsia"/>
              <w:sz w:val="28"/>
              <w:szCs w:val="28"/>
            </w:rPr>
            <w:fldChar w:fldCharType="end"/>
          </w:r>
          <w:r>
            <w:rPr>
              <w:rFonts w:asciiTheme="minorEastAsia" w:hAnsiTheme="minorEastAsia"/>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"_Toc144740066" </w:instrText>
          </w:r>
          <w:r>
            <w:fldChar w:fldCharType="separate"/>
          </w:r>
          <w:r>
            <w:rPr>
              <w:rStyle w:val="22"/>
              <w:rFonts w:cs="楷体_GB2312" w:asciiTheme="minorEastAsia" w:hAnsiTheme="minorEastAsia" w:eastAsiaTheme="minorEastAsia"/>
              <w:b w:val="0"/>
              <w:bCs w:val="0"/>
              <w:sz w:val="28"/>
              <w:szCs w:val="28"/>
            </w:rPr>
            <w:t>（一）决策情况分析</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_Toc144740066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17</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"_Toc144740070" </w:instrText>
          </w:r>
          <w:r>
            <w:fldChar w:fldCharType="separate"/>
          </w:r>
          <w:r>
            <w:rPr>
              <w:rStyle w:val="22"/>
              <w:rFonts w:cs="楷体_GB2312" w:asciiTheme="minorEastAsia" w:hAnsiTheme="minorEastAsia" w:eastAsiaTheme="minorEastAsia"/>
              <w:b w:val="0"/>
              <w:bCs w:val="0"/>
              <w:sz w:val="28"/>
              <w:szCs w:val="28"/>
            </w:rPr>
            <w:t>（二）过程情况分析</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_Toc144740070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19</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"_Toc144740073" </w:instrText>
          </w:r>
          <w:r>
            <w:fldChar w:fldCharType="separate"/>
          </w:r>
          <w:r>
            <w:rPr>
              <w:rStyle w:val="22"/>
              <w:rFonts w:cs="楷体_GB2312" w:asciiTheme="minorEastAsia" w:hAnsiTheme="minorEastAsia" w:eastAsiaTheme="minorEastAsia"/>
              <w:b w:val="0"/>
              <w:bCs w:val="0"/>
              <w:sz w:val="28"/>
              <w:szCs w:val="28"/>
            </w:rPr>
            <w:t>（三）产出情况分析</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_Toc144740073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22</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"_Toc144740078" </w:instrText>
          </w:r>
          <w:r>
            <w:fldChar w:fldCharType="separate"/>
          </w:r>
          <w:r>
            <w:rPr>
              <w:rStyle w:val="22"/>
              <w:rFonts w:cs="楷体_GB2312" w:asciiTheme="minorEastAsia" w:hAnsiTheme="minorEastAsia" w:eastAsiaTheme="minorEastAsia"/>
              <w:b w:val="0"/>
              <w:bCs w:val="0"/>
              <w:sz w:val="28"/>
              <w:szCs w:val="28"/>
            </w:rPr>
            <w:t>（四）效益情况分析</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_Toc144740078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23</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2"/>
            <w:spacing w:line="440" w:lineRule="exact"/>
            <w:jc w:val="both"/>
            <w:rPr>
              <w:rFonts w:asciiTheme="minorEastAsia" w:hAnsiTheme="minorEastAsia" w:cstheme="minorBidi"/>
              <w:kern w:val="2"/>
              <w:sz w:val="28"/>
              <w:szCs w:val="28"/>
              <w14:ligatures w14:val="standardContextual"/>
            </w:rPr>
          </w:pPr>
          <w:r>
            <w:fldChar w:fldCharType="begin"/>
          </w:r>
          <w:r>
            <w:instrText xml:space="preserve"> HYPERLINK \l "_Toc144740083" </w:instrText>
          </w:r>
          <w:r>
            <w:fldChar w:fldCharType="separate"/>
          </w:r>
          <w:r>
            <w:rPr>
              <w:rStyle w:val="22"/>
              <w:rFonts w:cs="宋体" w:asciiTheme="minorEastAsia" w:hAnsiTheme="minorEastAsia"/>
              <w:sz w:val="28"/>
              <w:szCs w:val="28"/>
            </w:rPr>
            <w:t>五、绩效自评重点抽查复核情况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_Toc144740083 \h </w:instrText>
          </w:r>
          <w:r>
            <w:rPr>
              <w:rFonts w:asciiTheme="minorEastAsia" w:hAnsiTheme="minorEastAsia"/>
              <w:sz w:val="28"/>
              <w:szCs w:val="28"/>
            </w:rPr>
            <w:fldChar w:fldCharType="separate"/>
          </w:r>
          <w:r>
            <w:rPr>
              <w:rFonts w:asciiTheme="minorEastAsia" w:hAnsiTheme="minorEastAsia"/>
              <w:sz w:val="28"/>
              <w:szCs w:val="28"/>
            </w:rPr>
            <w:t>27</w:t>
          </w:r>
          <w:r>
            <w:rPr>
              <w:rFonts w:asciiTheme="minorEastAsia" w:hAnsiTheme="minorEastAsia"/>
              <w:sz w:val="28"/>
              <w:szCs w:val="28"/>
            </w:rPr>
            <w:fldChar w:fldCharType="end"/>
          </w:r>
          <w:r>
            <w:rPr>
              <w:rFonts w:asciiTheme="minorEastAsia" w:hAnsiTheme="minorEastAsia"/>
              <w:sz w:val="28"/>
              <w:szCs w:val="28"/>
            </w:rPr>
            <w:fldChar w:fldCharType="end"/>
          </w:r>
        </w:p>
        <w:p>
          <w:pPr>
            <w:pStyle w:val="12"/>
            <w:spacing w:line="440" w:lineRule="exact"/>
            <w:jc w:val="both"/>
            <w:rPr>
              <w:rFonts w:asciiTheme="minorEastAsia" w:hAnsiTheme="minorEastAsia" w:cstheme="minorBidi"/>
              <w:kern w:val="2"/>
              <w:sz w:val="28"/>
              <w:szCs w:val="28"/>
              <w14:ligatures w14:val="standardContextual"/>
            </w:rPr>
          </w:pPr>
          <w:r>
            <w:fldChar w:fldCharType="begin"/>
          </w:r>
          <w:r>
            <w:instrText xml:space="preserve"> HYPERLINK \l "_Toc144740084" </w:instrText>
          </w:r>
          <w:r>
            <w:fldChar w:fldCharType="separate"/>
          </w:r>
          <w:r>
            <w:rPr>
              <w:rStyle w:val="22"/>
              <w:rFonts w:cs="宋体" w:asciiTheme="minorEastAsia" w:hAnsiTheme="minorEastAsia"/>
              <w:sz w:val="28"/>
              <w:szCs w:val="28"/>
            </w:rPr>
            <w:t>六、存在的问题及原因分析</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_Toc144740084 \h </w:instrText>
          </w:r>
          <w:r>
            <w:rPr>
              <w:rFonts w:asciiTheme="minorEastAsia" w:hAnsiTheme="minorEastAsia"/>
              <w:sz w:val="28"/>
              <w:szCs w:val="28"/>
            </w:rPr>
            <w:fldChar w:fldCharType="separate"/>
          </w:r>
          <w:r>
            <w:rPr>
              <w:rFonts w:asciiTheme="minorEastAsia" w:hAnsiTheme="minorEastAsia"/>
              <w:sz w:val="28"/>
              <w:szCs w:val="28"/>
            </w:rPr>
            <w:t>27</w:t>
          </w:r>
          <w:r>
            <w:rPr>
              <w:rFonts w:asciiTheme="minorEastAsia" w:hAnsiTheme="minorEastAsia"/>
              <w:sz w:val="28"/>
              <w:szCs w:val="28"/>
            </w:rPr>
            <w:fldChar w:fldCharType="end"/>
          </w:r>
          <w:r>
            <w:rPr>
              <w:rFonts w:asciiTheme="minorEastAsia" w:hAnsiTheme="minorEastAsia"/>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"_Toc144740085" </w:instrText>
          </w:r>
          <w:r>
            <w:fldChar w:fldCharType="separate"/>
          </w:r>
          <w:r>
            <w:rPr>
              <w:rStyle w:val="22"/>
              <w:rFonts w:cs="楷体_GB2312" w:asciiTheme="minorEastAsia" w:hAnsiTheme="minorEastAsia" w:eastAsiaTheme="minorEastAsia"/>
              <w:b w:val="0"/>
              <w:bCs w:val="0"/>
              <w:sz w:val="28"/>
              <w:szCs w:val="28"/>
            </w:rPr>
            <w:t>（一）项目建设管理不规范，制度执行不到位</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_Toc144740085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27</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"_Toc144740086" </w:instrText>
          </w:r>
          <w:r>
            <w:fldChar w:fldCharType="separate"/>
          </w:r>
          <w:r>
            <w:rPr>
              <w:rStyle w:val="22"/>
              <w:rFonts w:cs="楷体_GB2312" w:asciiTheme="minorEastAsia" w:hAnsiTheme="minorEastAsia" w:eastAsiaTheme="minorEastAsia"/>
              <w:b w:val="0"/>
              <w:bCs w:val="0"/>
              <w:sz w:val="28"/>
              <w:szCs w:val="28"/>
            </w:rPr>
            <w:t>（二）专债资金使用不规范，监督管理不到位</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_Toc144740086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28</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"_Toc144740087" </w:instrText>
          </w:r>
          <w:r>
            <w:fldChar w:fldCharType="separate"/>
          </w:r>
          <w:r>
            <w:rPr>
              <w:rStyle w:val="22"/>
              <w:rFonts w:cs="楷体_GB2312" w:asciiTheme="minorEastAsia" w:hAnsiTheme="minorEastAsia" w:eastAsiaTheme="minorEastAsia"/>
              <w:b w:val="0"/>
              <w:bCs w:val="0"/>
              <w:sz w:val="28"/>
              <w:szCs w:val="28"/>
            </w:rPr>
            <w:t>（三）运营成本高于预期，存在专债本息偿还风险</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_Toc144740087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29</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"_Toc144740088" </w:instrText>
          </w:r>
          <w:r>
            <w:fldChar w:fldCharType="separate"/>
          </w:r>
          <w:r>
            <w:rPr>
              <w:rStyle w:val="22"/>
              <w:rFonts w:cs="楷体_GB2312" w:asciiTheme="minorEastAsia" w:hAnsiTheme="minorEastAsia" w:eastAsiaTheme="minorEastAsia"/>
              <w:b w:val="0"/>
              <w:bCs w:val="0"/>
              <w:sz w:val="28"/>
              <w:szCs w:val="28"/>
            </w:rPr>
            <w:t>（四）医疗服务质量不足，增加了医疗安全隐患</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_Toc144740088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29</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2"/>
            <w:spacing w:line="440" w:lineRule="exact"/>
            <w:jc w:val="both"/>
            <w:rPr>
              <w:rFonts w:asciiTheme="minorEastAsia" w:hAnsiTheme="minorEastAsia" w:cstheme="minorBidi"/>
              <w:kern w:val="2"/>
              <w:sz w:val="28"/>
              <w:szCs w:val="28"/>
              <w14:ligatures w14:val="standardContextual"/>
            </w:rPr>
          </w:pPr>
          <w:r>
            <w:fldChar w:fldCharType="begin"/>
          </w:r>
          <w:r>
            <w:instrText xml:space="preserve"> HYPERLINK \l "_Toc144740089" </w:instrText>
          </w:r>
          <w:r>
            <w:fldChar w:fldCharType="separate"/>
          </w:r>
          <w:r>
            <w:rPr>
              <w:rStyle w:val="22"/>
              <w:rFonts w:cs="宋体" w:asciiTheme="minorEastAsia" w:hAnsiTheme="minorEastAsia"/>
              <w:sz w:val="28"/>
              <w:szCs w:val="28"/>
            </w:rPr>
            <w:t>七、建议</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_Toc144740089 \h </w:instrText>
          </w:r>
          <w:r>
            <w:rPr>
              <w:rFonts w:asciiTheme="minorEastAsia" w:hAnsiTheme="minorEastAsia"/>
              <w:sz w:val="28"/>
              <w:szCs w:val="28"/>
            </w:rPr>
            <w:fldChar w:fldCharType="separate"/>
          </w:r>
          <w:r>
            <w:rPr>
              <w:rFonts w:asciiTheme="minorEastAsia" w:hAnsiTheme="minorEastAsia"/>
              <w:sz w:val="28"/>
              <w:szCs w:val="28"/>
            </w:rPr>
            <w:t>30</w:t>
          </w:r>
          <w:r>
            <w:rPr>
              <w:rFonts w:asciiTheme="minorEastAsia" w:hAnsiTheme="minorEastAsia"/>
              <w:sz w:val="28"/>
              <w:szCs w:val="28"/>
            </w:rPr>
            <w:fldChar w:fldCharType="end"/>
          </w:r>
          <w:r>
            <w:rPr>
              <w:rFonts w:asciiTheme="minorEastAsia" w:hAnsiTheme="minorEastAsia"/>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"_Toc144740090" </w:instrText>
          </w:r>
          <w:r>
            <w:fldChar w:fldCharType="separate"/>
          </w:r>
          <w:r>
            <w:rPr>
              <w:rStyle w:val="22"/>
              <w:rFonts w:cs="楷体_GB2312" w:asciiTheme="minorEastAsia" w:hAnsiTheme="minorEastAsia" w:eastAsiaTheme="minorEastAsia"/>
              <w:b w:val="0"/>
              <w:bCs w:val="0"/>
              <w:sz w:val="28"/>
              <w:szCs w:val="28"/>
            </w:rPr>
            <w:t>（一）加强内部检，严格制度执行</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_Toc144740090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30</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"_Toc144740091" </w:instrText>
          </w:r>
          <w:r>
            <w:fldChar w:fldCharType="separate"/>
          </w:r>
          <w:r>
            <w:rPr>
              <w:rStyle w:val="22"/>
              <w:rFonts w:cs="楷体_GB2312" w:asciiTheme="minorEastAsia" w:hAnsiTheme="minorEastAsia" w:eastAsiaTheme="minorEastAsia"/>
              <w:b w:val="0"/>
              <w:bCs w:val="0"/>
              <w:sz w:val="28"/>
              <w:szCs w:val="28"/>
            </w:rPr>
            <w:t>（二）强化绩效意识，规范资金管理</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_Toc144740091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30</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"_Toc144740092" </w:instrText>
          </w:r>
          <w:r>
            <w:fldChar w:fldCharType="separate"/>
          </w:r>
          <w:r>
            <w:rPr>
              <w:rStyle w:val="22"/>
              <w:rFonts w:cs="楷体_GB2312" w:asciiTheme="minorEastAsia" w:hAnsiTheme="minorEastAsia" w:eastAsiaTheme="minorEastAsia"/>
              <w:b w:val="0"/>
              <w:bCs w:val="0"/>
              <w:sz w:val="28"/>
              <w:szCs w:val="28"/>
            </w:rPr>
            <w:t>（三）实施开源节流，提高偿债能力</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_Toc144740092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31</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4"/>
            <w:spacing w:line="440" w:lineRule="exact"/>
            <w:jc w:val="both"/>
            <w:rPr>
              <w:rFonts w:asciiTheme="minorEastAsia" w:hAnsiTheme="minorEastAsia" w:eastAsiaTheme="minorEastAsia" w:cstheme="minorBidi"/>
              <w:b w:val="0"/>
              <w:bCs w:val="0"/>
              <w:kern w:val="2"/>
              <w:sz w:val="28"/>
              <w:szCs w:val="28"/>
              <w:lang w:val="en-US"/>
              <w14:ligatures w14:val="standardContextual"/>
            </w:rPr>
          </w:pPr>
          <w:r>
            <w:fldChar w:fldCharType="begin"/>
          </w:r>
          <w:r>
            <w:instrText xml:space="preserve"> HYPERLINK \l "_Toc144740093" </w:instrText>
          </w:r>
          <w:r>
            <w:fldChar w:fldCharType="separate"/>
          </w:r>
          <w:r>
            <w:rPr>
              <w:rStyle w:val="22"/>
              <w:rFonts w:cs="楷体_GB2312" w:asciiTheme="minorEastAsia" w:hAnsiTheme="minorEastAsia" w:eastAsiaTheme="minorEastAsia"/>
              <w:b w:val="0"/>
              <w:bCs w:val="0"/>
              <w:sz w:val="28"/>
              <w:szCs w:val="28"/>
            </w:rPr>
            <w:t>（四）优化资源配置，改善医疗服务</w:t>
          </w:r>
          <w:r>
            <w:rPr>
              <w:rFonts w:asciiTheme="minorEastAsia" w:hAnsiTheme="minorEastAsia" w:eastAsiaTheme="minorEastAsia"/>
              <w:b w:val="0"/>
              <w:bCs w:val="0"/>
              <w:sz w:val="28"/>
              <w:szCs w:val="28"/>
            </w:rPr>
            <w:tab/>
          </w:r>
          <w:r>
            <w:rPr>
              <w:rFonts w:asciiTheme="minorEastAsia" w:hAnsiTheme="minorEastAsia" w:eastAsiaTheme="minorEastAsia"/>
              <w:b w:val="0"/>
              <w:bCs w:val="0"/>
              <w:sz w:val="28"/>
              <w:szCs w:val="28"/>
            </w:rPr>
            <w:fldChar w:fldCharType="begin"/>
          </w:r>
          <w:r>
            <w:rPr>
              <w:rFonts w:asciiTheme="minorEastAsia" w:hAnsiTheme="minorEastAsia" w:eastAsiaTheme="minorEastAsia"/>
              <w:b w:val="0"/>
              <w:bCs w:val="0"/>
              <w:sz w:val="28"/>
              <w:szCs w:val="28"/>
            </w:rPr>
            <w:instrText xml:space="preserve"> PAGEREF _Toc144740093 \h </w:instrText>
          </w:r>
          <w:r>
            <w:rPr>
              <w:rFonts w:asciiTheme="minorEastAsia" w:hAnsiTheme="minorEastAsia" w:eastAsiaTheme="minorEastAsia"/>
              <w:b w:val="0"/>
              <w:bCs w:val="0"/>
              <w:sz w:val="28"/>
              <w:szCs w:val="28"/>
            </w:rPr>
            <w:fldChar w:fldCharType="separate"/>
          </w:r>
          <w:r>
            <w:rPr>
              <w:rFonts w:asciiTheme="minorEastAsia" w:hAnsiTheme="minorEastAsia" w:eastAsiaTheme="minorEastAsia"/>
              <w:b w:val="0"/>
              <w:bCs w:val="0"/>
              <w:sz w:val="28"/>
              <w:szCs w:val="28"/>
            </w:rPr>
            <w:t>31</w:t>
          </w:r>
          <w:r>
            <w:rPr>
              <w:rFonts w:asciiTheme="minorEastAsia" w:hAnsiTheme="minorEastAsia" w:eastAsiaTheme="minorEastAsia"/>
              <w:b w:val="0"/>
              <w:bCs w:val="0"/>
              <w:sz w:val="28"/>
              <w:szCs w:val="28"/>
            </w:rPr>
            <w:fldChar w:fldCharType="end"/>
          </w:r>
          <w:r>
            <w:rPr>
              <w:rFonts w:asciiTheme="minorEastAsia" w:hAnsiTheme="minorEastAsia" w:eastAsiaTheme="minorEastAsia"/>
              <w:b w:val="0"/>
              <w:bCs w:val="0"/>
              <w:sz w:val="28"/>
              <w:szCs w:val="28"/>
            </w:rPr>
            <w:fldChar w:fldCharType="end"/>
          </w:r>
        </w:p>
        <w:p>
          <w:pPr>
            <w:pStyle w:val="12"/>
            <w:spacing w:line="440" w:lineRule="exact"/>
            <w:jc w:val="both"/>
            <w:rPr>
              <w:rFonts w:cstheme="minorBidi"/>
              <w:kern w:val="2"/>
              <w:sz w:val="21"/>
              <w14:ligatures w14:val="standardContextual"/>
            </w:rPr>
          </w:pPr>
          <w:r>
            <w:fldChar w:fldCharType="begin"/>
          </w:r>
          <w:r>
            <w:instrText xml:space="preserve"> HYPERLINK \l "_Toc144740094" </w:instrText>
          </w:r>
          <w:r>
            <w:fldChar w:fldCharType="separate"/>
          </w:r>
          <w:r>
            <w:rPr>
              <w:rStyle w:val="22"/>
              <w:rFonts w:cs="宋体" w:asciiTheme="minorEastAsia" w:hAnsiTheme="minorEastAsia"/>
              <w:sz w:val="28"/>
              <w:szCs w:val="28"/>
            </w:rPr>
            <w:t>八、其它需说明的情况</w:t>
          </w:r>
          <w:r>
            <w:rPr>
              <w:rFonts w:asciiTheme="minorEastAsia" w:hAnsiTheme="minorEastAsia"/>
              <w:sz w:val="28"/>
              <w:szCs w:val="28"/>
            </w:rPr>
            <w:tab/>
          </w:r>
          <w:r>
            <w:rPr>
              <w:rFonts w:asciiTheme="minorEastAsia" w:hAnsiTheme="minorEastAsia"/>
              <w:sz w:val="28"/>
              <w:szCs w:val="28"/>
            </w:rPr>
            <w:fldChar w:fldCharType="begin"/>
          </w:r>
          <w:r>
            <w:rPr>
              <w:rFonts w:asciiTheme="minorEastAsia" w:hAnsiTheme="minorEastAsia"/>
              <w:sz w:val="28"/>
              <w:szCs w:val="28"/>
            </w:rPr>
            <w:instrText xml:space="preserve"> PAGEREF _Toc144740094 \h </w:instrText>
          </w:r>
          <w:r>
            <w:rPr>
              <w:rFonts w:asciiTheme="minorEastAsia" w:hAnsiTheme="minorEastAsia"/>
              <w:sz w:val="28"/>
              <w:szCs w:val="28"/>
            </w:rPr>
            <w:fldChar w:fldCharType="separate"/>
          </w:r>
          <w:r>
            <w:rPr>
              <w:rFonts w:asciiTheme="minorEastAsia" w:hAnsiTheme="minorEastAsia"/>
              <w:sz w:val="28"/>
              <w:szCs w:val="28"/>
            </w:rPr>
            <w:t>32</w:t>
          </w:r>
          <w:r>
            <w:rPr>
              <w:rFonts w:asciiTheme="minorEastAsia" w:hAnsiTheme="minorEastAsia"/>
              <w:sz w:val="28"/>
              <w:szCs w:val="28"/>
            </w:rPr>
            <w:fldChar w:fldCharType="end"/>
          </w:r>
          <w:r>
            <w:rPr>
              <w:rFonts w:asciiTheme="minorEastAsia" w:hAnsiTheme="minorEastAsia"/>
              <w:sz w:val="28"/>
              <w:szCs w:val="28"/>
            </w:rPr>
            <w:fldChar w:fldCharType="end"/>
          </w:r>
        </w:p>
        <w:p>
          <w:pPr>
            <w:pStyle w:val="12"/>
            <w:tabs>
              <w:tab w:val="right" w:leader="dot" w:pos="12008"/>
              <w:tab w:val="clear" w:pos="8931"/>
            </w:tabs>
            <w:autoSpaceDN w:val="0"/>
            <w:spacing w:line="440" w:lineRule="exact"/>
            <w:jc w:val="both"/>
            <w:rPr>
              <w:rFonts w:cs="宋体" w:asciiTheme="minorEastAsia" w:hAnsiTheme="minorEastAsia"/>
              <w:bCs/>
              <w:sz w:val="28"/>
              <w:szCs w:val="28"/>
            </w:rPr>
            <w:sectPr>
              <w:footerReference r:id="rId3" w:type="default"/>
              <w:footerReference r:id="rId4" w:type="even"/>
              <w:type w:val="oddPage"/>
              <w:pgSz w:w="11906" w:h="16838"/>
              <w:pgMar w:top="2098" w:right="1474" w:bottom="1985" w:left="1588" w:header="851" w:footer="1474" w:gutter="0"/>
              <w:pgNumType w:fmt="lowerRoman" w:start="1"/>
              <w:cols w:space="425" w:num="1"/>
              <w:docGrid w:type="linesAndChars" w:linePitch="579" w:charSpace="3247"/>
            </w:sectPr>
          </w:pPr>
          <w:r>
            <w:rPr>
              <w:rStyle w:val="22"/>
              <w:rFonts w:hint="eastAsia" w:cs="宋体" w:asciiTheme="majorEastAsia" w:hAnsiTheme="majorEastAsia" w:eastAsiaTheme="majorEastAsia"/>
              <w:bCs/>
              <w:sz w:val="28"/>
              <w:szCs w:val="28"/>
            </w:rPr>
            <w:fldChar w:fldCharType="end"/>
          </w:r>
        </w:p>
      </w:sdtContent>
    </w:sdt>
    <w:p>
      <w:pPr>
        <w:overflowPunct w:val="0"/>
        <w:autoSpaceDN w:val="0"/>
        <w:spacing w:line="579" w:lineRule="exact"/>
        <w:jc w:val="center"/>
        <w:outlineLvl w:val="0"/>
        <w:rPr>
          <w:rFonts w:ascii="方正小标宋简体" w:eastAsia="方正小标宋简体"/>
          <w:sz w:val="40"/>
          <w:szCs w:val="40"/>
        </w:rPr>
      </w:pPr>
      <w:bookmarkStart w:id="0" w:name="_Toc144740035"/>
      <w:bookmarkStart w:id="1" w:name="_Hlk525313924"/>
      <w:r>
        <w:rPr>
          <w:rFonts w:hint="eastAsia" w:ascii="方正小标宋简体" w:eastAsia="方正小标宋简体"/>
          <w:sz w:val="40"/>
          <w:szCs w:val="40"/>
        </w:rPr>
        <w:t>摘  要</w:t>
      </w:r>
      <w:bookmarkEnd w:id="0"/>
    </w:p>
    <w:p>
      <w:pPr>
        <w:overflowPunct w:val="0"/>
        <w:autoSpaceDN w:val="0"/>
        <w:spacing w:line="579" w:lineRule="exact"/>
        <w:ind w:firstLine="632"/>
        <w:rPr>
          <w:rFonts w:hAnsi="仿宋"/>
          <w:szCs w:val="30"/>
        </w:rPr>
      </w:pPr>
    </w:p>
    <w:p>
      <w:pPr>
        <w:overflowPunct w:val="0"/>
        <w:autoSpaceDN w:val="0"/>
        <w:spacing w:line="579" w:lineRule="exact"/>
        <w:ind w:firstLine="629"/>
        <w:rPr>
          <w:rFonts w:ascii="黑体" w:hAnsi="黑体" w:eastAsia="黑体"/>
          <w:szCs w:val="30"/>
        </w:rPr>
      </w:pPr>
      <w:r>
        <w:rPr>
          <w:rFonts w:hint="eastAsia" w:ascii="黑体" w:hAnsi="黑体" w:eastAsia="黑体"/>
          <w:szCs w:val="30"/>
        </w:rPr>
        <w:t>一、基本情况</w:t>
      </w:r>
    </w:p>
    <w:p>
      <w:pPr>
        <w:spacing w:line="590" w:lineRule="exact"/>
        <w:ind w:firstLine="630" w:firstLineChars="200"/>
      </w:pPr>
      <w:r>
        <w:rPr>
          <w:rFonts w:hint="eastAsia"/>
        </w:rPr>
        <w:t>玉溪市人民医院作为全省地州市医院中唯一的一所三级甲等医院，是玉溪市基本医疗服务的重要载体，对实现规划的总体目标，促进玉溪市医疗卫生事业的发展起着举足轻重的作用。但随着病人人数的增加，现有的业务用房面积远远达不到《综合医院建设标准》的要求，病床紧张、住院难、就诊流程不顺畅等问题日益突出，难以提高医院的医护质量，制约了医院的发展及规划目标的实现。因此，玉溪市人民医院计划实施改扩建项目，改善玉溪市人民医院的医疗服务条件和工作环境，扩大服务量，完善服务功能，推动玉溪市卫生事业的发展，逐步实现公共医疗卫生服务能力均等化。</w:t>
      </w:r>
    </w:p>
    <w:p>
      <w:pPr>
        <w:overflowPunct w:val="0"/>
        <w:autoSpaceDN w:val="0"/>
        <w:spacing w:line="579" w:lineRule="exact"/>
        <w:ind w:firstLine="629"/>
        <w:rPr>
          <w:rFonts w:ascii="黑体" w:hAnsi="黑体" w:eastAsia="黑体"/>
          <w:szCs w:val="30"/>
        </w:rPr>
      </w:pPr>
      <w:r>
        <w:rPr>
          <w:rFonts w:hint="eastAsia" w:ascii="黑体" w:hAnsi="黑体" w:eastAsia="黑体"/>
          <w:szCs w:val="30"/>
        </w:rPr>
        <w:t>二、绩效评价结论</w:t>
      </w:r>
    </w:p>
    <w:p>
      <w:pPr>
        <w:autoSpaceDN w:val="0"/>
        <w:spacing w:line="590" w:lineRule="exact"/>
        <w:ind w:firstLine="630" w:firstLineChars="200"/>
        <w:rPr>
          <w:rFonts w:hAnsi="仿宋" w:cs="仿宋_GB2312"/>
          <w:szCs w:val="30"/>
        </w:rPr>
      </w:pPr>
      <w:r>
        <w:rPr>
          <w:rFonts w:hint="eastAsia" w:hAnsi="仿宋" w:cs="仿宋_GB2312"/>
          <w:szCs w:val="30"/>
        </w:rPr>
        <w:t>玉溪市人民医院改扩建建设项目绩效评价得分</w:t>
      </w:r>
      <w:r>
        <w:rPr>
          <w:rFonts w:hAnsi="仿宋" w:cs="仿宋_GB2312"/>
          <w:szCs w:val="30"/>
        </w:rPr>
        <w:t>77</w:t>
      </w:r>
      <w:r>
        <w:rPr>
          <w:rFonts w:hint="eastAsia" w:hAnsi="仿宋" w:cs="仿宋_GB2312"/>
          <w:szCs w:val="30"/>
        </w:rPr>
        <w:t>.</w:t>
      </w:r>
      <w:r>
        <w:rPr>
          <w:rFonts w:hAnsi="仿宋" w:cs="仿宋_GB2312"/>
          <w:szCs w:val="30"/>
        </w:rPr>
        <w:t>03</w:t>
      </w:r>
      <w:r>
        <w:rPr>
          <w:rFonts w:hint="eastAsia" w:hAnsi="仿宋" w:cs="仿宋_GB2312"/>
          <w:szCs w:val="30"/>
        </w:rPr>
        <w:t>分，评价等级为“中”。玉溪市人民医院坚决贯彻“实现公共医疗卫生服务能力均等化”的决策部署，肩负起作为全省地州市医院中唯一的一所三级甲等医院的职责，积极应对疫情影响和经济下行多重压力，完成了医院改扩建项目，增加了医院床位数及门诊、医技和住院等业务用房，实现了医院门诊收入年平均增长率≥5%，住院收入年平均增长率≥2%的目标，为医院创造了良好的效益，员工满意度达到了</w:t>
      </w:r>
      <w:r>
        <w:rPr>
          <w:rFonts w:hAnsi="仿宋" w:cs="仿宋_GB2312"/>
          <w:szCs w:val="30"/>
        </w:rPr>
        <w:t>95.78%</w:t>
      </w:r>
      <w:r>
        <w:rPr>
          <w:rFonts w:hint="eastAsia" w:hAnsi="仿宋" w:cs="仿宋_GB2312"/>
          <w:szCs w:val="30"/>
        </w:rPr>
        <w:t>。同时，新大楼投入使用后，门诊人数年平均增长率为</w:t>
      </w:r>
      <w:r>
        <w:rPr>
          <w:rFonts w:hAnsi="仿宋" w:cs="仿宋_GB2312"/>
          <w:szCs w:val="30"/>
        </w:rPr>
        <w:t>2.42%</w:t>
      </w:r>
      <w:r>
        <w:rPr>
          <w:rFonts w:hint="eastAsia" w:hAnsi="仿宋" w:cs="仿宋_GB2312"/>
          <w:szCs w:val="30"/>
        </w:rPr>
        <w:t>，住院人数年平均增长率为8.46%，缓解了部分就医压力，患者满意度达到了</w:t>
      </w:r>
      <w:r>
        <w:rPr>
          <w:rFonts w:hAnsi="仿宋" w:cs="仿宋_GB2312"/>
          <w:szCs w:val="30"/>
        </w:rPr>
        <w:t>83.46%</w:t>
      </w:r>
      <w:r>
        <w:rPr>
          <w:rFonts w:hint="eastAsia" w:hAnsi="仿宋" w:cs="仿宋_GB2312"/>
          <w:szCs w:val="30"/>
        </w:rPr>
        <w:t>。</w:t>
      </w:r>
    </w:p>
    <w:p>
      <w:pPr>
        <w:overflowPunct w:val="0"/>
        <w:autoSpaceDN w:val="0"/>
        <w:spacing w:line="579" w:lineRule="exact"/>
        <w:ind w:firstLine="629"/>
        <w:rPr>
          <w:rFonts w:ascii="黑体" w:hAnsi="黑体" w:eastAsia="黑体"/>
          <w:szCs w:val="30"/>
        </w:rPr>
      </w:pPr>
      <w:r>
        <w:rPr>
          <w:rFonts w:hint="eastAsia" w:ascii="黑体" w:hAnsi="黑体" w:eastAsia="黑体"/>
          <w:szCs w:val="30"/>
        </w:rPr>
        <w:t>三、存在的主要问题</w:t>
      </w:r>
    </w:p>
    <w:p>
      <w:pPr>
        <w:autoSpaceDN w:val="0"/>
        <w:spacing w:line="579" w:lineRule="exact"/>
        <w:ind w:firstLine="630" w:firstLineChars="200"/>
        <w:rPr>
          <w:rFonts w:ascii="楷体" w:hAnsi="楷体" w:eastAsia="楷体"/>
          <w:szCs w:val="30"/>
        </w:rPr>
      </w:pPr>
      <w:r>
        <w:rPr>
          <w:rFonts w:hint="eastAsia" w:ascii="楷体" w:hAnsi="楷体" w:eastAsia="楷体"/>
          <w:szCs w:val="30"/>
        </w:rPr>
        <w:t>（一）项目建设管理不规范，制度执行力度待提升</w:t>
      </w:r>
    </w:p>
    <w:p>
      <w:pPr>
        <w:autoSpaceDN w:val="0"/>
        <w:spacing w:line="590" w:lineRule="exact"/>
        <w:ind w:firstLine="630" w:firstLineChars="200"/>
        <w:rPr>
          <w:rFonts w:hAnsi="仿宋" w:cs="仿宋_GB2312"/>
          <w:szCs w:val="30"/>
        </w:rPr>
      </w:pPr>
      <w:r>
        <w:rPr>
          <w:rFonts w:hint="eastAsia" w:hAnsi="仿宋" w:cs="仿宋_GB2312"/>
          <w:szCs w:val="30"/>
        </w:rPr>
        <w:t>一是项目在竣工验收前提前投入使用，存在安全隐患。改扩建项目于2019年9月30日由玉溪市人民医院转移占有并正式投入使用（手术室除外），而根据竣工验收报告，项目直到2021年1月20日才完成五方责任主体单位的竣工验收工作，与《建设工程质量管理条例》的规定不符。二是项目目前未完成竣工决算，不符合《基本建设项目竣工财务决算管理暂行办法》（财建〔2016〕503号）中的规定，新增资产价值难以确认。</w:t>
      </w:r>
    </w:p>
    <w:p>
      <w:pPr>
        <w:autoSpaceDN w:val="0"/>
        <w:spacing w:line="579" w:lineRule="exact"/>
        <w:ind w:firstLine="630" w:firstLineChars="200"/>
        <w:rPr>
          <w:rFonts w:ascii="楷体" w:hAnsi="楷体" w:eastAsia="楷体"/>
          <w:szCs w:val="30"/>
        </w:rPr>
      </w:pPr>
      <w:r>
        <w:rPr>
          <w:rFonts w:hint="eastAsia" w:ascii="楷体" w:hAnsi="楷体" w:eastAsia="楷体"/>
          <w:szCs w:val="30"/>
        </w:rPr>
        <w:t>（二）专债资金使用不够规范，监督管理不到位</w:t>
      </w:r>
    </w:p>
    <w:p>
      <w:pPr>
        <w:autoSpaceDN w:val="0"/>
        <w:spacing w:line="590" w:lineRule="exact"/>
        <w:ind w:firstLine="654" w:firstLineChars="200"/>
        <w:rPr>
          <w:rFonts w:hAnsi="仿宋" w:cs="仿宋_GB2312"/>
          <w:szCs w:val="30"/>
        </w:rPr>
      </w:pPr>
      <w:r>
        <w:rPr>
          <w:rFonts w:hint="eastAsia" w:hAnsi="仿宋"/>
          <w:spacing w:val="6"/>
          <w:szCs w:val="30"/>
        </w:rPr>
        <w:t>一是玉溪市人民医院未将项目专项债券银行存款利息347.96万元未上缴国库，利息收入全部用于支付项目工程款</w:t>
      </w:r>
      <w:r>
        <w:rPr>
          <w:rFonts w:hint="eastAsia" w:hAnsi="仿宋" w:cs="仿宋_GB2312"/>
          <w:szCs w:val="30"/>
        </w:rPr>
        <w:t>，不符合中共中央办公厅、国务院办公厅《关于做好地方政府专项债券发行及项目配套融资工作的通知》（厅字〔2019〕33号）中的规定。二是主管部门项目动态监管，检查考核不到位。项目自2018年申报专项债至2023年6月底，未根据《中共云南省委 云南省人民政府关于全面实施预算绩效管理的实施意见》（云发〔2019〕11号）的要求开展绩效自评和监控工作。</w:t>
      </w:r>
    </w:p>
    <w:p>
      <w:pPr>
        <w:autoSpaceDN w:val="0"/>
        <w:spacing w:line="579" w:lineRule="exact"/>
        <w:ind w:firstLine="630" w:firstLineChars="200"/>
        <w:rPr>
          <w:rFonts w:ascii="楷体" w:hAnsi="楷体" w:eastAsia="楷体"/>
          <w:szCs w:val="30"/>
        </w:rPr>
      </w:pPr>
      <w:r>
        <w:rPr>
          <w:rFonts w:hint="eastAsia" w:ascii="楷体" w:hAnsi="楷体" w:eastAsia="楷体"/>
          <w:szCs w:val="30"/>
        </w:rPr>
        <w:t>（三）运营成本高于预期，存在专债本息偿还风险</w:t>
      </w:r>
    </w:p>
    <w:p>
      <w:pPr>
        <w:autoSpaceDN w:val="0"/>
        <w:spacing w:line="590" w:lineRule="exact"/>
        <w:ind w:firstLine="630" w:firstLineChars="200"/>
        <w:rPr>
          <w:rFonts w:hAnsi="仿宋" w:cs="仿宋_GB2312"/>
          <w:szCs w:val="30"/>
        </w:rPr>
      </w:pPr>
      <w:r>
        <w:rPr>
          <w:rFonts w:hint="eastAsia" w:hAnsi="仿宋" w:cs="仿宋_GB2312"/>
          <w:szCs w:val="30"/>
        </w:rPr>
        <w:t>一是对于医院改扩建新大楼，2020年-2022年新大楼经营收入为243,828万元，支出为246,639万元，运营利润为-2,811万元，新大楼利润无法偿还专债本息，存在还款风险。二是对于医院整体，2020年-2022年医院总收入为414,574万元（包括财政拨款收入及其他收入），总支出为404,890万元，总利润为9,684万元，根据债券发行及利息偿还情况，项目2018年-2025年每年应上缴利息及服务费812.04万元，到2025年一次性还本付息共计25,684.28万元，而2020年-2022年医院总利润为9,684万元，预计到2025年医院累计经营收益较难实现20,000万元，存在专债本息偿还风险。</w:t>
      </w:r>
    </w:p>
    <w:p>
      <w:pPr>
        <w:autoSpaceDN w:val="0"/>
        <w:spacing w:line="579" w:lineRule="exact"/>
        <w:ind w:firstLine="630" w:firstLineChars="200"/>
        <w:rPr>
          <w:rFonts w:ascii="楷体" w:hAnsi="楷体" w:eastAsia="楷体"/>
          <w:szCs w:val="30"/>
        </w:rPr>
      </w:pPr>
      <w:r>
        <w:rPr>
          <w:rFonts w:hint="eastAsia" w:ascii="楷体" w:hAnsi="楷体" w:eastAsia="楷体"/>
          <w:szCs w:val="30"/>
        </w:rPr>
        <w:t>（四）医疗服务质量不足，增加了医疗安全隐患</w:t>
      </w:r>
    </w:p>
    <w:p>
      <w:pPr>
        <w:autoSpaceDN w:val="0"/>
        <w:spacing w:line="590" w:lineRule="exact"/>
        <w:ind w:firstLine="630" w:firstLineChars="200"/>
        <w:rPr>
          <w:rFonts w:hAnsi="仿宋" w:cs="仿宋_GB2312"/>
          <w:szCs w:val="30"/>
        </w:rPr>
      </w:pPr>
      <w:r>
        <w:rPr>
          <w:rFonts w:hint="eastAsia" w:hAnsi="仿宋" w:cs="仿宋_GB2312"/>
          <w:szCs w:val="30"/>
        </w:rPr>
        <w:t>一是玉溪市人民医院2023年1-6月床位使用率为100.88%，不符合国家卫健委《三级综合医院医疗服务能力指南》中“年床位使用率93%-97%”的要求，床位负荷过高，影响医疗服务质量。二是玉溪市人民医院2020年-2023年1-6月医院卫生技术人员与实际开放床位之比分别为1.13、1.16、1.11、1.08，不符合《三级综合医院医疗服务能力指南》中“卫生技术人员与实际开放床位之比≥1.2”的要求，影响医院的服务质量和效率，增加医疗安全隐患风险。</w:t>
      </w:r>
    </w:p>
    <w:p>
      <w:pPr>
        <w:autoSpaceDN w:val="0"/>
        <w:spacing w:line="579" w:lineRule="exact"/>
        <w:ind w:firstLine="630" w:firstLineChars="200"/>
        <w:rPr>
          <w:rFonts w:ascii="楷体" w:hAnsi="楷体" w:eastAsia="楷体"/>
          <w:szCs w:val="30"/>
        </w:rPr>
      </w:pPr>
      <w:r>
        <w:rPr>
          <w:rFonts w:hint="eastAsia" w:ascii="楷体" w:hAnsi="楷体" w:eastAsia="楷体"/>
          <w:szCs w:val="30"/>
        </w:rPr>
        <w:t>（五）绩效管理有待加强，未发挥激励约束作用</w:t>
      </w:r>
    </w:p>
    <w:p>
      <w:pPr>
        <w:autoSpaceDN w:val="0"/>
        <w:spacing w:line="590" w:lineRule="exact"/>
        <w:ind w:firstLine="630" w:firstLineChars="200"/>
        <w:rPr>
          <w:rFonts w:hAnsi="仿宋" w:cs="仿宋_GB2312"/>
          <w:szCs w:val="30"/>
        </w:rPr>
      </w:pPr>
      <w:r>
        <w:rPr>
          <w:rFonts w:hint="eastAsia" w:hAnsi="仿宋" w:cs="仿宋_GB2312"/>
          <w:szCs w:val="30"/>
        </w:rPr>
        <w:t>未根据《中共云南省委 云南省人民政府关于全面实施预算绩效管理的实施意见》（云发〔2019〕11号）中“各部门对本部门政策、项目实施效果开展绩效自评”和“各地区各部门对绩效目标实现程度和预算执行进度实行‘双监控’”的要求开展绩效自评和监控工作。</w:t>
      </w:r>
    </w:p>
    <w:p>
      <w:pPr>
        <w:overflowPunct w:val="0"/>
        <w:autoSpaceDN w:val="0"/>
        <w:spacing w:line="579" w:lineRule="exact"/>
        <w:ind w:firstLine="629"/>
        <w:rPr>
          <w:rFonts w:ascii="黑体" w:hAnsi="黑体" w:eastAsia="黑体"/>
          <w:szCs w:val="30"/>
        </w:rPr>
      </w:pPr>
      <w:r>
        <w:rPr>
          <w:rFonts w:hint="eastAsia" w:ascii="黑体" w:hAnsi="黑体" w:eastAsia="黑体"/>
          <w:szCs w:val="30"/>
        </w:rPr>
        <w:t>四、建议</w:t>
      </w:r>
    </w:p>
    <w:p>
      <w:pPr>
        <w:autoSpaceDN w:val="0"/>
        <w:spacing w:line="579" w:lineRule="exact"/>
        <w:ind w:firstLine="630" w:firstLineChars="200"/>
        <w:rPr>
          <w:rFonts w:ascii="楷体" w:hAnsi="楷体" w:eastAsia="楷体"/>
          <w:szCs w:val="30"/>
        </w:rPr>
      </w:pPr>
      <w:r>
        <w:rPr>
          <w:rFonts w:hint="eastAsia" w:ascii="楷体" w:hAnsi="楷体" w:eastAsia="楷体"/>
          <w:szCs w:val="30"/>
        </w:rPr>
        <w:t>（一）严格制度执行，防范安全风险</w:t>
      </w:r>
    </w:p>
    <w:p>
      <w:pPr>
        <w:autoSpaceDN w:val="0"/>
        <w:spacing w:line="590" w:lineRule="exact"/>
        <w:ind w:firstLine="630" w:firstLineChars="200"/>
        <w:rPr>
          <w:rFonts w:hAnsi="仿宋" w:cs="仿宋_GB2312"/>
          <w:szCs w:val="30"/>
        </w:rPr>
      </w:pPr>
      <w:r>
        <w:rPr>
          <w:rFonts w:hint="eastAsia" w:hAnsi="仿宋" w:cs="仿宋_GB2312"/>
          <w:szCs w:val="30"/>
        </w:rPr>
        <w:t>一是建议加强内部监督与检查机制，对项目建设过程中的各个环节进行监督和检查，及时发现问题并提出整改要求，确保项目执行符合制度规定。此外，医院应重视基本建设项目竣工财务决算工作，加强对竣工财务决算的组织领导，加快竣工结算审查，增强项目各相关方的沟通协作，督促代建单位及时编制竣工财务决算，保证竣工财务决算的真实、完整、准确。二是建议进行详细的风险评估，识别医院改扩建项目潜在的质量和安全风险。针对不同风险制定相应的应对措施，以防范可能出现的问题。</w:t>
      </w:r>
    </w:p>
    <w:p>
      <w:pPr>
        <w:autoSpaceDN w:val="0"/>
        <w:spacing w:line="579" w:lineRule="exact"/>
        <w:ind w:firstLine="630" w:firstLineChars="200"/>
        <w:rPr>
          <w:rFonts w:ascii="楷体" w:hAnsi="楷体" w:eastAsia="楷体"/>
          <w:szCs w:val="30"/>
        </w:rPr>
      </w:pPr>
      <w:r>
        <w:rPr>
          <w:rFonts w:hint="eastAsia" w:ascii="楷体" w:hAnsi="楷体" w:eastAsia="楷体"/>
          <w:szCs w:val="30"/>
        </w:rPr>
        <w:t>（二）规范资金管理，强化监督审查</w:t>
      </w:r>
    </w:p>
    <w:p>
      <w:pPr>
        <w:autoSpaceDN w:val="0"/>
        <w:spacing w:line="590" w:lineRule="exact"/>
        <w:ind w:firstLine="630" w:firstLineChars="200"/>
        <w:rPr>
          <w:rFonts w:hAnsi="仿宋" w:cs="仿宋_GB2312"/>
          <w:szCs w:val="30"/>
        </w:rPr>
      </w:pPr>
      <w:r>
        <w:rPr>
          <w:rFonts w:hint="eastAsia" w:hAnsi="仿宋" w:cs="仿宋_GB2312"/>
          <w:szCs w:val="30"/>
        </w:rPr>
        <w:t>一是严格遵守相关政策文件，将项目对应的政府性基金收入和偿还专项债券的专项收入及时足额缴入国库，确保专项债券的使用符合规定。二是落实专项债券资金使用管理规定，玉溪市卫生健康委应加强对医院建设项目及专项债券资金使用的监督和审查，确保项目的质量以及资金使用的合规性。</w:t>
      </w:r>
    </w:p>
    <w:p>
      <w:pPr>
        <w:autoSpaceDN w:val="0"/>
        <w:spacing w:line="579" w:lineRule="exact"/>
        <w:ind w:firstLine="630" w:firstLineChars="200"/>
        <w:rPr>
          <w:rFonts w:ascii="楷体" w:hAnsi="楷体" w:eastAsia="楷体"/>
          <w:szCs w:val="30"/>
        </w:rPr>
      </w:pPr>
      <w:r>
        <w:rPr>
          <w:rFonts w:hint="eastAsia" w:ascii="楷体" w:hAnsi="楷体" w:eastAsia="楷体"/>
          <w:szCs w:val="30"/>
        </w:rPr>
        <w:t>（三）实施开源节流，提高偿债能力</w:t>
      </w:r>
    </w:p>
    <w:p>
      <w:pPr>
        <w:autoSpaceDN w:val="0"/>
        <w:spacing w:line="590" w:lineRule="exact"/>
        <w:ind w:firstLine="630" w:firstLineChars="200"/>
        <w:rPr>
          <w:rFonts w:ascii="仿宋_GB2312" w:hAnsi="仿宋_GB2312" w:eastAsia="仿宋_GB2312" w:cs="仿宋_GB2312"/>
          <w:szCs w:val="30"/>
        </w:rPr>
      </w:pPr>
      <w:r>
        <w:rPr>
          <w:rFonts w:hint="eastAsia" w:hAnsi="仿宋" w:cs="仿宋_GB2312"/>
          <w:szCs w:val="30"/>
        </w:rPr>
        <w:t>一是精细化成本管理。通过合理的成本控制，优化资源利用，减少浪费，从而为债务偿还提供更多资金来源。二是寻求政策支持。针对防疫带来的额外成本，可以积极争取相关政策支持或补贴，以减轻医院的财务压力。三是寻求多元融资途径。探索其他融资途径，如合作、引入投资等，以获得额外的资金支持，提高债务偿还的能力。四是合理控制扩建和设备投入。对于医院运营的新大楼、设备投入等，需要合理规划，平衡扩建和设备投入，避免过度扩张导致资金不足的情况，保障医院的可持续发展。</w:t>
      </w:r>
    </w:p>
    <w:p>
      <w:pPr>
        <w:autoSpaceDN w:val="0"/>
        <w:spacing w:line="579" w:lineRule="exact"/>
        <w:ind w:firstLine="630" w:firstLineChars="200"/>
        <w:rPr>
          <w:rFonts w:ascii="楷体" w:hAnsi="楷体" w:eastAsia="楷体"/>
          <w:szCs w:val="30"/>
        </w:rPr>
      </w:pPr>
      <w:r>
        <w:rPr>
          <w:rFonts w:hint="eastAsia" w:ascii="楷体" w:hAnsi="楷体" w:eastAsia="楷体"/>
          <w:szCs w:val="30"/>
        </w:rPr>
        <w:t>（四）优化资源配置，改善医疗服务</w:t>
      </w:r>
    </w:p>
    <w:p>
      <w:pPr>
        <w:autoSpaceDN w:val="0"/>
        <w:spacing w:line="590" w:lineRule="exact"/>
        <w:ind w:firstLine="630" w:firstLineChars="200"/>
        <w:rPr>
          <w:rFonts w:hAnsi="仿宋" w:cs="仿宋_GB2312"/>
          <w:szCs w:val="30"/>
        </w:rPr>
      </w:pPr>
      <w:r>
        <w:rPr>
          <w:rFonts w:hint="eastAsia" w:hAnsi="仿宋" w:cs="仿宋_GB2312"/>
          <w:szCs w:val="30"/>
        </w:rPr>
        <w:t>一是优化人员配置。根据实际情况，调整医务人员的数量和结构，确保医务人员的配备能够满足床位的扩张和医疗服务需求。二是提升医疗服务效率。通过引入信息化管理系统、合理安排医疗流程等方式，减少医务人员的重复劳动，提高医疗服务效率。三是改善床位利用率。优化病患的入住计划，确保床位的高效利用，减少因床位不足而导致的压力。四是定期评估和调整。定期评估医疗服务能力，发现问题并及时调整，以确保医院的服务能力与需求相匹配。</w:t>
      </w:r>
    </w:p>
    <w:p>
      <w:pPr>
        <w:autoSpaceDN w:val="0"/>
        <w:spacing w:line="579" w:lineRule="exact"/>
        <w:ind w:firstLine="630" w:firstLineChars="200"/>
        <w:rPr>
          <w:rFonts w:ascii="楷体" w:hAnsi="楷体" w:eastAsia="楷体"/>
          <w:szCs w:val="30"/>
        </w:rPr>
      </w:pPr>
      <w:r>
        <w:rPr>
          <w:rFonts w:hint="eastAsia" w:ascii="楷体" w:hAnsi="楷体" w:eastAsia="楷体"/>
          <w:szCs w:val="30"/>
        </w:rPr>
        <w:t>（五）加强绩效管理，推动效能提升</w:t>
      </w:r>
    </w:p>
    <w:p>
      <w:pPr>
        <w:autoSpaceDN w:val="0"/>
        <w:spacing w:line="590" w:lineRule="exact"/>
        <w:ind w:firstLine="630" w:firstLineChars="200"/>
        <w:rPr>
          <w:rFonts w:hAnsi="仿宋" w:cs="仿宋_GB2312"/>
          <w:szCs w:val="30"/>
        </w:rPr>
      </w:pPr>
      <w:r>
        <w:rPr>
          <w:rFonts w:hint="eastAsia" w:hAnsi="仿宋" w:cs="仿宋_GB2312"/>
          <w:szCs w:val="30"/>
        </w:rPr>
        <w:t>一是熟悉政策要求，强化绩效管理意识。二是落实《中共云南省委 云南省人民政府关于全面实施预算绩效管理的实施意见》（云发〔2019〕11号）要求，实施全过程预算绩效管理，包括绩效监控和自评、第三方绩效评价、结果应用等，及时发现并纠正项目实施中存在的问题，堵塞管理漏洞，确保资金使用安全高效。</w:t>
      </w:r>
    </w:p>
    <w:p>
      <w:pPr>
        <w:overflowPunct w:val="0"/>
        <w:autoSpaceDN w:val="0"/>
        <w:spacing w:line="579" w:lineRule="exact"/>
        <w:ind w:firstLine="629"/>
        <w:rPr>
          <w:rFonts w:hAnsi="仿宋"/>
          <w:szCs w:val="30"/>
        </w:rPr>
      </w:pPr>
    </w:p>
    <w:bookmarkEnd w:id="1"/>
    <w:p>
      <w:pPr>
        <w:autoSpaceDN w:val="0"/>
        <w:spacing w:line="579" w:lineRule="exact"/>
        <w:jc w:val="center"/>
        <w:rPr>
          <w:rFonts w:ascii="方正小标宋简体" w:eastAsia="方正小标宋简体"/>
          <w:sz w:val="44"/>
          <w:szCs w:val="44"/>
        </w:rPr>
        <w:sectPr>
          <w:footerReference r:id="rId5" w:type="default"/>
          <w:type w:val="oddPage"/>
          <w:pgSz w:w="11906" w:h="16838"/>
          <w:pgMar w:top="2098" w:right="1474" w:bottom="1985" w:left="1588" w:header="851" w:footer="1474" w:gutter="0"/>
          <w:pgNumType w:fmt="lowerRoman" w:start="1"/>
          <w:cols w:space="425" w:num="1"/>
          <w:docGrid w:type="linesAndChars" w:linePitch="579" w:charSpace="3247"/>
        </w:sectPr>
      </w:pPr>
    </w:p>
    <w:p>
      <w:pPr>
        <w:autoSpaceDN w:val="0"/>
        <w:spacing w:line="579" w:lineRule="exact"/>
        <w:jc w:val="center"/>
        <w:rPr>
          <w:rFonts w:ascii="方正小标宋简体" w:eastAsia="方正小标宋简体"/>
          <w:sz w:val="44"/>
          <w:szCs w:val="44"/>
        </w:rPr>
      </w:pPr>
      <w:bookmarkStart w:id="188" w:name="_GoBack"/>
      <w:r>
        <w:rPr>
          <w:rFonts w:hint="eastAsia" w:ascii="方正小标宋简体" w:eastAsia="方正小标宋简体"/>
          <w:sz w:val="44"/>
          <w:szCs w:val="44"/>
        </w:rPr>
        <w:t>玉溪市人民医院改扩建工程项目</w:t>
      </w:r>
    </w:p>
    <w:p>
      <w:pPr>
        <w:autoSpaceDN w:val="0"/>
        <w:spacing w:line="579" w:lineRule="exact"/>
        <w:jc w:val="center"/>
        <w:rPr>
          <w:rFonts w:ascii="方正小标宋简体" w:eastAsia="方正小标宋简体"/>
          <w:sz w:val="44"/>
          <w:szCs w:val="44"/>
        </w:rPr>
      </w:pPr>
      <w:r>
        <w:rPr>
          <w:rFonts w:hint="eastAsia" w:ascii="方正小标宋简体" w:eastAsia="方正小标宋简体"/>
          <w:sz w:val="44"/>
          <w:szCs w:val="44"/>
        </w:rPr>
        <w:t>绩效评价报告</w:t>
      </w:r>
      <w:bookmarkEnd w:id="188"/>
    </w:p>
    <w:p>
      <w:pPr>
        <w:autoSpaceDN w:val="0"/>
        <w:spacing w:line="579" w:lineRule="exact"/>
        <w:ind w:firstLine="630" w:firstLineChars="200"/>
        <w:rPr>
          <w:rFonts w:ascii="仿宋_GB2312" w:hAnsi="仿宋_GB2312" w:eastAsia="仿宋_GB2312" w:cs="仿宋_GB2312"/>
          <w:szCs w:val="30"/>
        </w:rPr>
      </w:pPr>
    </w:p>
    <w:p>
      <w:pPr>
        <w:autoSpaceDN w:val="0"/>
        <w:spacing w:line="590" w:lineRule="exact"/>
        <w:ind w:firstLine="630" w:firstLineChars="200"/>
        <w:rPr>
          <w:rFonts w:hAnsi="仿宋" w:cs="仿宋_GB2312"/>
          <w:szCs w:val="30"/>
        </w:rPr>
      </w:pPr>
      <w:r>
        <w:rPr>
          <w:rFonts w:hint="default" w:hAnsi="仿宋" w:cs="仿宋_GB2312"/>
          <w:szCs w:val="30"/>
          <w:lang w:val="en-US" w:eastAsia="zh-CN"/>
        </w:rPr>
        <w:t>根据《中共云南省委 云南省人民政府关于全面实施预算绩效管理的实施意见》（云发〔2019〕11号）、《云南省项目支出绩效评价管理办法》（云财绩〔2020〕11号）及《玉溪市财政局关于开展2023年市级部分项目重点绩效管理的通知》（玉财投〔2023〕3号）的要求</w:t>
      </w:r>
      <w:r>
        <w:rPr>
          <w:rFonts w:hint="eastAsia" w:hAnsi="仿宋" w:cs="仿宋_GB2312"/>
          <w:szCs w:val="30"/>
        </w:rPr>
        <w:t>，市财政局委托华昆工程管理咨询有限公司，于</w:t>
      </w:r>
      <w:r>
        <w:rPr>
          <w:rFonts w:hAnsi="仿宋" w:cs="仿宋_GB2312"/>
          <w:szCs w:val="30"/>
        </w:rPr>
        <w:t>2023</w:t>
      </w:r>
      <w:r>
        <w:rPr>
          <w:rFonts w:hint="eastAsia" w:hAnsi="仿宋" w:cs="仿宋_GB2312"/>
          <w:szCs w:val="30"/>
        </w:rPr>
        <w:t>年</w:t>
      </w:r>
      <w:r>
        <w:rPr>
          <w:rFonts w:hAnsi="仿宋" w:cs="仿宋_GB2312"/>
          <w:szCs w:val="30"/>
        </w:rPr>
        <w:t>7</w:t>
      </w:r>
      <w:r>
        <w:rPr>
          <w:rFonts w:hint="eastAsia" w:hAnsi="仿宋" w:cs="仿宋_GB2312"/>
          <w:szCs w:val="30"/>
        </w:rPr>
        <w:t>月至</w:t>
      </w:r>
      <w:r>
        <w:rPr>
          <w:rFonts w:hAnsi="仿宋" w:cs="仿宋_GB2312"/>
          <w:szCs w:val="30"/>
        </w:rPr>
        <w:t>9</w:t>
      </w:r>
      <w:r>
        <w:rPr>
          <w:rFonts w:hint="eastAsia" w:hAnsi="仿宋" w:cs="仿宋_GB2312"/>
          <w:szCs w:val="30"/>
        </w:rPr>
        <w:t>月对玉溪市人民医院改扩建工程项目开展绩效评价。现将评价情况报告如下：</w:t>
      </w:r>
    </w:p>
    <w:p>
      <w:pPr>
        <w:autoSpaceDN w:val="0"/>
        <w:spacing w:line="579" w:lineRule="exact"/>
        <w:ind w:firstLine="630" w:firstLineChars="200"/>
        <w:outlineLvl w:val="0"/>
        <w:rPr>
          <w:rFonts w:ascii="黑体" w:hAnsi="黑体" w:eastAsia="黑体" w:cs="宋体"/>
          <w:szCs w:val="30"/>
        </w:rPr>
      </w:pPr>
      <w:bookmarkStart w:id="2" w:name="_Toc144740036"/>
      <w:bookmarkStart w:id="3" w:name="_Toc9439733"/>
      <w:r>
        <w:rPr>
          <w:rFonts w:hint="eastAsia" w:ascii="黑体" w:hAnsi="黑体" w:eastAsia="黑体" w:cs="宋体"/>
          <w:szCs w:val="30"/>
        </w:rPr>
        <w:t>一、基本情况</w:t>
      </w:r>
      <w:bookmarkEnd w:id="2"/>
      <w:bookmarkEnd w:id="3"/>
    </w:p>
    <w:p>
      <w:pPr>
        <w:autoSpaceDN w:val="0"/>
        <w:spacing w:line="579" w:lineRule="exact"/>
        <w:ind w:firstLine="630" w:firstLineChars="200"/>
        <w:outlineLvl w:val="1"/>
        <w:rPr>
          <w:rFonts w:ascii="楷体" w:hAnsi="楷体" w:eastAsia="楷体" w:cs="楷体_GB2312"/>
          <w:szCs w:val="30"/>
        </w:rPr>
      </w:pPr>
      <w:bookmarkStart w:id="4" w:name="_Toc144740037"/>
      <w:bookmarkStart w:id="5" w:name="_Toc9439739"/>
      <w:r>
        <w:rPr>
          <w:rFonts w:hint="eastAsia" w:ascii="楷体" w:hAnsi="楷体" w:eastAsia="楷体" w:cs="楷体_GB2312"/>
          <w:szCs w:val="30"/>
        </w:rPr>
        <w:t>（一）项目概况</w:t>
      </w:r>
      <w:bookmarkEnd w:id="4"/>
    </w:p>
    <w:p>
      <w:pPr>
        <w:widowControl/>
        <w:autoSpaceDN w:val="0"/>
        <w:spacing w:line="590" w:lineRule="exact"/>
        <w:ind w:firstLine="630" w:firstLineChars="200"/>
        <w:outlineLvl w:val="2"/>
        <w:rPr>
          <w:rFonts w:hAnsi="仿宋"/>
          <w:szCs w:val="30"/>
        </w:rPr>
      </w:pPr>
      <w:bookmarkStart w:id="6" w:name="_Toc143294636"/>
      <w:bookmarkStart w:id="7" w:name="_Toc143605579"/>
      <w:bookmarkStart w:id="8" w:name="_Toc144740038"/>
      <w:bookmarkStart w:id="9" w:name="_Toc142490519"/>
      <w:r>
        <w:rPr>
          <w:rFonts w:hint="eastAsia" w:hAnsi="仿宋"/>
          <w:szCs w:val="30"/>
        </w:rPr>
        <w:t>1</w:t>
      </w:r>
      <w:r>
        <w:rPr>
          <w:rFonts w:hAnsi="仿宋"/>
          <w:szCs w:val="30"/>
        </w:rPr>
        <w:t>.</w:t>
      </w:r>
      <w:r>
        <w:rPr>
          <w:rFonts w:hint="eastAsia" w:hAnsi="仿宋"/>
          <w:szCs w:val="30"/>
        </w:rPr>
        <w:t>设立背景</w:t>
      </w:r>
      <w:bookmarkEnd w:id="6"/>
      <w:bookmarkEnd w:id="7"/>
      <w:bookmarkEnd w:id="8"/>
      <w:bookmarkEnd w:id="9"/>
    </w:p>
    <w:p>
      <w:pPr>
        <w:autoSpaceDN w:val="0"/>
        <w:spacing w:line="590" w:lineRule="exact"/>
        <w:ind w:firstLine="630" w:firstLineChars="200"/>
        <w:rPr>
          <w:rFonts w:hAnsi="仿宋" w:cs="仿宋_GB2312"/>
          <w:szCs w:val="30"/>
        </w:rPr>
      </w:pPr>
      <w:r>
        <w:rPr>
          <w:rFonts w:hint="eastAsia" w:hAnsi="仿宋" w:cs="仿宋_GB2312"/>
          <w:szCs w:val="30"/>
        </w:rPr>
        <w:t>《云南省人民政府关于印发云南省“十三五”深化医药卫生体制改革规划的通知》（云政发〔2017〕51号）（以下简称“规划”）中明确了“基本建立覆盖城乡居民的基本医疗卫生制度，实现人人享有公平可及的基本医疗卫生服务”的总体目标。玉溪市人民医院作为全省地州市医院中唯一的一所三级甲等医院，是玉溪市基本医疗服务的重要载体，对实现规划的总体目标，促进玉溪市医疗卫生事业的发展起着举足轻重的作用。但随着病人人数的增加，现有的业务用房面积远远达不到《综合医院建设标准》的要求，病床紧张、住院难、就诊流程不顺畅等问题日益突出，难以提高医院的医护质量，制约了医院的发展及规划目标的实现。因此，玉溪市人民医院计划实施改扩建项目，改善玉溪市人民医院的医疗服务条件和工作环境，扩大服务量，完善服务功能，推动玉溪市卫生事业的发展，逐步实现公共医疗卫生服务能力均等化。</w:t>
      </w:r>
    </w:p>
    <w:p>
      <w:pPr>
        <w:widowControl/>
        <w:autoSpaceDN w:val="0"/>
        <w:spacing w:line="590" w:lineRule="exact"/>
        <w:ind w:firstLine="630" w:firstLineChars="200"/>
        <w:outlineLvl w:val="2"/>
        <w:rPr>
          <w:rFonts w:hAnsi="仿宋"/>
          <w:szCs w:val="30"/>
        </w:rPr>
      </w:pPr>
      <w:bookmarkStart w:id="10" w:name="_Toc142490520"/>
      <w:bookmarkStart w:id="11" w:name="_Toc144740039"/>
      <w:bookmarkStart w:id="12" w:name="_Toc143294637"/>
      <w:bookmarkStart w:id="13" w:name="_Toc143605580"/>
      <w:r>
        <w:rPr>
          <w:rFonts w:hAnsi="仿宋"/>
          <w:szCs w:val="30"/>
        </w:rPr>
        <w:t>2.</w:t>
      </w:r>
      <w:r>
        <w:rPr>
          <w:rFonts w:hint="eastAsia" w:hAnsi="仿宋"/>
          <w:szCs w:val="30"/>
        </w:rPr>
        <w:t>主要内容</w:t>
      </w:r>
      <w:bookmarkEnd w:id="10"/>
      <w:bookmarkEnd w:id="11"/>
      <w:bookmarkEnd w:id="12"/>
      <w:bookmarkEnd w:id="13"/>
    </w:p>
    <w:p>
      <w:pPr>
        <w:pStyle w:val="7"/>
        <w:autoSpaceDN w:val="0"/>
        <w:spacing w:line="590" w:lineRule="exact"/>
        <w:ind w:firstLine="630" w:firstLineChars="200"/>
        <w:jc w:val="both"/>
        <w:rPr>
          <w:rFonts w:ascii="仿宋" w:hAnsi="仿宋" w:eastAsia="仿宋"/>
          <w:lang w:eastAsia="zh-CN"/>
        </w:rPr>
      </w:pPr>
      <w:r>
        <w:rPr>
          <w:rFonts w:hint="eastAsia" w:ascii="仿宋" w:hAnsi="仿宋" w:eastAsia="仿宋"/>
          <w:lang w:eastAsia="zh-CN"/>
        </w:rPr>
        <w:t>改扩建工程位于红塔区棋阳路和玉兴路交叉口西南侧，按1,000张床位规模设计，总建筑面积为92,968.38平方米，地下2层，地上21层，建筑高度为约90.05米，地下两层为停车库和设备用房一至四层为门诊医技用房，六至十九层为住院病房，二十、二十一层为全科医生临床培养基地用房。批复项目概算总投资为52,040.37万元，本项目计划建设期约为36个月，预计2019年投入使用，由玉溪物流投资有限公司代建。2018年调整项目初步设计部分建设内容及投资概算，新增8个子项建设，调减地基与基础工程等费用，调整后批复的项目概算总投资为55,395.79万元。此外，2018年，玉溪市人民医院与代建公司签订了相关协议，于2018年1月起将玉溪市人民医院改扩建工程项目代建管理主体从玉溪城市建设投资集团有限公司变更为玉溪物流投资有限公司。</w:t>
      </w:r>
    </w:p>
    <w:p>
      <w:pPr>
        <w:widowControl/>
        <w:autoSpaceDN w:val="0"/>
        <w:spacing w:line="590" w:lineRule="exact"/>
        <w:ind w:firstLine="630" w:firstLineChars="200"/>
        <w:outlineLvl w:val="2"/>
        <w:rPr>
          <w:rFonts w:hAnsi="仿宋"/>
          <w:szCs w:val="30"/>
        </w:rPr>
      </w:pPr>
      <w:bookmarkStart w:id="14" w:name="_Toc143605581"/>
      <w:bookmarkStart w:id="15" w:name="_Toc143294638"/>
      <w:bookmarkStart w:id="16" w:name="_Toc142490521"/>
      <w:bookmarkStart w:id="17" w:name="_Toc144740040"/>
      <w:r>
        <w:rPr>
          <w:rFonts w:hAnsi="仿宋"/>
          <w:szCs w:val="30"/>
        </w:rPr>
        <w:t>3.</w:t>
      </w:r>
      <w:r>
        <w:rPr>
          <w:rFonts w:hint="eastAsia" w:hAnsi="仿宋"/>
          <w:szCs w:val="30"/>
        </w:rPr>
        <w:t>资金投入和使用情况</w:t>
      </w:r>
      <w:bookmarkEnd w:id="14"/>
      <w:bookmarkEnd w:id="15"/>
      <w:bookmarkEnd w:id="16"/>
      <w:bookmarkEnd w:id="17"/>
    </w:p>
    <w:p>
      <w:pPr>
        <w:pStyle w:val="7"/>
        <w:autoSpaceDN w:val="0"/>
        <w:spacing w:line="590" w:lineRule="exact"/>
        <w:ind w:firstLine="630" w:firstLineChars="200"/>
        <w:jc w:val="both"/>
        <w:rPr>
          <w:rFonts w:ascii="仿宋" w:hAnsi="仿宋" w:eastAsia="仿宋"/>
          <w:lang w:eastAsia="zh-CN"/>
        </w:rPr>
      </w:pPr>
      <w:r>
        <w:rPr>
          <w:rFonts w:hint="eastAsia" w:ascii="仿宋" w:hAnsi="仿宋" w:eastAsia="仿宋"/>
          <w:lang w:eastAsia="zh-CN"/>
        </w:rPr>
        <w:t>截至2023年6月30日，项目计划到位</w:t>
      </w:r>
      <w:r>
        <w:rPr>
          <w:rFonts w:ascii="仿宋" w:hAnsi="仿宋" w:eastAsia="仿宋"/>
          <w:lang w:eastAsia="zh-CN"/>
        </w:rPr>
        <w:t>55,395.79</w:t>
      </w:r>
      <w:r>
        <w:rPr>
          <w:rFonts w:hint="eastAsia" w:ascii="仿宋" w:hAnsi="仿宋" w:eastAsia="仿宋"/>
          <w:lang w:eastAsia="zh-CN"/>
        </w:rPr>
        <w:t>万元，实际到位</w:t>
      </w:r>
      <w:r>
        <w:rPr>
          <w:rFonts w:ascii="仿宋" w:hAnsi="仿宋" w:eastAsia="仿宋"/>
          <w:lang w:eastAsia="zh-CN"/>
        </w:rPr>
        <w:t>55,395.79</w:t>
      </w:r>
      <w:r>
        <w:rPr>
          <w:rFonts w:hint="eastAsia" w:ascii="仿宋" w:hAnsi="仿宋" w:eastAsia="仿宋"/>
          <w:lang w:eastAsia="zh-CN"/>
        </w:rPr>
        <w:t>万元，累计使用资金</w:t>
      </w:r>
      <w:r>
        <w:rPr>
          <w:rFonts w:ascii="仿宋" w:hAnsi="仿宋" w:eastAsia="仿宋"/>
          <w:lang w:eastAsia="zh-CN"/>
        </w:rPr>
        <w:t>43,698.54</w:t>
      </w:r>
      <w:r>
        <w:rPr>
          <w:rFonts w:hint="eastAsia" w:ascii="仿宋" w:hAnsi="仿宋" w:eastAsia="仿宋"/>
          <w:lang w:eastAsia="zh-CN"/>
        </w:rPr>
        <w:t>万元，具体见下表：</w:t>
      </w:r>
    </w:p>
    <w:p>
      <w:pPr>
        <w:autoSpaceDN w:val="0"/>
        <w:jc w:val="center"/>
        <w:rPr>
          <w:rFonts w:ascii="黑体" w:hAnsi="黑体" w:eastAsia="黑体" w:cs="宋体"/>
          <w:kern w:val="2"/>
          <w:sz w:val="24"/>
          <w:szCs w:val="24"/>
        </w:rPr>
      </w:pPr>
      <w:r>
        <w:rPr>
          <w:rFonts w:ascii="黑体" w:hAnsi="黑体" w:eastAsia="黑体" w:cs="宋体"/>
          <w:kern w:val="2"/>
          <w:sz w:val="24"/>
          <w:szCs w:val="24"/>
        </w:rPr>
        <w:t>表1：</w:t>
      </w:r>
      <w:r>
        <w:rPr>
          <w:rFonts w:hint="eastAsia" w:ascii="黑体" w:hAnsi="黑体" w:eastAsia="黑体" w:cs="宋体"/>
          <w:kern w:val="2"/>
          <w:sz w:val="24"/>
          <w:szCs w:val="24"/>
        </w:rPr>
        <w:t>资金使用情况</w:t>
      </w:r>
      <w:r>
        <w:rPr>
          <w:rFonts w:ascii="黑体" w:hAnsi="黑体" w:eastAsia="黑体" w:cs="宋体"/>
          <w:kern w:val="2"/>
          <w:sz w:val="24"/>
          <w:szCs w:val="24"/>
        </w:rPr>
        <w:t>表</w:t>
      </w:r>
    </w:p>
    <w:p>
      <w:pPr>
        <w:pStyle w:val="7"/>
        <w:autoSpaceDN w:val="0"/>
        <w:jc w:val="right"/>
        <w:rPr>
          <w:rFonts w:hAnsi="仿宋"/>
          <w:kern w:val="36"/>
          <w:lang w:eastAsia="zh-CN"/>
        </w:rPr>
      </w:pPr>
      <w:r>
        <w:rPr>
          <w:rFonts w:hint="eastAsia" w:hAnsi="仿宋"/>
          <w:b/>
          <w:bCs/>
          <w:sz w:val="21"/>
          <w:lang w:eastAsia="zh-CN"/>
        </w:rPr>
        <w:t>单位：万元</w:t>
      </w:r>
    </w:p>
    <w:tbl>
      <w:tblPr>
        <w:tblStyle w:val="16"/>
        <w:tblW w:w="90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879"/>
        <w:gridCol w:w="2100"/>
        <w:gridCol w:w="2100"/>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020" w:type="dxa"/>
            <w:vAlign w:val="center"/>
          </w:tcPr>
          <w:p>
            <w:pPr>
              <w:widowControl/>
              <w:autoSpaceDN w:val="0"/>
              <w:spacing w:line="240" w:lineRule="exact"/>
              <w:jc w:val="center"/>
              <w:rPr>
                <w:rFonts w:hAnsi="仿宋"/>
                <w:b/>
                <w:kern w:val="0"/>
                <w:sz w:val="21"/>
              </w:rPr>
            </w:pPr>
            <w:r>
              <w:rPr>
                <w:rFonts w:hint="eastAsia" w:hAnsi="仿宋"/>
                <w:b/>
                <w:kern w:val="0"/>
                <w:sz w:val="21"/>
              </w:rPr>
              <w:t>序号</w:t>
            </w:r>
          </w:p>
        </w:tc>
        <w:tc>
          <w:tcPr>
            <w:tcW w:w="1879" w:type="dxa"/>
            <w:vAlign w:val="center"/>
          </w:tcPr>
          <w:p>
            <w:pPr>
              <w:widowControl/>
              <w:autoSpaceDN w:val="0"/>
              <w:spacing w:line="240" w:lineRule="exact"/>
              <w:jc w:val="center"/>
              <w:rPr>
                <w:rFonts w:hAnsi="仿宋"/>
                <w:b/>
                <w:kern w:val="0"/>
                <w:sz w:val="21"/>
              </w:rPr>
            </w:pPr>
            <w:r>
              <w:rPr>
                <w:rFonts w:hint="eastAsia" w:hAnsi="仿宋"/>
                <w:b/>
                <w:kern w:val="0"/>
                <w:sz w:val="21"/>
              </w:rPr>
              <w:t>资金类型</w:t>
            </w:r>
          </w:p>
        </w:tc>
        <w:tc>
          <w:tcPr>
            <w:tcW w:w="2100" w:type="dxa"/>
            <w:vAlign w:val="center"/>
          </w:tcPr>
          <w:p>
            <w:pPr>
              <w:widowControl/>
              <w:autoSpaceDN w:val="0"/>
              <w:spacing w:line="240" w:lineRule="exact"/>
              <w:jc w:val="center"/>
              <w:rPr>
                <w:rFonts w:hAnsi="仿宋"/>
                <w:b/>
                <w:kern w:val="0"/>
                <w:sz w:val="21"/>
              </w:rPr>
            </w:pPr>
            <w:r>
              <w:rPr>
                <w:rFonts w:hint="eastAsia" w:hAnsi="仿宋"/>
                <w:b/>
                <w:kern w:val="0"/>
                <w:sz w:val="21"/>
              </w:rPr>
              <w:t>计划到位金额</w:t>
            </w:r>
          </w:p>
        </w:tc>
        <w:tc>
          <w:tcPr>
            <w:tcW w:w="2100" w:type="dxa"/>
            <w:vAlign w:val="center"/>
          </w:tcPr>
          <w:p>
            <w:pPr>
              <w:widowControl/>
              <w:autoSpaceDN w:val="0"/>
              <w:spacing w:line="240" w:lineRule="exact"/>
              <w:jc w:val="center"/>
              <w:rPr>
                <w:rFonts w:hAnsi="仿宋"/>
                <w:b/>
                <w:kern w:val="0"/>
                <w:sz w:val="21"/>
              </w:rPr>
            </w:pPr>
            <w:r>
              <w:rPr>
                <w:rFonts w:hint="eastAsia" w:hAnsi="仿宋"/>
                <w:b/>
                <w:kern w:val="0"/>
                <w:sz w:val="21"/>
              </w:rPr>
              <w:t>实际到位金额</w:t>
            </w:r>
          </w:p>
        </w:tc>
        <w:tc>
          <w:tcPr>
            <w:tcW w:w="1957" w:type="dxa"/>
            <w:vAlign w:val="center"/>
          </w:tcPr>
          <w:p>
            <w:pPr>
              <w:widowControl/>
              <w:autoSpaceDN w:val="0"/>
              <w:spacing w:line="240" w:lineRule="exact"/>
              <w:jc w:val="center"/>
              <w:rPr>
                <w:rFonts w:hAnsi="仿宋"/>
                <w:b/>
                <w:kern w:val="0"/>
                <w:sz w:val="21"/>
              </w:rPr>
            </w:pPr>
            <w:r>
              <w:rPr>
                <w:rFonts w:hint="eastAsia" w:hAnsi="仿宋"/>
                <w:b/>
                <w:kern w:val="0"/>
                <w:sz w:val="21"/>
              </w:rPr>
              <w:t>使用金额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 w:type="dxa"/>
            <w:vAlign w:val="center"/>
          </w:tcPr>
          <w:p>
            <w:pPr>
              <w:widowControl/>
              <w:autoSpaceDN w:val="0"/>
              <w:spacing w:line="240" w:lineRule="exact"/>
              <w:jc w:val="center"/>
              <w:rPr>
                <w:rFonts w:hAnsi="仿宋"/>
                <w:kern w:val="0"/>
                <w:sz w:val="21"/>
              </w:rPr>
            </w:pPr>
            <w:r>
              <w:rPr>
                <w:rFonts w:hAnsi="仿宋"/>
                <w:kern w:val="0"/>
                <w:sz w:val="21"/>
              </w:rPr>
              <w:t>1</w:t>
            </w:r>
          </w:p>
        </w:tc>
        <w:tc>
          <w:tcPr>
            <w:tcW w:w="1879" w:type="dxa"/>
            <w:vAlign w:val="center"/>
          </w:tcPr>
          <w:p>
            <w:pPr>
              <w:widowControl/>
              <w:autoSpaceDN w:val="0"/>
              <w:spacing w:line="240" w:lineRule="exact"/>
              <w:jc w:val="center"/>
              <w:rPr>
                <w:rFonts w:hAnsi="仿宋"/>
                <w:kern w:val="0"/>
                <w:sz w:val="21"/>
              </w:rPr>
            </w:pPr>
            <w:r>
              <w:rPr>
                <w:rFonts w:hint="eastAsia" w:hAnsi="仿宋"/>
                <w:kern w:val="0"/>
                <w:sz w:val="21"/>
              </w:rPr>
              <w:t>上级财政补助</w:t>
            </w:r>
          </w:p>
        </w:tc>
        <w:tc>
          <w:tcPr>
            <w:tcW w:w="2100" w:type="dxa"/>
            <w:vAlign w:val="center"/>
          </w:tcPr>
          <w:p>
            <w:pPr>
              <w:widowControl/>
              <w:autoSpaceDN w:val="0"/>
              <w:spacing w:line="240" w:lineRule="exact"/>
              <w:jc w:val="right"/>
              <w:rPr>
                <w:rFonts w:hAnsi="仿宋"/>
                <w:kern w:val="0"/>
                <w:sz w:val="21"/>
              </w:rPr>
            </w:pPr>
            <w:r>
              <w:rPr>
                <w:rFonts w:hAnsi="仿宋"/>
                <w:kern w:val="0"/>
                <w:sz w:val="21"/>
              </w:rPr>
              <w:t>9,700</w:t>
            </w:r>
          </w:p>
        </w:tc>
        <w:tc>
          <w:tcPr>
            <w:tcW w:w="2100" w:type="dxa"/>
            <w:vAlign w:val="center"/>
          </w:tcPr>
          <w:p>
            <w:pPr>
              <w:widowControl/>
              <w:autoSpaceDN w:val="0"/>
              <w:spacing w:line="240" w:lineRule="exact"/>
              <w:jc w:val="right"/>
              <w:rPr>
                <w:rFonts w:hAnsi="仿宋"/>
                <w:kern w:val="0"/>
                <w:sz w:val="21"/>
              </w:rPr>
            </w:pPr>
            <w:r>
              <w:rPr>
                <w:rFonts w:hint="eastAsia" w:hAnsi="仿宋"/>
                <w:kern w:val="0"/>
                <w:sz w:val="21"/>
              </w:rPr>
              <w:t>9</w:t>
            </w:r>
            <w:r>
              <w:rPr>
                <w:rFonts w:hAnsi="仿宋"/>
                <w:kern w:val="0"/>
                <w:sz w:val="21"/>
              </w:rPr>
              <w:t>,900</w:t>
            </w:r>
          </w:p>
        </w:tc>
        <w:tc>
          <w:tcPr>
            <w:tcW w:w="1957" w:type="dxa"/>
            <w:vAlign w:val="center"/>
          </w:tcPr>
          <w:p>
            <w:pPr>
              <w:widowControl/>
              <w:autoSpaceDN w:val="0"/>
              <w:spacing w:line="240" w:lineRule="exact"/>
              <w:jc w:val="right"/>
              <w:rPr>
                <w:rFonts w:hAnsi="仿宋"/>
                <w:kern w:val="0"/>
                <w:sz w:val="21"/>
              </w:rPr>
            </w:pPr>
            <w:r>
              <w:rPr>
                <w:rFonts w:hAnsi="仿宋"/>
                <w:kern w:val="0"/>
                <w:sz w:val="21"/>
              </w:rPr>
              <w:t>9,900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 w:type="dxa"/>
            <w:vAlign w:val="center"/>
          </w:tcPr>
          <w:p>
            <w:pPr>
              <w:widowControl/>
              <w:autoSpaceDN w:val="0"/>
              <w:spacing w:line="240" w:lineRule="exact"/>
              <w:jc w:val="center"/>
              <w:rPr>
                <w:rFonts w:hAnsi="仿宋"/>
                <w:kern w:val="0"/>
                <w:sz w:val="21"/>
              </w:rPr>
            </w:pPr>
            <w:r>
              <w:rPr>
                <w:rFonts w:hint="eastAsia" w:hAnsi="仿宋"/>
                <w:kern w:val="0"/>
                <w:sz w:val="21"/>
              </w:rPr>
              <w:t>2</w:t>
            </w:r>
          </w:p>
        </w:tc>
        <w:tc>
          <w:tcPr>
            <w:tcW w:w="1879" w:type="dxa"/>
            <w:vAlign w:val="center"/>
          </w:tcPr>
          <w:p>
            <w:pPr>
              <w:widowControl/>
              <w:autoSpaceDN w:val="0"/>
              <w:spacing w:line="240" w:lineRule="exact"/>
              <w:jc w:val="center"/>
              <w:rPr>
                <w:rFonts w:hAnsi="仿宋"/>
                <w:bCs/>
                <w:kern w:val="0"/>
                <w:sz w:val="21"/>
              </w:rPr>
            </w:pPr>
            <w:r>
              <w:rPr>
                <w:rFonts w:hint="eastAsia" w:hAnsi="仿宋"/>
                <w:bCs/>
                <w:kern w:val="0"/>
                <w:sz w:val="21"/>
              </w:rPr>
              <w:t>地方财政补助</w:t>
            </w:r>
          </w:p>
        </w:tc>
        <w:tc>
          <w:tcPr>
            <w:tcW w:w="2100" w:type="dxa"/>
            <w:vAlign w:val="center"/>
          </w:tcPr>
          <w:p>
            <w:pPr>
              <w:widowControl/>
              <w:autoSpaceDN w:val="0"/>
              <w:spacing w:line="240" w:lineRule="exact"/>
              <w:jc w:val="right"/>
              <w:rPr>
                <w:rFonts w:hAnsi="仿宋"/>
                <w:kern w:val="0"/>
                <w:sz w:val="21"/>
              </w:rPr>
            </w:pPr>
            <w:r>
              <w:rPr>
                <w:rFonts w:hAnsi="仿宋"/>
                <w:kern w:val="0"/>
                <w:sz w:val="21"/>
              </w:rPr>
              <w:t>275.30</w:t>
            </w:r>
          </w:p>
        </w:tc>
        <w:tc>
          <w:tcPr>
            <w:tcW w:w="2100" w:type="dxa"/>
            <w:vAlign w:val="center"/>
          </w:tcPr>
          <w:p>
            <w:pPr>
              <w:widowControl/>
              <w:autoSpaceDN w:val="0"/>
              <w:spacing w:line="240" w:lineRule="exact"/>
              <w:jc w:val="right"/>
              <w:rPr>
                <w:rFonts w:hAnsi="仿宋"/>
                <w:kern w:val="0"/>
                <w:sz w:val="21"/>
              </w:rPr>
            </w:pPr>
            <w:r>
              <w:rPr>
                <w:rFonts w:hAnsi="仿宋"/>
                <w:kern w:val="0"/>
                <w:sz w:val="21"/>
              </w:rPr>
              <w:t>3,805.30</w:t>
            </w:r>
          </w:p>
        </w:tc>
        <w:tc>
          <w:tcPr>
            <w:tcW w:w="1957" w:type="dxa"/>
            <w:vAlign w:val="center"/>
          </w:tcPr>
          <w:p>
            <w:pPr>
              <w:widowControl/>
              <w:autoSpaceDN w:val="0"/>
              <w:spacing w:line="240" w:lineRule="exact"/>
              <w:jc w:val="right"/>
              <w:rPr>
                <w:rFonts w:hAnsi="仿宋"/>
                <w:kern w:val="0"/>
                <w:sz w:val="21"/>
              </w:rPr>
            </w:pPr>
            <w:r>
              <w:rPr>
                <w:rFonts w:hAnsi="仿宋"/>
                <w:kern w:val="0"/>
                <w:sz w:val="21"/>
              </w:rPr>
              <w:t>3,805.30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 w:type="dxa"/>
            <w:vAlign w:val="center"/>
          </w:tcPr>
          <w:p>
            <w:pPr>
              <w:widowControl/>
              <w:autoSpaceDN w:val="0"/>
              <w:spacing w:line="240" w:lineRule="exact"/>
              <w:jc w:val="center"/>
              <w:rPr>
                <w:rFonts w:hAnsi="仿宋"/>
                <w:kern w:val="0"/>
                <w:sz w:val="21"/>
              </w:rPr>
            </w:pPr>
            <w:r>
              <w:rPr>
                <w:rFonts w:hint="eastAsia" w:hAnsi="仿宋"/>
                <w:kern w:val="0"/>
                <w:sz w:val="21"/>
              </w:rPr>
              <w:t>3</w:t>
            </w:r>
          </w:p>
        </w:tc>
        <w:tc>
          <w:tcPr>
            <w:tcW w:w="1879" w:type="dxa"/>
            <w:vAlign w:val="center"/>
          </w:tcPr>
          <w:p>
            <w:pPr>
              <w:widowControl/>
              <w:autoSpaceDN w:val="0"/>
              <w:spacing w:line="240" w:lineRule="exact"/>
              <w:jc w:val="center"/>
              <w:rPr>
                <w:rFonts w:hAnsi="仿宋"/>
                <w:bCs/>
                <w:kern w:val="0"/>
                <w:sz w:val="21"/>
              </w:rPr>
            </w:pPr>
            <w:r>
              <w:rPr>
                <w:rFonts w:hint="eastAsia" w:hAnsi="仿宋"/>
                <w:bCs/>
                <w:kern w:val="0"/>
                <w:sz w:val="21"/>
              </w:rPr>
              <w:t>专项债券</w:t>
            </w:r>
          </w:p>
        </w:tc>
        <w:tc>
          <w:tcPr>
            <w:tcW w:w="2100" w:type="dxa"/>
            <w:vAlign w:val="center"/>
          </w:tcPr>
          <w:p>
            <w:pPr>
              <w:widowControl/>
              <w:autoSpaceDN w:val="0"/>
              <w:spacing w:line="240" w:lineRule="exact"/>
              <w:jc w:val="right"/>
              <w:rPr>
                <w:rFonts w:hAnsi="仿宋"/>
                <w:kern w:val="0"/>
                <w:sz w:val="21"/>
              </w:rPr>
            </w:pPr>
            <w:r>
              <w:rPr>
                <w:rFonts w:hAnsi="仿宋"/>
                <w:kern w:val="0"/>
                <w:sz w:val="21"/>
              </w:rPr>
              <w:t>20,000</w:t>
            </w:r>
          </w:p>
        </w:tc>
        <w:tc>
          <w:tcPr>
            <w:tcW w:w="2100" w:type="dxa"/>
            <w:vAlign w:val="center"/>
          </w:tcPr>
          <w:p>
            <w:pPr>
              <w:widowControl/>
              <w:autoSpaceDN w:val="0"/>
              <w:spacing w:line="240" w:lineRule="exact"/>
              <w:jc w:val="right"/>
              <w:rPr>
                <w:rFonts w:hAnsi="仿宋"/>
                <w:kern w:val="0"/>
                <w:sz w:val="21"/>
              </w:rPr>
            </w:pPr>
            <w:r>
              <w:rPr>
                <w:rFonts w:hAnsi="仿宋"/>
                <w:kern w:val="0"/>
                <w:sz w:val="21"/>
              </w:rPr>
              <w:t>20,000</w:t>
            </w:r>
          </w:p>
        </w:tc>
        <w:tc>
          <w:tcPr>
            <w:tcW w:w="1957" w:type="dxa"/>
            <w:vAlign w:val="center"/>
          </w:tcPr>
          <w:p>
            <w:pPr>
              <w:widowControl/>
              <w:autoSpaceDN w:val="0"/>
              <w:spacing w:line="240" w:lineRule="exact"/>
              <w:jc w:val="right"/>
              <w:rPr>
                <w:rFonts w:hAnsi="仿宋"/>
                <w:kern w:val="0"/>
                <w:sz w:val="21"/>
              </w:rPr>
            </w:pPr>
            <w:r>
              <w:rPr>
                <w:rFonts w:hAnsi="仿宋"/>
                <w:kern w:val="0"/>
                <w:sz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20" w:type="dxa"/>
            <w:vAlign w:val="center"/>
          </w:tcPr>
          <w:p>
            <w:pPr>
              <w:widowControl/>
              <w:autoSpaceDN w:val="0"/>
              <w:spacing w:line="240" w:lineRule="exact"/>
              <w:jc w:val="center"/>
              <w:rPr>
                <w:rFonts w:hAnsi="仿宋"/>
                <w:kern w:val="0"/>
                <w:sz w:val="21"/>
              </w:rPr>
            </w:pPr>
            <w:r>
              <w:rPr>
                <w:rFonts w:hint="eastAsia" w:hAnsi="仿宋"/>
                <w:kern w:val="0"/>
                <w:sz w:val="21"/>
              </w:rPr>
              <w:t>4</w:t>
            </w:r>
          </w:p>
        </w:tc>
        <w:tc>
          <w:tcPr>
            <w:tcW w:w="1879" w:type="dxa"/>
            <w:vAlign w:val="center"/>
          </w:tcPr>
          <w:p>
            <w:pPr>
              <w:widowControl/>
              <w:autoSpaceDN w:val="0"/>
              <w:spacing w:line="240" w:lineRule="exact"/>
              <w:jc w:val="center"/>
              <w:rPr>
                <w:rFonts w:hAnsi="仿宋"/>
                <w:bCs/>
                <w:kern w:val="0"/>
                <w:sz w:val="21"/>
              </w:rPr>
            </w:pPr>
            <w:r>
              <w:rPr>
                <w:rFonts w:hint="eastAsia" w:hAnsi="仿宋"/>
                <w:bCs/>
                <w:kern w:val="0"/>
                <w:sz w:val="21"/>
              </w:rPr>
              <w:t>自筹资金</w:t>
            </w:r>
          </w:p>
        </w:tc>
        <w:tc>
          <w:tcPr>
            <w:tcW w:w="2100" w:type="dxa"/>
            <w:vAlign w:val="center"/>
          </w:tcPr>
          <w:p>
            <w:pPr>
              <w:widowControl/>
              <w:autoSpaceDN w:val="0"/>
              <w:spacing w:line="240" w:lineRule="exact"/>
              <w:jc w:val="right"/>
              <w:rPr>
                <w:rFonts w:hAnsi="仿宋"/>
                <w:kern w:val="0"/>
                <w:sz w:val="21"/>
              </w:rPr>
            </w:pPr>
            <w:r>
              <w:rPr>
                <w:rFonts w:hAnsi="仿宋"/>
                <w:kern w:val="0"/>
                <w:sz w:val="21"/>
              </w:rPr>
              <w:t>25,420.49</w:t>
            </w:r>
          </w:p>
        </w:tc>
        <w:tc>
          <w:tcPr>
            <w:tcW w:w="2100" w:type="dxa"/>
            <w:vAlign w:val="center"/>
          </w:tcPr>
          <w:p>
            <w:pPr>
              <w:widowControl/>
              <w:jc w:val="right"/>
              <w:textAlignment w:val="center"/>
              <w:rPr>
                <w:rFonts w:hAnsi="仿宋" w:cs="仿宋"/>
                <w:color w:val="000000"/>
                <w:sz w:val="21"/>
              </w:rPr>
            </w:pPr>
            <w:r>
              <w:rPr>
                <w:rFonts w:hint="eastAsia" w:hAnsi="仿宋" w:cs="仿宋"/>
                <w:color w:val="000000"/>
                <w:kern w:val="0"/>
                <w:sz w:val="21"/>
                <w:lang w:bidi="ar"/>
              </w:rPr>
              <w:t>21,690.49</w:t>
            </w:r>
          </w:p>
        </w:tc>
        <w:tc>
          <w:tcPr>
            <w:tcW w:w="1957" w:type="dxa"/>
            <w:vAlign w:val="center"/>
          </w:tcPr>
          <w:p>
            <w:pPr>
              <w:widowControl/>
              <w:autoSpaceDN w:val="0"/>
              <w:spacing w:line="240" w:lineRule="exact"/>
              <w:jc w:val="right"/>
              <w:rPr>
                <w:rFonts w:hAnsi="仿宋"/>
                <w:kern w:val="0"/>
                <w:sz w:val="21"/>
              </w:rPr>
            </w:pPr>
            <w:r>
              <w:rPr>
                <w:rFonts w:hAnsi="仿宋"/>
                <w:kern w:val="0"/>
                <w:sz w:val="21"/>
              </w:rPr>
              <w:t>9,993.24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999" w:type="dxa"/>
            <w:gridSpan w:val="3"/>
            <w:vAlign w:val="center"/>
          </w:tcPr>
          <w:p>
            <w:pPr>
              <w:widowControl/>
              <w:autoSpaceDN w:val="0"/>
              <w:spacing w:line="240" w:lineRule="exact"/>
              <w:jc w:val="center"/>
              <w:rPr>
                <w:rFonts w:hAnsi="仿宋"/>
                <w:b/>
                <w:bCs/>
                <w:kern w:val="0"/>
                <w:sz w:val="21"/>
              </w:rPr>
            </w:pPr>
            <w:r>
              <w:rPr>
                <w:rFonts w:hint="eastAsia" w:hAnsi="仿宋"/>
                <w:b/>
                <w:bCs/>
                <w:kern w:val="0"/>
                <w:sz w:val="21"/>
              </w:rPr>
              <w:t>合计</w:t>
            </w:r>
          </w:p>
        </w:tc>
        <w:tc>
          <w:tcPr>
            <w:tcW w:w="2100" w:type="dxa"/>
            <w:vAlign w:val="center"/>
          </w:tcPr>
          <w:p>
            <w:pPr>
              <w:widowControl/>
              <w:autoSpaceDN w:val="0"/>
              <w:spacing w:line="240" w:lineRule="exact"/>
              <w:jc w:val="right"/>
              <w:rPr>
                <w:rFonts w:hAnsi="仿宋"/>
                <w:b/>
                <w:bCs/>
                <w:kern w:val="0"/>
                <w:sz w:val="21"/>
              </w:rPr>
            </w:pPr>
            <w:r>
              <w:rPr>
                <w:rFonts w:hAnsi="仿宋"/>
                <w:b/>
                <w:bCs/>
                <w:kern w:val="0"/>
                <w:sz w:val="21"/>
              </w:rPr>
              <w:t>55,395.79</w:t>
            </w:r>
          </w:p>
        </w:tc>
        <w:tc>
          <w:tcPr>
            <w:tcW w:w="1957" w:type="dxa"/>
            <w:vAlign w:val="center"/>
          </w:tcPr>
          <w:p>
            <w:pPr>
              <w:widowControl/>
              <w:autoSpaceDN w:val="0"/>
              <w:spacing w:line="240" w:lineRule="exact"/>
              <w:jc w:val="right"/>
              <w:rPr>
                <w:rFonts w:hAnsi="仿宋"/>
                <w:b/>
                <w:bCs/>
                <w:kern w:val="0"/>
                <w:sz w:val="21"/>
              </w:rPr>
            </w:pPr>
            <w:r>
              <w:rPr>
                <w:rFonts w:hAnsi="仿宋"/>
                <w:b/>
                <w:bCs/>
                <w:kern w:val="0"/>
                <w:sz w:val="21"/>
              </w:rPr>
              <w:t>43,698.54</w:t>
            </w:r>
          </w:p>
        </w:tc>
      </w:tr>
    </w:tbl>
    <w:p>
      <w:pPr>
        <w:pStyle w:val="40"/>
        <w:autoSpaceDN w:val="0"/>
        <w:spacing w:line="590" w:lineRule="exact"/>
        <w:ind w:left="420" w:firstLine="200" w:firstLineChars="0"/>
        <w:outlineLvl w:val="1"/>
        <w:rPr>
          <w:rFonts w:ascii="楷体" w:hAnsi="楷体" w:eastAsia="楷体"/>
          <w:szCs w:val="30"/>
        </w:rPr>
      </w:pPr>
      <w:bookmarkStart w:id="18" w:name="_Toc9439737"/>
      <w:bookmarkStart w:id="19" w:name="_Toc144740041"/>
      <w:r>
        <w:rPr>
          <w:rFonts w:hint="eastAsia" w:ascii="楷体" w:hAnsi="楷体" w:eastAsia="楷体"/>
          <w:szCs w:val="30"/>
        </w:rPr>
        <w:t>（二）绩效目标设立情况</w:t>
      </w:r>
      <w:bookmarkEnd w:id="18"/>
      <w:bookmarkEnd w:id="19"/>
    </w:p>
    <w:p>
      <w:pPr>
        <w:autoSpaceDN w:val="0"/>
        <w:spacing w:line="590" w:lineRule="exact"/>
        <w:ind w:firstLine="630" w:firstLineChars="200"/>
      </w:pPr>
      <w:r>
        <w:rPr>
          <w:rFonts w:hint="eastAsia"/>
        </w:rPr>
        <w:t>玉溪市人民医院改扩建工程项目申报年份较早，未设置绩654目标及绩效指标。</w:t>
      </w:r>
    </w:p>
    <w:p>
      <w:pPr>
        <w:pStyle w:val="40"/>
        <w:autoSpaceDN w:val="0"/>
        <w:spacing w:line="590" w:lineRule="exact"/>
        <w:ind w:left="420" w:firstLine="200" w:firstLineChars="0"/>
        <w:outlineLvl w:val="1"/>
        <w:rPr>
          <w:rFonts w:ascii="楷体" w:hAnsi="楷体" w:eastAsia="楷体"/>
          <w:szCs w:val="30"/>
        </w:rPr>
      </w:pPr>
      <w:bookmarkStart w:id="20" w:name="_Toc144740042"/>
      <w:r>
        <w:rPr>
          <w:rFonts w:hint="eastAsia" w:ascii="楷体" w:hAnsi="楷体" w:eastAsia="楷体"/>
          <w:szCs w:val="30"/>
        </w:rPr>
        <w:t>（三）</w:t>
      </w:r>
      <w:r>
        <w:rPr>
          <w:rFonts w:ascii="楷体" w:hAnsi="楷体" w:eastAsia="楷体"/>
          <w:szCs w:val="30"/>
        </w:rPr>
        <w:t>项目组织管理情况</w:t>
      </w:r>
      <w:bookmarkEnd w:id="20"/>
    </w:p>
    <w:p>
      <w:pPr>
        <w:widowControl/>
        <w:autoSpaceDN w:val="0"/>
        <w:spacing w:line="590" w:lineRule="exact"/>
        <w:ind w:firstLine="630" w:firstLineChars="200"/>
        <w:outlineLvl w:val="2"/>
        <w:rPr>
          <w:rFonts w:hAnsi="仿宋"/>
          <w:szCs w:val="30"/>
        </w:rPr>
      </w:pPr>
      <w:bookmarkStart w:id="21" w:name="_Toc143294642"/>
      <w:bookmarkStart w:id="22" w:name="_Toc143605584"/>
      <w:bookmarkStart w:id="23" w:name="_Toc144740043"/>
      <w:bookmarkStart w:id="24" w:name="_Toc142490525"/>
      <w:bookmarkStart w:id="25" w:name="_Toc11427713"/>
      <w:r>
        <w:rPr>
          <w:rFonts w:hint="eastAsia" w:hAnsi="仿宋"/>
          <w:szCs w:val="30"/>
        </w:rPr>
        <w:t>1.项目相关方职责分工</w:t>
      </w:r>
      <w:bookmarkEnd w:id="21"/>
      <w:bookmarkEnd w:id="22"/>
      <w:bookmarkEnd w:id="23"/>
      <w:bookmarkEnd w:id="24"/>
    </w:p>
    <w:p>
      <w:pPr>
        <w:widowControl/>
        <w:autoSpaceDN w:val="0"/>
        <w:spacing w:line="590" w:lineRule="exact"/>
        <w:ind w:firstLine="630" w:firstLineChars="200"/>
        <w:rPr>
          <w:rFonts w:hAnsi="仿宋"/>
          <w:szCs w:val="30"/>
        </w:rPr>
      </w:pPr>
      <w:r>
        <w:rPr>
          <w:rFonts w:hint="eastAsia"/>
        </w:rPr>
        <w:t>玉溪市卫生健康委员会负责组织项目单位编制医院建设项目收支计划，做好医院建设专项债券的规划期限、投资计划、收益和融资平衡方案、预期收入等测算，配合做好医院建设专项债券发行准备工作；负责对医院建设资金项目建设情况动态监管；负责对医院建设项目的工程进度、质量安全等进行检查考核；严格审核资金支付审批表和支付依据等资料，负责组织医院建设项目的竣工验收。</w:t>
      </w:r>
    </w:p>
    <w:p>
      <w:pPr>
        <w:widowControl/>
        <w:autoSpaceDN w:val="0"/>
        <w:spacing w:line="590" w:lineRule="exact"/>
        <w:ind w:firstLine="630" w:firstLineChars="200"/>
        <w:rPr>
          <w:rFonts w:hAnsi="仿宋"/>
          <w:szCs w:val="30"/>
        </w:rPr>
      </w:pPr>
      <w:r>
        <w:rPr>
          <w:rFonts w:hint="eastAsia" w:hAnsi="仿宋"/>
          <w:szCs w:val="30"/>
        </w:rPr>
        <w:t>玉溪市财政局负责医院建设专项债券额度管理和预算管理，组织做好债券发行、还本付息等工作，并按照专项债务风险防控要求审核项目资金需求；负责对医院建设项目的实施情况评审；对医院建设专项债券资金专户进行监督；负责协调专项债券资金按时偿还。</w:t>
      </w:r>
    </w:p>
    <w:p>
      <w:pPr>
        <w:widowControl/>
        <w:autoSpaceDN w:val="0"/>
        <w:spacing w:line="590" w:lineRule="exact"/>
        <w:ind w:firstLine="630" w:firstLineChars="200"/>
        <w:rPr>
          <w:rFonts w:hAnsi="仿宋"/>
          <w:szCs w:val="30"/>
        </w:rPr>
      </w:pPr>
      <w:r>
        <w:rPr>
          <w:rFonts w:hint="eastAsia" w:hAnsi="仿宋"/>
          <w:szCs w:val="30"/>
        </w:rPr>
        <w:t>玉溪市人民医院负责向财政局和市卫生健康委员会上报资金需求、资金使用计划申请，按省财政部门的要求提供项目有关资料：对项目实施企业提供的医院建设专项债券资金拨付资料的真实性负责：承接医院建设专项债券资金；严格按照批准的资金用途合理使用债券资金，做到专款专用。提高资金使用效率，按时、足额偿还贷款本金、利息，按要求向市卫生健康委员会、财政局、审计局和债券存款银行报送医院建设专项债券资金项目进度说明和财务报表。</w:t>
      </w:r>
    </w:p>
    <w:p>
      <w:pPr>
        <w:widowControl/>
        <w:autoSpaceDN w:val="0"/>
        <w:spacing w:line="590" w:lineRule="exact"/>
        <w:ind w:firstLine="630" w:firstLineChars="200"/>
        <w:rPr>
          <w:rFonts w:hAnsi="仿宋"/>
          <w:szCs w:val="30"/>
        </w:rPr>
      </w:pPr>
      <w:r>
        <w:rPr>
          <w:rFonts w:hint="eastAsia" w:hAnsi="仿宋"/>
          <w:szCs w:val="30"/>
        </w:rPr>
        <w:t>代建单位是医院改扩建工程项目代建管理单位，负责参与项目前期工作，负责项目招投标、合同签订、投资控制、工程进度和质量监督、竣工验收备案、移交等工作。</w:t>
      </w:r>
    </w:p>
    <w:p>
      <w:pPr>
        <w:widowControl/>
        <w:autoSpaceDN w:val="0"/>
        <w:spacing w:line="590" w:lineRule="exact"/>
        <w:ind w:firstLine="630" w:firstLineChars="200"/>
        <w:outlineLvl w:val="2"/>
        <w:rPr>
          <w:rFonts w:hAnsi="仿宋"/>
          <w:szCs w:val="30"/>
        </w:rPr>
      </w:pPr>
      <w:bookmarkStart w:id="26" w:name="_Toc144740044"/>
      <w:bookmarkStart w:id="27" w:name="_Toc143294643"/>
      <w:bookmarkStart w:id="28" w:name="_Toc142490526"/>
      <w:bookmarkStart w:id="29" w:name="_Toc143605585"/>
      <w:r>
        <w:rPr>
          <w:rFonts w:hAnsi="仿宋"/>
          <w:szCs w:val="30"/>
        </w:rPr>
        <w:t>2</w:t>
      </w:r>
      <w:r>
        <w:rPr>
          <w:rFonts w:hint="eastAsia" w:hAnsi="仿宋"/>
          <w:szCs w:val="30"/>
        </w:rPr>
        <w:t>.管理流程</w:t>
      </w:r>
      <w:bookmarkEnd w:id="26"/>
      <w:bookmarkEnd w:id="27"/>
      <w:bookmarkEnd w:id="28"/>
      <w:bookmarkEnd w:id="29"/>
    </w:p>
    <w:p>
      <w:pPr>
        <w:pStyle w:val="7"/>
        <w:autoSpaceDN w:val="0"/>
        <w:spacing w:line="590" w:lineRule="exact"/>
        <w:ind w:firstLine="630" w:firstLineChars="200"/>
        <w:jc w:val="both"/>
        <w:rPr>
          <w:rFonts w:ascii="仿宋" w:hAnsi="仿宋" w:eastAsia="仿宋"/>
          <w:lang w:eastAsia="zh-CN"/>
        </w:rPr>
      </w:pPr>
      <w:r>
        <w:rPr>
          <w:rFonts w:hint="eastAsia" w:ascii="仿宋" w:hAnsi="仿宋" w:eastAsia="仿宋"/>
          <w:lang w:eastAsia="zh-CN"/>
        </w:rPr>
        <w:t>玉溪市卫生健康委员会组织办理项目前期批复，协调处理项目建设过程产生的问题，确保项目按照计划进行，监督项目建设质量、投资工期、安全等，保证项目按时按质按量完成。在专项债券申报阶段，市卫生健康委员会根据项目规模、投资额和资金来源等，与市财政局共同审核把关项目资料与专项债券方案，提出符合本项目专项债券申报要求的额度需求。专项债券发行完成后，市财政局督促项目实施单位及时足额上缴项目收益，根据项目还款计划按时偿还专项债券的本金和利息。</w:t>
      </w:r>
    </w:p>
    <w:p>
      <w:pPr>
        <w:widowControl/>
        <w:autoSpaceDN w:val="0"/>
        <w:spacing w:line="590" w:lineRule="exact"/>
        <w:ind w:firstLine="630" w:firstLineChars="200"/>
        <w:outlineLvl w:val="2"/>
        <w:rPr>
          <w:rFonts w:hAnsi="仿宋"/>
          <w:szCs w:val="30"/>
        </w:rPr>
      </w:pPr>
      <w:bookmarkStart w:id="30" w:name="_Toc143294644"/>
      <w:bookmarkStart w:id="31" w:name="_Toc143605586"/>
      <w:bookmarkStart w:id="32" w:name="_Toc142490527"/>
      <w:bookmarkStart w:id="33" w:name="_Toc144740045"/>
      <w:r>
        <w:rPr>
          <w:rFonts w:hAnsi="仿宋"/>
          <w:szCs w:val="30"/>
        </w:rPr>
        <w:t>3</w:t>
      </w:r>
      <w:r>
        <w:rPr>
          <w:rFonts w:hint="eastAsia" w:hAnsi="仿宋"/>
          <w:szCs w:val="30"/>
        </w:rPr>
        <w:t>.组织实施</w:t>
      </w:r>
      <w:bookmarkEnd w:id="30"/>
      <w:bookmarkEnd w:id="31"/>
      <w:bookmarkEnd w:id="32"/>
      <w:bookmarkEnd w:id="33"/>
    </w:p>
    <w:p>
      <w:pPr>
        <w:pStyle w:val="7"/>
        <w:autoSpaceDN w:val="0"/>
        <w:spacing w:line="590" w:lineRule="exact"/>
        <w:ind w:firstLine="630" w:firstLineChars="200"/>
        <w:jc w:val="both"/>
        <w:rPr>
          <w:rFonts w:ascii="仿宋" w:hAnsi="仿宋" w:eastAsia="仿宋"/>
          <w:lang w:eastAsia="zh-CN"/>
        </w:rPr>
      </w:pPr>
      <w:r>
        <w:rPr>
          <w:rFonts w:hint="eastAsia" w:ascii="仿宋" w:hAnsi="仿宋" w:eastAsia="仿宋"/>
          <w:lang w:eastAsia="zh-CN"/>
        </w:rPr>
        <w:t>玉溪市人民医院作为医院改扩建项目的实施主体，按照相关法律法规等实施基本建设程序，按要求落实法人责任制、招标投标制、工程监理制、合同管理制等，建设过程中以质量、投资、进度作为工程建设的三大控制目标，以工程合同、安全、信息作为工程建设的三大管理范畴，利用“组织、技术、经济、管理、合同”等措施严格控制，建设质量符合设计及国家规范要求，投资控制在目标值内，进度符合工期计划目标，变更的预防和控制科学合理，合同签批审核严格把控把关，安全管理及保障措施落实到位，确保项目顺利实施。</w:t>
      </w:r>
    </w:p>
    <w:p>
      <w:pPr>
        <w:widowControl/>
        <w:autoSpaceDN w:val="0"/>
        <w:spacing w:line="590" w:lineRule="exact"/>
        <w:ind w:firstLine="630" w:firstLineChars="200"/>
        <w:outlineLvl w:val="2"/>
        <w:rPr>
          <w:rFonts w:hAnsi="仿宋"/>
          <w:szCs w:val="30"/>
        </w:rPr>
      </w:pPr>
      <w:bookmarkStart w:id="34" w:name="_Toc144740046"/>
      <w:bookmarkStart w:id="35" w:name="_Toc143605587"/>
      <w:bookmarkStart w:id="36" w:name="_Toc142490528"/>
      <w:bookmarkStart w:id="37" w:name="_Toc143294645"/>
      <w:r>
        <w:rPr>
          <w:rFonts w:hAnsi="仿宋"/>
          <w:szCs w:val="30"/>
        </w:rPr>
        <w:t>4</w:t>
      </w:r>
      <w:r>
        <w:rPr>
          <w:rFonts w:hint="eastAsia" w:hAnsi="仿宋"/>
          <w:szCs w:val="30"/>
        </w:rPr>
        <w:t>.制度建设</w:t>
      </w:r>
      <w:bookmarkEnd w:id="25"/>
      <w:bookmarkEnd w:id="34"/>
      <w:bookmarkEnd w:id="35"/>
      <w:bookmarkEnd w:id="36"/>
      <w:bookmarkEnd w:id="37"/>
    </w:p>
    <w:p>
      <w:pPr>
        <w:widowControl/>
        <w:autoSpaceDN w:val="0"/>
        <w:spacing w:line="590" w:lineRule="exact"/>
        <w:ind w:firstLine="630" w:firstLineChars="200"/>
        <w:rPr>
          <w:rFonts w:hAnsi="仿宋"/>
          <w:szCs w:val="30"/>
        </w:rPr>
      </w:pPr>
      <w:r>
        <w:rPr>
          <w:rFonts w:hint="eastAsia" w:hAnsi="仿宋"/>
          <w:szCs w:val="30"/>
        </w:rPr>
        <w:t>为规范医院建设专项债券资金使用管理，确保专项债券项目有序推进和债券资金专款专用，充分发挥债券资金使用效益，市财政局和市卫生健康委员会制定了《玉溪市人民医院建设专项债券资金使用暂行管理办法》（玉财债〔20</w:t>
      </w:r>
      <w:r>
        <w:rPr>
          <w:rFonts w:hAnsi="仿宋"/>
          <w:szCs w:val="30"/>
        </w:rPr>
        <w:t>18</w:t>
      </w:r>
      <w:r>
        <w:rPr>
          <w:rFonts w:hint="eastAsia" w:hAnsi="仿宋"/>
          <w:szCs w:val="30"/>
        </w:rPr>
        <w:t>〕</w:t>
      </w:r>
      <w:r>
        <w:rPr>
          <w:rFonts w:hAnsi="仿宋"/>
          <w:szCs w:val="30"/>
        </w:rPr>
        <w:t>40</w:t>
      </w:r>
      <w:r>
        <w:rPr>
          <w:rFonts w:hint="eastAsia" w:hAnsi="仿宋"/>
          <w:szCs w:val="30"/>
        </w:rPr>
        <w:t>号），作为项目经费管理使用的制度依据，玉溪市人民医院制定了</w:t>
      </w:r>
      <w:r>
        <w:rPr>
          <w:rFonts w:hint="eastAsia" w:hAnsi="仿宋"/>
        </w:rPr>
        <w:t>《</w:t>
      </w:r>
      <w:r>
        <w:rPr>
          <w:rFonts w:hint="eastAsia" w:hAnsi="仿宋"/>
          <w:szCs w:val="30"/>
        </w:rPr>
        <w:t>玉溪市人民医院关于修订下发卫生事业专项资金管理规定的通知</w:t>
      </w:r>
      <w:r>
        <w:rPr>
          <w:rFonts w:hint="eastAsia" w:hAnsi="仿宋"/>
        </w:rPr>
        <w:t>》</w:t>
      </w:r>
      <w:r>
        <w:rPr>
          <w:rFonts w:hint="eastAsia" w:hAnsi="仿宋"/>
          <w:szCs w:val="30"/>
        </w:rPr>
        <w:t>（玉市医发〔20</w:t>
      </w:r>
      <w:r>
        <w:rPr>
          <w:rFonts w:hAnsi="仿宋"/>
          <w:szCs w:val="30"/>
        </w:rPr>
        <w:t>23</w:t>
      </w:r>
      <w:r>
        <w:rPr>
          <w:rFonts w:hint="eastAsia" w:hAnsi="仿宋"/>
          <w:szCs w:val="30"/>
        </w:rPr>
        <w:t>〕</w:t>
      </w:r>
      <w:r>
        <w:rPr>
          <w:rFonts w:hAnsi="仿宋"/>
          <w:szCs w:val="30"/>
        </w:rPr>
        <w:t>9</w:t>
      </w:r>
      <w:r>
        <w:rPr>
          <w:rFonts w:hint="eastAsia" w:hAnsi="仿宋"/>
          <w:szCs w:val="30"/>
        </w:rPr>
        <w:t>号）。</w:t>
      </w:r>
    </w:p>
    <w:bookmarkEnd w:id="5"/>
    <w:p>
      <w:pPr>
        <w:autoSpaceDN w:val="0"/>
        <w:spacing w:line="590" w:lineRule="exact"/>
        <w:ind w:firstLine="630" w:firstLineChars="200"/>
        <w:outlineLvl w:val="0"/>
        <w:rPr>
          <w:rFonts w:ascii="黑体" w:hAnsi="黑体" w:eastAsia="黑体" w:cs="宋体"/>
          <w:szCs w:val="30"/>
        </w:rPr>
      </w:pPr>
      <w:bookmarkStart w:id="38" w:name="_Toc18357"/>
      <w:bookmarkStart w:id="39" w:name="_Toc144740047"/>
      <w:r>
        <w:rPr>
          <w:rFonts w:hint="eastAsia" w:ascii="黑体" w:hAnsi="黑体" w:eastAsia="黑体" w:cs="宋体"/>
          <w:szCs w:val="30"/>
        </w:rPr>
        <w:t>二、绩效评价工作开展情况</w:t>
      </w:r>
      <w:bookmarkEnd w:id="38"/>
      <w:bookmarkEnd w:id="39"/>
    </w:p>
    <w:p>
      <w:pPr>
        <w:autoSpaceDN w:val="0"/>
        <w:spacing w:line="590" w:lineRule="exact"/>
        <w:ind w:firstLine="630" w:firstLineChars="200"/>
        <w:outlineLvl w:val="1"/>
        <w:rPr>
          <w:rFonts w:ascii="楷体" w:hAnsi="楷体" w:eastAsia="楷体" w:cs="楷体_GB2312"/>
          <w:szCs w:val="30"/>
        </w:rPr>
      </w:pPr>
      <w:bookmarkStart w:id="40" w:name="_Toc144740048"/>
      <w:bookmarkStart w:id="41" w:name="_Toc15890"/>
      <w:r>
        <w:rPr>
          <w:rFonts w:hint="eastAsia" w:ascii="楷体" w:hAnsi="楷体" w:eastAsia="楷体" w:cs="楷体_GB2312"/>
          <w:szCs w:val="30"/>
        </w:rPr>
        <w:t>（一）绩效评价目的、对象和范围</w:t>
      </w:r>
      <w:bookmarkEnd w:id="40"/>
      <w:bookmarkEnd w:id="41"/>
    </w:p>
    <w:p>
      <w:pPr>
        <w:widowControl/>
        <w:autoSpaceDN w:val="0"/>
        <w:spacing w:line="590" w:lineRule="exact"/>
        <w:ind w:firstLine="630" w:firstLineChars="200"/>
        <w:outlineLvl w:val="2"/>
        <w:rPr>
          <w:rFonts w:hAnsi="仿宋"/>
          <w:szCs w:val="30"/>
        </w:rPr>
      </w:pPr>
      <w:bookmarkStart w:id="42" w:name="_Toc143605590"/>
      <w:bookmarkStart w:id="43" w:name="_Toc143294648"/>
      <w:bookmarkStart w:id="44" w:name="_Toc142490531"/>
      <w:bookmarkStart w:id="45" w:name="_Toc144740049"/>
      <w:r>
        <w:rPr>
          <w:rFonts w:hint="eastAsia" w:hAnsi="仿宋"/>
          <w:szCs w:val="30"/>
        </w:rPr>
        <w:t>1</w:t>
      </w:r>
      <w:r>
        <w:rPr>
          <w:rFonts w:hAnsi="仿宋"/>
          <w:szCs w:val="30"/>
        </w:rPr>
        <w:t>.</w:t>
      </w:r>
      <w:r>
        <w:rPr>
          <w:rFonts w:hint="eastAsia" w:hAnsi="仿宋"/>
          <w:szCs w:val="30"/>
        </w:rPr>
        <w:t>绩效评价目的</w:t>
      </w:r>
      <w:bookmarkEnd w:id="42"/>
      <w:bookmarkEnd w:id="43"/>
      <w:bookmarkEnd w:id="44"/>
      <w:bookmarkEnd w:id="45"/>
    </w:p>
    <w:p>
      <w:pPr>
        <w:autoSpaceDN w:val="0"/>
        <w:spacing w:line="590" w:lineRule="exact"/>
        <w:ind w:firstLine="630" w:firstLineChars="200"/>
        <w:rPr>
          <w:rFonts w:hAnsi="仿宋" w:cs="仿宋_GB2312"/>
          <w:szCs w:val="30"/>
        </w:rPr>
      </w:pPr>
      <w:r>
        <w:rPr>
          <w:rFonts w:hint="eastAsia" w:hAnsi="仿宋" w:cs="仿宋_GB2312"/>
          <w:szCs w:val="30"/>
        </w:rPr>
        <w:t>通过评价客观的反映专项债券投入后项目实施单位建设项目、经营管理、资金使用、项目实施成效及绩效目标完成情况，总结经验和做法，分析产生问题和原因，提出解决措施和办法。为进一步规范财政资金运行和预算绩效管理，推动相关方有效履职，优化资源配置，强化支出责任，为提高财政资金使用效益提供支撑。</w:t>
      </w:r>
    </w:p>
    <w:p>
      <w:pPr>
        <w:widowControl/>
        <w:autoSpaceDN w:val="0"/>
        <w:spacing w:line="590" w:lineRule="exact"/>
        <w:ind w:firstLine="630" w:firstLineChars="200"/>
        <w:outlineLvl w:val="2"/>
        <w:rPr>
          <w:rFonts w:hAnsi="仿宋"/>
          <w:szCs w:val="30"/>
        </w:rPr>
      </w:pPr>
      <w:bookmarkStart w:id="46" w:name="_Toc142490532"/>
      <w:bookmarkStart w:id="47" w:name="_Toc143605591"/>
      <w:bookmarkStart w:id="48" w:name="_Toc143294649"/>
      <w:bookmarkStart w:id="49" w:name="_Toc144740050"/>
      <w:r>
        <w:rPr>
          <w:rFonts w:hint="eastAsia" w:hAnsi="仿宋"/>
          <w:szCs w:val="30"/>
        </w:rPr>
        <w:t>2</w:t>
      </w:r>
      <w:r>
        <w:rPr>
          <w:rFonts w:hAnsi="仿宋"/>
          <w:szCs w:val="30"/>
        </w:rPr>
        <w:t>.</w:t>
      </w:r>
      <w:r>
        <w:rPr>
          <w:rFonts w:hint="eastAsia" w:hAnsi="仿宋"/>
          <w:szCs w:val="30"/>
        </w:rPr>
        <w:t>绩效评价对象和范围</w:t>
      </w:r>
      <w:bookmarkEnd w:id="46"/>
      <w:bookmarkEnd w:id="47"/>
      <w:bookmarkEnd w:id="48"/>
      <w:bookmarkEnd w:id="49"/>
    </w:p>
    <w:p>
      <w:pPr>
        <w:autoSpaceDN w:val="0"/>
        <w:spacing w:line="590" w:lineRule="exact"/>
        <w:ind w:firstLine="630" w:firstLineChars="200"/>
        <w:rPr>
          <w:rFonts w:hAnsi="仿宋" w:cs="仿宋_GB2312"/>
          <w:szCs w:val="30"/>
        </w:rPr>
      </w:pPr>
      <w:r>
        <w:rPr>
          <w:rFonts w:hint="eastAsia" w:hAnsi="仿宋" w:cs="仿宋_GB2312"/>
          <w:szCs w:val="30"/>
        </w:rPr>
        <w:t>本次绩效评价对象为玉溪市人民医院改扩建工程项目，评价范围涉及玉溪市卫生健康委员会、玉溪市人民医院及代建单位。</w:t>
      </w:r>
    </w:p>
    <w:p>
      <w:pPr>
        <w:autoSpaceDN w:val="0"/>
        <w:spacing w:line="590" w:lineRule="exact"/>
        <w:ind w:firstLine="630" w:firstLineChars="200"/>
        <w:outlineLvl w:val="1"/>
        <w:rPr>
          <w:rFonts w:ascii="楷体" w:hAnsi="楷体" w:eastAsia="楷体" w:cs="楷体_GB2312"/>
          <w:szCs w:val="30"/>
        </w:rPr>
      </w:pPr>
      <w:bookmarkStart w:id="50" w:name="_Toc22725"/>
      <w:bookmarkStart w:id="51" w:name="_Toc144740051"/>
      <w:r>
        <w:rPr>
          <w:rFonts w:hint="eastAsia" w:ascii="楷体" w:hAnsi="楷体" w:eastAsia="楷体" w:cs="楷体_GB2312"/>
          <w:szCs w:val="30"/>
        </w:rPr>
        <w:t>（二）绩效评价原则、评价指标体系、评价方法、评价标准和评价抽样</w:t>
      </w:r>
      <w:bookmarkEnd w:id="50"/>
      <w:bookmarkEnd w:id="51"/>
    </w:p>
    <w:p>
      <w:pPr>
        <w:widowControl/>
        <w:autoSpaceDN w:val="0"/>
        <w:spacing w:line="590" w:lineRule="exact"/>
        <w:ind w:firstLine="630" w:firstLineChars="200"/>
        <w:outlineLvl w:val="2"/>
        <w:rPr>
          <w:rFonts w:hAnsi="仿宋"/>
          <w:szCs w:val="30"/>
        </w:rPr>
      </w:pPr>
      <w:bookmarkStart w:id="52" w:name="_Toc143605593"/>
      <w:bookmarkStart w:id="53" w:name="_Toc144740052"/>
      <w:bookmarkStart w:id="54" w:name="_Toc142490534"/>
      <w:bookmarkStart w:id="55" w:name="_Toc143294651"/>
      <w:bookmarkStart w:id="56" w:name="_Toc9899"/>
      <w:r>
        <w:rPr>
          <w:rFonts w:hint="eastAsia" w:hAnsi="仿宋"/>
          <w:szCs w:val="30"/>
        </w:rPr>
        <w:t>1.绩效评价原则</w:t>
      </w:r>
      <w:bookmarkEnd w:id="52"/>
      <w:bookmarkEnd w:id="53"/>
      <w:bookmarkEnd w:id="54"/>
      <w:bookmarkEnd w:id="55"/>
    </w:p>
    <w:p>
      <w:pPr>
        <w:autoSpaceDN w:val="0"/>
        <w:spacing w:line="590" w:lineRule="exact"/>
        <w:ind w:firstLine="630" w:firstLineChars="200"/>
        <w:rPr>
          <w:rFonts w:hAnsi="仿宋" w:cs="仿宋_GB2312"/>
          <w:szCs w:val="30"/>
        </w:rPr>
      </w:pPr>
      <w:r>
        <w:rPr>
          <w:rFonts w:hint="eastAsia" w:hAnsi="仿宋" w:cs="仿宋_GB2312"/>
          <w:szCs w:val="30"/>
        </w:rPr>
        <w:t>本次绩效评价遵循科学公正、统筹兼顾、激励约束、公开透明的基本原则：</w:t>
      </w:r>
    </w:p>
    <w:p>
      <w:pPr>
        <w:autoSpaceDN w:val="0"/>
        <w:spacing w:line="590" w:lineRule="exact"/>
        <w:ind w:firstLine="630" w:firstLineChars="200"/>
        <w:rPr>
          <w:rFonts w:hAnsi="仿宋" w:cs="仿宋_GB2312"/>
          <w:szCs w:val="30"/>
        </w:rPr>
      </w:pPr>
      <w:r>
        <w:rPr>
          <w:rFonts w:hint="eastAsia" w:hAnsi="仿宋" w:cs="仿宋_GB2312"/>
          <w:szCs w:val="30"/>
        </w:rPr>
        <w:t>（</w:t>
      </w:r>
      <w:r>
        <w:rPr>
          <w:rFonts w:hAnsi="仿宋" w:cs="仿宋_GB2312"/>
          <w:szCs w:val="30"/>
        </w:rPr>
        <w:t>1</w:t>
      </w:r>
      <w:r>
        <w:rPr>
          <w:rFonts w:hint="eastAsia" w:hAnsi="仿宋" w:cs="仿宋_GB2312"/>
          <w:szCs w:val="30"/>
        </w:rPr>
        <w:t>）科学公正原则。运用科学合理的方法，按照规范的程序，对项目绩效进行客观、公正的反映。</w:t>
      </w:r>
    </w:p>
    <w:p>
      <w:pPr>
        <w:autoSpaceDN w:val="0"/>
        <w:spacing w:line="590" w:lineRule="exact"/>
        <w:ind w:firstLine="630" w:firstLineChars="200"/>
        <w:rPr>
          <w:rFonts w:hAnsi="仿宋" w:cs="仿宋_GB2312"/>
          <w:szCs w:val="30"/>
        </w:rPr>
      </w:pPr>
      <w:r>
        <w:rPr>
          <w:rFonts w:hAnsi="仿宋" w:cs="仿宋_GB2312"/>
          <w:szCs w:val="30"/>
        </w:rPr>
        <w:t>（2</w:t>
      </w:r>
      <w:r>
        <w:rPr>
          <w:rFonts w:hint="eastAsia" w:hAnsi="仿宋" w:cs="仿宋_GB2312"/>
          <w:szCs w:val="30"/>
        </w:rPr>
        <w:t>）统筹兼顾原则。职责明确，在单位绩效管理工作的基础上开展此次绩效评价工作。</w:t>
      </w:r>
    </w:p>
    <w:p>
      <w:pPr>
        <w:autoSpaceDN w:val="0"/>
        <w:spacing w:line="590" w:lineRule="exact"/>
        <w:ind w:firstLine="630" w:firstLineChars="200"/>
        <w:rPr>
          <w:rFonts w:hAnsi="仿宋" w:cs="仿宋_GB2312"/>
          <w:szCs w:val="30"/>
        </w:rPr>
      </w:pPr>
      <w:r>
        <w:rPr>
          <w:rFonts w:hint="eastAsia" w:hAnsi="仿宋" w:cs="仿宋_GB2312"/>
          <w:szCs w:val="30"/>
        </w:rPr>
        <w:t>（3）激励约束原则。绩效评价结果与预算安排、政策调整、改进管理实质性挂钩，体现奖优罚劣和激励相容导向，有效要安排、低效要压减、无效要问责。</w:t>
      </w:r>
    </w:p>
    <w:p>
      <w:pPr>
        <w:autoSpaceDN w:val="0"/>
        <w:spacing w:line="590" w:lineRule="exact"/>
        <w:ind w:firstLine="630" w:firstLineChars="200"/>
        <w:rPr>
          <w:rFonts w:hAnsi="仿宋" w:cs="仿宋_GB2312"/>
          <w:szCs w:val="30"/>
        </w:rPr>
      </w:pPr>
      <w:r>
        <w:rPr>
          <w:rFonts w:hint="eastAsia" w:hAnsi="仿宋" w:cs="仿宋_GB2312"/>
          <w:szCs w:val="30"/>
        </w:rPr>
        <w:t>（4）公开透明原则。绩效评价结果依法依规公开，并自觉接受社会监督。</w:t>
      </w:r>
    </w:p>
    <w:p>
      <w:pPr>
        <w:widowControl/>
        <w:autoSpaceDN w:val="0"/>
        <w:spacing w:line="590" w:lineRule="exact"/>
        <w:ind w:firstLine="630" w:firstLineChars="200"/>
        <w:outlineLvl w:val="2"/>
        <w:rPr>
          <w:rFonts w:hAnsi="仿宋"/>
          <w:szCs w:val="30"/>
        </w:rPr>
      </w:pPr>
      <w:bookmarkStart w:id="57" w:name="_Toc143605594"/>
      <w:bookmarkStart w:id="58" w:name="_Toc143294652"/>
      <w:bookmarkStart w:id="59" w:name="_Toc144740053"/>
      <w:bookmarkStart w:id="60" w:name="_Toc142490535"/>
      <w:r>
        <w:rPr>
          <w:rFonts w:hint="eastAsia" w:hAnsi="仿宋"/>
          <w:szCs w:val="30"/>
        </w:rPr>
        <w:t>2.绩效评价指标体系</w:t>
      </w:r>
      <w:bookmarkEnd w:id="57"/>
      <w:bookmarkEnd w:id="58"/>
      <w:bookmarkEnd w:id="59"/>
      <w:bookmarkEnd w:id="60"/>
    </w:p>
    <w:p>
      <w:pPr>
        <w:autoSpaceDN w:val="0"/>
        <w:spacing w:line="590" w:lineRule="exact"/>
        <w:ind w:firstLine="630" w:firstLineChars="200"/>
        <w:rPr>
          <w:rFonts w:hAnsi="仿宋" w:cs="仿宋_GB2312"/>
          <w:szCs w:val="30"/>
        </w:rPr>
      </w:pPr>
      <w:bookmarkStart w:id="61" w:name="_Toc73936743"/>
      <w:bookmarkStart w:id="62" w:name="_Toc11440974"/>
      <w:bookmarkStart w:id="63" w:name="_Toc11440975"/>
      <w:r>
        <w:rPr>
          <w:rFonts w:hint="eastAsia" w:hAnsi="仿宋" w:cs="仿宋_GB2312"/>
          <w:szCs w:val="30"/>
        </w:rPr>
        <w:t>（1）绩效评价指标</w:t>
      </w:r>
      <w:bookmarkEnd w:id="61"/>
      <w:bookmarkEnd w:id="62"/>
    </w:p>
    <w:p>
      <w:pPr>
        <w:autoSpaceDN w:val="0"/>
        <w:spacing w:line="590" w:lineRule="exact"/>
        <w:ind w:firstLine="630" w:firstLineChars="200"/>
        <w:rPr>
          <w:rFonts w:hAnsi="仿宋" w:cs="仿宋_GB2312"/>
          <w:szCs w:val="30"/>
        </w:rPr>
      </w:pPr>
      <w:bookmarkStart w:id="64" w:name="_Hlk136374216"/>
      <w:r>
        <w:rPr>
          <w:rFonts w:hint="eastAsia" w:hAnsi="仿宋" w:cs="仿宋_GB2312"/>
          <w:szCs w:val="30"/>
        </w:rPr>
        <w:t>本项目未设置绩效目标和指标，结合本项目专项债申报实施方案中项目实施内容和本项目可研批复中的主要建设内容，评价组重新梳理了绩效目标和绩效指标。</w:t>
      </w:r>
    </w:p>
    <w:p>
      <w:pPr>
        <w:autoSpaceDN w:val="0"/>
        <w:spacing w:line="590" w:lineRule="exact"/>
        <w:ind w:firstLine="630" w:firstLineChars="200"/>
        <w:rPr>
          <w:rFonts w:hAnsi="仿宋" w:cs="仿宋_GB2312"/>
          <w:szCs w:val="30"/>
        </w:rPr>
      </w:pPr>
      <w:r>
        <w:rPr>
          <w:rFonts w:hint="eastAsia" w:hAnsi="仿宋" w:cs="仿宋_GB2312"/>
          <w:szCs w:val="30"/>
        </w:rPr>
        <w:t>调整后的绩效目标为：为深化云南省“十三五”医药卫生体制改革，实现“基本建立覆盖城乡居民的基本医疗卫生制度，实现人人享有公平可及的基本医疗卫生服务”的总体目标，促进玉溪市医疗卫生事业的发展，实施玉溪市人民医院改扩建项目，通过建设门诊医技综合用房、住院用房和全科医生临床培养基地，新增设置1000张床位，新增特需及VIP病房、新生重症监护病房和产科产房、急诊医学科建设等，解决病床紧张、住院难、就诊流程不顺畅等问题，改善玉溪市人民医院的医疗服务条件和工作环境，扩大服务量，完善服务功能，推动玉溪市卫生事业的发展，逐步实现公共医疗卫生服务能力均等化。</w:t>
      </w:r>
    </w:p>
    <w:p>
      <w:pPr>
        <w:autoSpaceDN w:val="0"/>
        <w:spacing w:line="590" w:lineRule="exact"/>
        <w:ind w:firstLine="630" w:firstLineChars="200"/>
        <w:rPr>
          <w:rFonts w:hAnsi="仿宋" w:cs="仿宋_GB2312"/>
          <w:szCs w:val="30"/>
        </w:rPr>
      </w:pPr>
      <w:r>
        <w:rPr>
          <w:rFonts w:hint="eastAsia" w:hAnsi="仿宋" w:cs="仿宋_GB2312"/>
          <w:szCs w:val="30"/>
        </w:rPr>
        <w:t>将调整后的绩效目标进行分解，调整后的绩效指标为：调整后设置了绩效指标</w:t>
      </w:r>
      <w:r>
        <w:rPr>
          <w:rFonts w:hAnsi="仿宋" w:cs="仿宋_GB2312"/>
          <w:szCs w:val="30"/>
        </w:rPr>
        <w:t>17</w:t>
      </w:r>
      <w:r>
        <w:rPr>
          <w:rFonts w:hint="eastAsia" w:hAnsi="仿宋" w:cs="仿宋_GB2312"/>
          <w:szCs w:val="30"/>
        </w:rPr>
        <w:t>项。其中数量指标</w:t>
      </w:r>
      <w:r>
        <w:rPr>
          <w:rFonts w:hAnsi="仿宋" w:cs="仿宋_GB2312"/>
          <w:szCs w:val="30"/>
        </w:rPr>
        <w:t>3</w:t>
      </w:r>
      <w:r>
        <w:rPr>
          <w:rFonts w:hint="eastAsia" w:hAnsi="仿宋" w:cs="仿宋_GB2312"/>
          <w:szCs w:val="30"/>
        </w:rPr>
        <w:t>项，质量指标2项，成本指标1项，时效指标1项，经济效益指标</w:t>
      </w:r>
      <w:r>
        <w:rPr>
          <w:rFonts w:hAnsi="仿宋" w:cs="仿宋_GB2312"/>
          <w:szCs w:val="30"/>
        </w:rPr>
        <w:t>2</w:t>
      </w:r>
      <w:r>
        <w:rPr>
          <w:rFonts w:hint="eastAsia" w:hAnsi="仿宋" w:cs="仿宋_GB2312"/>
          <w:szCs w:val="30"/>
        </w:rPr>
        <w:t>项，社会效益指标4项，可持续效益指标2项，满意度指标2项，详见附件1。</w:t>
      </w:r>
    </w:p>
    <w:p>
      <w:pPr>
        <w:autoSpaceDN w:val="0"/>
        <w:spacing w:line="590" w:lineRule="exact"/>
        <w:ind w:firstLine="630" w:firstLineChars="200"/>
        <w:rPr>
          <w:rFonts w:hAnsi="仿宋" w:cs="仿宋_GB2312"/>
          <w:szCs w:val="30"/>
        </w:rPr>
      </w:pPr>
      <w:r>
        <w:rPr>
          <w:rFonts w:hint="eastAsia" w:hAnsi="仿宋" w:cs="仿宋_GB2312"/>
          <w:szCs w:val="30"/>
        </w:rPr>
        <w:t>本次绩效评价指标体系共有三级指标，一级指标4个（决策、过程、产出和效益），二级指标</w:t>
      </w:r>
      <w:r>
        <w:rPr>
          <w:rFonts w:hAnsi="仿宋" w:cs="仿宋_GB2312"/>
          <w:szCs w:val="30"/>
        </w:rPr>
        <w:t>13</w:t>
      </w:r>
      <w:r>
        <w:rPr>
          <w:rFonts w:hint="eastAsia" w:hAnsi="仿宋" w:cs="仿宋_GB2312"/>
          <w:szCs w:val="30"/>
        </w:rPr>
        <w:t>个，三级指标</w:t>
      </w:r>
      <w:r>
        <w:rPr>
          <w:rFonts w:hAnsi="仿宋" w:cs="仿宋_GB2312"/>
          <w:szCs w:val="30"/>
        </w:rPr>
        <w:t>27</w:t>
      </w:r>
      <w:r>
        <w:rPr>
          <w:rFonts w:hint="eastAsia" w:hAnsi="仿宋" w:cs="仿宋_GB2312"/>
          <w:szCs w:val="30"/>
        </w:rPr>
        <w:t>个。</w:t>
      </w:r>
      <w:bookmarkEnd w:id="64"/>
      <w:r>
        <w:rPr>
          <w:rFonts w:hint="eastAsia" w:hAnsi="仿宋" w:cs="仿宋_GB2312"/>
          <w:szCs w:val="30"/>
        </w:rPr>
        <w:t>具体详见附件</w:t>
      </w:r>
      <w:r>
        <w:rPr>
          <w:rFonts w:hAnsi="仿宋" w:cs="仿宋_GB2312"/>
          <w:szCs w:val="30"/>
        </w:rPr>
        <w:t>2。</w:t>
      </w:r>
    </w:p>
    <w:p>
      <w:pPr>
        <w:autoSpaceDN w:val="0"/>
        <w:spacing w:line="590" w:lineRule="exact"/>
        <w:ind w:firstLine="630" w:firstLineChars="200"/>
        <w:rPr>
          <w:rFonts w:hAnsi="仿宋" w:cs="仿宋_GB2312"/>
          <w:szCs w:val="30"/>
        </w:rPr>
      </w:pPr>
      <w:bookmarkStart w:id="65" w:name="_Toc73936744"/>
      <w:r>
        <w:rPr>
          <w:rFonts w:hint="eastAsia" w:hAnsi="仿宋" w:cs="仿宋_GB2312"/>
          <w:szCs w:val="30"/>
        </w:rPr>
        <w:t>（2）绩效评价指标分值权重</w:t>
      </w:r>
      <w:bookmarkEnd w:id="65"/>
    </w:p>
    <w:p>
      <w:pPr>
        <w:autoSpaceDN w:val="0"/>
        <w:spacing w:line="590" w:lineRule="exact"/>
        <w:ind w:firstLine="630" w:firstLineChars="200"/>
        <w:rPr>
          <w:rFonts w:hAnsi="仿宋" w:cs="仿宋_GB2312"/>
          <w:szCs w:val="30"/>
        </w:rPr>
      </w:pPr>
      <w:bookmarkStart w:id="66" w:name="_Toc11440976"/>
      <w:r>
        <w:rPr>
          <w:rFonts w:hint="eastAsia" w:hAnsi="仿宋" w:cs="仿宋_GB2312"/>
          <w:szCs w:val="30"/>
        </w:rPr>
        <w:t>结合玉溪市人民医院改扩建项目的实施背景与绩效目标，通过与相关专业人员开展讨论，征求项目实施主管部门意见，综合判断各级评价指标对实现绩效目标的关键程度为基础，确定各评价指标的分值权重。决策指标权重为15%；过程指标权重为20%；产出指标权重为30%；效益指标权重为35%。</w:t>
      </w:r>
    </w:p>
    <w:p>
      <w:pPr>
        <w:autoSpaceDN w:val="0"/>
        <w:spacing w:line="590" w:lineRule="exact"/>
        <w:ind w:firstLine="630" w:firstLineChars="200"/>
        <w:rPr>
          <w:rFonts w:hAnsi="仿宋" w:cs="仿宋_GB2312"/>
          <w:szCs w:val="30"/>
        </w:rPr>
      </w:pPr>
      <w:bookmarkStart w:id="67" w:name="_Toc73936745"/>
      <w:r>
        <w:rPr>
          <w:rFonts w:hint="eastAsia" w:hAnsi="仿宋" w:cs="仿宋_GB2312"/>
          <w:szCs w:val="30"/>
        </w:rPr>
        <w:t>（3）指标解释</w:t>
      </w:r>
      <w:bookmarkEnd w:id="66"/>
      <w:bookmarkEnd w:id="67"/>
    </w:p>
    <w:bookmarkEnd w:id="63"/>
    <w:p>
      <w:pPr>
        <w:autoSpaceDN w:val="0"/>
        <w:spacing w:line="590" w:lineRule="exact"/>
        <w:ind w:firstLine="630" w:firstLineChars="200"/>
        <w:rPr>
          <w:rFonts w:hAnsi="仿宋" w:cs="仿宋_GB2312"/>
          <w:szCs w:val="30"/>
        </w:rPr>
      </w:pPr>
      <w:bookmarkStart w:id="68" w:name="_Hlk136374709"/>
      <w:r>
        <w:rPr>
          <w:rFonts w:hint="eastAsia" w:hAnsi="仿宋" w:cs="仿宋_GB2312"/>
          <w:szCs w:val="30"/>
        </w:rPr>
        <w:t>绩效评价指标体系以项目管理流程所包含的“决策-过程-产出-效益”环节为依据，将绩效评价指标划分为决策、过程、产出、效益四个方面，作为一级指标，对专项资金进行全面绩效评价。</w:t>
      </w:r>
    </w:p>
    <w:p>
      <w:pPr>
        <w:autoSpaceDN w:val="0"/>
        <w:spacing w:line="590" w:lineRule="exact"/>
        <w:ind w:firstLine="630" w:firstLineChars="200"/>
        <w:rPr>
          <w:rFonts w:hAnsi="仿宋" w:cs="仿宋_GB2312"/>
          <w:szCs w:val="30"/>
        </w:rPr>
      </w:pPr>
      <w:r>
        <w:rPr>
          <w:rFonts w:hint="eastAsia" w:hAnsi="仿宋" w:cs="仿宋_GB2312"/>
          <w:szCs w:val="30"/>
        </w:rPr>
        <w:t>①决策：反映项目前期工作准备情况。根据项目特点，结合关键评价问题，将决策指标分解为项目立项、工作任务目标和资金投入3个二级指标，主要考核立项依据充分性、立项程序规范性、工作任务目标合理性、实施方案编制科学性、专债资金投入合理性等方面。</w:t>
      </w:r>
    </w:p>
    <w:p>
      <w:pPr>
        <w:autoSpaceDN w:val="0"/>
        <w:spacing w:line="590" w:lineRule="exact"/>
        <w:ind w:firstLine="630" w:firstLineChars="200"/>
        <w:rPr>
          <w:rFonts w:hAnsi="仿宋" w:cs="仿宋_GB2312"/>
          <w:szCs w:val="30"/>
        </w:rPr>
      </w:pPr>
      <w:r>
        <w:rPr>
          <w:rFonts w:hint="eastAsia" w:hAnsi="仿宋" w:cs="仿宋_GB2312"/>
          <w:szCs w:val="30"/>
        </w:rPr>
        <w:t>②过程：反映项目过程管理情况。结合项目特点及评价要点，将过程指标分解为资金管理、组织实施2个二级指标，主要考核专债资金管理合规性、项目资金到位率、项目资金执行率、资金使用合规性、制度健全性、制度执行规范性及绩效管理情况等方面。</w:t>
      </w:r>
    </w:p>
    <w:p>
      <w:pPr>
        <w:autoSpaceDN w:val="0"/>
        <w:spacing w:line="590" w:lineRule="exact"/>
        <w:ind w:firstLine="630" w:firstLineChars="200"/>
        <w:rPr>
          <w:rFonts w:hAnsi="仿宋" w:cs="仿宋_GB2312"/>
          <w:szCs w:val="30"/>
        </w:rPr>
      </w:pPr>
      <w:r>
        <w:rPr>
          <w:rFonts w:hint="eastAsia" w:hAnsi="仿宋" w:cs="仿宋_GB2312"/>
          <w:szCs w:val="30"/>
        </w:rPr>
        <w:t>③产出：反映项目实施是否实现预期任务目标。结合项目特点及评价要点，将产出指标细化为产出数量、产出质量、产出成本、产出时效4个二级指标，主要考核项目建设完成情况、竣工验收合格率、质量与安全控制有效性、建设完成及时性、建设投资控制有效性等方面。</w:t>
      </w:r>
    </w:p>
    <w:p>
      <w:pPr>
        <w:autoSpaceDN w:val="0"/>
        <w:spacing w:line="590" w:lineRule="exact"/>
        <w:ind w:firstLine="630" w:firstLineChars="200"/>
        <w:rPr>
          <w:rFonts w:hAnsi="仿宋" w:cs="仿宋_GB2312"/>
          <w:szCs w:val="30"/>
        </w:rPr>
      </w:pPr>
      <w:r>
        <w:rPr>
          <w:rFonts w:hint="eastAsia" w:hAnsi="仿宋" w:cs="仿宋_GB2312"/>
          <w:szCs w:val="30"/>
        </w:rPr>
        <w:t>④效益：反映通过项目预期可产生的效益情况。结合项目特点及评价要点，将效益指标细化为经济效益、社会效益、可持续性和满意度4个二级指标，主要考核医院门诊及住院收入年平均增长率、门诊及住院人数年平均增长率、新增床位利用率、辖区内就医条件改善情况、项目融资收益平衡性、专债风险可控性、患者及医院员工满意度等方面。</w:t>
      </w:r>
      <w:bookmarkEnd w:id="68"/>
    </w:p>
    <w:p>
      <w:pPr>
        <w:widowControl/>
        <w:autoSpaceDN w:val="0"/>
        <w:spacing w:line="590" w:lineRule="exact"/>
        <w:ind w:firstLine="630" w:firstLineChars="200"/>
        <w:outlineLvl w:val="2"/>
        <w:rPr>
          <w:rFonts w:hAnsi="仿宋"/>
          <w:szCs w:val="30"/>
        </w:rPr>
      </w:pPr>
      <w:bookmarkStart w:id="69" w:name="_Toc144740054"/>
      <w:bookmarkStart w:id="70" w:name="_Toc143605595"/>
      <w:bookmarkStart w:id="71" w:name="_Toc142490536"/>
      <w:bookmarkStart w:id="72" w:name="_Toc143294653"/>
      <w:r>
        <w:rPr>
          <w:rFonts w:hint="eastAsia" w:hAnsi="仿宋"/>
          <w:szCs w:val="30"/>
        </w:rPr>
        <w:t>3.绩效评价方法</w:t>
      </w:r>
      <w:bookmarkEnd w:id="69"/>
      <w:bookmarkEnd w:id="70"/>
      <w:bookmarkEnd w:id="71"/>
      <w:bookmarkEnd w:id="72"/>
    </w:p>
    <w:p>
      <w:pPr>
        <w:autoSpaceDN w:val="0"/>
        <w:spacing w:line="590" w:lineRule="exact"/>
        <w:ind w:firstLine="630" w:firstLineChars="200"/>
        <w:rPr>
          <w:rFonts w:hAnsi="仿宋" w:cs="仿宋_GB2312"/>
          <w:szCs w:val="30"/>
        </w:rPr>
      </w:pPr>
      <w:r>
        <w:rPr>
          <w:rFonts w:hint="eastAsia" w:hAnsi="仿宋" w:cs="仿宋_GB2312"/>
          <w:szCs w:val="30"/>
        </w:rPr>
        <w:t>结合本次绩效评价项目的具体情况，本次绩效评价采用定量与定性相结合，对收集的相关基础资料、各种技术经济数据，在归集、整理、分析的基础上，结合项目特点确定评价方法，主要的评价方法有：</w:t>
      </w:r>
    </w:p>
    <w:p>
      <w:pPr>
        <w:autoSpaceDN w:val="0"/>
        <w:spacing w:line="590" w:lineRule="exact"/>
        <w:ind w:firstLine="630" w:firstLineChars="200"/>
        <w:rPr>
          <w:rFonts w:hAnsi="仿宋" w:cs="仿宋_GB2312"/>
          <w:szCs w:val="30"/>
        </w:rPr>
      </w:pPr>
      <w:r>
        <w:rPr>
          <w:rFonts w:hint="eastAsia" w:hAnsi="仿宋" w:cs="仿宋_GB2312"/>
          <w:szCs w:val="30"/>
        </w:rPr>
        <w:t>（1）综合比较法</w:t>
      </w:r>
    </w:p>
    <w:p>
      <w:pPr>
        <w:autoSpaceDN w:val="0"/>
        <w:spacing w:line="590" w:lineRule="exact"/>
        <w:ind w:firstLine="630" w:firstLineChars="200"/>
        <w:rPr>
          <w:rFonts w:hAnsi="仿宋" w:cs="仿宋_GB2312"/>
          <w:szCs w:val="30"/>
        </w:rPr>
      </w:pPr>
      <w:r>
        <w:rPr>
          <w:rFonts w:hint="eastAsia" w:hAnsi="仿宋" w:cs="仿宋_GB2312"/>
          <w:szCs w:val="30"/>
        </w:rPr>
        <w:t>对项目实际情况，采取不同维度的比较方法。对于实施目的明确，绩效目标连续的项目内容，将当期经济效益或社会效益水平与预先目标标准进行对比分析。</w:t>
      </w:r>
    </w:p>
    <w:p>
      <w:pPr>
        <w:autoSpaceDN w:val="0"/>
        <w:spacing w:line="590" w:lineRule="exact"/>
        <w:ind w:firstLine="630" w:firstLineChars="200"/>
        <w:rPr>
          <w:rFonts w:hAnsi="仿宋" w:cs="仿宋_GB2312"/>
          <w:szCs w:val="30"/>
        </w:rPr>
      </w:pPr>
      <w:r>
        <w:rPr>
          <w:rFonts w:hint="eastAsia" w:hAnsi="仿宋" w:cs="仿宋_GB2312"/>
          <w:szCs w:val="30"/>
        </w:rPr>
        <w:t>（2）因素分析法</w:t>
      </w:r>
    </w:p>
    <w:p>
      <w:pPr>
        <w:autoSpaceDN w:val="0"/>
        <w:spacing w:line="590" w:lineRule="exact"/>
        <w:ind w:firstLine="630" w:firstLineChars="200"/>
        <w:rPr>
          <w:rFonts w:hAnsi="仿宋" w:cs="仿宋_GB2312"/>
          <w:szCs w:val="30"/>
        </w:rPr>
      </w:pPr>
      <w:r>
        <w:rPr>
          <w:rFonts w:hint="eastAsia" w:hAnsi="仿宋" w:cs="仿宋_GB2312"/>
          <w:szCs w:val="30"/>
        </w:rPr>
        <w:t>通过综合分析影响玉溪市人民医院改扩建工程项目资金管理、绩效目标、资金使用效益的内外部因素，按照不同因素对结果的影响程度设置评价指标权重，对资金的管理情况与资金的绩效实现情况进行综合评分。在本次绩效评价中，对玉溪市人民医院改扩建工程项目资金全过程绩效管理中的问题表象进行归集整理，对其影响原因进行深入分析，探寻问题根源，提出解决方案。</w:t>
      </w:r>
    </w:p>
    <w:p>
      <w:pPr>
        <w:autoSpaceDN w:val="0"/>
        <w:spacing w:line="590" w:lineRule="exact"/>
        <w:ind w:firstLine="630" w:firstLineChars="200"/>
        <w:rPr>
          <w:rFonts w:hAnsi="仿宋" w:cs="仿宋_GB2312"/>
          <w:szCs w:val="30"/>
        </w:rPr>
      </w:pPr>
      <w:r>
        <w:rPr>
          <w:rFonts w:hint="eastAsia" w:hAnsi="仿宋" w:cs="仿宋_GB2312"/>
          <w:szCs w:val="30"/>
        </w:rPr>
        <w:t>（3）公众评判法</w:t>
      </w:r>
    </w:p>
    <w:p>
      <w:pPr>
        <w:autoSpaceDN w:val="0"/>
        <w:spacing w:line="590" w:lineRule="exact"/>
        <w:ind w:firstLine="630" w:firstLineChars="200"/>
        <w:rPr>
          <w:rFonts w:hAnsi="仿宋" w:cs="仿宋_GB2312"/>
          <w:szCs w:val="30"/>
        </w:rPr>
      </w:pPr>
      <w:r>
        <w:rPr>
          <w:rFonts w:hint="eastAsia" w:hAnsi="仿宋" w:cs="仿宋_GB2312"/>
          <w:szCs w:val="30"/>
        </w:rPr>
        <w:t>对于无法用指标计量其效益的情形，基于医院建设公益性质的属性，通过选择项目社会相关方进行综合评价，如项目受益方、项目参与方等，进行访谈、问卷或抽样调查以评判其效益，社会公众的认同度高低为其评价标准。</w:t>
      </w:r>
    </w:p>
    <w:p>
      <w:pPr>
        <w:autoSpaceDN w:val="0"/>
        <w:spacing w:line="590" w:lineRule="exact"/>
        <w:ind w:firstLine="630" w:firstLineChars="200"/>
        <w:rPr>
          <w:rFonts w:hAnsi="仿宋" w:cs="仿宋_GB2312"/>
          <w:szCs w:val="30"/>
        </w:rPr>
      </w:pPr>
      <w:r>
        <w:rPr>
          <w:rFonts w:hint="eastAsia" w:hAnsi="仿宋" w:cs="仿宋_GB2312"/>
          <w:szCs w:val="30"/>
        </w:rPr>
        <w:t>（4）实地评价</w:t>
      </w:r>
    </w:p>
    <w:p>
      <w:pPr>
        <w:autoSpaceDN w:val="0"/>
        <w:spacing w:line="590" w:lineRule="exact"/>
        <w:ind w:firstLine="630" w:firstLineChars="200"/>
        <w:rPr>
          <w:rFonts w:hAnsi="仿宋" w:cs="仿宋_GB2312"/>
          <w:szCs w:val="30"/>
        </w:rPr>
      </w:pPr>
      <w:r>
        <w:rPr>
          <w:rFonts w:hint="eastAsia" w:hAnsi="仿宋" w:cs="仿宋_GB2312"/>
          <w:szCs w:val="30"/>
        </w:rPr>
        <w:t>按审定后的实施方案及评价指标体系，采用资料收集与数据填报、案卷研究、实地调研、座谈会、问卷调查等方式，组织开展实地评价。</w:t>
      </w:r>
    </w:p>
    <w:p>
      <w:pPr>
        <w:widowControl/>
        <w:autoSpaceDN w:val="0"/>
        <w:spacing w:line="590" w:lineRule="exact"/>
        <w:ind w:firstLine="630" w:firstLineChars="200"/>
        <w:outlineLvl w:val="2"/>
        <w:rPr>
          <w:rFonts w:hAnsi="仿宋"/>
          <w:szCs w:val="30"/>
        </w:rPr>
      </w:pPr>
      <w:bookmarkStart w:id="73" w:name="_Toc143605596"/>
      <w:bookmarkStart w:id="74" w:name="_Toc143294654"/>
      <w:bookmarkStart w:id="75" w:name="_Toc144740055"/>
      <w:bookmarkStart w:id="76" w:name="_Toc142490537"/>
      <w:r>
        <w:rPr>
          <w:rFonts w:hint="eastAsia" w:hAnsi="仿宋"/>
          <w:szCs w:val="30"/>
        </w:rPr>
        <w:t>4.绩效评价等级</w:t>
      </w:r>
      <w:bookmarkEnd w:id="73"/>
      <w:bookmarkEnd w:id="74"/>
      <w:bookmarkEnd w:id="75"/>
      <w:bookmarkEnd w:id="76"/>
    </w:p>
    <w:p>
      <w:pPr>
        <w:autoSpaceDN w:val="0"/>
        <w:spacing w:line="590" w:lineRule="exact"/>
        <w:ind w:firstLine="630" w:firstLineChars="200"/>
        <w:rPr>
          <w:rFonts w:hAnsi="仿宋" w:cs="仿宋_GB2312"/>
          <w:szCs w:val="30"/>
        </w:rPr>
      </w:pPr>
      <w:r>
        <w:rPr>
          <w:rFonts w:hint="eastAsia" w:hAnsi="仿宋" w:cs="仿宋_GB2312"/>
          <w:szCs w:val="30"/>
        </w:rPr>
        <w:t>本次评价采用百分制，各级指标依据其指标权重确定分值，评价人员根据评价情况对各级指标进行打分，最终得分由各级评价指标得分加总得到。根据最终得分情况将评价标准分为四个等级：优（得分≥90分）；良（80分≤得分＜90分）；中（60≤得分＜80分）；差（得分＜60分）</w:t>
      </w:r>
      <w:r>
        <w:rPr>
          <w:rFonts w:hAnsi="仿宋" w:cs="仿宋_GB2312"/>
          <w:szCs w:val="30"/>
        </w:rPr>
        <w:t>。</w:t>
      </w:r>
    </w:p>
    <w:p>
      <w:pPr>
        <w:widowControl/>
        <w:autoSpaceDN w:val="0"/>
        <w:spacing w:line="590" w:lineRule="exact"/>
        <w:ind w:firstLine="630" w:firstLineChars="200"/>
        <w:outlineLvl w:val="2"/>
        <w:rPr>
          <w:rFonts w:hAnsi="仿宋"/>
          <w:szCs w:val="30"/>
        </w:rPr>
      </w:pPr>
      <w:bookmarkStart w:id="77" w:name="_Toc144740056"/>
      <w:bookmarkStart w:id="78" w:name="_Toc143294655"/>
      <w:bookmarkStart w:id="79" w:name="_Toc142490538"/>
      <w:bookmarkStart w:id="80" w:name="_Toc143605597"/>
      <w:r>
        <w:rPr>
          <w:rFonts w:hint="eastAsia" w:hAnsi="仿宋"/>
          <w:szCs w:val="30"/>
        </w:rPr>
        <w:t>5.绩效评价抽样</w:t>
      </w:r>
      <w:bookmarkEnd w:id="77"/>
      <w:bookmarkEnd w:id="78"/>
      <w:bookmarkEnd w:id="79"/>
      <w:bookmarkEnd w:id="80"/>
    </w:p>
    <w:p>
      <w:pPr>
        <w:autoSpaceDN w:val="0"/>
        <w:spacing w:line="590" w:lineRule="exact"/>
        <w:ind w:firstLine="630" w:firstLineChars="200"/>
        <w:rPr>
          <w:rFonts w:hAnsi="仿宋" w:cs="仿宋_GB2312"/>
          <w:szCs w:val="30"/>
        </w:rPr>
      </w:pPr>
      <w:r>
        <w:rPr>
          <w:rFonts w:hint="eastAsia" w:hAnsi="仿宋" w:cs="仿宋_GB2312"/>
          <w:szCs w:val="30"/>
        </w:rPr>
        <w:t>本次绩效评价仅涉及玉溪市人民医院改扩建工程项目，建设地点位于玉溪市中心城区原市人民医院院内，玉兴路与棋阳路交叉路口处，因此绩效评价组对本项目进行100%实地抽查。</w:t>
      </w:r>
    </w:p>
    <w:p>
      <w:pPr>
        <w:autoSpaceDN w:val="0"/>
        <w:spacing w:line="590" w:lineRule="exact"/>
        <w:ind w:firstLine="630" w:firstLineChars="200"/>
        <w:outlineLvl w:val="1"/>
        <w:rPr>
          <w:rFonts w:ascii="楷体" w:hAnsi="楷体" w:eastAsia="楷体" w:cs="楷体_GB2312"/>
          <w:szCs w:val="30"/>
        </w:rPr>
      </w:pPr>
      <w:bookmarkStart w:id="81" w:name="_Toc144740057"/>
      <w:r>
        <w:rPr>
          <w:rFonts w:hint="eastAsia" w:ascii="楷体" w:hAnsi="楷体" w:eastAsia="楷体" w:cs="楷体_GB2312"/>
          <w:szCs w:val="30"/>
        </w:rPr>
        <w:t>（三）绩效评价工作过程</w:t>
      </w:r>
      <w:bookmarkEnd w:id="56"/>
      <w:bookmarkEnd w:id="81"/>
    </w:p>
    <w:p>
      <w:pPr>
        <w:widowControl/>
        <w:autoSpaceDN w:val="0"/>
        <w:spacing w:line="590" w:lineRule="exact"/>
        <w:ind w:firstLine="630" w:firstLineChars="200"/>
        <w:outlineLvl w:val="2"/>
        <w:rPr>
          <w:rFonts w:hAnsi="仿宋"/>
          <w:szCs w:val="30"/>
        </w:rPr>
      </w:pPr>
      <w:bookmarkStart w:id="82" w:name="_Toc142490540"/>
      <w:bookmarkStart w:id="83" w:name="_Toc143605599"/>
      <w:bookmarkStart w:id="84" w:name="_Toc143294657"/>
      <w:bookmarkStart w:id="85" w:name="_Toc144740058"/>
      <w:bookmarkStart w:id="86" w:name="_Toc22691"/>
      <w:r>
        <w:rPr>
          <w:rFonts w:hint="eastAsia" w:hAnsi="仿宋"/>
          <w:szCs w:val="30"/>
        </w:rPr>
        <w:t>1.实施方案编制</w:t>
      </w:r>
      <w:bookmarkEnd w:id="82"/>
      <w:bookmarkEnd w:id="83"/>
      <w:bookmarkEnd w:id="84"/>
      <w:bookmarkEnd w:id="85"/>
    </w:p>
    <w:p>
      <w:pPr>
        <w:autoSpaceDN w:val="0"/>
        <w:spacing w:line="590" w:lineRule="exact"/>
        <w:ind w:firstLine="630" w:firstLineChars="200"/>
        <w:rPr>
          <w:rFonts w:hAnsi="仿宋" w:cs="仿宋_GB2312"/>
          <w:szCs w:val="30"/>
        </w:rPr>
      </w:pPr>
      <w:r>
        <w:rPr>
          <w:rFonts w:hAnsi="仿宋" w:cs="仿宋_GB2312"/>
          <w:szCs w:val="30"/>
        </w:rPr>
        <w:t>在受托对项目开展绩效评价后，</w:t>
      </w:r>
      <w:r>
        <w:rPr>
          <w:rFonts w:hint="eastAsia" w:hAnsi="仿宋" w:cs="仿宋_GB2312"/>
          <w:szCs w:val="30"/>
        </w:rPr>
        <w:t>评价</w:t>
      </w:r>
      <w:r>
        <w:rPr>
          <w:rFonts w:hAnsi="仿宋" w:cs="仿宋_GB2312"/>
          <w:szCs w:val="30"/>
        </w:rPr>
        <w:t>组及时与</w:t>
      </w:r>
      <w:r>
        <w:rPr>
          <w:rFonts w:hint="eastAsia" w:hAnsi="仿宋" w:cs="仿宋_GB2312"/>
          <w:szCs w:val="30"/>
        </w:rPr>
        <w:t>玉溪市卫生健康委员会、玉溪市人民医院</w:t>
      </w:r>
      <w:r>
        <w:rPr>
          <w:rFonts w:hAnsi="仿宋" w:cs="仿宋_GB2312"/>
          <w:szCs w:val="30"/>
        </w:rPr>
        <w:t>进行沟通，了解项目的基本情况，包括项目</w:t>
      </w:r>
      <w:r>
        <w:rPr>
          <w:rFonts w:hint="eastAsia" w:hAnsi="仿宋" w:cs="仿宋_GB2312"/>
          <w:szCs w:val="30"/>
        </w:rPr>
        <w:t>设立的</w:t>
      </w:r>
      <w:r>
        <w:rPr>
          <w:rFonts w:hAnsi="仿宋" w:cs="仿宋_GB2312"/>
          <w:szCs w:val="30"/>
        </w:rPr>
        <w:t>背景</w:t>
      </w:r>
      <w:r>
        <w:rPr>
          <w:rFonts w:hint="eastAsia" w:hAnsi="仿宋" w:cs="仿宋_GB2312"/>
          <w:szCs w:val="30"/>
        </w:rPr>
        <w:t>和目的</w:t>
      </w:r>
      <w:r>
        <w:rPr>
          <w:rFonts w:hAnsi="仿宋" w:cs="仿宋_GB2312"/>
          <w:szCs w:val="30"/>
        </w:rPr>
        <w:t>、</w:t>
      </w:r>
      <w:r>
        <w:rPr>
          <w:rFonts w:hint="eastAsia" w:hAnsi="仿宋" w:cs="仿宋_GB2312"/>
          <w:szCs w:val="30"/>
        </w:rPr>
        <w:t>政策</w:t>
      </w:r>
      <w:r>
        <w:rPr>
          <w:rFonts w:hAnsi="仿宋" w:cs="仿宋_GB2312"/>
          <w:szCs w:val="30"/>
        </w:rPr>
        <w:t>内容、</w:t>
      </w:r>
      <w:r>
        <w:rPr>
          <w:rFonts w:hint="eastAsia" w:hAnsi="仿宋" w:cs="仿宋_GB2312"/>
          <w:szCs w:val="30"/>
        </w:rPr>
        <w:t>基金收支情况、</w:t>
      </w:r>
      <w:r>
        <w:rPr>
          <w:rFonts w:hAnsi="仿宋" w:cs="仿宋_GB2312"/>
          <w:szCs w:val="30"/>
        </w:rPr>
        <w:t>组织</w:t>
      </w:r>
      <w:r>
        <w:rPr>
          <w:rFonts w:hint="eastAsia" w:hAnsi="仿宋" w:cs="仿宋_GB2312"/>
          <w:szCs w:val="30"/>
        </w:rPr>
        <w:t>管理情况</w:t>
      </w:r>
      <w:r>
        <w:rPr>
          <w:rFonts w:hAnsi="仿宋" w:cs="仿宋_GB2312"/>
          <w:szCs w:val="30"/>
        </w:rPr>
        <w:t>等，并收集相关文件资料。组织</w:t>
      </w:r>
      <w:r>
        <w:rPr>
          <w:rFonts w:hint="eastAsia" w:hAnsi="仿宋" w:cs="仿宋_GB2312"/>
          <w:szCs w:val="30"/>
        </w:rPr>
        <w:t>组员</w:t>
      </w:r>
      <w:r>
        <w:rPr>
          <w:rFonts w:hAnsi="仿宋" w:cs="仿宋_GB2312"/>
          <w:szCs w:val="30"/>
        </w:rPr>
        <w:t>对收集到的文件资料进行研读，并查阅与项目实施密切相关的规章制度、文件规定，力求获取对项目全方位的了解。根据</w:t>
      </w:r>
      <w:r>
        <w:rPr>
          <w:rFonts w:hint="eastAsia" w:hAnsi="仿宋" w:cs="仿宋_GB2312"/>
          <w:szCs w:val="30"/>
        </w:rPr>
        <w:t>委托方</w:t>
      </w:r>
      <w:r>
        <w:rPr>
          <w:rFonts w:hAnsi="仿宋" w:cs="仿宋_GB2312"/>
          <w:szCs w:val="30"/>
        </w:rPr>
        <w:t>的要求，结合本项目特点，形成项目评价的总体思路</w:t>
      </w:r>
      <w:r>
        <w:rPr>
          <w:rFonts w:hint="eastAsia" w:hAnsi="仿宋" w:cs="仿宋_GB2312"/>
          <w:szCs w:val="30"/>
        </w:rPr>
        <w:t>，</w:t>
      </w:r>
      <w:r>
        <w:rPr>
          <w:rFonts w:hAnsi="仿宋" w:cs="仿宋_GB2312"/>
          <w:szCs w:val="30"/>
        </w:rPr>
        <w:t>结合项目</w:t>
      </w:r>
      <w:r>
        <w:rPr>
          <w:rFonts w:hint="eastAsia" w:hAnsi="仿宋" w:cs="仿宋_GB2312"/>
          <w:szCs w:val="30"/>
        </w:rPr>
        <w:t>政策</w:t>
      </w:r>
      <w:r>
        <w:rPr>
          <w:rFonts w:hAnsi="仿宋" w:cs="仿宋_GB2312"/>
          <w:szCs w:val="30"/>
        </w:rPr>
        <w:t>内容，形成项目绩效评价指标体系和方案初稿，并就方案的可行性、合理性进行</w:t>
      </w:r>
      <w:r>
        <w:rPr>
          <w:rFonts w:hint="eastAsia" w:hAnsi="仿宋" w:cs="仿宋_GB2312"/>
          <w:szCs w:val="30"/>
        </w:rPr>
        <w:t>交流</w:t>
      </w:r>
      <w:r>
        <w:rPr>
          <w:rFonts w:hAnsi="仿宋" w:cs="仿宋_GB2312"/>
          <w:szCs w:val="30"/>
        </w:rPr>
        <w:t>，根据反馈意见修改后，在规定时间内提交</w:t>
      </w:r>
      <w:r>
        <w:rPr>
          <w:rFonts w:hint="eastAsia" w:hAnsi="仿宋" w:cs="仿宋_GB2312"/>
          <w:szCs w:val="30"/>
        </w:rPr>
        <w:t>委托方</w:t>
      </w:r>
      <w:r>
        <w:rPr>
          <w:rFonts w:hAnsi="仿宋" w:cs="仿宋_GB2312"/>
          <w:szCs w:val="30"/>
        </w:rPr>
        <w:t>组织评审</w:t>
      </w:r>
      <w:r>
        <w:rPr>
          <w:rFonts w:hint="eastAsia" w:hAnsi="仿宋" w:cs="仿宋_GB2312"/>
          <w:szCs w:val="30"/>
        </w:rPr>
        <w:t>，</w:t>
      </w:r>
      <w:r>
        <w:rPr>
          <w:rFonts w:hAnsi="仿宋" w:cs="仿宋_GB2312"/>
          <w:szCs w:val="30"/>
        </w:rPr>
        <w:t>根据意见进一步修改完善，形成了最终的项目绩效评价指标体系和绩效评价方案。</w:t>
      </w:r>
    </w:p>
    <w:p>
      <w:pPr>
        <w:widowControl/>
        <w:autoSpaceDN w:val="0"/>
        <w:spacing w:line="590" w:lineRule="exact"/>
        <w:ind w:firstLine="630" w:firstLineChars="200"/>
        <w:outlineLvl w:val="2"/>
        <w:rPr>
          <w:rFonts w:hAnsi="仿宋"/>
          <w:szCs w:val="30"/>
        </w:rPr>
      </w:pPr>
      <w:bookmarkStart w:id="87" w:name="_Toc144740059"/>
      <w:bookmarkStart w:id="88" w:name="_Toc143605600"/>
      <w:bookmarkStart w:id="89" w:name="_Toc142490541"/>
      <w:bookmarkStart w:id="90" w:name="_Toc143294658"/>
      <w:r>
        <w:rPr>
          <w:rFonts w:hint="eastAsia" w:hAnsi="仿宋"/>
          <w:szCs w:val="30"/>
        </w:rPr>
        <w:t>2</w:t>
      </w:r>
      <w:r>
        <w:rPr>
          <w:rFonts w:hAnsi="仿宋"/>
          <w:szCs w:val="30"/>
        </w:rPr>
        <w:t>.</w:t>
      </w:r>
      <w:r>
        <w:rPr>
          <w:rFonts w:hint="eastAsia" w:hAnsi="仿宋"/>
          <w:szCs w:val="30"/>
        </w:rPr>
        <w:t>数据填报和采集</w:t>
      </w:r>
      <w:bookmarkEnd w:id="87"/>
      <w:bookmarkEnd w:id="88"/>
      <w:bookmarkEnd w:id="89"/>
      <w:bookmarkEnd w:id="90"/>
    </w:p>
    <w:p>
      <w:pPr>
        <w:autoSpaceDN w:val="0"/>
        <w:spacing w:line="590" w:lineRule="exact"/>
        <w:ind w:firstLine="630" w:firstLineChars="200"/>
        <w:rPr>
          <w:rFonts w:hAnsi="仿宋" w:cs="仿宋_GB2312"/>
          <w:szCs w:val="30"/>
        </w:rPr>
      </w:pPr>
      <w:r>
        <w:rPr>
          <w:rFonts w:hint="eastAsia" w:hAnsi="仿宋" w:cs="仿宋_GB2312"/>
          <w:szCs w:val="30"/>
        </w:rPr>
        <w:t>评价组就所需采集的数据与玉溪市卫生健康委员会、玉溪市人民医院进行沟通，并赴现场收集项目收支情况、目标完成情况、项目管理制度与执行情况及效果实现情况等相关资料，所有数据经核查后汇总。</w:t>
      </w:r>
    </w:p>
    <w:p>
      <w:pPr>
        <w:widowControl/>
        <w:autoSpaceDN w:val="0"/>
        <w:spacing w:line="590" w:lineRule="exact"/>
        <w:ind w:firstLine="630" w:firstLineChars="200"/>
        <w:outlineLvl w:val="2"/>
        <w:rPr>
          <w:rFonts w:hAnsi="仿宋"/>
          <w:szCs w:val="30"/>
        </w:rPr>
      </w:pPr>
      <w:bookmarkStart w:id="91" w:name="_Toc144740060"/>
      <w:bookmarkStart w:id="92" w:name="_Toc143605601"/>
      <w:bookmarkStart w:id="93" w:name="_Toc143294659"/>
      <w:bookmarkStart w:id="94" w:name="_Toc142490542"/>
      <w:r>
        <w:rPr>
          <w:rFonts w:hint="eastAsia" w:hAnsi="仿宋"/>
          <w:szCs w:val="30"/>
        </w:rPr>
        <w:t>3</w:t>
      </w:r>
      <w:r>
        <w:rPr>
          <w:rFonts w:hAnsi="仿宋"/>
          <w:szCs w:val="30"/>
        </w:rPr>
        <w:t>.</w:t>
      </w:r>
      <w:r>
        <w:rPr>
          <w:rFonts w:hint="eastAsia" w:hAnsi="仿宋"/>
          <w:szCs w:val="30"/>
        </w:rPr>
        <w:t>社会调查</w:t>
      </w:r>
      <w:bookmarkEnd w:id="91"/>
      <w:bookmarkEnd w:id="92"/>
      <w:bookmarkEnd w:id="93"/>
      <w:bookmarkEnd w:id="94"/>
    </w:p>
    <w:p>
      <w:pPr>
        <w:autoSpaceDN w:val="0"/>
        <w:spacing w:line="590" w:lineRule="exact"/>
        <w:ind w:firstLine="630" w:firstLineChars="200"/>
        <w:rPr>
          <w:rFonts w:hAnsi="仿宋" w:cs="仿宋_GB2312"/>
          <w:szCs w:val="30"/>
        </w:rPr>
      </w:pPr>
      <w:r>
        <w:rPr>
          <w:rFonts w:hint="eastAsia" w:hAnsi="仿宋" w:cs="仿宋_GB2312"/>
          <w:szCs w:val="30"/>
        </w:rPr>
        <w:t>根据实施方案中确定的调查对象、调查内容和抽样方式，评价组以问卷调查的形式对玉溪市人民医院覆盖受众（</w:t>
      </w:r>
      <w:r>
        <w:rPr>
          <w:rFonts w:hint="eastAsia" w:hAnsi="仿宋"/>
          <w:szCs w:val="30"/>
        </w:rPr>
        <w:t>医院员工和就医患者</w:t>
      </w:r>
      <w:r>
        <w:rPr>
          <w:rFonts w:hint="eastAsia" w:hAnsi="仿宋" w:cs="仿宋_GB2312"/>
          <w:szCs w:val="30"/>
        </w:rPr>
        <w:t>）开展满意度调查，发放并回收问卷</w:t>
      </w:r>
      <w:r>
        <w:rPr>
          <w:rFonts w:hAnsi="仿宋" w:cs="仿宋_GB2312"/>
          <w:szCs w:val="30"/>
        </w:rPr>
        <w:t>753</w:t>
      </w:r>
      <w:r>
        <w:rPr>
          <w:rFonts w:hint="eastAsia" w:hAnsi="仿宋" w:cs="仿宋_GB2312"/>
          <w:szCs w:val="30"/>
        </w:rPr>
        <w:t>份，其中：</w:t>
      </w:r>
      <w:r>
        <w:rPr>
          <w:rFonts w:hint="eastAsia" w:hAnsi="仿宋"/>
          <w:szCs w:val="30"/>
        </w:rPr>
        <w:t>医院员工</w:t>
      </w:r>
      <w:r>
        <w:rPr>
          <w:rFonts w:hint="eastAsia" w:hAnsi="仿宋" w:cs="仿宋_GB2312"/>
          <w:szCs w:val="30"/>
        </w:rPr>
        <w:t>问卷</w:t>
      </w:r>
      <w:r>
        <w:rPr>
          <w:rFonts w:hAnsi="仿宋" w:cs="仿宋_GB2312"/>
          <w:szCs w:val="30"/>
        </w:rPr>
        <w:t>124</w:t>
      </w:r>
      <w:r>
        <w:rPr>
          <w:rFonts w:hint="eastAsia" w:hAnsi="仿宋" w:cs="仿宋_GB2312"/>
          <w:szCs w:val="30"/>
        </w:rPr>
        <w:t>份，</w:t>
      </w:r>
      <w:r>
        <w:rPr>
          <w:rFonts w:hint="eastAsia" w:hAnsi="仿宋"/>
          <w:szCs w:val="30"/>
        </w:rPr>
        <w:t>就医患者</w:t>
      </w:r>
      <w:r>
        <w:rPr>
          <w:rFonts w:hint="eastAsia" w:hAnsi="仿宋" w:cs="仿宋_GB2312"/>
          <w:szCs w:val="30"/>
        </w:rPr>
        <w:t>问卷</w:t>
      </w:r>
      <w:r>
        <w:rPr>
          <w:rFonts w:hAnsi="仿宋" w:cs="仿宋_GB2312"/>
          <w:szCs w:val="30"/>
        </w:rPr>
        <w:t>629</w:t>
      </w:r>
      <w:r>
        <w:rPr>
          <w:rFonts w:hint="eastAsia" w:hAnsi="仿宋" w:cs="仿宋_GB2312"/>
          <w:szCs w:val="30"/>
        </w:rPr>
        <w:t>份。</w:t>
      </w:r>
    </w:p>
    <w:p>
      <w:pPr>
        <w:widowControl/>
        <w:autoSpaceDN w:val="0"/>
        <w:spacing w:line="590" w:lineRule="exact"/>
        <w:ind w:firstLine="630" w:firstLineChars="200"/>
        <w:outlineLvl w:val="2"/>
        <w:rPr>
          <w:rFonts w:hAnsi="仿宋"/>
          <w:szCs w:val="30"/>
        </w:rPr>
      </w:pPr>
      <w:bookmarkStart w:id="95" w:name="_Toc143605602"/>
      <w:bookmarkStart w:id="96" w:name="_Toc142490543"/>
      <w:bookmarkStart w:id="97" w:name="_Toc143294660"/>
      <w:bookmarkStart w:id="98" w:name="_Toc144740061"/>
      <w:r>
        <w:rPr>
          <w:rFonts w:hint="eastAsia" w:hAnsi="仿宋"/>
          <w:szCs w:val="30"/>
        </w:rPr>
        <w:t>4</w:t>
      </w:r>
      <w:r>
        <w:rPr>
          <w:rFonts w:hAnsi="仿宋"/>
          <w:szCs w:val="30"/>
        </w:rPr>
        <w:t>.综合分析评价及报告撰写</w:t>
      </w:r>
      <w:bookmarkEnd w:id="95"/>
      <w:bookmarkEnd w:id="96"/>
      <w:bookmarkEnd w:id="97"/>
      <w:bookmarkEnd w:id="98"/>
    </w:p>
    <w:p>
      <w:pPr>
        <w:autoSpaceDN w:val="0"/>
        <w:spacing w:line="590" w:lineRule="exact"/>
        <w:ind w:firstLine="630" w:firstLineChars="200"/>
        <w:rPr>
          <w:rFonts w:hAnsi="仿宋" w:cs="仿宋_GB2312"/>
          <w:szCs w:val="30"/>
        </w:rPr>
      </w:pPr>
      <w:r>
        <w:rPr>
          <w:rFonts w:hint="eastAsia" w:hAnsi="仿宋" w:cs="仿宋_GB2312"/>
          <w:szCs w:val="30"/>
        </w:rPr>
        <w:t>（1）数据整理</w:t>
      </w:r>
    </w:p>
    <w:p>
      <w:pPr>
        <w:autoSpaceDN w:val="0"/>
        <w:spacing w:line="590" w:lineRule="exact"/>
        <w:ind w:firstLine="630" w:firstLineChars="200"/>
        <w:rPr>
          <w:rFonts w:hAnsi="仿宋" w:cs="仿宋_GB2312"/>
          <w:szCs w:val="30"/>
        </w:rPr>
      </w:pPr>
      <w:r>
        <w:rPr>
          <w:rFonts w:hint="eastAsia" w:hAnsi="仿宋" w:cs="仿宋_GB2312"/>
          <w:szCs w:val="30"/>
        </w:rPr>
        <w:t>评价组在评价实施过程中，</w:t>
      </w:r>
      <w:r>
        <w:rPr>
          <w:rFonts w:hAnsi="仿宋" w:cs="仿宋_GB2312"/>
          <w:szCs w:val="30"/>
        </w:rPr>
        <w:t>采用合理的方法对</w:t>
      </w:r>
      <w:r>
        <w:rPr>
          <w:rFonts w:hint="eastAsia" w:hAnsi="仿宋" w:cs="仿宋_GB2312"/>
          <w:szCs w:val="30"/>
        </w:rPr>
        <w:t>收集的基础资料</w:t>
      </w:r>
      <w:r>
        <w:rPr>
          <w:rFonts w:hAnsi="仿宋" w:cs="仿宋_GB2312"/>
          <w:szCs w:val="30"/>
        </w:rPr>
        <w:t>进行</w:t>
      </w:r>
      <w:r>
        <w:rPr>
          <w:rFonts w:hint="eastAsia" w:hAnsi="仿宋" w:cs="仿宋_GB2312"/>
          <w:szCs w:val="30"/>
        </w:rPr>
        <w:t>分类</w:t>
      </w:r>
      <w:r>
        <w:rPr>
          <w:rFonts w:hAnsi="仿宋" w:cs="仿宋_GB2312"/>
          <w:szCs w:val="30"/>
        </w:rPr>
        <w:t>整理</w:t>
      </w:r>
      <w:r>
        <w:rPr>
          <w:rFonts w:hint="eastAsia" w:hAnsi="仿宋" w:cs="仿宋_GB2312"/>
          <w:szCs w:val="30"/>
        </w:rPr>
        <w:t>、核实和全面分析，要求被评价单位对缺失的资料及时补充，对存在疑问的重要基础数据资料进行解释说明。</w:t>
      </w:r>
      <w:r>
        <w:rPr>
          <w:rFonts w:hAnsi="仿宋" w:cs="仿宋_GB2312"/>
          <w:szCs w:val="30"/>
        </w:rPr>
        <w:t>同时利用各种公开的统计数据，如政府部门政务公开信息、统计或研究机构的各类数据库及研究成果、互联网上各类相关数据信息。通过充分收集、分析和加工数据信息，形成对绩效评价宏观与微观层面的数据信息支撑。</w:t>
      </w:r>
    </w:p>
    <w:p>
      <w:pPr>
        <w:autoSpaceDN w:val="0"/>
        <w:spacing w:line="590" w:lineRule="exact"/>
        <w:ind w:firstLine="630" w:firstLineChars="200"/>
        <w:rPr>
          <w:rFonts w:hAnsi="仿宋" w:cs="仿宋_GB2312"/>
          <w:szCs w:val="30"/>
        </w:rPr>
      </w:pPr>
      <w:r>
        <w:rPr>
          <w:rFonts w:hint="eastAsia" w:hAnsi="仿宋" w:cs="仿宋_GB2312"/>
          <w:szCs w:val="30"/>
        </w:rPr>
        <w:t>（2）绩效分析与评分</w:t>
      </w:r>
    </w:p>
    <w:p>
      <w:pPr>
        <w:autoSpaceDN w:val="0"/>
        <w:spacing w:line="590" w:lineRule="exact"/>
        <w:ind w:firstLine="630" w:firstLineChars="200"/>
        <w:rPr>
          <w:rFonts w:hAnsi="仿宋" w:cs="仿宋_GB2312"/>
          <w:szCs w:val="30"/>
        </w:rPr>
      </w:pPr>
      <w:r>
        <w:rPr>
          <w:rFonts w:hint="eastAsia" w:hAnsi="仿宋" w:cs="仿宋_GB2312"/>
          <w:szCs w:val="30"/>
        </w:rPr>
        <w:t>按照评价实施方案确定的评价指标、评价标准和评价方法，根据评价基础数据，对评价对象的绩效情况进行全面的定量、定性分析和量化评分。一是绩效评价指标分析，结合评价指标体系中决策、过程、产出、效益四个方面分别分析各指标的评价情况；二是对绩效目标实际完成情况进行量化、具体分析。完成绩效分析后运用既定的评价标准和评价方法，根据收集整理的数据和分析结果，对各项指标进行打分。根据各项指标权重，计算出综合绩效分值，根据绩效得分，确定绩效等级。</w:t>
      </w:r>
    </w:p>
    <w:p>
      <w:pPr>
        <w:autoSpaceDN w:val="0"/>
        <w:spacing w:line="590" w:lineRule="exact"/>
        <w:ind w:firstLine="630" w:firstLineChars="200"/>
        <w:rPr>
          <w:rFonts w:hAnsi="仿宋" w:cs="仿宋_GB2312"/>
          <w:szCs w:val="30"/>
        </w:rPr>
      </w:pPr>
      <w:r>
        <w:rPr>
          <w:rFonts w:hint="eastAsia" w:hAnsi="仿宋" w:cs="仿宋_GB2312"/>
          <w:szCs w:val="30"/>
        </w:rPr>
        <w:t>（3）综合评价</w:t>
      </w:r>
    </w:p>
    <w:p>
      <w:pPr>
        <w:autoSpaceDN w:val="0"/>
        <w:spacing w:line="590" w:lineRule="exact"/>
        <w:ind w:firstLine="630" w:firstLineChars="200"/>
        <w:rPr>
          <w:rFonts w:hAnsi="仿宋" w:cs="仿宋_GB2312"/>
          <w:szCs w:val="30"/>
        </w:rPr>
      </w:pPr>
      <w:r>
        <w:rPr>
          <w:rFonts w:hint="eastAsia" w:hAnsi="仿宋" w:cs="仿宋_GB2312"/>
          <w:szCs w:val="30"/>
        </w:rPr>
        <w:t>在对评价对象的绩效情况进行全面的定量、定性分析、量化评分的基础上，总结分析评价对象总体的绩效情况及相关经验与做法，形成初步评价结论。并以事实为依据，认真梳理评价过程中发现的问题，剖析影响绩效的主要问题，分析产生问题的原因。针对存在的问题，总结教训，提出对策建议。</w:t>
      </w:r>
    </w:p>
    <w:p>
      <w:pPr>
        <w:autoSpaceDN w:val="0"/>
        <w:spacing w:line="590" w:lineRule="exact"/>
        <w:ind w:firstLine="630" w:firstLineChars="200"/>
        <w:rPr>
          <w:rFonts w:hAnsi="仿宋" w:cs="仿宋_GB2312"/>
          <w:szCs w:val="30"/>
        </w:rPr>
      </w:pPr>
      <w:r>
        <w:rPr>
          <w:rFonts w:hint="eastAsia" w:hAnsi="仿宋" w:cs="仿宋_GB2312"/>
          <w:szCs w:val="30"/>
        </w:rPr>
        <w:t>（4）撰写报告</w:t>
      </w:r>
    </w:p>
    <w:p>
      <w:pPr>
        <w:autoSpaceDN w:val="0"/>
        <w:spacing w:line="590" w:lineRule="exact"/>
        <w:ind w:firstLine="630" w:firstLineChars="200"/>
        <w:rPr>
          <w:rFonts w:hAnsi="仿宋" w:cs="仿宋_GB2312"/>
          <w:szCs w:val="30"/>
        </w:rPr>
      </w:pPr>
      <w:r>
        <w:rPr>
          <w:rFonts w:hint="eastAsia" w:hAnsi="仿宋" w:cs="仿宋_GB2312"/>
          <w:szCs w:val="30"/>
        </w:rPr>
        <w:t>评价组根据绩效评价的原理和委托方的要求，对采集的数据进行甄别、分析；同时，提炼结论、撰写报告，并与玉溪市卫生健康委员会、玉溪市人民医院保持充分的沟通，确保每个观点均有理有据后，形成最终的绩效评价报告。</w:t>
      </w:r>
    </w:p>
    <w:p>
      <w:pPr>
        <w:autoSpaceDN w:val="0"/>
        <w:spacing w:line="590" w:lineRule="exact"/>
        <w:ind w:firstLine="630" w:firstLineChars="200"/>
        <w:outlineLvl w:val="0"/>
        <w:rPr>
          <w:rFonts w:ascii="黑体" w:hAnsi="黑体" w:eastAsia="黑体" w:cs="宋体"/>
          <w:szCs w:val="30"/>
        </w:rPr>
      </w:pPr>
      <w:bookmarkStart w:id="99" w:name="_Toc144740062"/>
      <w:r>
        <w:rPr>
          <w:rFonts w:hint="eastAsia" w:ascii="黑体" w:hAnsi="黑体" w:eastAsia="黑体" w:cs="宋体"/>
          <w:szCs w:val="30"/>
        </w:rPr>
        <w:t>三、绩效评价结论</w:t>
      </w:r>
      <w:bookmarkEnd w:id="86"/>
      <w:bookmarkEnd w:id="99"/>
    </w:p>
    <w:p>
      <w:pPr>
        <w:autoSpaceDN w:val="0"/>
        <w:spacing w:line="590" w:lineRule="exact"/>
        <w:ind w:firstLine="630" w:firstLineChars="200"/>
        <w:outlineLvl w:val="1"/>
        <w:rPr>
          <w:rFonts w:ascii="楷体" w:hAnsi="楷体" w:eastAsia="楷体" w:cs="楷体_GB2312"/>
          <w:szCs w:val="30"/>
        </w:rPr>
      </w:pPr>
      <w:bookmarkStart w:id="100" w:name="_Toc6065"/>
      <w:bookmarkStart w:id="101" w:name="_Toc144740063"/>
      <w:r>
        <w:rPr>
          <w:rFonts w:hint="eastAsia" w:ascii="楷体" w:hAnsi="楷体" w:eastAsia="楷体" w:cs="楷体_GB2312"/>
          <w:szCs w:val="30"/>
        </w:rPr>
        <w:t>（一）绩效评价综合结论</w:t>
      </w:r>
      <w:bookmarkEnd w:id="100"/>
      <w:bookmarkEnd w:id="101"/>
    </w:p>
    <w:p>
      <w:pPr>
        <w:autoSpaceDN w:val="0"/>
        <w:spacing w:line="590" w:lineRule="exact"/>
        <w:ind w:firstLine="630" w:firstLineChars="200"/>
        <w:rPr>
          <w:rFonts w:hAnsi="仿宋" w:cs="仿宋_GB2312"/>
          <w:szCs w:val="30"/>
        </w:rPr>
      </w:pPr>
      <w:bookmarkStart w:id="102" w:name="_Hlk525314439"/>
      <w:r>
        <w:rPr>
          <w:rFonts w:hint="eastAsia" w:hAnsi="仿宋" w:cs="仿宋_GB2312"/>
          <w:szCs w:val="30"/>
        </w:rPr>
        <w:t>玉溪市人民医院改扩建建设项目绩效评价得分</w:t>
      </w:r>
      <w:r>
        <w:rPr>
          <w:rFonts w:hAnsi="仿宋" w:cs="仿宋_GB2312"/>
          <w:szCs w:val="30"/>
        </w:rPr>
        <w:t>77.03</w:t>
      </w:r>
      <w:r>
        <w:rPr>
          <w:rFonts w:hint="eastAsia" w:hAnsi="仿宋" w:cs="仿宋_GB2312"/>
          <w:szCs w:val="30"/>
        </w:rPr>
        <w:t>分，评价等级为“中”。一级指标具体得分情况详见下表：</w:t>
      </w:r>
    </w:p>
    <w:p>
      <w:pPr>
        <w:autoSpaceDN w:val="0"/>
        <w:spacing w:line="590" w:lineRule="exact"/>
        <w:jc w:val="center"/>
        <w:rPr>
          <w:rFonts w:ascii="黑体" w:hAnsi="黑体" w:eastAsia="黑体" w:cs="宋体"/>
          <w:bCs/>
          <w:sz w:val="24"/>
        </w:rPr>
      </w:pPr>
      <w:r>
        <w:rPr>
          <w:rFonts w:hint="eastAsia" w:ascii="黑体" w:hAnsi="黑体" w:eastAsia="黑体" w:cs="宋体"/>
          <w:bCs/>
          <w:sz w:val="24"/>
        </w:rPr>
        <w:t>表</w:t>
      </w:r>
      <w:r>
        <w:rPr>
          <w:rFonts w:ascii="黑体" w:hAnsi="黑体" w:eastAsia="黑体" w:cs="宋体"/>
          <w:bCs/>
          <w:sz w:val="24"/>
        </w:rPr>
        <w:t>2</w:t>
      </w:r>
      <w:r>
        <w:rPr>
          <w:rFonts w:hint="eastAsia" w:ascii="黑体" w:hAnsi="黑体" w:eastAsia="黑体" w:cs="宋体"/>
          <w:bCs/>
          <w:sz w:val="24"/>
        </w:rPr>
        <w:t>：绩效评价得分情况表</w:t>
      </w:r>
    </w:p>
    <w:tbl>
      <w:tblPr>
        <w:tblStyle w:val="16"/>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2212"/>
        <w:gridCol w:w="2211"/>
        <w:gridCol w:w="2211"/>
        <w:gridCol w:w="2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exact"/>
          <w:tblHeader/>
          <w:jc w:val="center"/>
        </w:trPr>
        <w:tc>
          <w:tcPr>
            <w:tcW w:w="2212" w:type="dxa"/>
            <w:tcBorders>
              <w:top w:val="single" w:color="auto" w:sz="4" w:space="0"/>
            </w:tcBorders>
            <w:vAlign w:val="center"/>
          </w:tcPr>
          <w:p>
            <w:pPr>
              <w:autoSpaceDN w:val="0"/>
              <w:snapToGrid w:val="0"/>
              <w:jc w:val="center"/>
              <w:rPr>
                <w:rFonts w:hAnsi="仿宋" w:cs="仿宋"/>
                <w:b/>
                <w:bCs/>
                <w:spacing w:val="6"/>
                <w:sz w:val="21"/>
              </w:rPr>
            </w:pPr>
            <w:r>
              <w:rPr>
                <w:rFonts w:hint="eastAsia" w:hAnsi="仿宋" w:cs="仿宋"/>
                <w:b/>
                <w:bCs/>
                <w:spacing w:val="6"/>
                <w:sz w:val="21"/>
              </w:rPr>
              <w:t>一级指标</w:t>
            </w:r>
          </w:p>
        </w:tc>
        <w:tc>
          <w:tcPr>
            <w:tcW w:w="2211" w:type="dxa"/>
            <w:tcBorders>
              <w:top w:val="single" w:color="auto" w:sz="4" w:space="0"/>
            </w:tcBorders>
            <w:vAlign w:val="center"/>
          </w:tcPr>
          <w:p>
            <w:pPr>
              <w:autoSpaceDN w:val="0"/>
              <w:snapToGrid w:val="0"/>
              <w:jc w:val="center"/>
              <w:rPr>
                <w:rFonts w:hAnsi="仿宋" w:cs="仿宋"/>
                <w:b/>
                <w:bCs/>
                <w:spacing w:val="6"/>
                <w:sz w:val="21"/>
              </w:rPr>
            </w:pPr>
            <w:r>
              <w:rPr>
                <w:rFonts w:hint="eastAsia" w:hAnsi="仿宋" w:cs="仿宋"/>
                <w:b/>
                <w:bCs/>
                <w:spacing w:val="6"/>
                <w:sz w:val="21"/>
              </w:rPr>
              <w:t>指标分值</w:t>
            </w:r>
          </w:p>
        </w:tc>
        <w:tc>
          <w:tcPr>
            <w:tcW w:w="2211" w:type="dxa"/>
            <w:tcBorders>
              <w:top w:val="single" w:color="auto" w:sz="4" w:space="0"/>
            </w:tcBorders>
            <w:vAlign w:val="center"/>
          </w:tcPr>
          <w:p>
            <w:pPr>
              <w:autoSpaceDN w:val="0"/>
              <w:snapToGrid w:val="0"/>
              <w:jc w:val="center"/>
              <w:rPr>
                <w:rFonts w:hAnsi="仿宋" w:cs="仿宋"/>
                <w:b/>
                <w:bCs/>
                <w:spacing w:val="6"/>
                <w:sz w:val="21"/>
              </w:rPr>
            </w:pPr>
            <w:r>
              <w:rPr>
                <w:rFonts w:hint="eastAsia" w:hAnsi="仿宋" w:cs="仿宋"/>
                <w:b/>
                <w:bCs/>
                <w:spacing w:val="6"/>
                <w:sz w:val="21"/>
              </w:rPr>
              <w:t>评价得分</w:t>
            </w:r>
          </w:p>
        </w:tc>
        <w:tc>
          <w:tcPr>
            <w:tcW w:w="2211" w:type="dxa"/>
            <w:tcBorders>
              <w:top w:val="single" w:color="auto" w:sz="4" w:space="0"/>
            </w:tcBorders>
            <w:vAlign w:val="center"/>
          </w:tcPr>
          <w:p>
            <w:pPr>
              <w:autoSpaceDN w:val="0"/>
              <w:snapToGrid w:val="0"/>
              <w:jc w:val="center"/>
              <w:rPr>
                <w:rFonts w:hAnsi="仿宋" w:cs="仿宋"/>
                <w:b/>
                <w:bCs/>
                <w:spacing w:val="6"/>
                <w:sz w:val="21"/>
              </w:rPr>
            </w:pPr>
            <w:r>
              <w:rPr>
                <w:rFonts w:hint="eastAsia" w:hAnsi="仿宋" w:cs="仿宋"/>
                <w:b/>
                <w:bCs/>
                <w:spacing w:val="6"/>
                <w:sz w:val="21"/>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exact"/>
          <w:jc w:val="center"/>
        </w:trPr>
        <w:tc>
          <w:tcPr>
            <w:tcW w:w="2212" w:type="dxa"/>
            <w:vAlign w:val="center"/>
          </w:tcPr>
          <w:p>
            <w:pPr>
              <w:autoSpaceDN w:val="0"/>
              <w:snapToGrid w:val="0"/>
              <w:jc w:val="center"/>
              <w:rPr>
                <w:rFonts w:hAnsi="仿宋" w:cs="仿宋"/>
                <w:bCs/>
                <w:spacing w:val="6"/>
                <w:sz w:val="21"/>
              </w:rPr>
            </w:pPr>
            <w:r>
              <w:rPr>
                <w:rFonts w:hint="eastAsia" w:hAnsi="仿宋" w:cs="仿宋"/>
                <w:bCs/>
                <w:spacing w:val="6"/>
                <w:sz w:val="21"/>
              </w:rPr>
              <w:t>决策</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15</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13.00</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86.67%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exact"/>
          <w:jc w:val="center"/>
        </w:trPr>
        <w:tc>
          <w:tcPr>
            <w:tcW w:w="2212" w:type="dxa"/>
            <w:vAlign w:val="center"/>
          </w:tcPr>
          <w:p>
            <w:pPr>
              <w:autoSpaceDN w:val="0"/>
              <w:snapToGrid w:val="0"/>
              <w:jc w:val="center"/>
              <w:rPr>
                <w:rFonts w:hAnsi="仿宋" w:cs="仿宋"/>
                <w:bCs/>
                <w:spacing w:val="6"/>
                <w:sz w:val="21"/>
              </w:rPr>
            </w:pPr>
            <w:r>
              <w:rPr>
                <w:rFonts w:hint="eastAsia" w:hAnsi="仿宋" w:cs="仿宋"/>
                <w:bCs/>
                <w:spacing w:val="6"/>
                <w:sz w:val="21"/>
              </w:rPr>
              <w:t>过程</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20</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15.30</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exact"/>
          <w:jc w:val="center"/>
        </w:trPr>
        <w:tc>
          <w:tcPr>
            <w:tcW w:w="2212" w:type="dxa"/>
            <w:vAlign w:val="center"/>
          </w:tcPr>
          <w:p>
            <w:pPr>
              <w:autoSpaceDN w:val="0"/>
              <w:snapToGrid w:val="0"/>
              <w:jc w:val="center"/>
              <w:rPr>
                <w:rFonts w:hAnsi="仿宋" w:cs="仿宋"/>
                <w:bCs/>
                <w:spacing w:val="6"/>
                <w:sz w:val="21"/>
              </w:rPr>
            </w:pPr>
            <w:r>
              <w:rPr>
                <w:rFonts w:hint="eastAsia" w:hAnsi="仿宋" w:cs="仿宋"/>
                <w:bCs/>
                <w:spacing w:val="6"/>
                <w:sz w:val="21"/>
              </w:rPr>
              <w:t>产出</w:t>
            </w:r>
          </w:p>
        </w:tc>
        <w:tc>
          <w:tcPr>
            <w:tcW w:w="2211" w:type="dxa"/>
            <w:vAlign w:val="center"/>
          </w:tcPr>
          <w:p>
            <w:pPr>
              <w:autoSpaceDN w:val="0"/>
              <w:snapToGrid w:val="0"/>
              <w:jc w:val="center"/>
              <w:rPr>
                <w:rFonts w:hAnsi="仿宋" w:cs="仿宋"/>
                <w:bCs/>
                <w:spacing w:val="6"/>
                <w:sz w:val="21"/>
              </w:rPr>
            </w:pPr>
            <w:r>
              <w:rPr>
                <w:rFonts w:hint="eastAsia" w:hAnsi="仿宋" w:cs="仿宋"/>
                <w:bCs/>
                <w:spacing w:val="6"/>
                <w:sz w:val="21"/>
              </w:rPr>
              <w:t>3</w:t>
            </w:r>
            <w:r>
              <w:rPr>
                <w:rFonts w:hAnsi="仿宋" w:cs="仿宋"/>
                <w:bCs/>
                <w:spacing w:val="6"/>
                <w:sz w:val="21"/>
              </w:rPr>
              <w:t>0</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25.00</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83.33%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exact"/>
          <w:jc w:val="center"/>
        </w:trPr>
        <w:tc>
          <w:tcPr>
            <w:tcW w:w="2212" w:type="dxa"/>
            <w:vAlign w:val="center"/>
          </w:tcPr>
          <w:p>
            <w:pPr>
              <w:autoSpaceDN w:val="0"/>
              <w:snapToGrid w:val="0"/>
              <w:jc w:val="center"/>
              <w:rPr>
                <w:rFonts w:hAnsi="仿宋" w:cs="仿宋"/>
                <w:bCs/>
                <w:spacing w:val="6"/>
                <w:sz w:val="21"/>
              </w:rPr>
            </w:pPr>
            <w:r>
              <w:rPr>
                <w:rFonts w:hint="eastAsia" w:hAnsi="仿宋" w:cs="仿宋"/>
                <w:bCs/>
                <w:spacing w:val="6"/>
                <w:sz w:val="21"/>
              </w:rPr>
              <w:t>效益</w:t>
            </w:r>
          </w:p>
        </w:tc>
        <w:tc>
          <w:tcPr>
            <w:tcW w:w="2211" w:type="dxa"/>
            <w:vAlign w:val="center"/>
          </w:tcPr>
          <w:p>
            <w:pPr>
              <w:autoSpaceDN w:val="0"/>
              <w:snapToGrid w:val="0"/>
              <w:jc w:val="center"/>
              <w:rPr>
                <w:rFonts w:hAnsi="仿宋" w:cs="仿宋"/>
                <w:bCs/>
                <w:spacing w:val="6"/>
                <w:sz w:val="21"/>
              </w:rPr>
            </w:pPr>
            <w:r>
              <w:rPr>
                <w:rFonts w:hint="eastAsia" w:hAnsi="仿宋" w:cs="仿宋"/>
                <w:bCs/>
                <w:spacing w:val="6"/>
                <w:sz w:val="21"/>
              </w:rPr>
              <w:t>3</w:t>
            </w:r>
            <w:r>
              <w:rPr>
                <w:rFonts w:hAnsi="仿宋" w:cs="仿宋"/>
                <w:bCs/>
                <w:spacing w:val="6"/>
                <w:sz w:val="21"/>
              </w:rPr>
              <w:t>5</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23.73</w:t>
            </w:r>
          </w:p>
        </w:tc>
        <w:tc>
          <w:tcPr>
            <w:tcW w:w="2211" w:type="dxa"/>
            <w:vAlign w:val="center"/>
          </w:tcPr>
          <w:p>
            <w:pPr>
              <w:autoSpaceDN w:val="0"/>
              <w:snapToGrid w:val="0"/>
              <w:jc w:val="center"/>
              <w:rPr>
                <w:rFonts w:hAnsi="仿宋" w:cs="仿宋"/>
                <w:bCs/>
                <w:spacing w:val="6"/>
                <w:sz w:val="21"/>
              </w:rPr>
            </w:pPr>
            <w:r>
              <w:rPr>
                <w:rFonts w:hAnsi="仿宋" w:cs="仿宋"/>
                <w:bCs/>
                <w:spacing w:val="6"/>
                <w:sz w:val="21"/>
              </w:rPr>
              <w:t>67.80%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12" w:hRule="exact"/>
          <w:jc w:val="center"/>
        </w:trPr>
        <w:tc>
          <w:tcPr>
            <w:tcW w:w="2212" w:type="dxa"/>
            <w:vAlign w:val="center"/>
          </w:tcPr>
          <w:p>
            <w:pPr>
              <w:autoSpaceDN w:val="0"/>
              <w:snapToGrid w:val="0"/>
              <w:jc w:val="center"/>
              <w:rPr>
                <w:rFonts w:hAnsi="仿宋" w:cs="仿宋"/>
                <w:b/>
                <w:bCs/>
                <w:spacing w:val="6"/>
                <w:sz w:val="21"/>
              </w:rPr>
            </w:pPr>
            <w:r>
              <w:rPr>
                <w:rFonts w:hint="eastAsia" w:hAnsi="仿宋" w:cs="仿宋"/>
                <w:b/>
                <w:bCs/>
                <w:spacing w:val="6"/>
                <w:sz w:val="21"/>
              </w:rPr>
              <w:t>合计</w:t>
            </w:r>
          </w:p>
        </w:tc>
        <w:tc>
          <w:tcPr>
            <w:tcW w:w="2211" w:type="dxa"/>
            <w:vAlign w:val="center"/>
          </w:tcPr>
          <w:p>
            <w:pPr>
              <w:autoSpaceDN w:val="0"/>
              <w:snapToGrid w:val="0"/>
              <w:jc w:val="center"/>
              <w:rPr>
                <w:rFonts w:hAnsi="仿宋" w:cs="仿宋"/>
                <w:b/>
                <w:bCs/>
                <w:spacing w:val="6"/>
                <w:sz w:val="21"/>
              </w:rPr>
            </w:pPr>
            <w:r>
              <w:rPr>
                <w:rFonts w:hint="eastAsia" w:hAnsi="仿宋" w:cs="仿宋"/>
                <w:b/>
                <w:bCs/>
                <w:spacing w:val="6"/>
                <w:sz w:val="21"/>
              </w:rPr>
              <w:t>100</w:t>
            </w:r>
          </w:p>
        </w:tc>
        <w:tc>
          <w:tcPr>
            <w:tcW w:w="2211" w:type="dxa"/>
            <w:vAlign w:val="center"/>
          </w:tcPr>
          <w:p>
            <w:pPr>
              <w:autoSpaceDN w:val="0"/>
              <w:snapToGrid w:val="0"/>
              <w:jc w:val="center"/>
              <w:rPr>
                <w:rFonts w:hAnsi="仿宋" w:cs="仿宋"/>
                <w:b/>
                <w:bCs/>
                <w:spacing w:val="6"/>
                <w:sz w:val="21"/>
              </w:rPr>
            </w:pPr>
            <w:r>
              <w:rPr>
                <w:rFonts w:hAnsi="仿宋" w:cs="仿宋"/>
                <w:b/>
                <w:bCs/>
                <w:spacing w:val="6"/>
                <w:sz w:val="21"/>
              </w:rPr>
              <w:t>77.03</w:t>
            </w:r>
          </w:p>
        </w:tc>
        <w:tc>
          <w:tcPr>
            <w:tcW w:w="2211" w:type="dxa"/>
            <w:vAlign w:val="center"/>
          </w:tcPr>
          <w:p>
            <w:pPr>
              <w:autoSpaceDN w:val="0"/>
              <w:snapToGrid w:val="0"/>
              <w:jc w:val="center"/>
              <w:rPr>
                <w:rFonts w:hAnsi="仿宋" w:cs="仿宋"/>
                <w:b/>
                <w:bCs/>
                <w:spacing w:val="6"/>
                <w:sz w:val="21"/>
              </w:rPr>
            </w:pPr>
            <w:r>
              <w:rPr>
                <w:rFonts w:hAnsi="仿宋" w:cs="仿宋"/>
                <w:b/>
                <w:bCs/>
                <w:spacing w:val="6"/>
                <w:sz w:val="21"/>
              </w:rPr>
              <w:t>77.03%</w:t>
            </w:r>
          </w:p>
        </w:tc>
      </w:tr>
    </w:tbl>
    <w:p>
      <w:pPr>
        <w:autoSpaceDN w:val="0"/>
        <w:spacing w:line="590" w:lineRule="exact"/>
        <w:ind w:firstLine="630" w:firstLineChars="200"/>
        <w:rPr>
          <w:rFonts w:hAnsi="仿宋" w:cs="仿宋_GB2312"/>
          <w:szCs w:val="30"/>
        </w:rPr>
      </w:pPr>
      <w:r>
        <w:rPr>
          <w:rFonts w:hint="eastAsia" w:hAnsi="仿宋" w:cs="仿宋_GB2312"/>
          <w:szCs w:val="30"/>
        </w:rPr>
        <w:t>玉溪市人民医院坚决贯彻“实现公共医疗卫生服务能力均等化”的决策部署，肩负起作为全省地州市医院中唯一的一所三级甲等医院的职责，积极应对疫情影响和经济下行多重压力，完成了医院改扩建项目，增加了医院床位数及门诊、医技和住院等业务用房，实现了医院门诊收入年平均增长率≥5%，住院收入年平均增长率≥2%的目标，为医院创造了良好的效益，员工满意度达到了</w:t>
      </w:r>
      <w:r>
        <w:rPr>
          <w:rFonts w:hAnsi="仿宋" w:cs="仿宋_GB2312"/>
          <w:szCs w:val="30"/>
        </w:rPr>
        <w:t>95.78%</w:t>
      </w:r>
      <w:r>
        <w:rPr>
          <w:rFonts w:hint="eastAsia" w:hAnsi="仿宋" w:cs="仿宋_GB2312"/>
          <w:szCs w:val="30"/>
        </w:rPr>
        <w:t>。同时，新大楼投入使用后，门诊人数年平均增长率为</w:t>
      </w:r>
      <w:r>
        <w:rPr>
          <w:rFonts w:hAnsi="仿宋" w:cs="仿宋_GB2312"/>
          <w:szCs w:val="30"/>
        </w:rPr>
        <w:t>2.42%</w:t>
      </w:r>
      <w:r>
        <w:rPr>
          <w:rFonts w:hint="eastAsia" w:hAnsi="仿宋" w:cs="仿宋_GB2312"/>
          <w:szCs w:val="30"/>
        </w:rPr>
        <w:t>，住院人数年平均增长率为8.46%，缓解了部分就医压力，患者满意度达到了</w:t>
      </w:r>
      <w:r>
        <w:rPr>
          <w:rFonts w:hAnsi="仿宋" w:cs="仿宋_GB2312"/>
          <w:szCs w:val="30"/>
        </w:rPr>
        <w:t>83.46%</w:t>
      </w:r>
      <w:r>
        <w:rPr>
          <w:rFonts w:hint="eastAsia" w:hAnsi="仿宋" w:cs="仿宋_GB2312"/>
          <w:szCs w:val="30"/>
        </w:rPr>
        <w:t>。但存在以下问题：绩效管理工作不到位；专债债券使用、管理及项目建设管理不规范；实际成本高于专项债实施方案预测成本，预期收益不能合理保障专项债券的本金和利息，存在债务风险和运营风险；医院目前部分医疗服务能力指标达不到三级医院要求。</w:t>
      </w:r>
    </w:p>
    <w:p>
      <w:pPr>
        <w:autoSpaceDN w:val="0"/>
        <w:spacing w:line="590" w:lineRule="exact"/>
        <w:ind w:firstLine="630" w:firstLineChars="200"/>
        <w:outlineLvl w:val="1"/>
        <w:rPr>
          <w:rFonts w:ascii="楷体" w:hAnsi="楷体" w:eastAsia="楷体" w:cs="楷体_GB2312"/>
          <w:szCs w:val="30"/>
        </w:rPr>
      </w:pPr>
      <w:bookmarkStart w:id="103" w:name="_Toc144740064"/>
      <w:r>
        <w:rPr>
          <w:rFonts w:hint="eastAsia" w:ascii="楷体" w:hAnsi="楷体" w:eastAsia="楷体" w:cs="楷体_GB2312"/>
          <w:szCs w:val="30"/>
        </w:rPr>
        <w:t>（二）</w:t>
      </w:r>
      <w:bookmarkEnd w:id="102"/>
      <w:bookmarkStart w:id="104" w:name="_Toc9176"/>
      <w:r>
        <w:rPr>
          <w:rFonts w:hint="eastAsia" w:ascii="楷体" w:hAnsi="楷体" w:eastAsia="楷体" w:cs="楷体_GB2312"/>
          <w:szCs w:val="30"/>
        </w:rPr>
        <w:t>绩效目标实现情况</w:t>
      </w:r>
      <w:bookmarkEnd w:id="103"/>
      <w:bookmarkEnd w:id="104"/>
    </w:p>
    <w:p>
      <w:pPr>
        <w:autoSpaceDN w:val="0"/>
        <w:spacing w:line="590" w:lineRule="exact"/>
        <w:ind w:firstLine="654" w:firstLineChars="200"/>
        <w:rPr>
          <w:rFonts w:hAnsi="仿宋"/>
          <w:spacing w:val="6"/>
          <w:szCs w:val="30"/>
        </w:rPr>
      </w:pPr>
      <w:bookmarkStart w:id="105" w:name="_Hlk525314457"/>
      <w:r>
        <w:rPr>
          <w:rFonts w:hint="eastAsia" w:hAnsi="仿宋"/>
          <w:spacing w:val="6"/>
          <w:szCs w:val="30"/>
        </w:rPr>
        <w:t>根据实地评价情况，设置的</w:t>
      </w:r>
      <w:r>
        <w:rPr>
          <w:rFonts w:hAnsi="仿宋"/>
          <w:spacing w:val="6"/>
          <w:szCs w:val="30"/>
        </w:rPr>
        <w:t>17</w:t>
      </w:r>
      <w:r>
        <w:rPr>
          <w:rFonts w:hint="eastAsia" w:hAnsi="仿宋"/>
          <w:spacing w:val="6"/>
          <w:szCs w:val="30"/>
        </w:rPr>
        <w:t>个绩效指标中，“建设床位数”“竣工验收合格率”“投资控制有效性”等</w:t>
      </w:r>
      <w:r>
        <w:rPr>
          <w:rFonts w:hAnsi="仿宋"/>
          <w:spacing w:val="6"/>
          <w:szCs w:val="30"/>
        </w:rPr>
        <w:t>10</w:t>
      </w:r>
      <w:r>
        <w:rPr>
          <w:rFonts w:hint="eastAsia" w:hAnsi="仿宋"/>
          <w:spacing w:val="6"/>
          <w:szCs w:val="30"/>
        </w:rPr>
        <w:t>个绩效指标完成，“新增床位利用率”“辖区内就医条件改善情况”和“专债风险可控性”</w:t>
      </w:r>
      <w:r>
        <w:rPr>
          <w:rFonts w:hAnsi="仿宋"/>
          <w:spacing w:val="6"/>
          <w:szCs w:val="30"/>
        </w:rPr>
        <w:t>3</w:t>
      </w:r>
      <w:r>
        <w:rPr>
          <w:rFonts w:hint="eastAsia" w:hAnsi="仿宋"/>
          <w:spacing w:val="6"/>
          <w:szCs w:val="30"/>
        </w:rPr>
        <w:t>个绩效指标部分完成，“项目建设完成及时性”“门诊人数年平均增长率”“项目融资收益平衡性” 和“患者满意度”</w:t>
      </w:r>
      <w:r>
        <w:rPr>
          <w:rFonts w:hAnsi="仿宋"/>
          <w:spacing w:val="6"/>
          <w:szCs w:val="30"/>
        </w:rPr>
        <w:t>4</w:t>
      </w:r>
      <w:r>
        <w:rPr>
          <w:rFonts w:hint="eastAsia" w:hAnsi="仿宋"/>
          <w:spacing w:val="6"/>
          <w:szCs w:val="30"/>
        </w:rPr>
        <w:t>个绩效指标未完成，详见下表：</w:t>
      </w:r>
    </w:p>
    <w:p>
      <w:pPr>
        <w:autoSpaceDN w:val="0"/>
        <w:jc w:val="center"/>
        <w:rPr>
          <w:rFonts w:ascii="黑体" w:hAnsi="黑体" w:eastAsia="黑体" w:cs="宋体"/>
          <w:bCs/>
          <w:sz w:val="24"/>
        </w:rPr>
      </w:pPr>
      <w:r>
        <w:rPr>
          <w:rFonts w:hint="eastAsia" w:ascii="黑体" w:hAnsi="黑体" w:eastAsia="黑体" w:cs="宋体"/>
          <w:bCs/>
          <w:sz w:val="24"/>
        </w:rPr>
        <w:t>表</w:t>
      </w:r>
      <w:r>
        <w:rPr>
          <w:rFonts w:ascii="黑体" w:hAnsi="黑体" w:eastAsia="黑体" w:cs="宋体"/>
          <w:bCs/>
          <w:sz w:val="24"/>
        </w:rPr>
        <w:t>3</w:t>
      </w:r>
      <w:r>
        <w:rPr>
          <w:rFonts w:hint="eastAsia" w:ascii="黑体" w:hAnsi="黑体" w:eastAsia="黑体" w:cs="宋体"/>
          <w:bCs/>
          <w:sz w:val="24"/>
        </w:rPr>
        <w:t>：绩效指标完成情况表</w:t>
      </w:r>
    </w:p>
    <w:tbl>
      <w:tblPr>
        <w:tblStyle w:val="1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874"/>
        <w:gridCol w:w="1165"/>
        <w:gridCol w:w="983"/>
        <w:gridCol w:w="687"/>
        <w:gridCol w:w="4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blHeader/>
          <w:jc w:val="center"/>
        </w:trPr>
        <w:tc>
          <w:tcPr>
            <w:tcW w:w="2756" w:type="dxa"/>
            <w:gridSpan w:val="3"/>
            <w:shd w:val="clear" w:color="auto" w:fill="auto"/>
            <w:vAlign w:val="center"/>
          </w:tcPr>
          <w:p>
            <w:pPr>
              <w:widowControl/>
              <w:autoSpaceDN w:val="0"/>
              <w:spacing w:line="240" w:lineRule="exact"/>
              <w:jc w:val="center"/>
              <w:rPr>
                <w:rFonts w:hAnsi="仿宋" w:cs="宋体"/>
                <w:b/>
                <w:bCs/>
                <w:color w:val="000000"/>
                <w:kern w:val="0"/>
                <w:sz w:val="21"/>
              </w:rPr>
            </w:pPr>
            <w:r>
              <w:rPr>
                <w:rFonts w:hint="eastAsia" w:hAnsi="仿宋" w:cs="宋体"/>
                <w:b/>
                <w:bCs/>
                <w:color w:val="000000"/>
                <w:kern w:val="0"/>
                <w:sz w:val="21"/>
              </w:rPr>
              <w:t>绩效指标名称</w:t>
            </w:r>
          </w:p>
        </w:tc>
        <w:tc>
          <w:tcPr>
            <w:tcW w:w="983" w:type="dxa"/>
            <w:vMerge w:val="restart"/>
            <w:shd w:val="clear" w:color="auto" w:fill="auto"/>
            <w:vAlign w:val="center"/>
          </w:tcPr>
          <w:p>
            <w:pPr>
              <w:widowControl/>
              <w:autoSpaceDN w:val="0"/>
              <w:spacing w:line="240" w:lineRule="exact"/>
              <w:jc w:val="center"/>
              <w:rPr>
                <w:rFonts w:hAnsi="仿宋" w:cs="宋体"/>
                <w:b/>
                <w:bCs/>
                <w:color w:val="000000"/>
                <w:kern w:val="0"/>
                <w:sz w:val="21"/>
              </w:rPr>
            </w:pPr>
            <w:r>
              <w:rPr>
                <w:rFonts w:hint="eastAsia" w:hAnsi="仿宋" w:cs="宋体"/>
                <w:b/>
                <w:bCs/>
                <w:color w:val="000000"/>
                <w:kern w:val="0"/>
                <w:sz w:val="21"/>
              </w:rPr>
              <w:t>指标值</w:t>
            </w:r>
          </w:p>
        </w:tc>
        <w:tc>
          <w:tcPr>
            <w:tcW w:w="687" w:type="dxa"/>
            <w:vMerge w:val="restart"/>
            <w:shd w:val="clear" w:color="auto" w:fill="auto"/>
            <w:vAlign w:val="center"/>
          </w:tcPr>
          <w:p>
            <w:pPr>
              <w:widowControl/>
              <w:autoSpaceDN w:val="0"/>
              <w:spacing w:line="240" w:lineRule="exact"/>
              <w:jc w:val="center"/>
              <w:rPr>
                <w:rFonts w:hAnsi="仿宋" w:cs="宋体"/>
                <w:b/>
                <w:bCs/>
                <w:color w:val="000000"/>
                <w:kern w:val="0"/>
                <w:sz w:val="21"/>
              </w:rPr>
            </w:pPr>
            <w:r>
              <w:rPr>
                <w:rFonts w:hint="eastAsia" w:hAnsi="仿宋" w:cs="宋体"/>
                <w:b/>
                <w:bCs/>
                <w:color w:val="000000"/>
                <w:kern w:val="0"/>
                <w:sz w:val="21"/>
              </w:rPr>
              <w:t>指标实现情况</w:t>
            </w:r>
          </w:p>
        </w:tc>
        <w:tc>
          <w:tcPr>
            <w:tcW w:w="4635" w:type="dxa"/>
            <w:vMerge w:val="restart"/>
            <w:shd w:val="clear" w:color="auto" w:fill="auto"/>
            <w:vAlign w:val="center"/>
          </w:tcPr>
          <w:p>
            <w:pPr>
              <w:widowControl/>
              <w:autoSpaceDN w:val="0"/>
              <w:spacing w:line="240" w:lineRule="exact"/>
              <w:jc w:val="center"/>
              <w:rPr>
                <w:rFonts w:hAnsi="仿宋" w:cs="宋体"/>
                <w:b/>
                <w:bCs/>
                <w:color w:val="000000"/>
                <w:kern w:val="0"/>
                <w:sz w:val="21"/>
              </w:rPr>
            </w:pPr>
            <w:r>
              <w:rPr>
                <w:rFonts w:hint="eastAsia" w:hAnsi="仿宋" w:cs="宋体"/>
                <w:b/>
                <w:bCs/>
                <w:color w:val="000000"/>
                <w:kern w:val="0"/>
                <w:sz w:val="21"/>
              </w:rPr>
              <w:t>完成情况说明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jc w:val="center"/>
        </w:trPr>
        <w:tc>
          <w:tcPr>
            <w:tcW w:w="717" w:type="dxa"/>
            <w:shd w:val="clear" w:color="auto" w:fill="auto"/>
            <w:vAlign w:val="center"/>
          </w:tcPr>
          <w:p>
            <w:pPr>
              <w:widowControl/>
              <w:autoSpaceDN w:val="0"/>
              <w:spacing w:line="240" w:lineRule="exact"/>
              <w:jc w:val="center"/>
              <w:rPr>
                <w:rFonts w:hAnsi="仿宋" w:cs="宋体"/>
                <w:b/>
                <w:bCs/>
                <w:color w:val="000000"/>
                <w:kern w:val="0"/>
                <w:sz w:val="21"/>
              </w:rPr>
            </w:pPr>
            <w:r>
              <w:rPr>
                <w:rFonts w:hint="eastAsia" w:hAnsi="仿宋" w:cs="宋体"/>
                <w:b/>
                <w:bCs/>
                <w:color w:val="000000"/>
                <w:kern w:val="0"/>
                <w:sz w:val="21"/>
              </w:rPr>
              <w:t>一级指标</w:t>
            </w:r>
          </w:p>
        </w:tc>
        <w:tc>
          <w:tcPr>
            <w:tcW w:w="874" w:type="dxa"/>
            <w:shd w:val="clear" w:color="auto" w:fill="auto"/>
            <w:vAlign w:val="center"/>
          </w:tcPr>
          <w:p>
            <w:pPr>
              <w:widowControl/>
              <w:autoSpaceDN w:val="0"/>
              <w:spacing w:line="240" w:lineRule="exact"/>
              <w:jc w:val="center"/>
              <w:rPr>
                <w:rFonts w:hAnsi="仿宋" w:cs="宋体"/>
                <w:b/>
                <w:bCs/>
                <w:color w:val="000000"/>
                <w:kern w:val="0"/>
                <w:sz w:val="21"/>
              </w:rPr>
            </w:pPr>
            <w:r>
              <w:rPr>
                <w:rFonts w:hint="eastAsia" w:hAnsi="仿宋" w:cs="宋体"/>
                <w:b/>
                <w:bCs/>
                <w:color w:val="000000"/>
                <w:kern w:val="0"/>
                <w:sz w:val="21"/>
              </w:rPr>
              <w:t>二级指标</w:t>
            </w:r>
          </w:p>
        </w:tc>
        <w:tc>
          <w:tcPr>
            <w:tcW w:w="1165" w:type="dxa"/>
            <w:shd w:val="clear" w:color="auto" w:fill="auto"/>
            <w:vAlign w:val="center"/>
          </w:tcPr>
          <w:p>
            <w:pPr>
              <w:widowControl/>
              <w:autoSpaceDN w:val="0"/>
              <w:spacing w:line="240" w:lineRule="exact"/>
              <w:jc w:val="center"/>
              <w:rPr>
                <w:rFonts w:hAnsi="仿宋" w:cs="宋体"/>
                <w:b/>
                <w:bCs/>
                <w:color w:val="000000"/>
                <w:kern w:val="0"/>
                <w:sz w:val="21"/>
              </w:rPr>
            </w:pPr>
            <w:r>
              <w:rPr>
                <w:rFonts w:hint="eastAsia" w:hAnsi="仿宋" w:cs="宋体"/>
                <w:b/>
                <w:bCs/>
                <w:color w:val="000000"/>
                <w:kern w:val="0"/>
                <w:sz w:val="21"/>
              </w:rPr>
              <w:t>三级指标</w:t>
            </w:r>
          </w:p>
        </w:tc>
        <w:tc>
          <w:tcPr>
            <w:tcW w:w="983" w:type="dxa"/>
            <w:vMerge w:val="continue"/>
            <w:vAlign w:val="center"/>
          </w:tcPr>
          <w:p>
            <w:pPr>
              <w:widowControl/>
              <w:autoSpaceDN w:val="0"/>
              <w:spacing w:line="240" w:lineRule="exact"/>
              <w:jc w:val="left"/>
              <w:rPr>
                <w:rFonts w:hAnsi="仿宋" w:cs="宋体"/>
                <w:b/>
                <w:bCs/>
                <w:color w:val="000000"/>
                <w:kern w:val="0"/>
                <w:sz w:val="21"/>
              </w:rPr>
            </w:pPr>
          </w:p>
        </w:tc>
        <w:tc>
          <w:tcPr>
            <w:tcW w:w="687" w:type="dxa"/>
            <w:vMerge w:val="continue"/>
            <w:vAlign w:val="center"/>
          </w:tcPr>
          <w:p>
            <w:pPr>
              <w:widowControl/>
              <w:autoSpaceDN w:val="0"/>
              <w:spacing w:line="240" w:lineRule="exact"/>
              <w:jc w:val="left"/>
              <w:rPr>
                <w:rFonts w:hAnsi="仿宋" w:cs="宋体"/>
                <w:b/>
                <w:bCs/>
                <w:color w:val="000000"/>
                <w:kern w:val="0"/>
                <w:sz w:val="21"/>
              </w:rPr>
            </w:pPr>
          </w:p>
        </w:tc>
        <w:tc>
          <w:tcPr>
            <w:tcW w:w="4635" w:type="dxa"/>
            <w:vMerge w:val="continue"/>
            <w:vAlign w:val="center"/>
          </w:tcPr>
          <w:p>
            <w:pPr>
              <w:widowControl/>
              <w:autoSpaceDN w:val="0"/>
              <w:spacing w:line="240" w:lineRule="exact"/>
              <w:jc w:val="left"/>
              <w:rPr>
                <w:rFonts w:hAnsi="仿宋" w:cs="宋体"/>
                <w:b/>
                <w:bCs/>
                <w:color w:val="000000"/>
                <w:kern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17" w:type="dxa"/>
            <w:vMerge w:val="restart"/>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产出指标</w:t>
            </w:r>
          </w:p>
          <w:p>
            <w:pPr>
              <w:autoSpaceDN w:val="0"/>
              <w:spacing w:line="240" w:lineRule="exact"/>
              <w:jc w:val="center"/>
              <w:rPr>
                <w:rFonts w:hAnsi="仿宋" w:cs="宋体"/>
                <w:kern w:val="0"/>
                <w:sz w:val="20"/>
                <w:szCs w:val="20"/>
              </w:rPr>
            </w:pPr>
          </w:p>
        </w:tc>
        <w:tc>
          <w:tcPr>
            <w:tcW w:w="874" w:type="dxa"/>
            <w:vMerge w:val="restart"/>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数量指标</w:t>
            </w:r>
          </w:p>
        </w:tc>
        <w:tc>
          <w:tcPr>
            <w:tcW w:w="1165"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建设床位数</w:t>
            </w:r>
          </w:p>
        </w:tc>
        <w:tc>
          <w:tcPr>
            <w:tcW w:w="983"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1000张</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项目建设完成后医院共有编制床位1500张。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1165"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建设停车位数</w:t>
            </w:r>
          </w:p>
        </w:tc>
        <w:tc>
          <w:tcPr>
            <w:tcW w:w="983"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≥3</w:t>
            </w:r>
            <w:r>
              <w:rPr>
                <w:rFonts w:hAnsi="仿宋" w:cs="宋体"/>
                <w:color w:val="000000"/>
                <w:kern w:val="0"/>
                <w:sz w:val="21"/>
              </w:rPr>
              <w:t>00</w:t>
            </w:r>
            <w:r>
              <w:rPr>
                <w:rFonts w:hint="eastAsia" w:hAnsi="仿宋" w:cs="宋体"/>
                <w:color w:val="000000"/>
                <w:kern w:val="0"/>
                <w:sz w:val="21"/>
              </w:rPr>
              <w:t>辆</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地下机动车停车位347辆，地下非机动车停车位350辆。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1165"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业务用房布局</w:t>
            </w:r>
          </w:p>
        </w:tc>
        <w:tc>
          <w:tcPr>
            <w:tcW w:w="983"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与初设批复内容一致</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建筑功能分区一至四层为门诊医技用房，第五层为手术用房，第六层为设备用房，第七层为重症（ICU）用房，八至十五层为住院部住院病房，十六、十七层为干疗科住院病房，十八层、十九层为住院病房，二十层，二十一层为全科医生临床培养基地用房，地下两层为设备用房和机动车停车库，与初设批复建设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restart"/>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质量指标</w:t>
            </w: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竣工验收合格率</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100%</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竣工验收合格率达到100%。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质量与安全控制有效性</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项目质量、安全管理符合相关规范要求</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项目质量管理、安全管理符合相关规范要求，未出现行业专业质量不达标及安全事故情况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时效指标</w:t>
            </w: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项目建设完成及时性</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建设期≤36个月</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未完成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项目按计划于2</w:t>
            </w:r>
            <w:r>
              <w:rPr>
                <w:rFonts w:hAnsi="仿宋" w:cs="宋体"/>
                <w:color w:val="000000"/>
                <w:kern w:val="0"/>
                <w:sz w:val="21"/>
              </w:rPr>
              <w:t>015</w:t>
            </w:r>
            <w:r>
              <w:rPr>
                <w:rFonts w:hint="eastAsia" w:hAnsi="仿宋" w:cs="宋体"/>
                <w:color w:val="000000"/>
                <w:kern w:val="0"/>
                <w:sz w:val="21"/>
              </w:rPr>
              <w:t>年开工，竣工时间为2019年9月30日，实际建设工期为4</w:t>
            </w:r>
            <w:r>
              <w:rPr>
                <w:rFonts w:hAnsi="仿宋" w:cs="宋体"/>
                <w:color w:val="000000"/>
                <w:kern w:val="0"/>
                <w:sz w:val="21"/>
              </w:rPr>
              <w:t>8</w:t>
            </w:r>
            <w:r>
              <w:rPr>
                <w:rFonts w:hint="eastAsia" w:hAnsi="仿宋" w:cs="宋体"/>
                <w:color w:val="000000"/>
                <w:kern w:val="0"/>
                <w:sz w:val="21"/>
              </w:rPr>
              <w:t>个月，超过专项债实施方案中规定的“本项目建设期约为36个月”。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717"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874"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成本指标</w:t>
            </w: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投资控制有效性</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项目建设投资较概算投资节余</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项目初设批复概算为55395.79万元，根据代建单位提供的项目资金使用计划表，项目投资为51133.15万元，项目建设投资较概算投资节余7.69%。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restart"/>
            <w:shd w:val="clear" w:color="auto" w:fill="auto"/>
            <w:vAlign w:val="center"/>
          </w:tcPr>
          <w:p>
            <w:pPr>
              <w:autoSpaceDN w:val="0"/>
              <w:spacing w:line="240" w:lineRule="exact"/>
              <w:jc w:val="center"/>
              <w:rPr>
                <w:rFonts w:hAnsi="仿宋" w:cs="宋体"/>
                <w:kern w:val="0"/>
                <w:sz w:val="20"/>
                <w:szCs w:val="20"/>
              </w:rPr>
            </w:pPr>
            <w:r>
              <w:rPr>
                <w:rFonts w:hint="eastAsia" w:hAnsi="仿宋" w:cs="宋体"/>
                <w:kern w:val="0"/>
                <w:sz w:val="20"/>
                <w:szCs w:val="20"/>
              </w:rPr>
              <w:t>效益指标</w:t>
            </w:r>
          </w:p>
        </w:tc>
        <w:tc>
          <w:tcPr>
            <w:tcW w:w="874" w:type="dxa"/>
            <w:vMerge w:val="restart"/>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经济效益指标</w:t>
            </w: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门诊收入年平均增长率</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≥5%</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根据玉溪市人民医院填报的基本情况调查表，2020年门诊收入为38231.03万元，2021年为43682.46万元，2022年为47979.89万元，年平均增长率为8.97%。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住院收入年平均增长率</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w:t>
            </w:r>
            <w:r>
              <w:rPr>
                <w:rFonts w:hAnsi="仿宋" w:cs="宋体"/>
                <w:kern w:val="0"/>
                <w:sz w:val="20"/>
                <w:szCs w:val="20"/>
              </w:rPr>
              <w:t>2</w:t>
            </w:r>
            <w:r>
              <w:rPr>
                <w:rFonts w:hint="eastAsia" w:hAnsi="仿宋" w:cs="宋体"/>
                <w:kern w:val="0"/>
                <w:sz w:val="20"/>
                <w:szCs w:val="20"/>
              </w:rPr>
              <w:t>%</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根据玉溪市人民医院填报的基本情况调查表，2020年住院收入为79427.2万元，2021年为84736.08万元，2022年为94552.73万元，年平均增长率为7.49%。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restart"/>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社会效益指标</w:t>
            </w: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门诊人数年平均增长率</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≥5.42</w:t>
            </w:r>
            <w:r>
              <w:rPr>
                <w:rFonts w:hAnsi="仿宋" w:cs="宋体"/>
                <w:kern w:val="0"/>
                <w:sz w:val="20"/>
                <w:szCs w:val="20"/>
              </w:rPr>
              <w:t>%</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未完成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根据玉溪市人民医院填报的基本情况调查表，2019年门诊人数为1445516人，2020年为1345578人，2021年为1450063人，2022年为1542961人，年平均增长率为2.42%。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continue"/>
            <w:shd w:val="clear" w:color="auto" w:fill="auto"/>
            <w:vAlign w:val="center"/>
          </w:tcPr>
          <w:p>
            <w:pPr>
              <w:autoSpaceDN w:val="0"/>
              <w:spacing w:line="240" w:lineRule="exact"/>
              <w:jc w:val="center"/>
              <w:rPr>
                <w:rFonts w:hAnsi="仿宋" w:cs="宋体"/>
                <w:kern w:val="0"/>
                <w:sz w:val="20"/>
                <w:szCs w:val="20"/>
              </w:rPr>
            </w:pP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住院人数年平均增长率</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≥6.18%</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根据玉溪市人民医院填报的基本情况调查表，2019年住院人数为65210人，2020年为64809人，2021年为73194人，2022年为82758人，年平均增长率为8.46%。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continue"/>
            <w:shd w:val="clear" w:color="auto" w:fill="auto"/>
            <w:vAlign w:val="center"/>
          </w:tcPr>
          <w:p>
            <w:pPr>
              <w:autoSpaceDN w:val="0"/>
              <w:spacing w:line="240" w:lineRule="exact"/>
              <w:jc w:val="center"/>
              <w:rPr>
                <w:rFonts w:hAnsi="仿宋" w:cs="宋体"/>
                <w:kern w:val="0"/>
                <w:sz w:val="20"/>
                <w:szCs w:val="20"/>
              </w:rPr>
            </w:pP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新增床位利用率</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介于93%-97%之间</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部分完成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各年床位使用率分别为：2020年：89.04%；2021年：91.36%；2022年：93.66%；2023年1-6月：100.88%，仅有2</w:t>
            </w:r>
            <w:r>
              <w:rPr>
                <w:rFonts w:hAnsi="仿宋" w:cs="宋体"/>
                <w:color w:val="000000"/>
                <w:kern w:val="0"/>
                <w:sz w:val="21"/>
              </w:rPr>
              <w:t>022</w:t>
            </w:r>
            <w:r>
              <w:rPr>
                <w:rFonts w:hint="eastAsia" w:hAnsi="仿宋" w:cs="宋体"/>
                <w:color w:val="000000"/>
                <w:kern w:val="0"/>
                <w:sz w:val="21"/>
              </w:rPr>
              <w:t>年满足要求。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1"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辖区内就医条件改善情况</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项目实施后改善辖区居民就医条件</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部分完成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医院门诊医技综合用房、住院用房和全科医生临床培养基地配套设备均到位，可正常开展工作。但2020年医院卫生技术人员与实际开放床位之比为1.13,2021年为1.16,2022年为1.11,2023年1-6月为1.08，不符合国家卫健委《三级综合医院医疗服务能力指南》中“卫生技术人员与实际开放床位之比≥1.2”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7" w:type="dxa"/>
            <w:vMerge w:val="continue"/>
            <w:shd w:val="clear" w:color="auto" w:fill="auto"/>
            <w:vAlign w:val="center"/>
          </w:tcPr>
          <w:p>
            <w:pPr>
              <w:autoSpaceDN w:val="0"/>
              <w:spacing w:line="240" w:lineRule="exact"/>
              <w:jc w:val="center"/>
              <w:rPr>
                <w:rFonts w:hAnsi="仿宋" w:cs="宋体"/>
                <w:kern w:val="0"/>
                <w:sz w:val="20"/>
                <w:szCs w:val="20"/>
              </w:rPr>
            </w:pPr>
          </w:p>
        </w:tc>
        <w:tc>
          <w:tcPr>
            <w:tcW w:w="874" w:type="dxa"/>
            <w:vMerge w:val="restart"/>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可持续效益指标</w:t>
            </w: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项目融资收益平衡性</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具备还款能力，保证项目持续运行</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未完成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项目实际成本高于专项债实施方案测算成本，项目实际产生的收益未达到专项债券申报时收益预测。由于项目资金缺口较大，医院将2</w:t>
            </w:r>
            <w:r>
              <w:rPr>
                <w:rFonts w:hAnsi="仿宋" w:cs="宋体"/>
                <w:color w:val="000000"/>
                <w:kern w:val="0"/>
                <w:sz w:val="21"/>
              </w:rPr>
              <w:t>019</w:t>
            </w:r>
            <w:r>
              <w:rPr>
                <w:rFonts w:hint="eastAsia" w:hAnsi="仿宋" w:cs="宋体"/>
                <w:color w:val="000000"/>
                <w:kern w:val="0"/>
                <w:sz w:val="21"/>
              </w:rPr>
              <w:t>年-</w:t>
            </w:r>
            <w:r>
              <w:rPr>
                <w:rFonts w:hAnsi="仿宋" w:cs="宋体"/>
                <w:color w:val="000000"/>
                <w:kern w:val="0"/>
                <w:sz w:val="21"/>
              </w:rPr>
              <w:t>2021</w:t>
            </w:r>
            <w:r>
              <w:rPr>
                <w:rFonts w:hint="eastAsia" w:hAnsi="仿宋" w:cs="宋体"/>
                <w:color w:val="000000"/>
                <w:kern w:val="0"/>
                <w:sz w:val="21"/>
              </w:rPr>
              <w:t>年定额补助4</w:t>
            </w:r>
            <w:r>
              <w:rPr>
                <w:rFonts w:hAnsi="仿宋" w:cs="宋体"/>
                <w:color w:val="000000"/>
                <w:kern w:val="0"/>
                <w:sz w:val="21"/>
              </w:rPr>
              <w:t>00</w:t>
            </w:r>
            <w:r>
              <w:rPr>
                <w:rFonts w:hint="eastAsia" w:hAnsi="仿宋" w:cs="宋体"/>
                <w:color w:val="000000"/>
                <w:kern w:val="0"/>
                <w:sz w:val="21"/>
              </w:rPr>
              <w:t>万元/年用于偿还专项债利息。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717"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874"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专债风险可控性</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不存在风险或风险可控</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部分完成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医院专项债券到期本金偿还压力大，且未建立风险防范机制或风险预警指标体系，存在债务偿还风险。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restart"/>
            <w:shd w:val="clear" w:color="auto" w:fill="auto"/>
            <w:vAlign w:val="center"/>
          </w:tcPr>
          <w:p>
            <w:pPr>
              <w:autoSpaceDN w:val="0"/>
              <w:spacing w:line="240" w:lineRule="exact"/>
              <w:jc w:val="center"/>
              <w:rPr>
                <w:rFonts w:hAnsi="仿宋" w:cs="宋体"/>
                <w:kern w:val="0"/>
                <w:sz w:val="20"/>
                <w:szCs w:val="20"/>
              </w:rPr>
            </w:pPr>
            <w:r>
              <w:rPr>
                <w:rFonts w:hint="eastAsia" w:hAnsi="仿宋" w:cs="宋体"/>
                <w:kern w:val="0"/>
                <w:sz w:val="20"/>
                <w:szCs w:val="20"/>
              </w:rPr>
              <w:t>满意度指标</w:t>
            </w:r>
          </w:p>
        </w:tc>
        <w:tc>
          <w:tcPr>
            <w:tcW w:w="874" w:type="dxa"/>
            <w:vMerge w:val="restart"/>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服务对象满意度</w:t>
            </w: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患者满意度</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≥90%</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未完成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发放并回收就医患者问卷629份，满意问卷占比为</w:t>
            </w:r>
            <w:r>
              <w:rPr>
                <w:rFonts w:hAnsi="仿宋" w:cs="宋体"/>
                <w:color w:val="000000"/>
                <w:kern w:val="0"/>
                <w:sz w:val="21"/>
              </w:rPr>
              <w:t>83</w:t>
            </w:r>
            <w:r>
              <w:rPr>
                <w:rFonts w:hint="eastAsia" w:hAnsi="仿宋" w:cs="宋体"/>
                <w:color w:val="000000"/>
                <w:kern w:val="0"/>
                <w:sz w:val="21"/>
              </w:rPr>
              <w:t>.</w:t>
            </w:r>
            <w:r>
              <w:rPr>
                <w:rFonts w:hAnsi="仿宋" w:cs="宋体"/>
                <w:color w:val="000000"/>
                <w:kern w:val="0"/>
                <w:sz w:val="21"/>
              </w:rPr>
              <w:t>46</w:t>
            </w:r>
            <w:r>
              <w:rPr>
                <w:rFonts w:hint="eastAsia" w:hAnsi="仿宋" w:cs="宋体"/>
                <w:color w:val="000000"/>
                <w:kern w:val="0"/>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717"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874" w:type="dxa"/>
            <w:vMerge w:val="continue"/>
            <w:shd w:val="clear" w:color="auto" w:fill="auto"/>
            <w:vAlign w:val="center"/>
          </w:tcPr>
          <w:p>
            <w:pPr>
              <w:widowControl/>
              <w:autoSpaceDN w:val="0"/>
              <w:spacing w:line="240" w:lineRule="exact"/>
              <w:jc w:val="center"/>
              <w:rPr>
                <w:rFonts w:hAnsi="仿宋" w:cs="宋体"/>
                <w:kern w:val="0"/>
                <w:sz w:val="20"/>
                <w:szCs w:val="20"/>
              </w:rPr>
            </w:pPr>
          </w:p>
        </w:tc>
        <w:tc>
          <w:tcPr>
            <w:tcW w:w="1165"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医院职工满意度</w:t>
            </w:r>
          </w:p>
        </w:tc>
        <w:tc>
          <w:tcPr>
            <w:tcW w:w="983" w:type="dxa"/>
            <w:shd w:val="clear" w:color="auto" w:fill="auto"/>
            <w:vAlign w:val="center"/>
          </w:tcPr>
          <w:p>
            <w:pPr>
              <w:widowControl/>
              <w:autoSpaceDN w:val="0"/>
              <w:spacing w:line="240" w:lineRule="exact"/>
              <w:jc w:val="center"/>
              <w:rPr>
                <w:rFonts w:hAnsi="仿宋" w:cs="宋体"/>
                <w:kern w:val="0"/>
                <w:sz w:val="20"/>
                <w:szCs w:val="20"/>
              </w:rPr>
            </w:pPr>
            <w:r>
              <w:rPr>
                <w:rFonts w:hint="eastAsia" w:hAnsi="仿宋" w:cs="宋体"/>
                <w:kern w:val="0"/>
                <w:sz w:val="20"/>
                <w:szCs w:val="20"/>
              </w:rPr>
              <w:t>≥90%</w:t>
            </w:r>
          </w:p>
        </w:tc>
        <w:tc>
          <w:tcPr>
            <w:tcW w:w="687" w:type="dxa"/>
            <w:shd w:val="clear" w:color="auto" w:fill="auto"/>
            <w:vAlign w:val="center"/>
          </w:tcPr>
          <w:p>
            <w:pPr>
              <w:widowControl/>
              <w:autoSpaceDN w:val="0"/>
              <w:spacing w:line="240" w:lineRule="exact"/>
              <w:jc w:val="center"/>
              <w:rPr>
                <w:rFonts w:hAnsi="仿宋" w:cs="宋体"/>
                <w:color w:val="000000"/>
                <w:kern w:val="0"/>
                <w:sz w:val="21"/>
              </w:rPr>
            </w:pPr>
            <w:r>
              <w:rPr>
                <w:rFonts w:hint="eastAsia" w:hAnsi="仿宋" w:cs="宋体"/>
                <w:color w:val="000000"/>
                <w:kern w:val="0"/>
                <w:sz w:val="21"/>
              </w:rPr>
              <w:t>完成</w:t>
            </w:r>
          </w:p>
        </w:tc>
        <w:tc>
          <w:tcPr>
            <w:tcW w:w="4635" w:type="dxa"/>
            <w:shd w:val="clear" w:color="auto" w:fill="auto"/>
            <w:vAlign w:val="center"/>
          </w:tcPr>
          <w:p>
            <w:pPr>
              <w:widowControl/>
              <w:autoSpaceDN w:val="0"/>
              <w:spacing w:line="240" w:lineRule="exact"/>
              <w:rPr>
                <w:rFonts w:hAnsi="仿宋" w:cs="宋体"/>
                <w:color w:val="000000"/>
                <w:kern w:val="0"/>
                <w:sz w:val="21"/>
              </w:rPr>
            </w:pPr>
            <w:r>
              <w:rPr>
                <w:rFonts w:hint="eastAsia" w:hAnsi="仿宋" w:cs="宋体"/>
                <w:color w:val="000000"/>
                <w:kern w:val="0"/>
                <w:sz w:val="21"/>
              </w:rPr>
              <w:t>发放并回收</w:t>
            </w:r>
            <w:r>
              <w:rPr>
                <w:rFonts w:hint="eastAsia" w:hAnsi="仿宋" w:cs="宋体"/>
                <w:kern w:val="0"/>
                <w:sz w:val="20"/>
                <w:szCs w:val="20"/>
              </w:rPr>
              <w:t>医院职工</w:t>
            </w:r>
            <w:r>
              <w:rPr>
                <w:rFonts w:hint="eastAsia" w:hAnsi="仿宋" w:cs="宋体"/>
                <w:color w:val="000000"/>
                <w:kern w:val="0"/>
                <w:sz w:val="21"/>
              </w:rPr>
              <w:t>问卷</w:t>
            </w:r>
            <w:r>
              <w:rPr>
                <w:rFonts w:hAnsi="仿宋" w:cs="宋体"/>
                <w:color w:val="000000"/>
                <w:kern w:val="0"/>
                <w:sz w:val="21"/>
              </w:rPr>
              <w:t>124</w:t>
            </w:r>
            <w:r>
              <w:rPr>
                <w:rFonts w:hint="eastAsia" w:hAnsi="仿宋" w:cs="宋体"/>
                <w:color w:val="000000"/>
                <w:kern w:val="0"/>
                <w:sz w:val="21"/>
              </w:rPr>
              <w:t>份，满意问卷占比为95.78%。</w:t>
            </w:r>
          </w:p>
        </w:tc>
      </w:tr>
      <w:bookmarkEnd w:id="105"/>
    </w:tbl>
    <w:p>
      <w:pPr>
        <w:autoSpaceDN w:val="0"/>
        <w:spacing w:line="590" w:lineRule="exact"/>
        <w:ind w:firstLine="630" w:firstLineChars="200"/>
        <w:outlineLvl w:val="0"/>
        <w:rPr>
          <w:rFonts w:ascii="黑体" w:hAnsi="黑体" w:eastAsia="黑体" w:cs="宋体"/>
          <w:szCs w:val="30"/>
        </w:rPr>
      </w:pPr>
      <w:bookmarkStart w:id="106" w:name="_Toc2777"/>
      <w:bookmarkStart w:id="107" w:name="_Toc144740065"/>
      <w:r>
        <w:rPr>
          <w:rFonts w:hint="eastAsia" w:ascii="黑体" w:hAnsi="黑体" w:eastAsia="黑体" w:cs="宋体"/>
          <w:szCs w:val="30"/>
        </w:rPr>
        <w:t>四、绩效评价情况分析</w:t>
      </w:r>
      <w:bookmarkEnd w:id="106"/>
      <w:bookmarkEnd w:id="107"/>
    </w:p>
    <w:p>
      <w:pPr>
        <w:autoSpaceDN w:val="0"/>
        <w:spacing w:line="590" w:lineRule="exact"/>
        <w:ind w:firstLine="630" w:firstLineChars="200"/>
        <w:outlineLvl w:val="1"/>
        <w:rPr>
          <w:rFonts w:ascii="楷体" w:hAnsi="楷体" w:eastAsia="楷体" w:cs="楷体_GB2312"/>
          <w:szCs w:val="30"/>
        </w:rPr>
      </w:pPr>
      <w:bookmarkStart w:id="108" w:name="_Toc144740066"/>
      <w:bookmarkStart w:id="109" w:name="_Toc15650"/>
      <w:r>
        <w:rPr>
          <w:rFonts w:hint="eastAsia" w:ascii="楷体" w:hAnsi="楷体" w:eastAsia="楷体" w:cs="楷体_GB2312"/>
          <w:szCs w:val="30"/>
        </w:rPr>
        <w:t>（一）决策情况分析</w:t>
      </w:r>
      <w:bookmarkEnd w:id="108"/>
      <w:bookmarkEnd w:id="109"/>
    </w:p>
    <w:p>
      <w:pPr>
        <w:autoSpaceDN w:val="0"/>
        <w:spacing w:line="590" w:lineRule="exact"/>
        <w:ind w:firstLine="630" w:firstLineChars="200"/>
        <w:rPr>
          <w:rFonts w:hAnsi="仿宋" w:cs="仿宋_GB2312"/>
          <w:szCs w:val="30"/>
        </w:rPr>
      </w:pPr>
      <w:bookmarkStart w:id="110" w:name="_Toc4948"/>
      <w:r>
        <w:rPr>
          <w:rFonts w:hint="eastAsia" w:hAnsi="仿宋" w:cs="仿宋_GB2312"/>
          <w:szCs w:val="30"/>
        </w:rPr>
        <w:t>项目决策</w:t>
      </w:r>
      <w:r>
        <w:rPr>
          <w:rFonts w:hAnsi="仿宋" w:cs="仿宋_GB2312"/>
          <w:szCs w:val="30"/>
        </w:rPr>
        <w:t>评价满分为15</w:t>
      </w:r>
      <w:r>
        <w:rPr>
          <w:rFonts w:hint="eastAsia" w:hAnsi="仿宋" w:cs="仿宋_GB2312"/>
          <w:szCs w:val="30"/>
        </w:rPr>
        <w:t>分，绩效评价得分</w:t>
      </w:r>
      <w:r>
        <w:rPr>
          <w:rFonts w:hAnsi="仿宋" w:cs="仿宋_GB2312"/>
          <w:szCs w:val="30"/>
        </w:rPr>
        <w:t>13</w:t>
      </w:r>
      <w:r>
        <w:rPr>
          <w:rFonts w:hint="eastAsia" w:hAnsi="仿宋" w:cs="仿宋_GB2312"/>
          <w:szCs w:val="30"/>
        </w:rPr>
        <w:t>分，得分率</w:t>
      </w:r>
      <w:r>
        <w:rPr>
          <w:rFonts w:hAnsi="仿宋" w:cs="仿宋_GB2312"/>
          <w:szCs w:val="30"/>
        </w:rPr>
        <w:t>86.67</w:t>
      </w:r>
      <w:r>
        <w:rPr>
          <w:rFonts w:hint="eastAsia" w:hAnsi="仿宋" w:cs="仿宋_GB2312"/>
          <w:szCs w:val="30"/>
        </w:rPr>
        <w:t>%，具体分析如下：</w:t>
      </w:r>
    </w:p>
    <w:p>
      <w:pPr>
        <w:widowControl/>
        <w:autoSpaceDN w:val="0"/>
        <w:spacing w:line="590" w:lineRule="exact"/>
        <w:ind w:firstLine="630" w:firstLineChars="200"/>
        <w:outlineLvl w:val="2"/>
        <w:rPr>
          <w:rFonts w:hAnsi="仿宋"/>
          <w:szCs w:val="30"/>
        </w:rPr>
      </w:pPr>
      <w:bookmarkStart w:id="111" w:name="_Toc142490549"/>
      <w:bookmarkStart w:id="112" w:name="_Toc144740067"/>
      <w:bookmarkStart w:id="113" w:name="_Toc143294666"/>
      <w:bookmarkStart w:id="114" w:name="_Toc143605608"/>
      <w:r>
        <w:rPr>
          <w:rFonts w:hAnsi="仿宋"/>
          <w:szCs w:val="30"/>
        </w:rPr>
        <w:t>1.</w:t>
      </w:r>
      <w:r>
        <w:rPr>
          <w:rFonts w:hint="eastAsia" w:hAnsi="仿宋"/>
          <w:szCs w:val="30"/>
        </w:rPr>
        <w:t>项目立项方面</w:t>
      </w:r>
      <w:bookmarkEnd w:id="111"/>
      <w:bookmarkEnd w:id="112"/>
      <w:bookmarkEnd w:id="113"/>
      <w:bookmarkEnd w:id="114"/>
    </w:p>
    <w:p>
      <w:pPr>
        <w:autoSpaceDN w:val="0"/>
        <w:spacing w:line="590" w:lineRule="exact"/>
        <w:ind w:firstLine="630" w:firstLineChars="200"/>
        <w:rPr>
          <w:rFonts w:hAnsi="仿宋" w:cs="仿宋_GB2312"/>
          <w:szCs w:val="30"/>
        </w:rPr>
      </w:pPr>
      <w:r>
        <w:rPr>
          <w:rFonts w:hint="eastAsia" w:hAnsi="仿宋" w:cs="仿宋_GB2312"/>
          <w:szCs w:val="30"/>
        </w:rPr>
        <w:t>根据《玉溪市医疗机构设置规划（2016-2020年）》《玉溪市“十三五”卫生与健康规划》和《玉溪市区域卫生规划（2016-2020年）》等文件规定，玉溪市人民医院2</w:t>
      </w:r>
      <w:r>
        <w:rPr>
          <w:rFonts w:hAnsi="仿宋" w:cs="仿宋_GB2312"/>
          <w:szCs w:val="30"/>
        </w:rPr>
        <w:t>014</w:t>
      </w:r>
      <w:r>
        <w:rPr>
          <w:rFonts w:hint="eastAsia" w:hAnsi="仿宋" w:cs="仿宋_GB2312"/>
          <w:szCs w:val="30"/>
        </w:rPr>
        <w:t>年编制医院改扩建项目可研报告进行项目报建，并取得玉溪市发展改革委可研批复，项目符合国民经济和社会发展规划及行业专项规划。此外，该项目是有收益的公益性项目，符合专项债券资金支持的范围。玉溪市人民医院申请专项债券资金前完成了项目建设用地规划许可证、可研批复、环评批复等审批，201</w:t>
      </w:r>
      <w:r>
        <w:rPr>
          <w:rFonts w:hAnsi="仿宋" w:cs="仿宋_GB2312"/>
          <w:szCs w:val="30"/>
        </w:rPr>
        <w:t>8</w:t>
      </w:r>
      <w:r>
        <w:rPr>
          <w:rFonts w:hint="eastAsia" w:hAnsi="仿宋" w:cs="仿宋_GB2312"/>
          <w:szCs w:val="30"/>
        </w:rPr>
        <w:t>年编制了专项债券实施方案、财务评价报告、法律意见书等文件向主管部门申请专项债券资金支持。</w:t>
      </w:r>
    </w:p>
    <w:p>
      <w:pPr>
        <w:widowControl/>
        <w:autoSpaceDN w:val="0"/>
        <w:spacing w:line="590" w:lineRule="exact"/>
        <w:ind w:firstLine="630" w:firstLineChars="200"/>
        <w:outlineLvl w:val="2"/>
        <w:rPr>
          <w:rFonts w:hAnsi="仿宋"/>
          <w:szCs w:val="30"/>
        </w:rPr>
      </w:pPr>
      <w:bookmarkStart w:id="115" w:name="_Toc142490550"/>
      <w:bookmarkStart w:id="116" w:name="_Toc144740068"/>
      <w:bookmarkStart w:id="117" w:name="_Toc143605609"/>
      <w:bookmarkStart w:id="118" w:name="_Toc143294667"/>
      <w:r>
        <w:rPr>
          <w:rFonts w:hAnsi="仿宋"/>
          <w:szCs w:val="30"/>
        </w:rPr>
        <w:t>2.</w:t>
      </w:r>
      <w:r>
        <w:rPr>
          <w:rFonts w:hint="eastAsia" w:hAnsi="仿宋"/>
          <w:szCs w:val="30"/>
        </w:rPr>
        <w:t>工作任务目标方面</w:t>
      </w:r>
      <w:bookmarkEnd w:id="115"/>
      <w:bookmarkEnd w:id="116"/>
      <w:bookmarkEnd w:id="117"/>
      <w:bookmarkEnd w:id="118"/>
    </w:p>
    <w:p>
      <w:pPr>
        <w:autoSpaceDN w:val="0"/>
        <w:spacing w:line="590" w:lineRule="exact"/>
        <w:ind w:firstLine="630" w:firstLineChars="200"/>
        <w:rPr>
          <w:rFonts w:hAnsi="仿宋" w:cs="仿宋_GB2312"/>
          <w:szCs w:val="30"/>
        </w:rPr>
      </w:pPr>
      <w:r>
        <w:rPr>
          <w:rFonts w:hint="eastAsia" w:hAnsi="仿宋" w:cs="仿宋_GB2312"/>
          <w:szCs w:val="30"/>
        </w:rPr>
        <w:t>根据项目专项债券实施方案，医院改扩建项目的主要目标为“改善玉溪市人民医院的医疗服务条件和工作环境，扩大服务量，完善服务功能，提高医院的生存能力，扩大服务范围，提升服务水平，逐步实现公共医疗卫生服务能力均等化”，与实际建设内容及预算投资匹配。</w:t>
      </w:r>
    </w:p>
    <w:p>
      <w:pPr>
        <w:widowControl/>
        <w:autoSpaceDN w:val="0"/>
        <w:spacing w:line="590" w:lineRule="exact"/>
        <w:ind w:firstLine="630" w:firstLineChars="200"/>
        <w:outlineLvl w:val="2"/>
        <w:rPr>
          <w:rFonts w:hAnsi="仿宋"/>
          <w:szCs w:val="30"/>
        </w:rPr>
      </w:pPr>
      <w:bookmarkStart w:id="119" w:name="_Toc142490551"/>
      <w:bookmarkStart w:id="120" w:name="_Toc143294668"/>
      <w:bookmarkStart w:id="121" w:name="_Toc143605610"/>
      <w:bookmarkStart w:id="122" w:name="_Toc144740069"/>
      <w:r>
        <w:rPr>
          <w:rFonts w:hAnsi="仿宋"/>
          <w:szCs w:val="30"/>
        </w:rPr>
        <w:t>3.</w:t>
      </w:r>
      <w:r>
        <w:rPr>
          <w:rFonts w:hint="eastAsia" w:hAnsi="仿宋"/>
          <w:szCs w:val="30"/>
        </w:rPr>
        <w:t>资金投入方面</w:t>
      </w:r>
      <w:bookmarkEnd w:id="119"/>
      <w:bookmarkEnd w:id="120"/>
      <w:bookmarkEnd w:id="121"/>
      <w:bookmarkEnd w:id="122"/>
    </w:p>
    <w:p>
      <w:pPr>
        <w:autoSpaceDN w:val="0"/>
        <w:spacing w:line="590" w:lineRule="exact"/>
        <w:ind w:firstLine="630" w:firstLineChars="200"/>
        <w:rPr>
          <w:rFonts w:hAnsi="仿宋" w:cs="仿宋_GB2312"/>
          <w:szCs w:val="30"/>
        </w:rPr>
      </w:pPr>
      <w:r>
        <w:rPr>
          <w:rFonts w:hint="eastAsia" w:hAnsi="仿宋" w:cs="仿宋_GB2312"/>
          <w:szCs w:val="30"/>
        </w:rPr>
        <w:t>项目专债申报实施方案建设内容与实际改扩建建设内容相匹配，资本金占比符合国务院规定的固定资产投资项目资本金制度要求，截至</w:t>
      </w:r>
      <w:r>
        <w:rPr>
          <w:rFonts w:hAnsi="仿宋" w:cs="仿宋_GB2312"/>
          <w:szCs w:val="30"/>
        </w:rPr>
        <w:t>2023</w:t>
      </w:r>
      <w:r>
        <w:rPr>
          <w:rFonts w:hint="eastAsia" w:hAnsi="仿宋" w:cs="仿宋_GB2312"/>
          <w:szCs w:val="30"/>
        </w:rPr>
        <w:t>年</w:t>
      </w:r>
      <w:r>
        <w:rPr>
          <w:rFonts w:hAnsi="仿宋" w:cs="仿宋_GB2312"/>
          <w:szCs w:val="30"/>
        </w:rPr>
        <w:t>6</w:t>
      </w:r>
      <w:r>
        <w:rPr>
          <w:rFonts w:hint="eastAsia" w:hAnsi="仿宋" w:cs="仿宋_GB2312"/>
          <w:szCs w:val="30"/>
        </w:rPr>
        <w:t>月</w:t>
      </w:r>
      <w:r>
        <w:rPr>
          <w:rFonts w:hAnsi="仿宋" w:cs="仿宋_GB2312"/>
          <w:szCs w:val="30"/>
        </w:rPr>
        <w:t>30</w:t>
      </w:r>
      <w:r>
        <w:rPr>
          <w:rFonts w:hint="eastAsia" w:hAnsi="仿宋" w:cs="仿宋_GB2312"/>
          <w:szCs w:val="30"/>
        </w:rPr>
        <w:t>日，资本金已全部到位。但项目实际资金来源与专债实施方案中不一致，其中，上级财政补助资金到位9,900万元，到位率102.06%；地方财政补助资金到位3,805.30万元，到位率1382.24%。此外，项目实际成本高于专债实施方案中预测成本，2</w:t>
      </w:r>
      <w:r>
        <w:rPr>
          <w:rFonts w:hAnsi="仿宋" w:cs="仿宋_GB2312"/>
          <w:szCs w:val="30"/>
        </w:rPr>
        <w:t>020</w:t>
      </w:r>
      <w:r>
        <w:rPr>
          <w:rFonts w:hint="eastAsia" w:hAnsi="仿宋" w:cs="仿宋_GB2312"/>
          <w:szCs w:val="30"/>
        </w:rPr>
        <w:t>-2022年预测成本分别为</w:t>
      </w:r>
      <w:r>
        <w:rPr>
          <w:rFonts w:hAnsi="仿宋" w:cs="仿宋_GB2312"/>
          <w:szCs w:val="30"/>
        </w:rPr>
        <w:t>115,618.24</w:t>
      </w:r>
      <w:r>
        <w:rPr>
          <w:rFonts w:hint="eastAsia" w:hAnsi="仿宋" w:cs="仿宋_GB2312"/>
          <w:szCs w:val="30"/>
        </w:rPr>
        <w:t>万元、119</w:t>
      </w:r>
      <w:r>
        <w:rPr>
          <w:rFonts w:hAnsi="仿宋" w:cs="仿宋_GB2312"/>
          <w:szCs w:val="30"/>
        </w:rPr>
        <w:t>,</w:t>
      </w:r>
      <w:r>
        <w:rPr>
          <w:rFonts w:hint="eastAsia" w:hAnsi="仿宋" w:cs="仿宋_GB2312"/>
          <w:szCs w:val="30"/>
        </w:rPr>
        <w:t>086.24万元、122</w:t>
      </w:r>
      <w:r>
        <w:rPr>
          <w:rFonts w:hAnsi="仿宋" w:cs="仿宋_GB2312"/>
          <w:szCs w:val="30"/>
        </w:rPr>
        <w:t>,</w:t>
      </w:r>
      <w:r>
        <w:rPr>
          <w:rFonts w:hint="eastAsia" w:hAnsi="仿宋" w:cs="仿宋_GB2312"/>
          <w:szCs w:val="30"/>
        </w:rPr>
        <w:t>683.52万元，共</w:t>
      </w:r>
      <w:r>
        <w:rPr>
          <w:rFonts w:hAnsi="仿宋" w:cs="仿宋_GB2312"/>
          <w:szCs w:val="30"/>
        </w:rPr>
        <w:t>357,388</w:t>
      </w:r>
      <w:r>
        <w:rPr>
          <w:rFonts w:hint="eastAsia" w:hAnsi="仿宋" w:cs="仿宋_GB2312"/>
          <w:szCs w:val="30"/>
        </w:rPr>
        <w:t>万元，但根据玉溪市人民医院提供的《2020年至2022年收支情况表》，2</w:t>
      </w:r>
      <w:r>
        <w:rPr>
          <w:rFonts w:hAnsi="仿宋" w:cs="仿宋_GB2312"/>
          <w:szCs w:val="30"/>
        </w:rPr>
        <w:t>020</w:t>
      </w:r>
      <w:r>
        <w:rPr>
          <w:rFonts w:hint="eastAsia" w:hAnsi="仿宋" w:cs="仿宋_GB2312"/>
          <w:szCs w:val="30"/>
        </w:rPr>
        <w:t>-2022年实际成本分别为</w:t>
      </w:r>
      <w:r>
        <w:rPr>
          <w:rFonts w:hAnsi="仿宋" w:cs="仿宋_GB2312"/>
          <w:szCs w:val="30"/>
        </w:rPr>
        <w:t>123,036</w:t>
      </w:r>
      <w:r>
        <w:rPr>
          <w:rFonts w:hint="eastAsia" w:hAnsi="仿宋" w:cs="仿宋_GB2312"/>
          <w:szCs w:val="30"/>
        </w:rPr>
        <w:t>万元、</w:t>
      </w:r>
      <w:r>
        <w:rPr>
          <w:rFonts w:hAnsi="仿宋" w:cs="仿宋_GB2312"/>
          <w:szCs w:val="30"/>
        </w:rPr>
        <w:t>133,906</w:t>
      </w:r>
      <w:r>
        <w:rPr>
          <w:rFonts w:hint="eastAsia" w:hAnsi="仿宋" w:cs="仿宋_GB2312"/>
          <w:szCs w:val="30"/>
        </w:rPr>
        <w:t>万元、</w:t>
      </w:r>
      <w:r>
        <w:rPr>
          <w:rFonts w:hAnsi="仿宋" w:cs="仿宋_GB2312"/>
          <w:szCs w:val="30"/>
        </w:rPr>
        <w:t>147,948</w:t>
      </w:r>
      <w:r>
        <w:rPr>
          <w:rFonts w:hint="eastAsia" w:hAnsi="仿宋" w:cs="仿宋_GB2312"/>
          <w:szCs w:val="30"/>
        </w:rPr>
        <w:t>万元，共</w:t>
      </w:r>
      <w:r>
        <w:rPr>
          <w:rFonts w:hAnsi="仿宋" w:cs="仿宋_GB2312"/>
          <w:szCs w:val="30"/>
        </w:rPr>
        <w:t>404,890</w:t>
      </w:r>
      <w:r>
        <w:rPr>
          <w:rFonts w:hint="eastAsia" w:hAnsi="仿宋" w:cs="仿宋_GB2312"/>
          <w:szCs w:val="30"/>
        </w:rPr>
        <w:t>万元，高于预测成本1</w:t>
      </w:r>
      <w:r>
        <w:rPr>
          <w:rFonts w:hAnsi="仿宋" w:cs="仿宋_GB2312"/>
          <w:szCs w:val="30"/>
        </w:rPr>
        <w:t>3%</w:t>
      </w:r>
      <w:r>
        <w:rPr>
          <w:rFonts w:hint="eastAsia" w:hAnsi="仿宋" w:cs="仿宋_GB2312"/>
          <w:szCs w:val="30"/>
        </w:rPr>
        <w:t>。</w:t>
      </w:r>
    </w:p>
    <w:p>
      <w:pPr>
        <w:autoSpaceDN w:val="0"/>
        <w:spacing w:line="590" w:lineRule="exact"/>
        <w:ind w:firstLine="630" w:firstLineChars="200"/>
        <w:outlineLvl w:val="1"/>
        <w:rPr>
          <w:rFonts w:ascii="楷体" w:hAnsi="楷体" w:eastAsia="楷体" w:cs="楷体_GB2312"/>
          <w:szCs w:val="30"/>
        </w:rPr>
      </w:pPr>
      <w:bookmarkStart w:id="123" w:name="_Toc144740070"/>
      <w:r>
        <w:rPr>
          <w:rFonts w:hint="eastAsia" w:ascii="楷体" w:hAnsi="楷体" w:eastAsia="楷体" w:cs="楷体_GB2312"/>
          <w:szCs w:val="30"/>
        </w:rPr>
        <w:t>（二）过程情况分析</w:t>
      </w:r>
      <w:bookmarkEnd w:id="110"/>
      <w:bookmarkEnd w:id="123"/>
    </w:p>
    <w:p>
      <w:pPr>
        <w:autoSpaceDN w:val="0"/>
        <w:spacing w:line="590" w:lineRule="exact"/>
        <w:ind w:firstLine="630" w:firstLineChars="200"/>
        <w:rPr>
          <w:rFonts w:hAnsi="仿宋" w:cs="仿宋_GB2312"/>
          <w:szCs w:val="30"/>
        </w:rPr>
      </w:pPr>
      <w:bookmarkStart w:id="124" w:name="_Toc8395"/>
      <w:r>
        <w:rPr>
          <w:rFonts w:hint="eastAsia" w:hAnsi="仿宋" w:cs="仿宋_GB2312"/>
          <w:szCs w:val="30"/>
        </w:rPr>
        <w:t>项目过程</w:t>
      </w:r>
      <w:r>
        <w:rPr>
          <w:rFonts w:hAnsi="仿宋" w:cs="仿宋_GB2312"/>
          <w:szCs w:val="30"/>
        </w:rPr>
        <w:t>评价满分20</w:t>
      </w:r>
      <w:r>
        <w:rPr>
          <w:rFonts w:hint="eastAsia" w:hAnsi="仿宋" w:cs="仿宋_GB2312"/>
          <w:szCs w:val="30"/>
        </w:rPr>
        <w:t>分，绩效评价得分</w:t>
      </w:r>
      <w:r>
        <w:rPr>
          <w:rFonts w:hAnsi="仿宋" w:cs="仿宋_GB2312"/>
          <w:szCs w:val="30"/>
        </w:rPr>
        <w:t>15.30</w:t>
      </w:r>
      <w:r>
        <w:rPr>
          <w:rFonts w:hint="eastAsia" w:hAnsi="仿宋" w:cs="仿宋_GB2312"/>
          <w:szCs w:val="30"/>
        </w:rPr>
        <w:t>分，得分率</w:t>
      </w:r>
      <w:r>
        <w:rPr>
          <w:rFonts w:hAnsi="仿宋" w:cs="仿宋_GB2312"/>
          <w:szCs w:val="30"/>
        </w:rPr>
        <w:t>76.50</w:t>
      </w:r>
      <w:r>
        <w:rPr>
          <w:rFonts w:hint="eastAsia" w:hAnsi="仿宋" w:cs="仿宋_GB2312"/>
          <w:szCs w:val="30"/>
        </w:rPr>
        <w:t>%，具体分析如下：</w:t>
      </w:r>
    </w:p>
    <w:p>
      <w:pPr>
        <w:widowControl/>
        <w:autoSpaceDN w:val="0"/>
        <w:spacing w:line="590" w:lineRule="exact"/>
        <w:ind w:firstLine="630" w:firstLineChars="200"/>
        <w:outlineLvl w:val="2"/>
        <w:rPr>
          <w:rFonts w:hAnsi="仿宋"/>
          <w:szCs w:val="30"/>
        </w:rPr>
      </w:pPr>
      <w:bookmarkStart w:id="125" w:name="_Toc143294670"/>
      <w:bookmarkStart w:id="126" w:name="_Toc142490553"/>
      <w:bookmarkStart w:id="127" w:name="_Toc144740071"/>
      <w:bookmarkStart w:id="128" w:name="_Toc143605612"/>
      <w:r>
        <w:rPr>
          <w:rFonts w:hint="eastAsia" w:hAnsi="仿宋"/>
          <w:szCs w:val="30"/>
        </w:rPr>
        <w:t>1</w:t>
      </w:r>
      <w:r>
        <w:rPr>
          <w:rFonts w:hAnsi="仿宋"/>
          <w:szCs w:val="30"/>
        </w:rPr>
        <w:t>.</w:t>
      </w:r>
      <w:r>
        <w:rPr>
          <w:rFonts w:hint="eastAsia" w:hAnsi="仿宋"/>
          <w:szCs w:val="30"/>
        </w:rPr>
        <w:t>资金管理方面</w:t>
      </w:r>
      <w:bookmarkEnd w:id="125"/>
      <w:bookmarkEnd w:id="126"/>
      <w:bookmarkEnd w:id="127"/>
      <w:bookmarkEnd w:id="128"/>
    </w:p>
    <w:p>
      <w:pPr>
        <w:autoSpaceDN w:val="0"/>
        <w:spacing w:line="590" w:lineRule="exact"/>
        <w:ind w:firstLine="630" w:firstLineChars="200"/>
        <w:rPr>
          <w:rFonts w:hAnsi="仿宋" w:cs="仿宋_GB2312"/>
          <w:szCs w:val="30"/>
        </w:rPr>
      </w:pPr>
      <w:r>
        <w:rPr>
          <w:rFonts w:hint="eastAsia" w:hAnsi="仿宋" w:cs="仿宋_GB2312"/>
          <w:szCs w:val="30"/>
        </w:rPr>
        <w:t>（1）专债资金管理合规性</w:t>
      </w:r>
    </w:p>
    <w:p>
      <w:pPr>
        <w:autoSpaceDN w:val="0"/>
        <w:spacing w:line="590" w:lineRule="exact"/>
        <w:ind w:firstLine="630" w:firstLineChars="200"/>
        <w:rPr>
          <w:rFonts w:hAnsi="仿宋" w:cs="仿宋_GB2312"/>
          <w:szCs w:val="30"/>
        </w:rPr>
      </w:pPr>
      <w:r>
        <w:rPr>
          <w:rFonts w:hint="eastAsia" w:hAnsi="仿宋" w:cs="仿宋_GB2312"/>
          <w:szCs w:val="30"/>
        </w:rPr>
        <w:t>玉溪市人民医院严格按照“一个专项债券项目对应一个银行账户”的要求，及时开设了专项债券资金管理专户；严格按照专户管理的要求存储专项债券资金，不存在擅自变更账户、分设子账户及擅自转出、入其他账户，脱离监管等行为。于2019年至2022年每年按时上缴利息812万元，利息服务费用0.041万元，共计支付专项债券利息3,248万元，服务费0.16万元。专项债券还本付息按计划执行。项目专项债申报相关信息均在中国地方政府债券信息公开平台公开，专项债券信息公开披露及时、全面。</w:t>
      </w:r>
    </w:p>
    <w:p>
      <w:pPr>
        <w:autoSpaceDN w:val="0"/>
        <w:spacing w:line="590" w:lineRule="exact"/>
        <w:ind w:firstLine="630" w:firstLineChars="200"/>
        <w:rPr>
          <w:rFonts w:hAnsi="仿宋" w:cs="仿宋_GB2312"/>
          <w:szCs w:val="30"/>
        </w:rPr>
      </w:pPr>
      <w:r>
        <w:rPr>
          <w:rFonts w:hint="eastAsia" w:hAnsi="仿宋" w:cs="仿宋_GB2312"/>
          <w:szCs w:val="30"/>
        </w:rPr>
        <w:t>（2）项目资金到位率</w:t>
      </w:r>
    </w:p>
    <w:p>
      <w:pPr>
        <w:autoSpaceDN w:val="0"/>
        <w:spacing w:line="590" w:lineRule="exact"/>
        <w:ind w:firstLine="630" w:firstLineChars="200"/>
        <w:rPr>
          <w:rFonts w:hAnsi="仿宋" w:cs="仿宋_GB2312"/>
          <w:szCs w:val="30"/>
        </w:rPr>
      </w:pPr>
      <w:r>
        <w:rPr>
          <w:rFonts w:hint="eastAsia" w:hAnsi="仿宋" w:cs="仿宋_GB2312"/>
          <w:szCs w:val="30"/>
        </w:rPr>
        <w:t>截止2023年6月30日，项目计划到位55,395.79万元，实际到位资金55,395.79万元，到位率100%。</w:t>
      </w:r>
    </w:p>
    <w:p>
      <w:pPr>
        <w:autoSpaceDN w:val="0"/>
        <w:spacing w:line="590" w:lineRule="exact"/>
        <w:ind w:firstLine="630" w:firstLineChars="200"/>
        <w:rPr>
          <w:rFonts w:hAnsi="仿宋" w:cs="仿宋_GB2312"/>
          <w:szCs w:val="30"/>
        </w:rPr>
      </w:pPr>
      <w:r>
        <w:rPr>
          <w:rFonts w:hint="eastAsia" w:hAnsi="仿宋" w:cs="仿宋_GB2312"/>
          <w:szCs w:val="30"/>
        </w:rPr>
        <w:t>（3）项目资金执行率</w:t>
      </w:r>
    </w:p>
    <w:p>
      <w:pPr>
        <w:autoSpaceDN w:val="0"/>
        <w:spacing w:line="590" w:lineRule="exact"/>
        <w:ind w:firstLine="630" w:firstLineChars="200"/>
        <w:rPr>
          <w:rFonts w:hAnsi="仿宋" w:cs="仿宋_GB2312"/>
          <w:szCs w:val="30"/>
        </w:rPr>
      </w:pPr>
      <w:r>
        <w:rPr>
          <w:rFonts w:hint="eastAsia" w:hAnsi="仿宋" w:cs="仿宋_GB2312"/>
          <w:szCs w:val="30"/>
        </w:rPr>
        <w:t>根据项目计量支付资料，达到合同付款条件资金为43</w:t>
      </w:r>
      <w:r>
        <w:rPr>
          <w:rFonts w:hAnsi="仿宋" w:cs="仿宋_GB2312"/>
          <w:szCs w:val="30"/>
        </w:rPr>
        <w:t>,</w:t>
      </w:r>
      <w:r>
        <w:rPr>
          <w:rFonts w:hint="eastAsia" w:hAnsi="仿宋" w:cs="仿宋_GB2312"/>
          <w:szCs w:val="30"/>
        </w:rPr>
        <w:t>698.54万元，实际到位资金额43</w:t>
      </w:r>
      <w:r>
        <w:rPr>
          <w:rFonts w:hAnsi="仿宋" w:cs="仿宋_GB2312"/>
          <w:szCs w:val="30"/>
        </w:rPr>
        <w:t>,</w:t>
      </w:r>
      <w:r>
        <w:rPr>
          <w:rFonts w:hint="eastAsia" w:hAnsi="仿宋" w:cs="仿宋_GB2312"/>
          <w:szCs w:val="30"/>
        </w:rPr>
        <w:t>698.54万元，项目资金执行率100%。</w:t>
      </w:r>
    </w:p>
    <w:p>
      <w:pPr>
        <w:autoSpaceDN w:val="0"/>
        <w:spacing w:line="590" w:lineRule="exact"/>
        <w:ind w:firstLine="630" w:firstLineChars="200"/>
        <w:rPr>
          <w:rFonts w:hAnsi="仿宋" w:cs="仿宋_GB2312"/>
          <w:szCs w:val="30"/>
        </w:rPr>
      </w:pPr>
      <w:r>
        <w:rPr>
          <w:rFonts w:hint="eastAsia" w:hAnsi="仿宋" w:cs="仿宋_GB2312"/>
          <w:szCs w:val="30"/>
        </w:rPr>
        <w:t>（</w:t>
      </w:r>
      <w:r>
        <w:rPr>
          <w:rFonts w:hAnsi="仿宋" w:cs="仿宋_GB2312"/>
          <w:szCs w:val="30"/>
        </w:rPr>
        <w:t>4</w:t>
      </w:r>
      <w:r>
        <w:rPr>
          <w:rFonts w:hint="eastAsia" w:hAnsi="仿宋" w:cs="仿宋_GB2312"/>
          <w:szCs w:val="30"/>
        </w:rPr>
        <w:t>）资金使用合规性</w:t>
      </w:r>
    </w:p>
    <w:p>
      <w:pPr>
        <w:autoSpaceDN w:val="0"/>
        <w:spacing w:line="590" w:lineRule="exact"/>
        <w:ind w:firstLine="630" w:firstLineChars="200"/>
        <w:rPr>
          <w:rFonts w:hAnsi="仿宋" w:cs="仿宋_GB2312"/>
          <w:szCs w:val="30"/>
        </w:rPr>
      </w:pPr>
      <w:r>
        <w:rPr>
          <w:rFonts w:hint="eastAsia" w:hAnsi="仿宋" w:cs="仿宋_GB2312"/>
          <w:szCs w:val="30"/>
        </w:rPr>
        <w:t>项目专债资金拨付有完整的审批程序和手续，并与项目建设进度相匹配，资金使用符合项目预算批复或合同规定用途。为贯彻落实《玉溪市财政局关于印发玉溪市贯彻落实财政资金监管“清源行动”的工作方案的通知》(玉财监〔2023〕8号)精神，玉溪市人民医院围绕2020年以来财政资金管理使用中存在的问题，对照《财政资金监管“清源行动”工作清单》的六大类问题细化的39种情形查找问题，于2023年4月-7月形成月度自查报告。根据报告内容，玉溪市人民医院不存在上述情形问题。经实地评价，未发现专项债券资金截留、挤占、挪用、虚列支出、违规使用等情况。但部分专债资金使用不规范，评价中发现项目专项债券存款利息</w:t>
      </w:r>
      <w:r>
        <w:rPr>
          <w:rFonts w:hAnsi="仿宋" w:cs="仿宋_GB2312"/>
          <w:szCs w:val="30"/>
        </w:rPr>
        <w:t>347.96</w:t>
      </w:r>
      <w:r>
        <w:rPr>
          <w:rFonts w:hint="eastAsia" w:hAnsi="仿宋" w:cs="仿宋_GB2312"/>
          <w:szCs w:val="30"/>
        </w:rPr>
        <w:t>万元未上缴国库，用于支付工程款，不符合《关于做好地方政府专项债券发行及项目配套融资工作的通知》（厅字〔2019〕33号）中“项目对应的政府性基金收入和用于偿还专项债券的专项收入及时足额缴入国库，纳入政府性基金预算管理”的规定。</w:t>
      </w:r>
    </w:p>
    <w:p>
      <w:pPr>
        <w:widowControl/>
        <w:autoSpaceDN w:val="0"/>
        <w:spacing w:line="590" w:lineRule="exact"/>
        <w:ind w:firstLine="630" w:firstLineChars="200"/>
        <w:outlineLvl w:val="2"/>
        <w:rPr>
          <w:rFonts w:hAnsi="仿宋"/>
          <w:szCs w:val="30"/>
        </w:rPr>
      </w:pPr>
      <w:bookmarkStart w:id="129" w:name="_Toc143605613"/>
      <w:bookmarkStart w:id="130" w:name="_Toc142490554"/>
      <w:bookmarkStart w:id="131" w:name="_Toc143294671"/>
      <w:bookmarkStart w:id="132" w:name="_Toc144740072"/>
      <w:r>
        <w:rPr>
          <w:rFonts w:hint="eastAsia" w:hAnsi="仿宋"/>
          <w:szCs w:val="30"/>
        </w:rPr>
        <w:t>2</w:t>
      </w:r>
      <w:r>
        <w:rPr>
          <w:rFonts w:hAnsi="仿宋"/>
          <w:szCs w:val="30"/>
        </w:rPr>
        <w:t>.</w:t>
      </w:r>
      <w:r>
        <w:rPr>
          <w:rFonts w:hint="eastAsia" w:hAnsi="仿宋"/>
          <w:szCs w:val="30"/>
        </w:rPr>
        <w:t>组织实施方面</w:t>
      </w:r>
      <w:bookmarkEnd w:id="129"/>
      <w:bookmarkEnd w:id="130"/>
      <w:bookmarkEnd w:id="131"/>
      <w:bookmarkEnd w:id="132"/>
    </w:p>
    <w:p>
      <w:pPr>
        <w:autoSpaceDN w:val="0"/>
        <w:spacing w:line="590" w:lineRule="exact"/>
        <w:ind w:firstLine="630" w:firstLineChars="200"/>
        <w:rPr>
          <w:rFonts w:hAnsi="仿宋" w:cs="仿宋_GB2312"/>
          <w:szCs w:val="30"/>
        </w:rPr>
      </w:pPr>
      <w:r>
        <w:rPr>
          <w:rFonts w:hint="eastAsia" w:hAnsi="仿宋" w:cs="仿宋_GB2312"/>
          <w:szCs w:val="30"/>
        </w:rPr>
        <w:t>（1）制度健全性</w:t>
      </w:r>
    </w:p>
    <w:p>
      <w:pPr>
        <w:autoSpaceDN w:val="0"/>
        <w:spacing w:line="590" w:lineRule="exact"/>
        <w:ind w:firstLine="630" w:firstLineChars="200"/>
        <w:rPr>
          <w:rFonts w:hAnsi="仿宋" w:cs="仿宋_GB2312"/>
          <w:szCs w:val="30"/>
        </w:rPr>
      </w:pPr>
      <w:r>
        <w:rPr>
          <w:rFonts w:hint="eastAsia" w:hAnsi="仿宋" w:cs="仿宋_GB2312"/>
          <w:szCs w:val="30"/>
        </w:rPr>
        <w:t>玉溪市财政局和市卫生健康委员会出台了《玉溪市人民医院建设专项债券资金使用暂行管理办法》（玉财债〔2018〕40号），明确了项目各相关方的职能职责，以规范医院建设专项债券资金使用管理，确保专项债券项目有序推进和债券资金专款专用。玉溪市人民医院制定了《玉溪市人民医院卫生事业专项资金管理办法》（玉市医发〔2022〕43 号），以进一步加强项目资金管理，落实支出责任。</w:t>
      </w:r>
    </w:p>
    <w:p>
      <w:pPr>
        <w:autoSpaceDN w:val="0"/>
        <w:spacing w:line="590" w:lineRule="exact"/>
        <w:ind w:firstLine="630" w:firstLineChars="200"/>
        <w:rPr>
          <w:rFonts w:hAnsi="仿宋" w:cs="仿宋_GB2312"/>
          <w:szCs w:val="30"/>
        </w:rPr>
      </w:pPr>
      <w:r>
        <w:rPr>
          <w:rFonts w:hint="eastAsia" w:hAnsi="仿宋" w:cs="仿宋_GB2312"/>
          <w:szCs w:val="30"/>
        </w:rPr>
        <w:t>（</w:t>
      </w:r>
      <w:r>
        <w:rPr>
          <w:rFonts w:hAnsi="仿宋" w:cs="仿宋_GB2312"/>
          <w:szCs w:val="30"/>
        </w:rPr>
        <w:t>2</w:t>
      </w:r>
      <w:r>
        <w:rPr>
          <w:rFonts w:hint="eastAsia" w:hAnsi="仿宋" w:cs="仿宋_GB2312"/>
          <w:szCs w:val="30"/>
        </w:rPr>
        <w:t>）制度执行规范性</w:t>
      </w:r>
    </w:p>
    <w:p>
      <w:pPr>
        <w:autoSpaceDN w:val="0"/>
        <w:spacing w:line="590" w:lineRule="exact"/>
        <w:ind w:firstLine="630" w:firstLineChars="200"/>
        <w:rPr>
          <w:rFonts w:hAnsi="仿宋" w:cs="仿宋_GB2312"/>
          <w:szCs w:val="30"/>
        </w:rPr>
      </w:pPr>
      <w:r>
        <w:rPr>
          <w:rFonts w:hint="eastAsia" w:hAnsi="仿宋" w:cs="仿宋_GB2312"/>
          <w:szCs w:val="30"/>
        </w:rPr>
        <w:t>玉溪市人民医院与玉溪物流投资有限公司签订了《代建管理合同》，由玉溪物流投资有限公司负责按照规章制度对工程质量、投资、进度和安全进行有效控制，招投标、合同签订、工程变更等实施程序均符合法律法规及行业规范。但实地调研发现，项目在建设管理过程中存在部分不符合管理规定的情况：一是项目于2</w:t>
      </w:r>
      <w:r>
        <w:rPr>
          <w:rFonts w:hAnsi="仿宋" w:cs="仿宋_GB2312"/>
          <w:szCs w:val="30"/>
        </w:rPr>
        <w:t>019</w:t>
      </w:r>
      <w:r>
        <w:rPr>
          <w:rFonts w:hint="eastAsia" w:hAnsi="仿宋" w:cs="仿宋_GB2312"/>
          <w:szCs w:val="30"/>
        </w:rPr>
        <w:t>年1</w:t>
      </w:r>
      <w:r>
        <w:rPr>
          <w:rFonts w:hAnsi="仿宋" w:cs="仿宋_GB2312"/>
          <w:szCs w:val="30"/>
        </w:rPr>
        <w:t>0</w:t>
      </w:r>
      <w:r>
        <w:rPr>
          <w:rFonts w:hint="eastAsia" w:hAnsi="仿宋" w:cs="仿宋_GB2312"/>
          <w:szCs w:val="30"/>
        </w:rPr>
        <w:t>月投入使用，但2021年1月20日才完成竣工验收，未经竣工验收提前投入使用，不符合《建设工程质量管理条例》第58条：“违反本条例规定，建设单位有下列行为之一的，责令改正，处工程合同价款百分之二以上百分之四以下的罚款；造成损失的，依法承担赔偿责任：（一）未组织竣工验收，擅自交付使用的；……”的规定；二是截至2</w:t>
      </w:r>
      <w:r>
        <w:rPr>
          <w:rFonts w:hAnsi="仿宋" w:cs="仿宋_GB2312"/>
          <w:szCs w:val="30"/>
        </w:rPr>
        <w:t>023</w:t>
      </w:r>
      <w:r>
        <w:rPr>
          <w:rFonts w:hint="eastAsia" w:hAnsi="仿宋" w:cs="仿宋_GB2312"/>
          <w:szCs w:val="30"/>
        </w:rPr>
        <w:t>年6月3</w:t>
      </w:r>
      <w:r>
        <w:rPr>
          <w:rFonts w:hAnsi="仿宋" w:cs="仿宋_GB2312"/>
          <w:szCs w:val="30"/>
        </w:rPr>
        <w:t>0</w:t>
      </w:r>
      <w:r>
        <w:rPr>
          <w:rFonts w:hint="eastAsia" w:hAnsi="仿宋" w:cs="仿宋_GB2312"/>
          <w:szCs w:val="30"/>
        </w:rPr>
        <w:t>日，项目仍在开展竣工结算审查，尚未编报竣工财务决算，编制进度较慢，不符合《基本建设项目竣工财务决算管理暂行办法》（财建〔2016〕503号）中“项目完工可投入使用或者试运行合格后，应当在3个月内编报竣工财务决算，特殊情况确需延长的，中小型项目不得超过2个月，大型项目不得超过6个月”的规定；三是根据《玉溪市人民医院建设专项债券资金使用暂行管理办法》（玉财债〔2018〕40号），“卫生计生部门负责组织医院建设专项债券资金项目的竣工验收”，但玉溪市卫生健康委未组织项目的竣工验收，而由医院组织验收。</w:t>
      </w:r>
    </w:p>
    <w:p>
      <w:pPr>
        <w:autoSpaceDN w:val="0"/>
        <w:spacing w:line="590" w:lineRule="exact"/>
        <w:ind w:firstLine="630" w:firstLineChars="200"/>
        <w:rPr>
          <w:rFonts w:hAnsi="仿宋" w:cs="仿宋_GB2312"/>
          <w:szCs w:val="30"/>
        </w:rPr>
      </w:pPr>
      <w:r>
        <w:rPr>
          <w:rFonts w:hint="eastAsia" w:hAnsi="仿宋" w:cs="仿宋_GB2312"/>
          <w:szCs w:val="30"/>
        </w:rPr>
        <w:t>（</w:t>
      </w:r>
      <w:r>
        <w:rPr>
          <w:rFonts w:hAnsi="仿宋" w:cs="仿宋_GB2312"/>
          <w:szCs w:val="30"/>
        </w:rPr>
        <w:t>3</w:t>
      </w:r>
      <w:r>
        <w:rPr>
          <w:rFonts w:hint="eastAsia" w:hAnsi="仿宋" w:cs="仿宋_GB2312"/>
          <w:szCs w:val="30"/>
        </w:rPr>
        <w:t>）绩效管理情况</w:t>
      </w:r>
    </w:p>
    <w:p>
      <w:pPr>
        <w:autoSpaceDN w:val="0"/>
        <w:spacing w:line="590" w:lineRule="exact"/>
        <w:ind w:firstLine="630" w:firstLineChars="200"/>
        <w:rPr>
          <w:rFonts w:hAnsi="仿宋" w:cs="仿宋_GB2312"/>
          <w:szCs w:val="30"/>
        </w:rPr>
      </w:pPr>
      <w:r>
        <w:rPr>
          <w:rFonts w:hint="eastAsia" w:hAnsi="仿宋" w:cs="仿宋_GB2312"/>
          <w:szCs w:val="30"/>
        </w:rPr>
        <w:t>玉溪市人民医院未对项目开展绩效自评及绩效监控，不符合《中共云南省委 云南省人民政府关于全面实施预算绩效管理的实施意见》（云发〔2019〕11号）中“各部门对本部门政策、项目实施效果开展绩效自评”和“各地区各部门对绩效目标实现程度和预算执行进度实行‘双监控’”的要求。</w:t>
      </w:r>
    </w:p>
    <w:p>
      <w:pPr>
        <w:autoSpaceDN w:val="0"/>
        <w:spacing w:line="590" w:lineRule="exact"/>
        <w:ind w:firstLine="630" w:firstLineChars="200"/>
        <w:outlineLvl w:val="1"/>
        <w:rPr>
          <w:rFonts w:ascii="楷体" w:hAnsi="楷体" w:eastAsia="楷体" w:cs="楷体_GB2312"/>
          <w:szCs w:val="30"/>
        </w:rPr>
      </w:pPr>
      <w:bookmarkStart w:id="133" w:name="_Toc144740073"/>
      <w:r>
        <w:rPr>
          <w:rFonts w:hint="eastAsia" w:ascii="楷体" w:hAnsi="楷体" w:eastAsia="楷体" w:cs="楷体_GB2312"/>
          <w:szCs w:val="30"/>
        </w:rPr>
        <w:t>（三）产出情况分析</w:t>
      </w:r>
      <w:bookmarkEnd w:id="124"/>
      <w:bookmarkEnd w:id="133"/>
    </w:p>
    <w:p>
      <w:pPr>
        <w:autoSpaceDN w:val="0"/>
        <w:spacing w:line="590" w:lineRule="exact"/>
        <w:ind w:firstLine="630" w:firstLineChars="200"/>
        <w:rPr>
          <w:rFonts w:hAnsi="仿宋" w:cs="仿宋_GB2312"/>
          <w:szCs w:val="30"/>
        </w:rPr>
      </w:pPr>
      <w:r>
        <w:rPr>
          <w:rFonts w:hint="eastAsia" w:hAnsi="仿宋" w:cs="仿宋_GB2312"/>
          <w:szCs w:val="30"/>
        </w:rPr>
        <w:t>从</w:t>
      </w:r>
      <w:r>
        <w:rPr>
          <w:rFonts w:hAnsi="仿宋" w:cs="仿宋_GB2312"/>
          <w:szCs w:val="30"/>
        </w:rPr>
        <w:t>评价得分情况看</w:t>
      </w:r>
      <w:r>
        <w:rPr>
          <w:rFonts w:hint="eastAsia" w:hAnsi="仿宋" w:cs="仿宋_GB2312"/>
          <w:szCs w:val="30"/>
        </w:rPr>
        <w:t>，</w:t>
      </w:r>
      <w:r>
        <w:rPr>
          <w:rFonts w:hAnsi="仿宋" w:cs="仿宋_GB2312"/>
          <w:szCs w:val="30"/>
        </w:rPr>
        <w:t>此项评价满分为30</w:t>
      </w:r>
      <w:r>
        <w:rPr>
          <w:rFonts w:hint="eastAsia" w:hAnsi="仿宋" w:cs="仿宋_GB2312"/>
          <w:szCs w:val="30"/>
        </w:rPr>
        <w:t>分，绩效评价得分</w:t>
      </w:r>
      <w:r>
        <w:rPr>
          <w:rFonts w:hAnsi="仿宋" w:cs="仿宋_GB2312"/>
          <w:szCs w:val="30"/>
        </w:rPr>
        <w:t>25</w:t>
      </w:r>
      <w:r>
        <w:rPr>
          <w:rFonts w:hint="eastAsia" w:hAnsi="仿宋" w:cs="仿宋_GB2312"/>
          <w:szCs w:val="30"/>
        </w:rPr>
        <w:t>分，得分率</w:t>
      </w:r>
      <w:r>
        <w:rPr>
          <w:rFonts w:hAnsi="仿宋" w:cs="仿宋_GB2312"/>
          <w:szCs w:val="30"/>
        </w:rPr>
        <w:t>83.33</w:t>
      </w:r>
      <w:r>
        <w:rPr>
          <w:rFonts w:hint="eastAsia" w:hAnsi="仿宋" w:cs="仿宋_GB2312"/>
          <w:szCs w:val="30"/>
        </w:rPr>
        <w:t>%，具体分析如下：</w:t>
      </w:r>
    </w:p>
    <w:p>
      <w:pPr>
        <w:widowControl/>
        <w:autoSpaceDN w:val="0"/>
        <w:spacing w:line="590" w:lineRule="exact"/>
        <w:ind w:firstLine="630" w:firstLineChars="200"/>
        <w:outlineLvl w:val="2"/>
        <w:rPr>
          <w:rFonts w:hAnsi="仿宋"/>
          <w:szCs w:val="30"/>
        </w:rPr>
      </w:pPr>
      <w:bookmarkStart w:id="134" w:name="_Toc142490556"/>
      <w:bookmarkStart w:id="135" w:name="_Toc143605615"/>
      <w:bookmarkStart w:id="136" w:name="_Toc144740074"/>
      <w:bookmarkStart w:id="137" w:name="_Toc143294673"/>
      <w:r>
        <w:rPr>
          <w:rFonts w:hint="eastAsia" w:hAnsi="仿宋"/>
          <w:szCs w:val="30"/>
        </w:rPr>
        <w:t>1</w:t>
      </w:r>
      <w:r>
        <w:rPr>
          <w:rFonts w:hAnsi="仿宋"/>
          <w:szCs w:val="30"/>
        </w:rPr>
        <w:t>.</w:t>
      </w:r>
      <w:r>
        <w:rPr>
          <w:rFonts w:hint="eastAsia" w:hAnsi="仿宋"/>
          <w:szCs w:val="30"/>
        </w:rPr>
        <w:t>产出数量方面</w:t>
      </w:r>
      <w:bookmarkEnd w:id="134"/>
      <w:bookmarkEnd w:id="135"/>
      <w:bookmarkEnd w:id="136"/>
      <w:bookmarkEnd w:id="137"/>
    </w:p>
    <w:p>
      <w:pPr>
        <w:autoSpaceDN w:val="0"/>
        <w:spacing w:line="590" w:lineRule="exact"/>
        <w:ind w:firstLine="630" w:firstLineChars="200"/>
        <w:rPr>
          <w:rFonts w:hAnsi="仿宋" w:cs="仿宋_GB2312"/>
          <w:szCs w:val="30"/>
        </w:rPr>
      </w:pPr>
      <w:r>
        <w:rPr>
          <w:rFonts w:hint="eastAsia" w:hAnsi="仿宋" w:cs="仿宋_GB2312"/>
          <w:szCs w:val="30"/>
        </w:rPr>
        <w:t>项目建设完成后医院共有编制床位1</w:t>
      </w:r>
      <w:r>
        <w:rPr>
          <w:rFonts w:hAnsi="仿宋" w:cs="仿宋_GB2312"/>
          <w:szCs w:val="30"/>
        </w:rPr>
        <w:t>500</w:t>
      </w:r>
      <w:r>
        <w:rPr>
          <w:rFonts w:hint="eastAsia" w:hAnsi="仿宋" w:cs="仿宋_GB2312"/>
          <w:szCs w:val="30"/>
        </w:rPr>
        <w:t>张，地下机动车停车位347辆，地下非机动车停车位350辆，建筑功能分区一至四层为门诊医技用房，第五层为手术用房，第六层为设备用房，第七层为重症（ICU）用房，八至十五层为住院部住院病房，十六、十七层为干疗科住院病房，十八层、十九层为住院病房，二十层，二十一层为全科医生临床培养基地用房，地下两层为设备用房和机动车停车库，与初设批复建设内容一致。</w:t>
      </w:r>
    </w:p>
    <w:p>
      <w:pPr>
        <w:widowControl/>
        <w:autoSpaceDN w:val="0"/>
        <w:spacing w:line="590" w:lineRule="exact"/>
        <w:ind w:firstLine="630" w:firstLineChars="200"/>
        <w:outlineLvl w:val="2"/>
        <w:rPr>
          <w:rFonts w:hAnsi="仿宋"/>
          <w:szCs w:val="30"/>
        </w:rPr>
      </w:pPr>
      <w:bookmarkStart w:id="138" w:name="_Toc142490557"/>
      <w:bookmarkStart w:id="139" w:name="_Toc143605616"/>
      <w:bookmarkStart w:id="140" w:name="_Toc143294674"/>
      <w:bookmarkStart w:id="141" w:name="_Toc144740075"/>
      <w:r>
        <w:rPr>
          <w:rFonts w:hint="eastAsia" w:hAnsi="仿宋"/>
          <w:szCs w:val="30"/>
        </w:rPr>
        <w:t>2</w:t>
      </w:r>
      <w:r>
        <w:rPr>
          <w:rFonts w:hAnsi="仿宋"/>
          <w:szCs w:val="30"/>
        </w:rPr>
        <w:t>.</w:t>
      </w:r>
      <w:r>
        <w:rPr>
          <w:rFonts w:hint="eastAsia" w:hAnsi="仿宋"/>
          <w:szCs w:val="30"/>
        </w:rPr>
        <w:t>产出质量方面</w:t>
      </w:r>
      <w:bookmarkEnd w:id="138"/>
      <w:bookmarkEnd w:id="139"/>
      <w:bookmarkEnd w:id="140"/>
      <w:bookmarkEnd w:id="141"/>
    </w:p>
    <w:p>
      <w:pPr>
        <w:autoSpaceDN w:val="0"/>
        <w:spacing w:line="590" w:lineRule="exact"/>
        <w:ind w:firstLine="630" w:firstLineChars="200"/>
        <w:rPr>
          <w:rFonts w:hAnsi="仿宋" w:cs="仿宋_GB2312"/>
          <w:szCs w:val="30"/>
        </w:rPr>
      </w:pPr>
      <w:r>
        <w:rPr>
          <w:rFonts w:hint="eastAsia" w:hAnsi="仿宋" w:cs="仿宋_GB2312"/>
          <w:szCs w:val="30"/>
        </w:rPr>
        <w:t>项目于2</w:t>
      </w:r>
      <w:r>
        <w:rPr>
          <w:rFonts w:hAnsi="仿宋" w:cs="仿宋_GB2312"/>
          <w:szCs w:val="30"/>
        </w:rPr>
        <w:t>021</w:t>
      </w:r>
      <w:r>
        <w:rPr>
          <w:rFonts w:hint="eastAsia" w:hAnsi="仿宋" w:cs="仿宋_GB2312"/>
          <w:szCs w:val="30"/>
        </w:rPr>
        <w:t>年1月2</w:t>
      </w:r>
      <w:r>
        <w:rPr>
          <w:rFonts w:hAnsi="仿宋" w:cs="仿宋_GB2312"/>
          <w:szCs w:val="30"/>
        </w:rPr>
        <w:t>0</w:t>
      </w:r>
      <w:r>
        <w:rPr>
          <w:rFonts w:hint="eastAsia" w:hAnsi="仿宋" w:cs="仿宋_GB2312"/>
          <w:szCs w:val="30"/>
        </w:rPr>
        <w:t>日在玉溪市住建局质检站及市相关监督单位和五方责任主体单位的参与下，完成了最终验收工作，验收合格率达到100%，未出现行业专业质量不达标的情况，未发生安全事故，质量与安全控制有效。</w:t>
      </w:r>
    </w:p>
    <w:p>
      <w:pPr>
        <w:widowControl/>
        <w:autoSpaceDN w:val="0"/>
        <w:spacing w:line="590" w:lineRule="exact"/>
        <w:ind w:firstLine="630" w:firstLineChars="200"/>
        <w:outlineLvl w:val="2"/>
        <w:rPr>
          <w:rFonts w:hAnsi="仿宋"/>
          <w:szCs w:val="30"/>
        </w:rPr>
      </w:pPr>
      <w:bookmarkStart w:id="142" w:name="_Toc142490558"/>
      <w:bookmarkStart w:id="143" w:name="_Toc144740076"/>
      <w:bookmarkStart w:id="144" w:name="_Toc143294675"/>
      <w:bookmarkStart w:id="145" w:name="_Toc143605617"/>
      <w:r>
        <w:rPr>
          <w:rFonts w:hint="eastAsia" w:hAnsi="仿宋"/>
          <w:szCs w:val="30"/>
        </w:rPr>
        <w:t>3</w:t>
      </w:r>
      <w:r>
        <w:rPr>
          <w:rFonts w:hAnsi="仿宋"/>
          <w:szCs w:val="30"/>
        </w:rPr>
        <w:t>.</w:t>
      </w:r>
      <w:r>
        <w:rPr>
          <w:rFonts w:hint="eastAsia" w:hAnsi="仿宋"/>
          <w:szCs w:val="30"/>
        </w:rPr>
        <w:t>产出时效方面</w:t>
      </w:r>
      <w:bookmarkEnd w:id="142"/>
      <w:bookmarkEnd w:id="143"/>
      <w:bookmarkEnd w:id="144"/>
      <w:bookmarkEnd w:id="145"/>
    </w:p>
    <w:p>
      <w:pPr>
        <w:autoSpaceDN w:val="0"/>
        <w:spacing w:line="590" w:lineRule="exact"/>
        <w:ind w:firstLine="630" w:firstLineChars="200"/>
        <w:rPr>
          <w:rFonts w:hAnsi="仿宋" w:cs="仿宋_GB2312"/>
          <w:szCs w:val="30"/>
        </w:rPr>
      </w:pPr>
      <w:r>
        <w:rPr>
          <w:rFonts w:hint="eastAsia" w:hAnsi="仿宋" w:cs="仿宋_GB2312"/>
          <w:szCs w:val="30"/>
        </w:rPr>
        <w:t>根据项目《工程竣工验收证明书》及《建筑工程施工许可证》，项目开工时间为2015年10月1日，竣工时间以发包人转移占有建设工程之日2019年9月30日为竣工日期，实际施工时间为4</w:t>
      </w:r>
      <w:r>
        <w:rPr>
          <w:rFonts w:hAnsi="仿宋" w:cs="仿宋_GB2312"/>
          <w:szCs w:val="30"/>
        </w:rPr>
        <w:t>8</w:t>
      </w:r>
      <w:r>
        <w:rPr>
          <w:rFonts w:hint="eastAsia" w:hAnsi="仿宋" w:cs="仿宋_GB2312"/>
          <w:szCs w:val="30"/>
        </w:rPr>
        <w:t>个月，超过专项债实施方案中规定的“本项目建设期约为36个月”。</w:t>
      </w:r>
    </w:p>
    <w:p>
      <w:pPr>
        <w:widowControl/>
        <w:autoSpaceDN w:val="0"/>
        <w:spacing w:line="590" w:lineRule="exact"/>
        <w:ind w:firstLine="630" w:firstLineChars="200"/>
        <w:outlineLvl w:val="2"/>
        <w:rPr>
          <w:rFonts w:hAnsi="仿宋"/>
          <w:szCs w:val="30"/>
        </w:rPr>
      </w:pPr>
      <w:bookmarkStart w:id="146" w:name="_Toc143294676"/>
      <w:bookmarkStart w:id="147" w:name="_Toc143605618"/>
      <w:bookmarkStart w:id="148" w:name="_Toc142490559"/>
      <w:bookmarkStart w:id="149" w:name="_Toc144740077"/>
      <w:r>
        <w:rPr>
          <w:rFonts w:hAnsi="仿宋"/>
          <w:szCs w:val="30"/>
        </w:rPr>
        <w:t>4.</w:t>
      </w:r>
      <w:r>
        <w:rPr>
          <w:rFonts w:hint="eastAsia" w:hAnsi="仿宋"/>
          <w:szCs w:val="30"/>
        </w:rPr>
        <w:t>产出成本方面</w:t>
      </w:r>
      <w:bookmarkEnd w:id="146"/>
      <w:bookmarkEnd w:id="147"/>
      <w:bookmarkEnd w:id="148"/>
      <w:bookmarkEnd w:id="149"/>
    </w:p>
    <w:p>
      <w:pPr>
        <w:autoSpaceDN w:val="0"/>
        <w:spacing w:line="590" w:lineRule="exact"/>
        <w:ind w:firstLine="630" w:firstLineChars="200"/>
        <w:rPr>
          <w:rFonts w:hAnsi="仿宋" w:cs="仿宋_GB2312"/>
          <w:szCs w:val="30"/>
        </w:rPr>
      </w:pPr>
      <w:r>
        <w:rPr>
          <w:rFonts w:hint="eastAsia" w:hAnsi="仿宋" w:cs="仿宋_GB2312"/>
          <w:szCs w:val="30"/>
        </w:rPr>
        <w:t>由于项目暂未竣工结算和决算，以代建单位提供的项目资金使用计划表计算项目实际建设投资。根据计划表，项目剩余待付款金额合计</w:t>
      </w:r>
      <w:r>
        <w:rPr>
          <w:rFonts w:hAnsi="仿宋" w:cs="仿宋_GB2312"/>
          <w:szCs w:val="30"/>
        </w:rPr>
        <w:t>10,073</w:t>
      </w:r>
      <w:r>
        <w:rPr>
          <w:rFonts w:hint="eastAsia" w:hAnsi="仿宋" w:cs="仿宋_GB2312"/>
          <w:szCs w:val="30"/>
        </w:rPr>
        <w:t>.</w:t>
      </w:r>
      <w:r>
        <w:rPr>
          <w:rFonts w:hAnsi="仿宋" w:cs="仿宋_GB2312"/>
          <w:szCs w:val="30"/>
        </w:rPr>
        <w:t>02</w:t>
      </w:r>
      <w:r>
        <w:rPr>
          <w:rFonts w:hint="eastAsia" w:hAnsi="仿宋" w:cs="仿宋_GB2312"/>
          <w:szCs w:val="30"/>
        </w:rPr>
        <w:t>万元，项目建设总投资为</w:t>
      </w:r>
      <w:r>
        <w:rPr>
          <w:rFonts w:hAnsi="仿宋" w:cs="仿宋_GB2312"/>
          <w:szCs w:val="30"/>
        </w:rPr>
        <w:t>53,771.56万元，</w:t>
      </w:r>
      <w:r>
        <w:rPr>
          <w:rFonts w:hint="eastAsia" w:hAnsi="仿宋" w:cs="仿宋_GB2312"/>
          <w:szCs w:val="30"/>
        </w:rPr>
        <w:t>较初设批复概算投资</w:t>
      </w:r>
      <w:r>
        <w:rPr>
          <w:rFonts w:hAnsi="仿宋" w:cs="仿宋_GB2312"/>
          <w:szCs w:val="30"/>
        </w:rPr>
        <w:t>55,395.79</w:t>
      </w:r>
      <w:r>
        <w:rPr>
          <w:rFonts w:hint="eastAsia" w:hAnsi="仿宋" w:cs="仿宋_GB2312"/>
          <w:szCs w:val="30"/>
        </w:rPr>
        <w:t>万元节余</w:t>
      </w:r>
      <w:r>
        <w:rPr>
          <w:rFonts w:hAnsi="仿宋" w:cs="仿宋_GB2312"/>
          <w:szCs w:val="30"/>
        </w:rPr>
        <w:t>2.93</w:t>
      </w:r>
      <w:r>
        <w:rPr>
          <w:rFonts w:hint="eastAsia" w:hAnsi="仿宋" w:cs="仿宋_GB2312"/>
          <w:szCs w:val="30"/>
        </w:rPr>
        <w:t>%。</w:t>
      </w:r>
    </w:p>
    <w:p>
      <w:pPr>
        <w:autoSpaceDN w:val="0"/>
        <w:spacing w:line="590" w:lineRule="exact"/>
        <w:ind w:firstLine="630" w:firstLineChars="200"/>
        <w:outlineLvl w:val="1"/>
        <w:rPr>
          <w:rFonts w:ascii="楷体" w:hAnsi="楷体" w:eastAsia="楷体" w:cs="楷体_GB2312"/>
          <w:szCs w:val="30"/>
        </w:rPr>
      </w:pPr>
      <w:bookmarkStart w:id="150" w:name="_Toc689"/>
      <w:bookmarkStart w:id="151" w:name="_Toc144740078"/>
      <w:r>
        <w:rPr>
          <w:rFonts w:hint="eastAsia" w:ascii="楷体" w:hAnsi="楷体" w:eastAsia="楷体" w:cs="楷体_GB2312"/>
          <w:szCs w:val="30"/>
        </w:rPr>
        <w:t>（四）效益情况分析</w:t>
      </w:r>
      <w:bookmarkEnd w:id="150"/>
      <w:bookmarkEnd w:id="151"/>
    </w:p>
    <w:p>
      <w:pPr>
        <w:autoSpaceDN w:val="0"/>
        <w:spacing w:line="590" w:lineRule="exact"/>
        <w:ind w:firstLine="630" w:firstLineChars="200"/>
        <w:rPr>
          <w:rFonts w:hAnsi="仿宋" w:cs="仿宋_GB2312"/>
          <w:szCs w:val="30"/>
        </w:rPr>
      </w:pPr>
      <w:bookmarkStart w:id="152" w:name="_Toc20170"/>
      <w:r>
        <w:rPr>
          <w:rFonts w:hint="eastAsia" w:hAnsi="仿宋" w:cs="仿宋_GB2312"/>
          <w:szCs w:val="30"/>
        </w:rPr>
        <w:t>从</w:t>
      </w:r>
      <w:r>
        <w:rPr>
          <w:rFonts w:hAnsi="仿宋" w:cs="仿宋_GB2312"/>
          <w:szCs w:val="30"/>
        </w:rPr>
        <w:t>评价得分情况看</w:t>
      </w:r>
      <w:r>
        <w:rPr>
          <w:rFonts w:hint="eastAsia" w:hAnsi="仿宋" w:cs="仿宋_GB2312"/>
          <w:szCs w:val="30"/>
        </w:rPr>
        <w:t>，</w:t>
      </w:r>
      <w:r>
        <w:rPr>
          <w:rFonts w:hAnsi="仿宋" w:cs="仿宋_GB2312"/>
          <w:szCs w:val="30"/>
        </w:rPr>
        <w:t>此项评价满分为35</w:t>
      </w:r>
      <w:r>
        <w:rPr>
          <w:rFonts w:hint="eastAsia" w:hAnsi="仿宋" w:cs="仿宋_GB2312"/>
          <w:szCs w:val="30"/>
        </w:rPr>
        <w:t>分，绩效评价得分</w:t>
      </w:r>
      <w:r>
        <w:rPr>
          <w:rFonts w:hAnsi="仿宋" w:cs="仿宋_GB2312"/>
          <w:szCs w:val="30"/>
        </w:rPr>
        <w:t>23.73</w:t>
      </w:r>
      <w:r>
        <w:rPr>
          <w:rFonts w:hint="eastAsia" w:hAnsi="仿宋" w:cs="仿宋_GB2312"/>
          <w:szCs w:val="30"/>
        </w:rPr>
        <w:t>分，得分率</w:t>
      </w:r>
      <w:r>
        <w:rPr>
          <w:rFonts w:hAnsi="仿宋" w:cs="仿宋_GB2312"/>
          <w:szCs w:val="30"/>
        </w:rPr>
        <w:t>67.80</w:t>
      </w:r>
      <w:r>
        <w:rPr>
          <w:rFonts w:hint="eastAsia" w:hAnsi="仿宋" w:cs="仿宋_GB2312"/>
          <w:szCs w:val="30"/>
        </w:rPr>
        <w:t>%，具体分析如下：</w:t>
      </w:r>
    </w:p>
    <w:p>
      <w:pPr>
        <w:widowControl/>
        <w:autoSpaceDN w:val="0"/>
        <w:spacing w:line="590" w:lineRule="exact"/>
        <w:ind w:firstLine="630" w:firstLineChars="200"/>
        <w:outlineLvl w:val="2"/>
        <w:rPr>
          <w:rFonts w:hAnsi="仿宋"/>
          <w:szCs w:val="30"/>
        </w:rPr>
      </w:pPr>
      <w:bookmarkStart w:id="153" w:name="_Toc144740079"/>
      <w:bookmarkStart w:id="154" w:name="_Toc142490561"/>
      <w:bookmarkStart w:id="155" w:name="_Toc143294678"/>
      <w:bookmarkStart w:id="156" w:name="_Toc143605620"/>
      <w:r>
        <w:rPr>
          <w:rFonts w:hint="eastAsia" w:hAnsi="仿宋"/>
          <w:szCs w:val="30"/>
        </w:rPr>
        <w:t>1</w:t>
      </w:r>
      <w:r>
        <w:rPr>
          <w:rFonts w:hAnsi="仿宋"/>
          <w:szCs w:val="30"/>
        </w:rPr>
        <w:t>.</w:t>
      </w:r>
      <w:r>
        <w:rPr>
          <w:rFonts w:hint="eastAsia" w:hAnsi="仿宋"/>
          <w:szCs w:val="30"/>
        </w:rPr>
        <w:t>经济效益方面</w:t>
      </w:r>
      <w:bookmarkEnd w:id="153"/>
      <w:bookmarkEnd w:id="154"/>
      <w:bookmarkEnd w:id="155"/>
      <w:bookmarkEnd w:id="156"/>
    </w:p>
    <w:p>
      <w:pPr>
        <w:autoSpaceDN w:val="0"/>
        <w:spacing w:line="590" w:lineRule="exact"/>
        <w:ind w:firstLine="630" w:firstLineChars="200"/>
        <w:rPr>
          <w:rFonts w:hAnsi="仿宋" w:cs="仿宋_GB2312"/>
          <w:szCs w:val="30"/>
        </w:rPr>
      </w:pPr>
      <w:r>
        <w:rPr>
          <w:rFonts w:hint="eastAsia" w:hAnsi="仿宋" w:cs="仿宋_GB2312"/>
          <w:szCs w:val="30"/>
        </w:rPr>
        <w:t>2020年玉溪市人民医院门诊收入为38</w:t>
      </w:r>
      <w:r>
        <w:rPr>
          <w:rFonts w:hAnsi="仿宋" w:cs="仿宋_GB2312"/>
          <w:szCs w:val="30"/>
        </w:rPr>
        <w:t>,</w:t>
      </w:r>
      <w:r>
        <w:rPr>
          <w:rFonts w:hint="eastAsia" w:hAnsi="仿宋" w:cs="仿宋_GB2312"/>
          <w:szCs w:val="30"/>
        </w:rPr>
        <w:t>231.03万元，2021年为43</w:t>
      </w:r>
      <w:r>
        <w:rPr>
          <w:rFonts w:hAnsi="仿宋" w:cs="仿宋_GB2312"/>
          <w:szCs w:val="30"/>
        </w:rPr>
        <w:t>,</w:t>
      </w:r>
      <w:r>
        <w:rPr>
          <w:rFonts w:hint="eastAsia" w:hAnsi="仿宋" w:cs="仿宋_GB2312"/>
          <w:szCs w:val="30"/>
        </w:rPr>
        <w:t>682.46万元，2022年为47</w:t>
      </w:r>
      <w:r>
        <w:rPr>
          <w:rFonts w:hAnsi="仿宋" w:cs="仿宋_GB2312"/>
          <w:szCs w:val="30"/>
        </w:rPr>
        <w:t>,</w:t>
      </w:r>
      <w:r>
        <w:rPr>
          <w:rFonts w:hint="eastAsia" w:hAnsi="仿宋" w:cs="仿宋_GB2312"/>
          <w:szCs w:val="30"/>
        </w:rPr>
        <w:t>979.89万元，年平均增长率为8.97%；2020年住院收入为79</w:t>
      </w:r>
      <w:r>
        <w:rPr>
          <w:rFonts w:hAnsi="仿宋" w:cs="仿宋_GB2312"/>
          <w:szCs w:val="30"/>
        </w:rPr>
        <w:t>,</w:t>
      </w:r>
      <w:r>
        <w:rPr>
          <w:rFonts w:hint="eastAsia" w:hAnsi="仿宋" w:cs="仿宋_GB2312"/>
          <w:szCs w:val="30"/>
        </w:rPr>
        <w:t>427.2万元，2021年为84</w:t>
      </w:r>
      <w:r>
        <w:rPr>
          <w:rFonts w:hAnsi="仿宋" w:cs="仿宋_GB2312"/>
          <w:szCs w:val="30"/>
        </w:rPr>
        <w:t>,</w:t>
      </w:r>
      <w:r>
        <w:rPr>
          <w:rFonts w:hint="eastAsia" w:hAnsi="仿宋" w:cs="仿宋_GB2312"/>
          <w:szCs w:val="30"/>
        </w:rPr>
        <w:t>736.08万元，2022年为94</w:t>
      </w:r>
      <w:r>
        <w:rPr>
          <w:rFonts w:hAnsi="仿宋" w:cs="仿宋_GB2312"/>
          <w:szCs w:val="30"/>
        </w:rPr>
        <w:t>,</w:t>
      </w:r>
      <w:r>
        <w:rPr>
          <w:rFonts w:hint="eastAsia" w:hAnsi="仿宋" w:cs="仿宋_GB2312"/>
          <w:szCs w:val="30"/>
        </w:rPr>
        <w:t>552.73万元，年平均增长率为7.49%，门诊收入和住院收入年平均增长率均远远大于专项债申报实施方案中的预期收入增长率。</w:t>
      </w:r>
    </w:p>
    <w:p>
      <w:pPr>
        <w:widowControl/>
        <w:autoSpaceDN w:val="0"/>
        <w:spacing w:line="590" w:lineRule="exact"/>
        <w:ind w:firstLine="630" w:firstLineChars="200"/>
        <w:outlineLvl w:val="2"/>
        <w:rPr>
          <w:rFonts w:hAnsi="仿宋"/>
          <w:szCs w:val="30"/>
        </w:rPr>
      </w:pPr>
      <w:bookmarkStart w:id="157" w:name="_Toc143294679"/>
      <w:bookmarkStart w:id="158" w:name="_Toc144740080"/>
      <w:bookmarkStart w:id="159" w:name="_Toc143605621"/>
      <w:bookmarkStart w:id="160" w:name="_Toc142490562"/>
      <w:r>
        <w:rPr>
          <w:rFonts w:hint="eastAsia" w:hAnsi="仿宋"/>
          <w:szCs w:val="30"/>
        </w:rPr>
        <w:t>2</w:t>
      </w:r>
      <w:r>
        <w:rPr>
          <w:rFonts w:hAnsi="仿宋"/>
          <w:szCs w:val="30"/>
        </w:rPr>
        <w:t>.</w:t>
      </w:r>
      <w:r>
        <w:rPr>
          <w:rFonts w:hint="eastAsia" w:hAnsi="仿宋"/>
          <w:szCs w:val="30"/>
        </w:rPr>
        <w:t>社会效益方面</w:t>
      </w:r>
      <w:bookmarkEnd w:id="157"/>
      <w:bookmarkEnd w:id="158"/>
      <w:bookmarkEnd w:id="159"/>
      <w:bookmarkEnd w:id="160"/>
    </w:p>
    <w:p>
      <w:pPr>
        <w:autoSpaceDN w:val="0"/>
        <w:spacing w:line="590" w:lineRule="exact"/>
        <w:ind w:firstLine="630" w:firstLineChars="200"/>
        <w:rPr>
          <w:rFonts w:hAnsi="仿宋" w:cs="仿宋_GB2312"/>
          <w:szCs w:val="30"/>
        </w:rPr>
      </w:pPr>
      <w:r>
        <w:rPr>
          <w:rFonts w:hint="eastAsia" w:hAnsi="仿宋" w:cs="仿宋_GB2312"/>
          <w:szCs w:val="30"/>
        </w:rPr>
        <w:t>（1）就医人数增长率</w:t>
      </w:r>
    </w:p>
    <w:p>
      <w:pPr>
        <w:autoSpaceDN w:val="0"/>
        <w:spacing w:line="590" w:lineRule="exact"/>
        <w:ind w:firstLine="630" w:firstLineChars="200"/>
        <w:rPr>
          <w:rFonts w:hAnsi="仿宋" w:cs="仿宋_GB2312"/>
          <w:szCs w:val="30"/>
        </w:rPr>
      </w:pPr>
      <w:r>
        <w:rPr>
          <w:rFonts w:hint="eastAsia" w:hAnsi="仿宋" w:cs="仿宋_GB2312"/>
          <w:szCs w:val="30"/>
        </w:rPr>
        <w:t>一是门诊人数年平均增长率。2019年门诊人数为1445516人，2020年为1345578人，2021年为1450063人，2022年为1542961人，年平均增长率为2.42%，未达到专项债申报实施方案中“改扩建后医院门诊人数年平均增长率≥5.42%”的预期增长率。二是住院人数年平均增长率。2019年住院人数为65210人，2020年为64809人，2021年为73194人，2022年为82758人，年平均增长率为8.46%，已达到专项债申报实施方案中“改扩建后医院住院人数年平均增长率≥6.18%”的预期。</w:t>
      </w:r>
    </w:p>
    <w:p>
      <w:pPr>
        <w:autoSpaceDN w:val="0"/>
        <w:spacing w:line="590" w:lineRule="exact"/>
        <w:ind w:firstLine="630" w:firstLineChars="200"/>
        <w:rPr>
          <w:rFonts w:hAnsi="仿宋" w:cs="仿宋_GB2312"/>
          <w:szCs w:val="30"/>
        </w:rPr>
      </w:pPr>
      <w:r>
        <w:rPr>
          <w:rFonts w:hint="eastAsia" w:hAnsi="仿宋" w:cs="仿宋_GB2312"/>
          <w:szCs w:val="30"/>
        </w:rPr>
        <w:t>（2）新增床位利用率</w:t>
      </w:r>
    </w:p>
    <w:p>
      <w:pPr>
        <w:autoSpaceDN w:val="0"/>
        <w:spacing w:line="590" w:lineRule="exact"/>
        <w:ind w:firstLine="630" w:firstLineChars="200"/>
        <w:rPr>
          <w:rFonts w:hAnsi="仿宋" w:cs="仿宋_GB2312"/>
          <w:szCs w:val="30"/>
        </w:rPr>
      </w:pPr>
      <w:r>
        <w:rPr>
          <w:rFonts w:hint="eastAsia" w:hAnsi="仿宋" w:cs="仿宋_GB2312"/>
          <w:szCs w:val="30"/>
        </w:rPr>
        <w:t>玉溪市人民医院各年度床位使用率分别为：2020年89.04%；2021年91.36%；2022年93.66%；2023年1-6月100.88%，其中，2020年和2021年低于93%，2023年1-6月大于97%，不符合国家卫健委《三级综合医院医疗服务能力指南》中“年床位使用率93%-97%”的要求。</w:t>
      </w:r>
    </w:p>
    <w:p>
      <w:pPr>
        <w:autoSpaceDN w:val="0"/>
        <w:spacing w:line="590" w:lineRule="exact"/>
        <w:ind w:firstLine="630" w:firstLineChars="200"/>
        <w:rPr>
          <w:rFonts w:hAnsi="仿宋" w:cs="仿宋_GB2312"/>
          <w:szCs w:val="30"/>
        </w:rPr>
      </w:pPr>
      <w:r>
        <w:rPr>
          <w:rFonts w:hint="eastAsia" w:hAnsi="仿宋" w:cs="仿宋_GB2312"/>
          <w:szCs w:val="30"/>
        </w:rPr>
        <w:t>（</w:t>
      </w:r>
      <w:r>
        <w:rPr>
          <w:rFonts w:hAnsi="仿宋" w:cs="仿宋_GB2312"/>
          <w:szCs w:val="30"/>
        </w:rPr>
        <w:t>3</w:t>
      </w:r>
      <w:r>
        <w:rPr>
          <w:rFonts w:hint="eastAsia" w:hAnsi="仿宋" w:cs="仿宋_GB2312"/>
          <w:szCs w:val="30"/>
        </w:rPr>
        <w:t>）辖区内就医条件改善情况。医院门诊医技综合用房、住院用房和全科医生临床培养基地配套设备均到位，可正常开展工作，患者满意度为</w:t>
      </w:r>
      <w:r>
        <w:rPr>
          <w:rFonts w:hAnsi="仿宋" w:cs="仿宋_GB2312"/>
          <w:szCs w:val="30"/>
        </w:rPr>
        <w:t>83.46%</w:t>
      </w:r>
      <w:r>
        <w:rPr>
          <w:rFonts w:hint="eastAsia" w:hAnsi="仿宋" w:cs="仿宋_GB2312"/>
          <w:szCs w:val="30"/>
        </w:rPr>
        <w:t>。但医院2020年卫生技术人员与实际开放床位之比为1.13,2021年为1.16,2022年为1.11,2023年1-6月为1.08，不符合国家卫健委《三级综合医院医疗服务能力指南》中“卫生技术人员与实际开放床位之比≥1.2”的要求。</w:t>
      </w:r>
    </w:p>
    <w:p>
      <w:pPr>
        <w:widowControl/>
        <w:autoSpaceDN w:val="0"/>
        <w:spacing w:line="590" w:lineRule="exact"/>
        <w:ind w:firstLine="630" w:firstLineChars="200"/>
        <w:outlineLvl w:val="2"/>
        <w:rPr>
          <w:rFonts w:hAnsi="仿宋"/>
          <w:szCs w:val="30"/>
        </w:rPr>
      </w:pPr>
      <w:bookmarkStart w:id="161" w:name="_Toc143605622"/>
      <w:bookmarkStart w:id="162" w:name="_Toc144740081"/>
      <w:bookmarkStart w:id="163" w:name="_Toc143294680"/>
      <w:bookmarkStart w:id="164" w:name="_Toc142490563"/>
      <w:r>
        <w:rPr>
          <w:rFonts w:hAnsi="仿宋"/>
          <w:szCs w:val="30"/>
        </w:rPr>
        <w:t>3.</w:t>
      </w:r>
      <w:r>
        <w:rPr>
          <w:rFonts w:hint="eastAsia" w:hAnsi="仿宋"/>
          <w:szCs w:val="30"/>
        </w:rPr>
        <w:t>可持续性方面</w:t>
      </w:r>
      <w:bookmarkEnd w:id="161"/>
      <w:bookmarkEnd w:id="162"/>
      <w:bookmarkEnd w:id="163"/>
      <w:bookmarkEnd w:id="164"/>
    </w:p>
    <w:p>
      <w:pPr>
        <w:autoSpaceDN w:val="0"/>
        <w:spacing w:line="590" w:lineRule="exact"/>
        <w:ind w:firstLine="630" w:firstLineChars="200"/>
        <w:rPr>
          <w:rFonts w:hAnsi="仿宋" w:cs="仿宋_GB2312"/>
          <w:color w:val="FF0000"/>
          <w:szCs w:val="30"/>
        </w:rPr>
      </w:pPr>
      <w:r>
        <w:rPr>
          <w:rFonts w:hint="eastAsia" w:hAnsi="仿宋" w:cs="仿宋_GB2312"/>
          <w:szCs w:val="30"/>
        </w:rPr>
        <w:t>一是医院2020-2022年实际门诊收入为129,893万元、住院收入为258,716万元，专项债方案预测门诊收入为127,998.76万元、住院收入为231,463.56万元，实际收入均达到预测收入，且医院实际综合收入高于预测综合收入8</w:t>
      </w:r>
      <w:r>
        <w:rPr>
          <w:rFonts w:hAnsi="仿宋" w:cs="仿宋_GB2312"/>
          <w:szCs w:val="30"/>
        </w:rPr>
        <w:t>.11%</w:t>
      </w:r>
      <w:r>
        <w:rPr>
          <w:rFonts w:hint="eastAsia" w:hAnsi="仿宋" w:cs="仿宋_GB2312"/>
          <w:szCs w:val="30"/>
        </w:rPr>
        <w:t>（详见表4</w:t>
      </w:r>
      <w:r>
        <w:rPr>
          <w:rFonts w:hAnsi="仿宋" w:cs="仿宋_GB2312"/>
          <w:szCs w:val="30"/>
        </w:rPr>
        <w:t>-1</w:t>
      </w:r>
      <w:r>
        <w:rPr>
          <w:rFonts w:hint="eastAsia" w:hAnsi="仿宋" w:cs="仿宋_GB2312"/>
          <w:szCs w:val="30"/>
        </w:rPr>
        <w:t>）。二是医院2020-2022年实际成本为</w:t>
      </w:r>
      <w:r>
        <w:rPr>
          <w:rFonts w:hAnsi="仿宋" w:cs="仿宋_GB2312"/>
          <w:szCs w:val="30"/>
        </w:rPr>
        <w:t>402,453.88</w:t>
      </w:r>
      <w:r>
        <w:rPr>
          <w:rFonts w:hint="eastAsia" w:hAnsi="仿宋" w:cs="仿宋_GB2312"/>
          <w:szCs w:val="30"/>
        </w:rPr>
        <w:t>万元，专项债方案预测成本为</w:t>
      </w:r>
      <w:r>
        <w:rPr>
          <w:rFonts w:hAnsi="仿宋" w:cs="仿宋_GB2312"/>
          <w:szCs w:val="30"/>
        </w:rPr>
        <w:t>357,388.01</w:t>
      </w:r>
      <w:r>
        <w:rPr>
          <w:rFonts w:hint="eastAsia" w:hAnsi="仿宋" w:cs="仿宋_GB2312"/>
          <w:szCs w:val="30"/>
        </w:rPr>
        <w:t>万元，实际成本超过预测成本1</w:t>
      </w:r>
      <w:r>
        <w:rPr>
          <w:rFonts w:hAnsi="仿宋" w:cs="仿宋_GB2312"/>
          <w:szCs w:val="30"/>
        </w:rPr>
        <w:t>2.61%</w:t>
      </w:r>
      <w:r>
        <w:rPr>
          <w:rFonts w:hint="eastAsia" w:hAnsi="仿宋" w:cs="仿宋_GB2312"/>
          <w:szCs w:val="30"/>
        </w:rPr>
        <w:t>（详见表4</w:t>
      </w:r>
      <w:r>
        <w:rPr>
          <w:rFonts w:hAnsi="仿宋" w:cs="仿宋_GB2312"/>
          <w:szCs w:val="30"/>
        </w:rPr>
        <w:t>-2</w:t>
      </w:r>
      <w:r>
        <w:rPr>
          <w:rFonts w:hint="eastAsia" w:hAnsi="仿宋" w:cs="仿宋_GB2312"/>
          <w:szCs w:val="30"/>
        </w:rPr>
        <w:t>）。三是项目实际产生的收益未达到专项债券申报时收益预测，导致医院2019年-2021年项目资金缺口较大，将2019年-2021年定额补助400万元/年用于偿还专项债利息，还款资金来源与专项债利息偿还方案不一致。四是除支付剩余工程款、专项债利息外，医院将于2</w:t>
      </w:r>
      <w:r>
        <w:rPr>
          <w:rFonts w:hAnsi="仿宋" w:cs="仿宋_GB2312"/>
          <w:szCs w:val="30"/>
        </w:rPr>
        <w:t>025</w:t>
      </w:r>
      <w:r>
        <w:rPr>
          <w:rFonts w:hint="eastAsia" w:hAnsi="仿宋" w:cs="仿宋_GB2312"/>
          <w:szCs w:val="30"/>
        </w:rPr>
        <w:t>年偿还专项债本金2亿元，还款金额激增，专项债券到期偿还本息存在一定风险，但医院未建立风险防范机制或风险预警指标体系，专债风险不可控。</w:t>
      </w:r>
    </w:p>
    <w:p>
      <w:pPr>
        <w:autoSpaceDN w:val="0"/>
        <w:jc w:val="center"/>
        <w:rPr>
          <w:rFonts w:ascii="黑体" w:hAnsi="黑体" w:eastAsia="黑体" w:cs="仿宋_GB2312"/>
          <w:sz w:val="24"/>
          <w:szCs w:val="24"/>
        </w:rPr>
      </w:pPr>
      <w:r>
        <w:rPr>
          <w:rFonts w:hint="eastAsia" w:ascii="黑体" w:hAnsi="黑体" w:eastAsia="黑体" w:cs="仿宋_GB2312"/>
          <w:sz w:val="24"/>
          <w:szCs w:val="24"/>
        </w:rPr>
        <w:t>表</w:t>
      </w:r>
      <w:r>
        <w:rPr>
          <w:rFonts w:ascii="黑体" w:hAnsi="黑体" w:eastAsia="黑体" w:cs="仿宋_GB2312"/>
          <w:sz w:val="24"/>
          <w:szCs w:val="24"/>
        </w:rPr>
        <w:t xml:space="preserve">4-1 </w:t>
      </w:r>
      <w:r>
        <w:rPr>
          <w:rFonts w:hint="eastAsia" w:ascii="黑体" w:hAnsi="黑体" w:eastAsia="黑体" w:cs="仿宋_GB2312"/>
          <w:sz w:val="24"/>
          <w:szCs w:val="24"/>
        </w:rPr>
        <w:t>医院实际收入与预测收入对比表</w:t>
      </w:r>
    </w:p>
    <w:p>
      <w:pPr>
        <w:autoSpaceDN w:val="0"/>
        <w:jc w:val="right"/>
        <w:rPr>
          <w:rFonts w:ascii="黑体" w:hAnsi="黑体" w:eastAsia="黑体" w:cs="仿宋_GB2312"/>
          <w:sz w:val="24"/>
          <w:szCs w:val="24"/>
        </w:rPr>
      </w:pPr>
      <w:r>
        <w:rPr>
          <w:rFonts w:hint="eastAsia" w:ascii="黑体" w:hAnsi="黑体" w:eastAsia="黑体" w:cs="仿宋_GB2312"/>
          <w:sz w:val="24"/>
          <w:szCs w:val="24"/>
        </w:rPr>
        <w:t>单位：万元</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2424"/>
        <w:gridCol w:w="1359"/>
        <w:gridCol w:w="1345"/>
        <w:gridCol w:w="134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815" w:type="dxa"/>
            <w:gridSpan w:val="2"/>
            <w:shd w:val="clear" w:color="auto" w:fill="auto"/>
            <w:vAlign w:val="center"/>
          </w:tcPr>
          <w:p>
            <w:pPr>
              <w:widowControl/>
              <w:jc w:val="center"/>
              <w:rPr>
                <w:rFonts w:hAnsi="仿宋" w:cs="宋体"/>
                <w:b/>
                <w:bCs/>
                <w:color w:val="000000"/>
                <w:kern w:val="0"/>
                <w:sz w:val="22"/>
                <w:szCs w:val="22"/>
              </w:rPr>
            </w:pPr>
            <w:bookmarkStart w:id="165" w:name="_Toc143294681"/>
            <w:bookmarkStart w:id="166" w:name="_Toc142490564"/>
            <w:bookmarkStart w:id="167" w:name="_Toc143605623"/>
            <w:r>
              <w:rPr>
                <w:rFonts w:hint="eastAsia" w:hAnsi="仿宋" w:cs="宋体"/>
                <w:b/>
                <w:bCs/>
                <w:color w:val="000000"/>
                <w:kern w:val="0"/>
                <w:sz w:val="22"/>
                <w:szCs w:val="22"/>
              </w:rPr>
              <w:t>年度</w:t>
            </w:r>
          </w:p>
        </w:tc>
        <w:tc>
          <w:tcPr>
            <w:tcW w:w="1359"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2020年</w:t>
            </w:r>
          </w:p>
        </w:tc>
        <w:tc>
          <w:tcPr>
            <w:tcW w:w="1345"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2021年</w:t>
            </w:r>
          </w:p>
        </w:tc>
        <w:tc>
          <w:tcPr>
            <w:tcW w:w="1345"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2022年</w:t>
            </w:r>
          </w:p>
        </w:tc>
        <w:tc>
          <w:tcPr>
            <w:tcW w:w="1196" w:type="dxa"/>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总偏差率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91" w:type="dxa"/>
            <w:vMerge w:val="restart"/>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实际收入</w:t>
            </w:r>
          </w:p>
        </w:tc>
        <w:tc>
          <w:tcPr>
            <w:tcW w:w="2424"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门诊收入</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38,231.00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43,682.00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47,980.00</w:t>
            </w:r>
          </w:p>
        </w:tc>
        <w:tc>
          <w:tcPr>
            <w:tcW w:w="1196" w:type="dxa"/>
            <w:vMerge w:val="restart"/>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8</w:t>
            </w:r>
            <w:r>
              <w:rPr>
                <w:rFonts w:hAnsi="仿宋" w:cs="宋体"/>
                <w:b/>
                <w:bCs/>
                <w:color w:val="000000"/>
                <w:kern w:val="0"/>
                <w:sz w:val="22"/>
                <w:szCs w:val="2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91" w:type="dxa"/>
            <w:vMerge w:val="continue"/>
            <w:vAlign w:val="center"/>
          </w:tcPr>
          <w:p>
            <w:pPr>
              <w:widowControl/>
              <w:jc w:val="left"/>
              <w:rPr>
                <w:rFonts w:hAnsi="仿宋" w:cs="宋体"/>
                <w:b/>
                <w:bCs/>
                <w:color w:val="000000"/>
                <w:kern w:val="0"/>
                <w:sz w:val="22"/>
                <w:szCs w:val="22"/>
              </w:rPr>
            </w:pPr>
          </w:p>
        </w:tc>
        <w:tc>
          <w:tcPr>
            <w:tcW w:w="2424"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住院收入</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79,427.00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84,736.00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94,553.00</w:t>
            </w:r>
          </w:p>
        </w:tc>
        <w:tc>
          <w:tcPr>
            <w:tcW w:w="1196" w:type="dxa"/>
            <w:vMerge w:val="continue"/>
            <w:vAlign w:val="center"/>
          </w:tcPr>
          <w:p>
            <w:pPr>
              <w:widowControl/>
              <w:jc w:val="left"/>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91" w:type="dxa"/>
            <w:vMerge w:val="restart"/>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方案预测收入</w:t>
            </w:r>
          </w:p>
        </w:tc>
        <w:tc>
          <w:tcPr>
            <w:tcW w:w="2424"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门诊收入</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40,602.30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42,632.42</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44,764.04</w:t>
            </w:r>
          </w:p>
        </w:tc>
        <w:tc>
          <w:tcPr>
            <w:tcW w:w="1196" w:type="dxa"/>
            <w:vMerge w:val="continue"/>
            <w:vAlign w:val="center"/>
          </w:tcPr>
          <w:p>
            <w:pPr>
              <w:widowControl/>
              <w:jc w:val="left"/>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391" w:type="dxa"/>
            <w:vMerge w:val="continue"/>
            <w:vAlign w:val="center"/>
          </w:tcPr>
          <w:p>
            <w:pPr>
              <w:widowControl/>
              <w:jc w:val="left"/>
              <w:rPr>
                <w:rFonts w:hAnsi="仿宋" w:cs="宋体"/>
                <w:b/>
                <w:bCs/>
                <w:color w:val="000000"/>
                <w:kern w:val="0"/>
                <w:sz w:val="22"/>
                <w:szCs w:val="22"/>
              </w:rPr>
            </w:pPr>
          </w:p>
        </w:tc>
        <w:tc>
          <w:tcPr>
            <w:tcW w:w="2424"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住院收入</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75,555.22</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77,143.39</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78,764.95</w:t>
            </w:r>
          </w:p>
        </w:tc>
        <w:tc>
          <w:tcPr>
            <w:tcW w:w="1196" w:type="dxa"/>
            <w:vMerge w:val="continue"/>
            <w:vAlign w:val="center"/>
          </w:tcPr>
          <w:p>
            <w:pPr>
              <w:widowControl/>
              <w:jc w:val="left"/>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3815" w:type="dxa"/>
            <w:gridSpan w:val="2"/>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年度偏差率</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1.29%</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7.22%</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15.38%</w:t>
            </w:r>
          </w:p>
        </w:tc>
        <w:tc>
          <w:tcPr>
            <w:tcW w:w="1196" w:type="dxa"/>
            <w:vMerge w:val="continue"/>
            <w:vAlign w:val="center"/>
          </w:tcPr>
          <w:p>
            <w:pPr>
              <w:widowControl/>
              <w:jc w:val="left"/>
              <w:rPr>
                <w:rFonts w:ascii="Times New Roman" w:eastAsia="Times New Roman"/>
                <w:kern w:val="0"/>
                <w:sz w:val="20"/>
                <w:szCs w:val="20"/>
              </w:rPr>
            </w:pPr>
          </w:p>
        </w:tc>
      </w:tr>
    </w:tbl>
    <w:p>
      <w:pPr>
        <w:autoSpaceDN w:val="0"/>
        <w:jc w:val="center"/>
        <w:rPr>
          <w:rFonts w:ascii="黑体" w:hAnsi="黑体" w:eastAsia="黑体" w:cs="仿宋_GB2312"/>
          <w:sz w:val="24"/>
          <w:szCs w:val="24"/>
        </w:rPr>
      </w:pPr>
      <w:r>
        <w:rPr>
          <w:rFonts w:hint="eastAsia" w:ascii="黑体" w:hAnsi="黑体" w:eastAsia="黑体" w:cs="仿宋_GB2312"/>
          <w:sz w:val="24"/>
          <w:szCs w:val="24"/>
        </w:rPr>
        <w:t>表</w:t>
      </w:r>
      <w:r>
        <w:rPr>
          <w:rFonts w:ascii="黑体" w:hAnsi="黑体" w:eastAsia="黑体" w:cs="仿宋_GB2312"/>
          <w:sz w:val="24"/>
          <w:szCs w:val="24"/>
        </w:rPr>
        <w:t xml:space="preserve">4-2 </w:t>
      </w:r>
      <w:r>
        <w:rPr>
          <w:rFonts w:hint="eastAsia" w:ascii="黑体" w:hAnsi="黑体" w:eastAsia="黑体" w:cs="仿宋_GB2312"/>
          <w:sz w:val="24"/>
          <w:szCs w:val="24"/>
        </w:rPr>
        <w:t>项目实际成本与预测成本对比表</w:t>
      </w:r>
    </w:p>
    <w:p>
      <w:pPr>
        <w:autoSpaceDN w:val="0"/>
        <w:jc w:val="right"/>
        <w:rPr>
          <w:rFonts w:hAnsi="仿宋" w:cs="仿宋_GB2312"/>
          <w:szCs w:val="30"/>
        </w:rPr>
      </w:pPr>
      <w:r>
        <w:rPr>
          <w:rFonts w:hint="eastAsia" w:ascii="黑体" w:hAnsi="黑体" w:eastAsia="黑体" w:cs="仿宋_GB2312"/>
          <w:sz w:val="24"/>
          <w:szCs w:val="24"/>
        </w:rPr>
        <w:t>单位：万元</w:t>
      </w:r>
    </w:p>
    <w:tbl>
      <w:tblPr>
        <w:tblStyle w:val="16"/>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432"/>
        <w:gridCol w:w="1359"/>
        <w:gridCol w:w="1345"/>
        <w:gridCol w:w="1345"/>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blHeader/>
          <w:jc w:val="center"/>
        </w:trPr>
        <w:tc>
          <w:tcPr>
            <w:tcW w:w="3817" w:type="dxa"/>
            <w:gridSpan w:val="2"/>
            <w:shd w:val="clear" w:color="auto" w:fill="auto"/>
            <w:vAlign w:val="center"/>
          </w:tcPr>
          <w:p>
            <w:pPr>
              <w:widowControl/>
              <w:jc w:val="center"/>
              <w:rPr>
                <w:rFonts w:hAnsi="仿宋" w:cs="宋体"/>
                <w:b/>
                <w:bCs/>
                <w:color w:val="000000"/>
                <w:kern w:val="0"/>
                <w:sz w:val="22"/>
                <w:szCs w:val="22"/>
              </w:rPr>
            </w:pPr>
            <w:bookmarkStart w:id="168" w:name="_Toc144740082"/>
            <w:r>
              <w:rPr>
                <w:rFonts w:hint="eastAsia" w:hAnsi="仿宋" w:cs="宋体"/>
                <w:b/>
                <w:bCs/>
                <w:color w:val="000000"/>
                <w:kern w:val="0"/>
                <w:sz w:val="22"/>
                <w:szCs w:val="22"/>
              </w:rPr>
              <w:t>年度</w:t>
            </w:r>
          </w:p>
        </w:tc>
        <w:tc>
          <w:tcPr>
            <w:tcW w:w="1359"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2020年</w:t>
            </w:r>
          </w:p>
        </w:tc>
        <w:tc>
          <w:tcPr>
            <w:tcW w:w="1345"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2021年</w:t>
            </w:r>
          </w:p>
        </w:tc>
        <w:tc>
          <w:tcPr>
            <w:tcW w:w="1345"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2022年</w:t>
            </w:r>
          </w:p>
        </w:tc>
        <w:tc>
          <w:tcPr>
            <w:tcW w:w="1194" w:type="dxa"/>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总偏差率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restart"/>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实际成本</w:t>
            </w: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人员经费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48,664.00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52,635.00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55,969.00</w:t>
            </w:r>
          </w:p>
        </w:tc>
        <w:tc>
          <w:tcPr>
            <w:tcW w:w="1194" w:type="dxa"/>
            <w:vMerge w:val="restart"/>
            <w:vAlign w:val="center"/>
          </w:tcPr>
          <w:p>
            <w:pPr>
              <w:widowControl/>
              <w:jc w:val="center"/>
              <w:rPr>
                <w:rFonts w:ascii="Times New Roman" w:eastAsiaTheme="minorEastAsia"/>
                <w:kern w:val="0"/>
                <w:sz w:val="20"/>
                <w:szCs w:val="20"/>
              </w:rPr>
            </w:pPr>
            <w:r>
              <w:rPr>
                <w:rFonts w:hint="eastAsia" w:hAnsi="仿宋" w:cs="宋体"/>
                <w:b/>
                <w:bCs/>
                <w:color w:val="000000"/>
                <w:kern w:val="0"/>
                <w:sz w:val="22"/>
                <w:szCs w:val="22"/>
              </w:rPr>
              <w:t>1</w:t>
            </w:r>
            <w:r>
              <w:rPr>
                <w:rFonts w:hAnsi="仿宋" w:cs="宋体"/>
                <w:b/>
                <w:bCs/>
                <w:color w:val="000000"/>
                <w:kern w:val="0"/>
                <w:sz w:val="22"/>
                <w:szCs w:val="22"/>
              </w:rPr>
              <w:t>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卫生材料费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23,681.00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26,428.00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29,293.00</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药品费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34,581.00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34,527.00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40,086.00</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固定资产折旧费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4,492.00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6,857.00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8,374.00</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无形资产摊销费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175.00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308.00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328.00</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提取医疗风险基金</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185.00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114.00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388.00</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其他费用</w:t>
            </w:r>
          </w:p>
          <w:p>
            <w:pPr>
              <w:widowControl/>
              <w:jc w:val="center"/>
              <w:rPr>
                <w:rFonts w:hAnsi="仿宋" w:cs="宋体"/>
                <w:b/>
                <w:bCs/>
                <w:color w:val="000000"/>
                <w:kern w:val="0"/>
                <w:sz w:val="22"/>
                <w:szCs w:val="22"/>
              </w:rPr>
            </w:pPr>
            <w:r>
              <w:rPr>
                <w:rFonts w:hint="eastAsia" w:hAnsi="仿宋" w:cs="宋体"/>
                <w:b/>
                <w:bCs/>
                <w:color w:val="000000"/>
                <w:kern w:val="0"/>
                <w:sz w:val="22"/>
                <w:szCs w:val="22"/>
              </w:rPr>
              <w:t>（扣除还款费用）</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10,445.96</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12,224.96</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12,697.96</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restart"/>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方案预测成本</w:t>
            </w: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人员经费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36,448.78</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37,584.15</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38,761.85</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卫生材料费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22,770.36</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23,479.65</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24,215.38</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药品费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42,906.79</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44,243.33</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45,629.70</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固定资产折旧费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4,120.15</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4,120.15</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4,120.15</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无形资产摊销费</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165.33</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165.33</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165.33</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提取医疗风险基金</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296.00</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305.22</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314.78</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85" w:type="dxa"/>
            <w:vMerge w:val="continue"/>
            <w:vAlign w:val="center"/>
          </w:tcPr>
          <w:p>
            <w:pPr>
              <w:widowControl/>
              <w:jc w:val="center"/>
              <w:rPr>
                <w:rFonts w:hAnsi="仿宋" w:cs="宋体"/>
                <w:b/>
                <w:bCs/>
                <w:color w:val="000000"/>
                <w:kern w:val="0"/>
                <w:sz w:val="22"/>
                <w:szCs w:val="22"/>
              </w:rPr>
            </w:pPr>
          </w:p>
        </w:tc>
        <w:tc>
          <w:tcPr>
            <w:tcW w:w="2432" w:type="dxa"/>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其他费用</w:t>
            </w:r>
          </w:p>
          <w:p>
            <w:pPr>
              <w:widowControl/>
              <w:jc w:val="center"/>
              <w:rPr>
                <w:rFonts w:hAnsi="仿宋" w:cs="宋体"/>
                <w:b/>
                <w:bCs/>
                <w:color w:val="000000"/>
                <w:kern w:val="0"/>
                <w:sz w:val="22"/>
                <w:szCs w:val="22"/>
              </w:rPr>
            </w:pPr>
            <w:r>
              <w:rPr>
                <w:rFonts w:hint="eastAsia" w:hAnsi="仿宋" w:cs="宋体"/>
                <w:b/>
                <w:bCs/>
                <w:color w:val="000000"/>
                <w:kern w:val="0"/>
                <w:sz w:val="22"/>
                <w:szCs w:val="22"/>
              </w:rPr>
              <w:t>（扣除还款费用）</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8,910.84</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9,188.41</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9,476.33</w:t>
            </w:r>
          </w:p>
        </w:tc>
        <w:tc>
          <w:tcPr>
            <w:tcW w:w="1194" w:type="dxa"/>
            <w:vMerge w:val="continue"/>
            <w:vAlign w:val="center"/>
          </w:tcPr>
          <w:p>
            <w:pPr>
              <w:widowControl/>
              <w:jc w:val="center"/>
              <w:rPr>
                <w:rFonts w:ascii="Times New Roman" w:eastAsia="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817" w:type="dxa"/>
            <w:gridSpan w:val="2"/>
            <w:shd w:val="clear" w:color="auto" w:fill="auto"/>
            <w:vAlign w:val="center"/>
          </w:tcPr>
          <w:p>
            <w:pPr>
              <w:widowControl/>
              <w:jc w:val="center"/>
              <w:rPr>
                <w:rFonts w:hAnsi="仿宋" w:cs="宋体"/>
                <w:b/>
                <w:bCs/>
                <w:color w:val="000000"/>
                <w:kern w:val="0"/>
                <w:sz w:val="22"/>
                <w:szCs w:val="22"/>
              </w:rPr>
            </w:pPr>
            <w:r>
              <w:rPr>
                <w:rFonts w:hint="eastAsia" w:hAnsi="仿宋" w:cs="宋体"/>
                <w:b/>
                <w:bCs/>
                <w:color w:val="000000"/>
                <w:kern w:val="0"/>
                <w:sz w:val="22"/>
                <w:szCs w:val="22"/>
              </w:rPr>
              <w:t>年度偏差率</w:t>
            </w:r>
          </w:p>
        </w:tc>
        <w:tc>
          <w:tcPr>
            <w:tcW w:w="1359"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5.71%</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11.76%</w:t>
            </w:r>
          </w:p>
        </w:tc>
        <w:tc>
          <w:tcPr>
            <w:tcW w:w="1345" w:type="dxa"/>
            <w:shd w:val="clear" w:color="auto" w:fill="auto"/>
            <w:vAlign w:val="center"/>
          </w:tcPr>
          <w:p>
            <w:pPr>
              <w:widowControl/>
              <w:jc w:val="center"/>
              <w:rPr>
                <w:rFonts w:hAnsi="仿宋" w:cs="宋体"/>
                <w:color w:val="000000"/>
                <w:kern w:val="0"/>
                <w:sz w:val="22"/>
                <w:szCs w:val="22"/>
              </w:rPr>
            </w:pPr>
            <w:r>
              <w:rPr>
                <w:rFonts w:hint="eastAsia" w:hAnsi="仿宋" w:cs="宋体"/>
                <w:color w:val="000000"/>
                <w:kern w:val="0"/>
                <w:sz w:val="22"/>
                <w:szCs w:val="22"/>
              </w:rPr>
              <w:t>19.93%</w:t>
            </w:r>
          </w:p>
        </w:tc>
        <w:tc>
          <w:tcPr>
            <w:tcW w:w="1194" w:type="dxa"/>
            <w:vMerge w:val="continue"/>
            <w:vAlign w:val="center"/>
          </w:tcPr>
          <w:p>
            <w:pPr>
              <w:widowControl/>
              <w:jc w:val="center"/>
              <w:rPr>
                <w:rFonts w:ascii="Times New Roman" w:eastAsia="Times New Roman"/>
                <w:kern w:val="0"/>
                <w:sz w:val="20"/>
                <w:szCs w:val="20"/>
              </w:rPr>
            </w:pPr>
          </w:p>
        </w:tc>
      </w:tr>
    </w:tbl>
    <w:p>
      <w:pPr>
        <w:widowControl/>
        <w:autoSpaceDN w:val="0"/>
        <w:spacing w:line="590" w:lineRule="exact"/>
        <w:ind w:firstLine="630" w:firstLineChars="200"/>
        <w:outlineLvl w:val="2"/>
        <w:rPr>
          <w:rFonts w:hAnsi="仿宋"/>
          <w:szCs w:val="30"/>
        </w:rPr>
      </w:pPr>
      <w:r>
        <w:rPr>
          <w:rFonts w:hAnsi="仿宋"/>
          <w:szCs w:val="30"/>
        </w:rPr>
        <w:t>4</w:t>
      </w:r>
      <w:r>
        <w:rPr>
          <w:rFonts w:hint="eastAsia" w:hAnsi="仿宋"/>
          <w:szCs w:val="30"/>
        </w:rPr>
        <w:t>.服务对象满意度</w:t>
      </w:r>
      <w:bookmarkEnd w:id="165"/>
      <w:bookmarkEnd w:id="166"/>
      <w:bookmarkEnd w:id="167"/>
      <w:bookmarkEnd w:id="168"/>
    </w:p>
    <w:p>
      <w:pPr>
        <w:autoSpaceDN w:val="0"/>
        <w:spacing w:line="590" w:lineRule="exact"/>
        <w:ind w:firstLine="630" w:firstLineChars="200"/>
        <w:rPr>
          <w:rFonts w:hAnsi="仿宋" w:cs="仿宋_GB2312"/>
          <w:szCs w:val="30"/>
        </w:rPr>
      </w:pPr>
      <w:r>
        <w:rPr>
          <w:rFonts w:hint="eastAsia" w:hAnsi="仿宋" w:cs="仿宋_GB2312"/>
          <w:szCs w:val="30"/>
        </w:rPr>
        <w:t>根据实施方案中确定的调查对象、调查内容和抽样方式，评价组以问卷调查的形式对玉溪市人民医院就医群众和医院员工开展满意度调查，发放并回收问卷</w:t>
      </w:r>
      <w:r>
        <w:rPr>
          <w:rFonts w:hAnsi="仿宋" w:cs="仿宋_GB2312"/>
          <w:szCs w:val="30"/>
        </w:rPr>
        <w:t>753份，其中：医院员工问卷124份，就医患者问卷629份</w:t>
      </w:r>
      <w:r>
        <w:rPr>
          <w:rFonts w:hint="eastAsia" w:hAnsi="仿宋" w:cs="仿宋_GB2312"/>
          <w:szCs w:val="30"/>
        </w:rPr>
        <w:t>，医院员工问卷满意度得分</w:t>
      </w:r>
      <w:r>
        <w:rPr>
          <w:rFonts w:hAnsi="仿宋" w:cs="仿宋_GB2312"/>
          <w:szCs w:val="30"/>
        </w:rPr>
        <w:t>95.78</w:t>
      </w:r>
      <w:r>
        <w:rPr>
          <w:rFonts w:hint="eastAsia" w:hAnsi="仿宋" w:cs="仿宋_GB2312"/>
          <w:szCs w:val="30"/>
        </w:rPr>
        <w:t>分，就医患者问卷满意度得分</w:t>
      </w:r>
      <w:r>
        <w:rPr>
          <w:rFonts w:hAnsi="仿宋" w:cs="仿宋_GB2312"/>
          <w:szCs w:val="30"/>
        </w:rPr>
        <w:t>83.46</w:t>
      </w:r>
      <w:r>
        <w:rPr>
          <w:rFonts w:hint="eastAsia" w:hAnsi="仿宋" w:cs="仿宋_GB2312"/>
          <w:szCs w:val="30"/>
        </w:rPr>
        <w:t>分。</w:t>
      </w:r>
    </w:p>
    <w:p>
      <w:pPr>
        <w:autoSpaceDN w:val="0"/>
        <w:spacing w:line="590" w:lineRule="exact"/>
        <w:ind w:firstLine="630" w:firstLineChars="200"/>
        <w:outlineLvl w:val="0"/>
        <w:rPr>
          <w:rFonts w:ascii="黑体" w:hAnsi="黑体" w:eastAsia="黑体" w:cs="宋体"/>
          <w:szCs w:val="30"/>
        </w:rPr>
      </w:pPr>
      <w:bookmarkStart w:id="169" w:name="_Toc144740083"/>
      <w:r>
        <w:rPr>
          <w:rFonts w:hint="eastAsia" w:ascii="黑体" w:hAnsi="黑体" w:eastAsia="黑体" w:cs="宋体"/>
          <w:szCs w:val="30"/>
        </w:rPr>
        <w:t>五、绩效自评重点抽查复核情况</w:t>
      </w:r>
      <w:bookmarkEnd w:id="169"/>
    </w:p>
    <w:p>
      <w:pPr>
        <w:autoSpaceDN w:val="0"/>
        <w:spacing w:line="590" w:lineRule="exact"/>
        <w:ind w:firstLine="630" w:firstLineChars="200"/>
        <w:rPr>
          <w:rFonts w:ascii="仿宋_GB2312" w:hAnsi="仿宋_GB2312" w:eastAsia="仿宋_GB2312" w:cs="仿宋_GB2312"/>
          <w:szCs w:val="30"/>
        </w:rPr>
      </w:pPr>
      <w:r>
        <w:rPr>
          <w:rFonts w:hint="eastAsia" w:hAnsi="仿宋" w:cs="仿宋_GB2312"/>
          <w:szCs w:val="30"/>
        </w:rPr>
        <w:t>玉溪市人民医院改扩建工程项目未开展绩效自评，无法开展绩效自评复核。</w:t>
      </w:r>
    </w:p>
    <w:bookmarkEnd w:id="152"/>
    <w:p>
      <w:pPr>
        <w:autoSpaceDN w:val="0"/>
        <w:spacing w:line="590" w:lineRule="exact"/>
        <w:ind w:firstLine="630" w:firstLineChars="200"/>
        <w:outlineLvl w:val="0"/>
        <w:rPr>
          <w:rFonts w:ascii="黑体" w:hAnsi="黑体" w:eastAsia="黑体" w:cs="宋体"/>
          <w:szCs w:val="30"/>
        </w:rPr>
      </w:pPr>
      <w:bookmarkStart w:id="170" w:name="_Toc144740084"/>
      <w:r>
        <w:rPr>
          <w:rFonts w:hint="eastAsia" w:ascii="黑体" w:hAnsi="黑体" w:eastAsia="黑体" w:cs="宋体"/>
          <w:szCs w:val="30"/>
        </w:rPr>
        <w:t>六、存在的问题及原因分析</w:t>
      </w:r>
      <w:bookmarkEnd w:id="170"/>
    </w:p>
    <w:p>
      <w:pPr>
        <w:autoSpaceDN w:val="0"/>
        <w:spacing w:line="590" w:lineRule="exact"/>
        <w:ind w:firstLine="630" w:firstLineChars="200"/>
        <w:outlineLvl w:val="1"/>
        <w:rPr>
          <w:rFonts w:ascii="楷体" w:hAnsi="楷体" w:eastAsia="楷体" w:cs="楷体_GB2312"/>
          <w:szCs w:val="30"/>
        </w:rPr>
      </w:pPr>
      <w:bookmarkStart w:id="171" w:name="_Toc144740085"/>
      <w:bookmarkStart w:id="172" w:name="_Toc8976"/>
      <w:r>
        <w:rPr>
          <w:rFonts w:hint="eastAsia" w:ascii="楷体" w:hAnsi="楷体" w:eastAsia="楷体" w:cs="楷体_GB2312"/>
          <w:szCs w:val="30"/>
        </w:rPr>
        <w:t>（一）项目建设管理不规范，制度执行不到位</w:t>
      </w:r>
      <w:bookmarkEnd w:id="171"/>
    </w:p>
    <w:p>
      <w:pPr>
        <w:autoSpaceDN w:val="0"/>
        <w:spacing w:line="590" w:lineRule="exact"/>
        <w:ind w:firstLine="630" w:firstLineChars="200"/>
        <w:rPr>
          <w:rFonts w:hAnsi="仿宋" w:cs="仿宋_GB2312"/>
          <w:szCs w:val="30"/>
        </w:rPr>
      </w:pPr>
      <w:r>
        <w:rPr>
          <w:rFonts w:hAnsi="仿宋" w:cs="仿宋_GB2312"/>
          <w:szCs w:val="30"/>
        </w:rPr>
        <w:t>1</w:t>
      </w:r>
      <w:r>
        <w:rPr>
          <w:rFonts w:hint="eastAsia" w:hAnsi="仿宋" w:cs="仿宋_GB2312"/>
          <w:szCs w:val="30"/>
        </w:rPr>
        <w:t>.项目在竣工验收前投入使用，存在安全隐患。改扩建项目于2019年9月30日由玉溪市人民医院转移占有并正式投入使用（手术室除外），而根据竣工验收报告，项目直到2021年1月20日才完成五方责任主体单位的竣工验收工作，与《建设工程质量管理条例》的规定不符。医院作为“生命线工程”，具有服务功能广、自身行业要求多、特殊功能要求多等特点，未经正式验收提前投入使用可能会存在安全隐患</w:t>
      </w:r>
      <w:r>
        <w:rPr>
          <w:rFonts w:hint="eastAsia"/>
        </w:rPr>
        <w:t>。</w:t>
      </w:r>
    </w:p>
    <w:p>
      <w:pPr>
        <w:autoSpaceDN w:val="0"/>
        <w:spacing w:line="590" w:lineRule="exact"/>
        <w:ind w:firstLine="630" w:firstLineChars="200"/>
        <w:rPr>
          <w:rFonts w:hAnsi="仿宋" w:cs="仿宋_GB2312"/>
          <w:szCs w:val="30"/>
        </w:rPr>
      </w:pPr>
      <w:r>
        <w:rPr>
          <w:rFonts w:hAnsi="仿宋" w:cs="仿宋_GB2312"/>
          <w:szCs w:val="30"/>
        </w:rPr>
        <w:t>2.</w:t>
      </w:r>
      <w:r>
        <w:rPr>
          <w:rFonts w:hint="eastAsia" w:hAnsi="仿宋" w:cs="仿宋_GB2312"/>
          <w:szCs w:val="30"/>
        </w:rPr>
        <w:t>未在规定时间内编报竣工财务决算。项目于2021年1月20日在玉溪市住建局质检站及市相关监督单位和五方责任主体单位的参与下，完成了最终验收工作，但截至2023年</w:t>
      </w:r>
      <w:r>
        <w:rPr>
          <w:rFonts w:hAnsi="仿宋" w:cs="仿宋_GB2312"/>
          <w:szCs w:val="30"/>
        </w:rPr>
        <w:t>6</w:t>
      </w:r>
      <w:r>
        <w:rPr>
          <w:rFonts w:hint="eastAsia" w:hAnsi="仿宋" w:cs="仿宋_GB2312"/>
          <w:szCs w:val="30"/>
        </w:rPr>
        <w:t>月</w:t>
      </w:r>
      <w:r>
        <w:rPr>
          <w:rFonts w:hAnsi="仿宋" w:cs="仿宋_GB2312"/>
          <w:szCs w:val="30"/>
        </w:rPr>
        <w:t>30</w:t>
      </w:r>
      <w:r>
        <w:rPr>
          <w:rFonts w:hint="eastAsia" w:hAnsi="仿宋" w:cs="仿宋_GB2312"/>
          <w:szCs w:val="30"/>
        </w:rPr>
        <w:t>日，项目因提供结算资料不及时、设计变更多等原因仍在开展竣工结算审查，尚未编报竣工财务决算，不符合《基本建设项目竣工财务决算管理暂行办法》的规定，导致新增资产价值难以确认。</w:t>
      </w:r>
    </w:p>
    <w:p>
      <w:pPr>
        <w:autoSpaceDN w:val="0"/>
        <w:spacing w:line="590" w:lineRule="exact"/>
        <w:ind w:firstLine="630" w:firstLineChars="200"/>
        <w:rPr>
          <w:rFonts w:hAnsi="仿宋" w:cs="仿宋_GB2312"/>
          <w:szCs w:val="30"/>
        </w:rPr>
      </w:pPr>
      <w:r>
        <w:rPr>
          <w:rFonts w:hint="eastAsia" w:hAnsi="仿宋" w:cs="仿宋_GB2312"/>
          <w:szCs w:val="30"/>
        </w:rPr>
        <w:t>3.玉溪市卫生健康委未组织项目竣工验收，而由玉溪市人民医院组织，不符合《玉溪市人民医院建设专项债券资金使用暂行管理办法》“卫生计生部门负责组织医院建设专项债券资金项目的竣工验收”相关规定。</w:t>
      </w:r>
    </w:p>
    <w:p>
      <w:pPr>
        <w:autoSpaceDN w:val="0"/>
        <w:spacing w:line="590" w:lineRule="exact"/>
        <w:ind w:firstLine="630" w:firstLineChars="200"/>
        <w:outlineLvl w:val="1"/>
        <w:rPr>
          <w:rFonts w:ascii="楷体" w:hAnsi="楷体" w:eastAsia="楷体" w:cs="楷体_GB2312"/>
          <w:szCs w:val="30"/>
        </w:rPr>
      </w:pPr>
      <w:bookmarkStart w:id="173" w:name="_Toc144740086"/>
      <w:r>
        <w:rPr>
          <w:rFonts w:hint="eastAsia" w:ascii="楷体" w:hAnsi="楷体" w:eastAsia="楷体" w:cs="楷体_GB2312"/>
          <w:szCs w:val="30"/>
        </w:rPr>
        <w:t>（二）专债资金使用不规范，监督管理不到位</w:t>
      </w:r>
      <w:bookmarkEnd w:id="173"/>
    </w:p>
    <w:p>
      <w:pPr>
        <w:autoSpaceDN w:val="0"/>
        <w:spacing w:line="590" w:lineRule="exact"/>
        <w:ind w:firstLine="630" w:firstLineChars="200"/>
        <w:rPr>
          <w:rFonts w:hAnsi="仿宋" w:cs="仿宋_GB2312"/>
          <w:szCs w:val="30"/>
        </w:rPr>
      </w:pPr>
      <w:r>
        <w:rPr>
          <w:rFonts w:hAnsi="仿宋" w:cs="仿宋_GB2312"/>
          <w:szCs w:val="30"/>
        </w:rPr>
        <w:t>1.</w:t>
      </w:r>
      <w:r>
        <w:rPr>
          <w:rFonts w:hint="eastAsia" w:hAnsi="仿宋" w:cs="仿宋_GB2312"/>
          <w:szCs w:val="30"/>
        </w:rPr>
        <w:t>玉溪市人民医院未将项目专项债券银行存款利息</w:t>
      </w:r>
      <w:r>
        <w:rPr>
          <w:rFonts w:hAnsi="仿宋" w:cs="仿宋_GB2312"/>
          <w:szCs w:val="30"/>
        </w:rPr>
        <w:t>347.96万元未上缴国库，利息收入全部用于支付项目工程款，不符合中共中央办公厅、国务院办公厅《关于做好地方政府专项债券发行及项目配套融资工作的通知》（厅字〔2019〕33号）“项目对应的政府性基金收入和用于偿还专项债券的专项收入及时足额缴入国库，纳入政府性基金预算管理，确保专项债券还本付息资金安全”相关规定。</w:t>
      </w:r>
    </w:p>
    <w:p>
      <w:pPr>
        <w:autoSpaceDN w:val="0"/>
        <w:spacing w:line="590" w:lineRule="exact"/>
        <w:ind w:firstLine="630" w:firstLineChars="200"/>
        <w:rPr>
          <w:rFonts w:hAnsi="仿宋" w:cs="仿宋_GB2312"/>
          <w:szCs w:val="30"/>
        </w:rPr>
      </w:pPr>
      <w:r>
        <w:rPr>
          <w:rFonts w:hAnsi="仿宋" w:cs="仿宋_GB2312"/>
          <w:szCs w:val="30"/>
        </w:rPr>
        <w:t>2.</w:t>
      </w:r>
      <w:r>
        <w:rPr>
          <w:rFonts w:hint="eastAsia" w:hAnsi="仿宋" w:cs="仿宋_GB2312"/>
          <w:szCs w:val="30"/>
        </w:rPr>
        <w:t>主管部门项目动态监管，检查考核不到位。项目自</w:t>
      </w:r>
      <w:r>
        <w:rPr>
          <w:rFonts w:hAnsi="仿宋" w:cs="仿宋_GB2312"/>
          <w:szCs w:val="30"/>
        </w:rPr>
        <w:t>2018</w:t>
      </w:r>
      <w:r>
        <w:rPr>
          <w:rFonts w:hint="eastAsia" w:hAnsi="仿宋" w:cs="仿宋_GB2312"/>
          <w:szCs w:val="30"/>
        </w:rPr>
        <w:t>年申报专项债至</w:t>
      </w:r>
      <w:r>
        <w:rPr>
          <w:rFonts w:hAnsi="仿宋" w:cs="仿宋_GB2312"/>
          <w:szCs w:val="30"/>
        </w:rPr>
        <w:t>2023</w:t>
      </w:r>
      <w:r>
        <w:rPr>
          <w:rFonts w:hint="eastAsia" w:hAnsi="仿宋" w:cs="仿宋_GB2312"/>
          <w:szCs w:val="30"/>
        </w:rPr>
        <w:t>年</w:t>
      </w:r>
      <w:r>
        <w:rPr>
          <w:rFonts w:hAnsi="仿宋" w:cs="仿宋_GB2312"/>
          <w:szCs w:val="30"/>
        </w:rPr>
        <w:t xml:space="preserve">6月底，未根据《中共云南省委 </w:t>
      </w:r>
      <w:r>
        <w:rPr>
          <w:rFonts w:hint="eastAsia" w:hAnsi="仿宋" w:cs="仿宋_GB2312"/>
          <w:szCs w:val="30"/>
        </w:rPr>
        <w:t>云南省人民政府关于全面实施预算绩效管理的实施意见》（云发〔</w:t>
      </w:r>
      <w:r>
        <w:rPr>
          <w:rFonts w:hAnsi="仿宋" w:cs="仿宋_GB2312"/>
          <w:szCs w:val="30"/>
        </w:rPr>
        <w:t>2019〕11号）中“各部门对本部门政策、项目实施效果开展绩效自评”和“各地区各部门对绩效目标实现程度和预算执行进度实行‘双监控’”的要求开展绩效自评和监控工作。</w:t>
      </w:r>
    </w:p>
    <w:p>
      <w:pPr>
        <w:autoSpaceDN w:val="0"/>
        <w:spacing w:line="590" w:lineRule="exact"/>
        <w:ind w:firstLine="630" w:firstLineChars="200"/>
        <w:outlineLvl w:val="1"/>
        <w:rPr>
          <w:rFonts w:ascii="楷体" w:hAnsi="楷体" w:eastAsia="楷体" w:cs="楷体_GB2312"/>
          <w:szCs w:val="30"/>
        </w:rPr>
      </w:pPr>
      <w:bookmarkStart w:id="174" w:name="_Toc144740087"/>
      <w:r>
        <w:rPr>
          <w:rFonts w:hint="eastAsia" w:ascii="楷体" w:hAnsi="楷体" w:eastAsia="楷体" w:cs="楷体_GB2312"/>
          <w:szCs w:val="30"/>
        </w:rPr>
        <w:t>（三）运营成本高于预期，存在专债本息偿还风险</w:t>
      </w:r>
      <w:bookmarkEnd w:id="174"/>
    </w:p>
    <w:p>
      <w:pPr>
        <w:autoSpaceDN w:val="0"/>
        <w:spacing w:line="590" w:lineRule="exact"/>
        <w:ind w:firstLine="630" w:firstLineChars="200"/>
        <w:rPr>
          <w:rFonts w:hAnsi="仿宋" w:cs="仿宋_GB2312"/>
          <w:szCs w:val="30"/>
        </w:rPr>
      </w:pPr>
      <w:r>
        <w:rPr>
          <w:rFonts w:hint="eastAsia" w:hAnsi="仿宋" w:cs="仿宋_GB2312"/>
          <w:szCs w:val="30"/>
        </w:rPr>
        <w:t>一是对于医院改扩建新大楼，2</w:t>
      </w:r>
      <w:r>
        <w:rPr>
          <w:rFonts w:hAnsi="仿宋" w:cs="仿宋_GB2312"/>
          <w:szCs w:val="30"/>
        </w:rPr>
        <w:t>020</w:t>
      </w:r>
      <w:r>
        <w:rPr>
          <w:rFonts w:hint="eastAsia" w:hAnsi="仿宋" w:cs="仿宋_GB2312"/>
          <w:szCs w:val="30"/>
        </w:rPr>
        <w:t>年-</w:t>
      </w:r>
      <w:r>
        <w:rPr>
          <w:rFonts w:hAnsi="仿宋" w:cs="仿宋_GB2312"/>
          <w:szCs w:val="30"/>
        </w:rPr>
        <w:t>2022</w:t>
      </w:r>
      <w:r>
        <w:rPr>
          <w:rFonts w:hint="eastAsia" w:hAnsi="仿宋" w:cs="仿宋_GB2312"/>
          <w:szCs w:val="30"/>
        </w:rPr>
        <w:t>年新大楼经营收入为2</w:t>
      </w:r>
      <w:r>
        <w:rPr>
          <w:rFonts w:hAnsi="仿宋" w:cs="仿宋_GB2312"/>
          <w:szCs w:val="30"/>
        </w:rPr>
        <w:t>43,828</w:t>
      </w:r>
      <w:r>
        <w:rPr>
          <w:rFonts w:hint="eastAsia" w:hAnsi="仿宋" w:cs="仿宋_GB2312"/>
          <w:szCs w:val="30"/>
        </w:rPr>
        <w:t>万元，支出为2</w:t>
      </w:r>
      <w:r>
        <w:rPr>
          <w:rFonts w:hAnsi="仿宋" w:cs="仿宋_GB2312"/>
          <w:szCs w:val="30"/>
        </w:rPr>
        <w:t>46,639</w:t>
      </w:r>
      <w:r>
        <w:rPr>
          <w:rFonts w:hint="eastAsia" w:hAnsi="仿宋" w:cs="仿宋_GB2312"/>
          <w:szCs w:val="30"/>
        </w:rPr>
        <w:t>万元，运营利润为-</w:t>
      </w:r>
      <w:r>
        <w:rPr>
          <w:rFonts w:hAnsi="仿宋" w:cs="仿宋_GB2312"/>
          <w:szCs w:val="30"/>
        </w:rPr>
        <w:t>2,811</w:t>
      </w:r>
      <w:r>
        <w:rPr>
          <w:rFonts w:hint="eastAsia" w:hAnsi="仿宋" w:cs="仿宋_GB2312"/>
          <w:szCs w:val="30"/>
        </w:rPr>
        <w:t>万元，新大楼利润无法偿还专债本息，存在还款风险。二是对于医院整体，2</w:t>
      </w:r>
      <w:r>
        <w:rPr>
          <w:rFonts w:hAnsi="仿宋" w:cs="仿宋_GB2312"/>
          <w:szCs w:val="30"/>
        </w:rPr>
        <w:t>020</w:t>
      </w:r>
      <w:r>
        <w:rPr>
          <w:rFonts w:hint="eastAsia" w:hAnsi="仿宋" w:cs="仿宋_GB2312"/>
          <w:szCs w:val="30"/>
        </w:rPr>
        <w:t>年-</w:t>
      </w:r>
      <w:r>
        <w:rPr>
          <w:rFonts w:hAnsi="仿宋" w:cs="仿宋_GB2312"/>
          <w:szCs w:val="30"/>
        </w:rPr>
        <w:t>2022</w:t>
      </w:r>
      <w:r>
        <w:rPr>
          <w:rFonts w:hint="eastAsia" w:hAnsi="仿宋" w:cs="仿宋_GB2312"/>
          <w:szCs w:val="30"/>
        </w:rPr>
        <w:t>年医院总收入为</w:t>
      </w:r>
      <w:r>
        <w:rPr>
          <w:rFonts w:hAnsi="仿宋" w:cs="仿宋_GB2312"/>
          <w:szCs w:val="30"/>
        </w:rPr>
        <w:t>414,574</w:t>
      </w:r>
      <w:r>
        <w:rPr>
          <w:rFonts w:hint="eastAsia" w:hAnsi="仿宋" w:cs="仿宋_GB2312"/>
          <w:szCs w:val="30"/>
        </w:rPr>
        <w:t>万元（包括财政拨款收入及其他收入），总支出为</w:t>
      </w:r>
      <w:r>
        <w:rPr>
          <w:rFonts w:hAnsi="仿宋" w:cs="仿宋_GB2312"/>
          <w:szCs w:val="30"/>
        </w:rPr>
        <w:t>404,890</w:t>
      </w:r>
      <w:r>
        <w:rPr>
          <w:rFonts w:hint="eastAsia" w:hAnsi="仿宋" w:cs="仿宋_GB2312"/>
          <w:szCs w:val="30"/>
        </w:rPr>
        <w:t>万元，总利润为</w:t>
      </w:r>
      <w:r>
        <w:rPr>
          <w:rFonts w:hAnsi="仿宋" w:cs="仿宋_GB2312"/>
          <w:szCs w:val="30"/>
        </w:rPr>
        <w:t>9,684</w:t>
      </w:r>
      <w:r>
        <w:rPr>
          <w:rFonts w:hint="eastAsia" w:hAnsi="仿宋" w:cs="仿宋_GB2312"/>
          <w:szCs w:val="30"/>
        </w:rPr>
        <w:t>万元，根据债券发行及利息偿还情况，项目2</w:t>
      </w:r>
      <w:r>
        <w:rPr>
          <w:rFonts w:hAnsi="仿宋" w:cs="仿宋_GB2312"/>
          <w:szCs w:val="30"/>
        </w:rPr>
        <w:t>018</w:t>
      </w:r>
      <w:r>
        <w:rPr>
          <w:rFonts w:hint="eastAsia" w:hAnsi="仿宋" w:cs="仿宋_GB2312"/>
          <w:szCs w:val="30"/>
        </w:rPr>
        <w:t>年-</w:t>
      </w:r>
      <w:r>
        <w:rPr>
          <w:rFonts w:hAnsi="仿宋" w:cs="仿宋_GB2312"/>
          <w:szCs w:val="30"/>
        </w:rPr>
        <w:t>2025</w:t>
      </w:r>
      <w:r>
        <w:rPr>
          <w:rFonts w:hint="eastAsia" w:hAnsi="仿宋" w:cs="仿宋_GB2312"/>
          <w:szCs w:val="30"/>
        </w:rPr>
        <w:t>年每年应上缴利息及服务费812.</w:t>
      </w:r>
      <w:r>
        <w:rPr>
          <w:rFonts w:hAnsi="仿宋" w:cs="仿宋_GB2312"/>
          <w:szCs w:val="30"/>
        </w:rPr>
        <w:t>04</w:t>
      </w:r>
      <w:r>
        <w:rPr>
          <w:rFonts w:hint="eastAsia" w:hAnsi="仿宋" w:cs="仿宋_GB2312"/>
          <w:szCs w:val="30"/>
        </w:rPr>
        <w:t>万元，到2</w:t>
      </w:r>
      <w:r>
        <w:rPr>
          <w:rFonts w:hAnsi="仿宋" w:cs="仿宋_GB2312"/>
          <w:szCs w:val="30"/>
        </w:rPr>
        <w:t>025</w:t>
      </w:r>
      <w:r>
        <w:rPr>
          <w:rFonts w:hint="eastAsia" w:hAnsi="仿宋" w:cs="仿宋_GB2312"/>
          <w:szCs w:val="30"/>
        </w:rPr>
        <w:t>年一次性还本付息共计</w:t>
      </w:r>
      <w:r>
        <w:rPr>
          <w:rFonts w:hAnsi="仿宋" w:cs="仿宋_GB2312"/>
          <w:szCs w:val="30"/>
        </w:rPr>
        <w:t>25,684.28</w:t>
      </w:r>
      <w:r>
        <w:rPr>
          <w:rFonts w:hint="eastAsia" w:hAnsi="仿宋" w:cs="仿宋_GB2312"/>
          <w:szCs w:val="30"/>
        </w:rPr>
        <w:t>万元，而2</w:t>
      </w:r>
      <w:r>
        <w:rPr>
          <w:rFonts w:hAnsi="仿宋" w:cs="仿宋_GB2312"/>
          <w:szCs w:val="30"/>
        </w:rPr>
        <w:t>020</w:t>
      </w:r>
      <w:r>
        <w:rPr>
          <w:rFonts w:hint="eastAsia" w:hAnsi="仿宋" w:cs="仿宋_GB2312"/>
          <w:szCs w:val="30"/>
        </w:rPr>
        <w:t>年-</w:t>
      </w:r>
      <w:r>
        <w:rPr>
          <w:rFonts w:hAnsi="仿宋" w:cs="仿宋_GB2312"/>
          <w:szCs w:val="30"/>
        </w:rPr>
        <w:t>2022</w:t>
      </w:r>
      <w:r>
        <w:rPr>
          <w:rFonts w:hint="eastAsia" w:hAnsi="仿宋" w:cs="仿宋_GB2312"/>
          <w:szCs w:val="30"/>
        </w:rPr>
        <w:t>年医院总利润为</w:t>
      </w:r>
      <w:r>
        <w:rPr>
          <w:rFonts w:hAnsi="仿宋" w:cs="仿宋_GB2312"/>
          <w:szCs w:val="30"/>
        </w:rPr>
        <w:t>9,684</w:t>
      </w:r>
      <w:r>
        <w:rPr>
          <w:rFonts w:hint="eastAsia" w:hAnsi="仿宋" w:cs="仿宋_GB2312"/>
          <w:szCs w:val="30"/>
        </w:rPr>
        <w:t>万元，预计到20</w:t>
      </w:r>
      <w:r>
        <w:rPr>
          <w:rFonts w:hAnsi="仿宋" w:cs="仿宋_GB2312"/>
          <w:szCs w:val="30"/>
        </w:rPr>
        <w:t>25</w:t>
      </w:r>
      <w:r>
        <w:rPr>
          <w:rFonts w:hint="eastAsia" w:hAnsi="仿宋" w:cs="仿宋_GB2312"/>
          <w:szCs w:val="30"/>
        </w:rPr>
        <w:t>年医院累计经营收益较难实现</w:t>
      </w:r>
      <w:r>
        <w:rPr>
          <w:rFonts w:hAnsi="仿宋" w:cs="仿宋_GB2312"/>
          <w:szCs w:val="30"/>
        </w:rPr>
        <w:t>20,000</w:t>
      </w:r>
      <w:r>
        <w:rPr>
          <w:rFonts w:hint="eastAsia" w:hAnsi="仿宋" w:cs="仿宋_GB2312"/>
          <w:szCs w:val="30"/>
        </w:rPr>
        <w:t>万元，存在专债本息偿还风险（医院收支情况详见附件7）。</w:t>
      </w:r>
    </w:p>
    <w:p>
      <w:pPr>
        <w:autoSpaceDN w:val="0"/>
        <w:spacing w:line="590" w:lineRule="exact"/>
        <w:ind w:firstLine="630" w:firstLineChars="200"/>
        <w:outlineLvl w:val="1"/>
        <w:rPr>
          <w:rFonts w:ascii="楷体" w:hAnsi="楷体" w:eastAsia="楷体" w:cs="楷体_GB2312"/>
          <w:szCs w:val="30"/>
        </w:rPr>
      </w:pPr>
      <w:bookmarkStart w:id="175" w:name="_Toc144740088"/>
      <w:r>
        <w:rPr>
          <w:rFonts w:hint="eastAsia" w:ascii="楷体" w:hAnsi="楷体" w:eastAsia="楷体" w:cs="楷体_GB2312"/>
          <w:szCs w:val="30"/>
        </w:rPr>
        <w:t>（四）医疗服务质量不足，增加了医疗安全隐患</w:t>
      </w:r>
      <w:bookmarkEnd w:id="175"/>
    </w:p>
    <w:p>
      <w:pPr>
        <w:autoSpaceDN w:val="0"/>
        <w:spacing w:line="590" w:lineRule="exact"/>
        <w:ind w:firstLine="630" w:firstLineChars="200"/>
        <w:rPr>
          <w:rFonts w:hAnsi="仿宋" w:cs="仿宋_GB2312"/>
          <w:szCs w:val="30"/>
        </w:rPr>
      </w:pPr>
      <w:r>
        <w:rPr>
          <w:rFonts w:hint="eastAsia" w:hAnsi="仿宋" w:cs="仿宋_GB2312"/>
          <w:szCs w:val="30"/>
        </w:rPr>
        <w:t>根据玉溪市人民医院填报的基本情况调查表，2023年1-6月床位使用率为100.88%，不符合国家卫健委《三级综合医院医疗服务能力指南》中“年床位使用率93%-97%”的要求。2020年-</w:t>
      </w:r>
      <w:r>
        <w:rPr>
          <w:rFonts w:hAnsi="仿宋" w:cs="仿宋_GB2312"/>
          <w:szCs w:val="30"/>
        </w:rPr>
        <w:t>2023</w:t>
      </w:r>
      <w:r>
        <w:rPr>
          <w:rFonts w:hint="eastAsia" w:hAnsi="仿宋" w:cs="仿宋_GB2312"/>
          <w:szCs w:val="30"/>
        </w:rPr>
        <w:t>年1-6月医院卫生技术人员与实际开放床位之比分别为1.13、1.16、1.11、1.08，不符合《三级综合医院医疗服务能力指南》中“卫生技术人员与实际开放床位之比≥1.2”的要求。床位使用率较高，医院卫生技术人员不足，超出医务人员正常工作负荷，影响医院的服务质量和效率，进一步增加医疗安全隐患风险。</w:t>
      </w:r>
    </w:p>
    <w:p>
      <w:pPr>
        <w:autoSpaceDN w:val="0"/>
        <w:spacing w:line="590" w:lineRule="exact"/>
        <w:ind w:firstLine="630" w:firstLineChars="200"/>
        <w:outlineLvl w:val="0"/>
        <w:rPr>
          <w:rFonts w:ascii="黑体" w:hAnsi="黑体" w:eastAsia="黑体" w:cs="宋体"/>
          <w:szCs w:val="30"/>
        </w:rPr>
      </w:pPr>
      <w:bookmarkStart w:id="176" w:name="_Toc144740089"/>
      <w:r>
        <w:rPr>
          <w:rFonts w:hint="eastAsia" w:ascii="黑体" w:hAnsi="黑体" w:eastAsia="黑体" w:cs="宋体"/>
          <w:szCs w:val="30"/>
        </w:rPr>
        <w:t>七、建议</w:t>
      </w:r>
      <w:bookmarkEnd w:id="172"/>
      <w:bookmarkEnd w:id="176"/>
    </w:p>
    <w:p>
      <w:pPr>
        <w:autoSpaceDN w:val="0"/>
        <w:spacing w:line="590" w:lineRule="exact"/>
        <w:ind w:firstLine="630" w:firstLineChars="200"/>
        <w:outlineLvl w:val="1"/>
        <w:rPr>
          <w:rFonts w:ascii="楷体" w:hAnsi="楷体" w:eastAsia="楷体" w:cs="楷体_GB2312"/>
          <w:szCs w:val="30"/>
        </w:rPr>
      </w:pPr>
      <w:bookmarkStart w:id="177" w:name="_Toc144740090"/>
      <w:r>
        <w:rPr>
          <w:rFonts w:hint="eastAsia" w:ascii="楷体" w:hAnsi="楷体" w:eastAsia="楷体" w:cs="楷体_GB2312"/>
          <w:szCs w:val="30"/>
        </w:rPr>
        <w:t>（一）加强内部检查，严格制度执行</w:t>
      </w:r>
      <w:bookmarkEnd w:id="177"/>
    </w:p>
    <w:p>
      <w:pPr>
        <w:autoSpaceDN w:val="0"/>
        <w:spacing w:line="590" w:lineRule="exact"/>
        <w:ind w:firstLine="630" w:firstLineChars="200"/>
        <w:rPr>
          <w:rFonts w:hAnsi="仿宋" w:cs="仿宋_GB2312"/>
          <w:szCs w:val="30"/>
        </w:rPr>
      </w:pPr>
      <w:r>
        <w:rPr>
          <w:rFonts w:hint="eastAsia" w:hAnsi="仿宋" w:cs="仿宋_GB2312"/>
          <w:szCs w:val="30"/>
        </w:rPr>
        <w:t>建议项目主管单位和实施单位加强内部监督与检查机制，对项目建设过程中的各个环节进行监督和检查，及时发现问题并提出整改要求，确保项目执行符合制度规定。此外，医院应重视基本建设项目竣工财务决算工作，加强对竣工财务决算的组织领导，加快竣工结算审查，增强项目各相关方的沟通协作，督促代建单位及时编制竣工财务决算，保证竣工财务决算的真实、完整、准确。</w:t>
      </w:r>
    </w:p>
    <w:p>
      <w:pPr>
        <w:autoSpaceDN w:val="0"/>
        <w:spacing w:line="590" w:lineRule="exact"/>
        <w:ind w:firstLine="630" w:firstLineChars="200"/>
        <w:outlineLvl w:val="1"/>
        <w:rPr>
          <w:rFonts w:ascii="楷体" w:hAnsi="楷体" w:eastAsia="楷体" w:cs="楷体_GB2312"/>
          <w:szCs w:val="30"/>
        </w:rPr>
      </w:pPr>
      <w:bookmarkStart w:id="178" w:name="_Toc144740091"/>
      <w:r>
        <w:rPr>
          <w:rFonts w:hint="eastAsia" w:ascii="楷体" w:hAnsi="楷体" w:eastAsia="楷体" w:cs="楷体_GB2312"/>
          <w:szCs w:val="30"/>
        </w:rPr>
        <w:t>（二）强化绩效意识，规范资金管理</w:t>
      </w:r>
      <w:bookmarkEnd w:id="178"/>
    </w:p>
    <w:p>
      <w:pPr>
        <w:autoSpaceDN w:val="0"/>
        <w:spacing w:line="590" w:lineRule="exact"/>
        <w:ind w:firstLine="630" w:firstLineChars="200"/>
        <w:rPr>
          <w:rFonts w:hAnsi="仿宋" w:cs="仿宋_GB2312"/>
          <w:szCs w:val="30"/>
        </w:rPr>
      </w:pPr>
      <w:r>
        <w:rPr>
          <w:rFonts w:hint="eastAsia" w:hAnsi="仿宋" w:cs="仿宋_GB2312"/>
          <w:szCs w:val="30"/>
        </w:rPr>
        <w:t>一是严格遵守专债资金管理相关政策文件，将项目对应的政府性基金收入和偿还专项债券的专项收入及时足额缴入国库，确保专项债券的使用符合规定。二是落实专项债券资金使用管理规定，玉溪市卫生健康委应加强对下属医疗机构建设项目动态监管及资金使用审查，确保项目的质量以及资金使用的合规性。三是建议强化绩效管理意识，实施全过程预算绩效管理，及时发现并纠正项目实施中存在的问题，堵塞管理漏洞，确保资金使用安全高效。</w:t>
      </w:r>
    </w:p>
    <w:p>
      <w:pPr>
        <w:autoSpaceDN w:val="0"/>
        <w:spacing w:line="590" w:lineRule="exact"/>
        <w:ind w:firstLine="630" w:firstLineChars="200"/>
        <w:outlineLvl w:val="1"/>
        <w:rPr>
          <w:rFonts w:ascii="楷体" w:hAnsi="楷体" w:eastAsia="楷体" w:cs="楷体_GB2312"/>
          <w:szCs w:val="30"/>
        </w:rPr>
      </w:pPr>
      <w:bookmarkStart w:id="179" w:name="_Toc144740092"/>
      <w:r>
        <w:rPr>
          <w:rFonts w:hint="eastAsia" w:ascii="楷体" w:hAnsi="楷体" w:eastAsia="楷体" w:cs="楷体_GB2312"/>
          <w:szCs w:val="30"/>
        </w:rPr>
        <w:t>（三）实施开源节流，提高偿债能力</w:t>
      </w:r>
      <w:bookmarkEnd w:id="179"/>
    </w:p>
    <w:p>
      <w:pPr>
        <w:autoSpaceDN w:val="0"/>
        <w:spacing w:line="590" w:lineRule="exact"/>
        <w:ind w:firstLine="630" w:firstLineChars="200"/>
        <w:rPr>
          <w:rFonts w:ascii="仿宋_GB2312" w:hAnsi="仿宋_GB2312" w:eastAsia="仿宋_GB2312" w:cs="仿宋_GB2312"/>
          <w:szCs w:val="30"/>
        </w:rPr>
      </w:pPr>
      <w:r>
        <w:rPr>
          <w:rFonts w:hint="eastAsia" w:hAnsi="仿宋" w:cs="仿宋_GB2312"/>
          <w:szCs w:val="30"/>
        </w:rPr>
        <w:t>一是精细化成本管理。针对医院的运维、折旧以及其他成本，建议建立更加精细的成本管理体系。通过合理的成本控制，优化资源利用，减少浪费，从而为债务偿还提供更多资金来源。二是寻求政策支持。针对防疫带来的额外成本，可以积极争取相关政策支持或补贴，以减轻医院的财务压力。三是寻求多元融资途径。医院可以探索其他融资途径，如合作、引入投资等，以获得额外的资金支持，提高债务偿还的能力。四是合理控制扩建和设备投入。对于医院运营的新大楼、设备投入等，需要合理规划，平衡扩建和设备投入，避免过度扩张导致资金不足的情况，保障医院的可持续发展。</w:t>
      </w:r>
    </w:p>
    <w:p>
      <w:pPr>
        <w:autoSpaceDN w:val="0"/>
        <w:spacing w:line="590" w:lineRule="exact"/>
        <w:ind w:firstLine="630" w:firstLineChars="200"/>
        <w:outlineLvl w:val="1"/>
        <w:rPr>
          <w:rFonts w:ascii="楷体" w:hAnsi="楷体" w:eastAsia="楷体" w:cs="楷体_GB2312"/>
          <w:szCs w:val="30"/>
        </w:rPr>
      </w:pPr>
      <w:bookmarkStart w:id="180" w:name="_Toc144740093"/>
      <w:r>
        <w:rPr>
          <w:rFonts w:hint="eastAsia" w:ascii="楷体" w:hAnsi="楷体" w:eastAsia="楷体" w:cs="楷体_GB2312"/>
          <w:szCs w:val="30"/>
        </w:rPr>
        <w:t>（四）优化资源配置，改善医疗服务</w:t>
      </w:r>
      <w:bookmarkEnd w:id="180"/>
    </w:p>
    <w:p>
      <w:pPr>
        <w:autoSpaceDN w:val="0"/>
        <w:spacing w:line="590" w:lineRule="exact"/>
        <w:ind w:firstLine="630" w:firstLineChars="200"/>
        <w:rPr>
          <w:rFonts w:hAnsi="仿宋" w:cs="仿宋_GB2312"/>
          <w:szCs w:val="30"/>
        </w:rPr>
      </w:pPr>
      <w:r>
        <w:rPr>
          <w:rFonts w:hint="eastAsia" w:hAnsi="仿宋" w:cs="仿宋_GB2312"/>
          <w:szCs w:val="30"/>
        </w:rPr>
        <w:t>一是优化人员配置。医院应当根据实际情况，调整医务人员的数量和结构，确保医务人员的配备能够满足床位的扩张和医疗服务需求。二是提升医疗服务效率。医院可以优化医疗服务流程，提高工作效率。通过引入信息化管理系统、合理安排医疗流程等方式，减少医务人员的重复劳动，提高医疗服务效率。三是改善床位利用率。医院可以考虑更好地管理床位，优化病患的入住计划，确保床位的高效利用，减少因床位不足而导致的压力。四是定期评估和调整。医院应定期评估医疗服务能力，发现问题并及时调整，以确保医院的服务能力与需求相匹配。</w:t>
      </w:r>
    </w:p>
    <w:p>
      <w:pPr>
        <w:autoSpaceDN w:val="0"/>
        <w:spacing w:line="590" w:lineRule="exact"/>
        <w:ind w:firstLine="630" w:firstLineChars="200"/>
        <w:outlineLvl w:val="0"/>
        <w:rPr>
          <w:rFonts w:ascii="黑体" w:hAnsi="黑体" w:eastAsia="黑体" w:cs="宋体"/>
          <w:szCs w:val="30"/>
        </w:rPr>
      </w:pPr>
      <w:bookmarkStart w:id="181" w:name="_Toc144740094"/>
      <w:bookmarkStart w:id="182" w:name="_Toc4797"/>
      <w:r>
        <w:rPr>
          <w:rFonts w:hint="eastAsia" w:ascii="黑体" w:hAnsi="黑体" w:eastAsia="黑体" w:cs="宋体"/>
          <w:szCs w:val="30"/>
        </w:rPr>
        <w:t>八、其它需说明的情况</w:t>
      </w:r>
      <w:bookmarkEnd w:id="181"/>
      <w:bookmarkEnd w:id="182"/>
    </w:p>
    <w:p>
      <w:pPr>
        <w:autoSpaceDN w:val="0"/>
        <w:spacing w:line="590" w:lineRule="exact"/>
        <w:ind w:firstLine="630" w:firstLineChars="200"/>
        <w:rPr>
          <w:rFonts w:hAnsi="仿宋" w:cs="仿宋_GB2312"/>
          <w:szCs w:val="30"/>
          <w:lang w:bidi="ar"/>
        </w:rPr>
      </w:pPr>
      <w:bookmarkStart w:id="183" w:name="_Hlk525314575"/>
      <w:r>
        <w:rPr>
          <w:rFonts w:hint="eastAsia" w:hAnsi="仿宋" w:cs="仿宋_GB2312"/>
          <w:szCs w:val="30"/>
          <w:lang w:bidi="ar"/>
        </w:rPr>
        <w:t>无。</w:t>
      </w:r>
    </w:p>
    <w:p>
      <w:pPr>
        <w:autoSpaceDN w:val="0"/>
        <w:spacing w:line="579" w:lineRule="exact"/>
        <w:ind w:firstLine="630" w:firstLineChars="200"/>
        <w:rPr>
          <w:rFonts w:ascii="仿宋_GB2312" w:hAnsi="仿宋_GB2312" w:eastAsia="仿宋_GB2312" w:cs="仿宋_GB2312"/>
          <w:szCs w:val="30"/>
          <w:lang w:bidi="ar"/>
        </w:rPr>
      </w:pPr>
    </w:p>
    <w:bookmarkEnd w:id="183"/>
    <w:p>
      <w:pPr>
        <w:autoSpaceDN w:val="0"/>
        <w:spacing w:line="590" w:lineRule="exact"/>
        <w:ind w:firstLine="630" w:firstLineChars="200"/>
        <w:rPr>
          <w:rFonts w:ascii="仿宋_GB2312" w:hAnsi="仿宋_GB2312" w:eastAsia="仿宋_GB2312" w:cs="仿宋_GB2312"/>
          <w:szCs w:val="30"/>
        </w:rPr>
      </w:pPr>
      <w:r>
        <w:rPr>
          <w:rFonts w:hint="eastAsia" w:ascii="仿宋_GB2312" w:hAnsi="仿宋_GB2312" w:eastAsia="仿宋_GB2312" w:cs="仿宋_GB2312"/>
          <w:szCs w:val="30"/>
        </w:rPr>
        <w:t>附件：1.绩效目标表</w:t>
      </w:r>
    </w:p>
    <w:p>
      <w:pPr>
        <w:autoSpaceDN w:val="0"/>
        <w:spacing w:line="590" w:lineRule="exact"/>
        <w:ind w:firstLine="1575" w:firstLineChars="500"/>
        <w:rPr>
          <w:rFonts w:ascii="仿宋_GB2312" w:hAnsi="仿宋_GB2312" w:eastAsia="仿宋_GB2312" w:cs="仿宋_GB2312"/>
          <w:szCs w:val="30"/>
        </w:rPr>
      </w:pPr>
      <w:r>
        <w:rPr>
          <w:rFonts w:hint="eastAsia" w:ascii="仿宋_GB2312" w:hAnsi="仿宋_GB2312" w:eastAsia="仿宋_GB2312" w:cs="仿宋_GB2312"/>
          <w:szCs w:val="30"/>
        </w:rPr>
        <w:t>2.</w:t>
      </w:r>
      <w:bookmarkStart w:id="184" w:name="_Hlk527019547"/>
      <w:r>
        <w:rPr>
          <w:rFonts w:hint="eastAsia" w:ascii="仿宋_GB2312" w:hAnsi="仿宋_GB2312" w:eastAsia="仿宋_GB2312" w:cs="仿宋_GB2312"/>
          <w:szCs w:val="30"/>
        </w:rPr>
        <w:t>绩效评价指标体系及评分表</w:t>
      </w:r>
      <w:bookmarkEnd w:id="184"/>
    </w:p>
    <w:p>
      <w:pPr>
        <w:tabs>
          <w:tab w:val="left" w:pos="1560"/>
        </w:tabs>
        <w:autoSpaceDN w:val="0"/>
        <w:spacing w:line="590" w:lineRule="exact"/>
        <w:ind w:firstLine="1571" w:firstLineChars="499"/>
        <w:rPr>
          <w:rFonts w:ascii="仿宋_GB2312" w:hAnsi="仿宋_GB2312" w:eastAsia="仿宋_GB2312" w:cs="仿宋_GB2312"/>
          <w:szCs w:val="30"/>
        </w:rPr>
      </w:pPr>
      <w:bookmarkStart w:id="185" w:name="_Hlk527019566"/>
      <w:r>
        <w:rPr>
          <w:rFonts w:hint="eastAsia" w:ascii="仿宋_GB2312" w:hAnsi="仿宋_GB2312" w:eastAsia="仿宋_GB2312" w:cs="仿宋_GB2312"/>
          <w:szCs w:val="30"/>
        </w:rPr>
        <w:t>3.抽样点资金使用情况表</w:t>
      </w:r>
      <w:bookmarkEnd w:id="185"/>
    </w:p>
    <w:p>
      <w:pPr>
        <w:tabs>
          <w:tab w:val="left" w:pos="1560"/>
        </w:tabs>
        <w:autoSpaceDN w:val="0"/>
        <w:spacing w:line="590" w:lineRule="exact"/>
        <w:ind w:firstLine="1571" w:firstLineChars="499"/>
        <w:rPr>
          <w:rFonts w:ascii="仿宋_GB2312" w:hAnsi="仿宋_GB2312" w:eastAsia="仿宋_GB2312" w:cs="仿宋_GB2312"/>
          <w:szCs w:val="30"/>
        </w:rPr>
      </w:pPr>
      <w:r>
        <w:rPr>
          <w:rFonts w:hint="eastAsia" w:ascii="仿宋_GB2312" w:hAnsi="仿宋_GB2312" w:eastAsia="仿宋_GB2312" w:cs="仿宋_GB2312"/>
          <w:szCs w:val="30"/>
        </w:rPr>
        <w:t>4.</w:t>
      </w:r>
      <w:bookmarkStart w:id="186" w:name="_Hlk527019595"/>
      <w:r>
        <w:rPr>
          <w:rFonts w:hint="eastAsia" w:ascii="仿宋_GB2312" w:hAnsi="仿宋_GB2312" w:eastAsia="仿宋_GB2312" w:cs="仿宋_GB2312"/>
          <w:szCs w:val="30"/>
        </w:rPr>
        <w:t>抽样点发现问题汇总表</w:t>
      </w:r>
      <w:bookmarkEnd w:id="186"/>
    </w:p>
    <w:p>
      <w:pPr>
        <w:tabs>
          <w:tab w:val="left" w:pos="1560"/>
        </w:tabs>
        <w:autoSpaceDN w:val="0"/>
        <w:spacing w:line="590" w:lineRule="exact"/>
        <w:ind w:firstLine="1571" w:firstLineChars="499"/>
        <w:rPr>
          <w:rFonts w:ascii="仿宋_GB2312" w:hAnsi="仿宋_GB2312" w:eastAsia="仿宋_GB2312" w:cs="仿宋_GB2312"/>
          <w:szCs w:val="30"/>
        </w:rPr>
      </w:pPr>
      <w:r>
        <w:rPr>
          <w:rFonts w:hint="eastAsia" w:ascii="仿宋_GB2312" w:hAnsi="仿宋_GB2312" w:eastAsia="仿宋_GB2312" w:cs="仿宋_GB2312"/>
          <w:szCs w:val="30"/>
        </w:rPr>
        <w:t>5.</w:t>
      </w:r>
      <w:bookmarkStart w:id="187" w:name="_Hlk527019673"/>
      <w:r>
        <w:rPr>
          <w:rFonts w:hint="eastAsia" w:ascii="仿宋_GB2312" w:hAnsi="仿宋_GB2312" w:eastAsia="仿宋_GB2312" w:cs="仿宋_GB2312"/>
          <w:szCs w:val="30"/>
        </w:rPr>
        <w:t>调查问卷结果汇总表</w:t>
      </w:r>
      <w:bookmarkEnd w:id="187"/>
    </w:p>
    <w:p>
      <w:pPr>
        <w:tabs>
          <w:tab w:val="left" w:pos="1560"/>
        </w:tabs>
        <w:autoSpaceDN w:val="0"/>
        <w:spacing w:line="590" w:lineRule="exact"/>
        <w:ind w:firstLine="1571" w:firstLineChars="499"/>
        <w:rPr>
          <w:rFonts w:ascii="仿宋_GB2312" w:hAnsi="仿宋_GB2312" w:eastAsia="仿宋_GB2312" w:cs="仿宋_GB2312"/>
          <w:szCs w:val="30"/>
        </w:rPr>
      </w:pPr>
      <w:r>
        <w:rPr>
          <w:rFonts w:hint="eastAsia" w:ascii="仿宋_GB2312" w:hAnsi="仿宋_GB2312" w:eastAsia="仿宋_GB2312" w:cs="仿宋_GB2312"/>
          <w:szCs w:val="30"/>
        </w:rPr>
        <w:t>6.玉溪市人民医院基本情况调查表</w:t>
      </w:r>
    </w:p>
    <w:p>
      <w:pPr>
        <w:autoSpaceDN w:val="0"/>
        <w:spacing w:line="590" w:lineRule="exact"/>
        <w:ind w:firstLine="1575" w:firstLineChars="500"/>
        <w:rPr>
          <w:rFonts w:ascii="仿宋_GB2312" w:hAnsi="仿宋_GB2312" w:eastAsia="仿宋_GB2312" w:cs="仿宋_GB2312"/>
          <w:szCs w:val="30"/>
        </w:rPr>
      </w:pPr>
      <w:r>
        <w:rPr>
          <w:rFonts w:hint="eastAsia" w:ascii="仿宋_GB2312" w:hAnsi="仿宋_GB2312" w:eastAsia="仿宋_GB2312" w:cs="仿宋_GB2312"/>
          <w:szCs w:val="30"/>
        </w:rPr>
        <w:t>7.玉溪市人民医院2020年至2022年收支情况表</w:t>
      </w:r>
    </w:p>
    <w:p>
      <w:pPr>
        <w:autoSpaceDN w:val="0"/>
        <w:spacing w:line="590" w:lineRule="exact"/>
        <w:ind w:firstLine="1575" w:firstLineChars="500"/>
        <w:rPr>
          <w:rFonts w:ascii="仿宋_GB2312" w:hAnsi="仿宋_GB2312" w:eastAsia="仿宋_GB2312" w:cs="仿宋_GB2312"/>
          <w:szCs w:val="30"/>
        </w:rPr>
      </w:pPr>
      <w:r>
        <w:rPr>
          <w:rFonts w:hint="eastAsia" w:ascii="仿宋_GB2312" w:hAnsi="仿宋_GB2312" w:eastAsia="仿宋_GB2312" w:cs="仿宋_GB2312"/>
          <w:szCs w:val="30"/>
        </w:rPr>
        <w:t>8.绩效评价报告意见反馈表</w:t>
      </w:r>
    </w:p>
    <w:p>
      <w:pPr>
        <w:autoSpaceDN w:val="0"/>
        <w:spacing w:line="590" w:lineRule="exact"/>
        <w:ind w:firstLine="1575" w:firstLineChars="500"/>
        <w:rPr>
          <w:rFonts w:ascii="仿宋_GB2312" w:hAnsi="仿宋_GB2312" w:eastAsia="仿宋_GB2312" w:cs="仿宋_GB2312"/>
          <w:szCs w:val="30"/>
        </w:rPr>
      </w:pPr>
      <w:r>
        <w:rPr>
          <w:rFonts w:hint="eastAsia" w:ascii="仿宋_GB2312" w:hAnsi="仿宋_GB2312" w:eastAsia="仿宋_GB2312" w:cs="仿宋_GB2312"/>
          <w:szCs w:val="30"/>
        </w:rPr>
        <w:t>9.绩效评价报告意见反馈采纳情况表</w:t>
      </w:r>
    </w:p>
    <w:p>
      <w:pPr>
        <w:autoSpaceDN w:val="0"/>
        <w:spacing w:line="579" w:lineRule="exact"/>
        <w:ind w:left="1871" w:leftChars="500" w:hanging="296" w:hangingChars="94"/>
        <w:rPr>
          <w:rFonts w:hAnsi="仿宋"/>
          <w:szCs w:val="30"/>
        </w:rPr>
      </w:pPr>
    </w:p>
    <w:sectPr>
      <w:footerReference r:id="rId6" w:type="default"/>
      <w:footerReference r:id="rId7" w:type="even"/>
      <w:type w:val="oddPage"/>
      <w:pgSz w:w="11906" w:h="16838"/>
      <w:pgMar w:top="2098" w:right="1474" w:bottom="1985" w:left="1588" w:header="851" w:footer="1474" w:gutter="0"/>
      <w:pgNumType w:start="1"/>
      <w:cols w:space="425" w:num="1"/>
      <w:docGrid w:type="linesAndChars" w:linePitch="579" w:charSpace="32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070B45-6098-4CF3-B926-D7D38E9AF3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6E844B7-5AD0-4363-96AD-5F211A1FED48}"/>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F27BB583-301F-491A-905A-39CE3B06DD46}"/>
  </w:font>
  <w:font w:name="楷体_GB2312">
    <w:panose1 w:val="02010609030101010101"/>
    <w:charset w:val="86"/>
    <w:family w:val="modern"/>
    <w:pitch w:val="default"/>
    <w:sig w:usb0="00000001" w:usb1="080E0000" w:usb2="00000000" w:usb3="00000000" w:csb0="00040000" w:csb1="00000000"/>
    <w:embedRegular r:id="rId4" w:fontKey="{0B349831-8525-4B6D-817D-97FF707F18CF}"/>
  </w:font>
  <w:font w:name="方正小标宋简体">
    <w:panose1 w:val="02000000000000000000"/>
    <w:charset w:val="86"/>
    <w:family w:val="script"/>
    <w:pitch w:val="default"/>
    <w:sig w:usb0="00000001" w:usb1="08000000" w:usb2="00000000" w:usb3="00000000" w:csb0="00040000" w:csb1="00000000"/>
    <w:embedRegular r:id="rId5" w:fontKey="{85988651-2B51-4225-AB92-FB92CC8D9C2D}"/>
  </w:font>
  <w:font w:name="楷体">
    <w:panose1 w:val="02010609060101010101"/>
    <w:charset w:val="86"/>
    <w:family w:val="modern"/>
    <w:pitch w:val="default"/>
    <w:sig w:usb0="800002BF" w:usb1="38CF7CFA" w:usb2="00000016" w:usb3="00000000" w:csb0="00040001" w:csb1="00000000"/>
    <w:embedRegular r:id="rId6" w:fontKey="{978D920B-1EB9-42B0-8EBA-6EA98FFA4B6D}"/>
  </w:font>
  <w:font w:name="方正仿宋_GBK">
    <w:panose1 w:val="02000000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vii</w:t>
    </w:r>
    <w:r>
      <w:rPr>
        <w:rFonts w:ascii="宋体" w:hAnsi="宋体" w:eastAsia="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i</w:t>
    </w:r>
    <w:r>
      <w:rPr>
        <w:rFonts w:ascii="宋体" w:hAnsi="宋体" w:eastAsia="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4</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removePersonalInformation/>
  <w:doNotDisplayPageBoundaries w:val="1"/>
  <w:bordersDoNotSurroundHeader w:val="1"/>
  <w:bordersDoNotSurroundFooter w:val="1"/>
  <w:documentProtection w:enforcement="0"/>
  <w:defaultTabStop w:val="0"/>
  <w:evenAndOddHeaders w:val="1"/>
  <w:drawingGridHorizontalSpacing w:val="158"/>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Zjc3OTcwYzc0MDQ3YTRkNjEwZmZjMWExNWM3ZDgifQ=="/>
  </w:docVars>
  <w:rsids>
    <w:rsidRoot w:val="00763D8D"/>
    <w:rsid w:val="00000A9F"/>
    <w:rsid w:val="000027B8"/>
    <w:rsid w:val="00003457"/>
    <w:rsid w:val="000053D4"/>
    <w:rsid w:val="00005952"/>
    <w:rsid w:val="000065C9"/>
    <w:rsid w:val="0000705E"/>
    <w:rsid w:val="0000732B"/>
    <w:rsid w:val="00010129"/>
    <w:rsid w:val="000101DC"/>
    <w:rsid w:val="000109E6"/>
    <w:rsid w:val="00011162"/>
    <w:rsid w:val="000113BD"/>
    <w:rsid w:val="0001150C"/>
    <w:rsid w:val="00011EFC"/>
    <w:rsid w:val="000133FF"/>
    <w:rsid w:val="00013F44"/>
    <w:rsid w:val="000163D2"/>
    <w:rsid w:val="00017E50"/>
    <w:rsid w:val="000200CD"/>
    <w:rsid w:val="00021582"/>
    <w:rsid w:val="000217BF"/>
    <w:rsid w:val="00021B6D"/>
    <w:rsid w:val="00022183"/>
    <w:rsid w:val="00022853"/>
    <w:rsid w:val="00022EF4"/>
    <w:rsid w:val="00022F53"/>
    <w:rsid w:val="00022FFA"/>
    <w:rsid w:val="00023751"/>
    <w:rsid w:val="0002384C"/>
    <w:rsid w:val="00023D76"/>
    <w:rsid w:val="00023FF0"/>
    <w:rsid w:val="00025291"/>
    <w:rsid w:val="00026CD9"/>
    <w:rsid w:val="00027836"/>
    <w:rsid w:val="00027B26"/>
    <w:rsid w:val="000302F4"/>
    <w:rsid w:val="00030410"/>
    <w:rsid w:val="000308A1"/>
    <w:rsid w:val="00030B2F"/>
    <w:rsid w:val="00030BA6"/>
    <w:rsid w:val="00031593"/>
    <w:rsid w:val="00032A27"/>
    <w:rsid w:val="00032BAE"/>
    <w:rsid w:val="000330FE"/>
    <w:rsid w:val="0003472A"/>
    <w:rsid w:val="00035150"/>
    <w:rsid w:val="0003676F"/>
    <w:rsid w:val="00036DAF"/>
    <w:rsid w:val="000377E6"/>
    <w:rsid w:val="00037F46"/>
    <w:rsid w:val="0004014B"/>
    <w:rsid w:val="00042F9A"/>
    <w:rsid w:val="000432A8"/>
    <w:rsid w:val="00044DDB"/>
    <w:rsid w:val="00044EEC"/>
    <w:rsid w:val="000451FF"/>
    <w:rsid w:val="00046291"/>
    <w:rsid w:val="00046463"/>
    <w:rsid w:val="00046568"/>
    <w:rsid w:val="0005074F"/>
    <w:rsid w:val="00050813"/>
    <w:rsid w:val="00050ED6"/>
    <w:rsid w:val="0005161E"/>
    <w:rsid w:val="00051841"/>
    <w:rsid w:val="00051842"/>
    <w:rsid w:val="00051E0A"/>
    <w:rsid w:val="00053154"/>
    <w:rsid w:val="0005333A"/>
    <w:rsid w:val="0005505F"/>
    <w:rsid w:val="0005574A"/>
    <w:rsid w:val="00055BE2"/>
    <w:rsid w:val="0005648C"/>
    <w:rsid w:val="000613BC"/>
    <w:rsid w:val="000614D5"/>
    <w:rsid w:val="0006201B"/>
    <w:rsid w:val="000636D7"/>
    <w:rsid w:val="00063F17"/>
    <w:rsid w:val="000655AB"/>
    <w:rsid w:val="000672FE"/>
    <w:rsid w:val="00072EBF"/>
    <w:rsid w:val="00073256"/>
    <w:rsid w:val="00073C73"/>
    <w:rsid w:val="00075006"/>
    <w:rsid w:val="00075831"/>
    <w:rsid w:val="00075CA0"/>
    <w:rsid w:val="00075F6A"/>
    <w:rsid w:val="000761D2"/>
    <w:rsid w:val="00076E46"/>
    <w:rsid w:val="00077515"/>
    <w:rsid w:val="0008006D"/>
    <w:rsid w:val="00080522"/>
    <w:rsid w:val="000808E8"/>
    <w:rsid w:val="000823D5"/>
    <w:rsid w:val="0008270C"/>
    <w:rsid w:val="00082DC6"/>
    <w:rsid w:val="00083D42"/>
    <w:rsid w:val="000852F7"/>
    <w:rsid w:val="00086C61"/>
    <w:rsid w:val="00087C3A"/>
    <w:rsid w:val="00087DC2"/>
    <w:rsid w:val="000910C9"/>
    <w:rsid w:val="000913F5"/>
    <w:rsid w:val="000918B9"/>
    <w:rsid w:val="000926D7"/>
    <w:rsid w:val="00092936"/>
    <w:rsid w:val="00092EB6"/>
    <w:rsid w:val="00093656"/>
    <w:rsid w:val="000936B8"/>
    <w:rsid w:val="00094393"/>
    <w:rsid w:val="00095539"/>
    <w:rsid w:val="000958EE"/>
    <w:rsid w:val="00095E05"/>
    <w:rsid w:val="00097015"/>
    <w:rsid w:val="000A0757"/>
    <w:rsid w:val="000A26D8"/>
    <w:rsid w:val="000A3DC6"/>
    <w:rsid w:val="000A3ED9"/>
    <w:rsid w:val="000A4562"/>
    <w:rsid w:val="000A45F2"/>
    <w:rsid w:val="000A60AC"/>
    <w:rsid w:val="000A6DE2"/>
    <w:rsid w:val="000B1382"/>
    <w:rsid w:val="000B3099"/>
    <w:rsid w:val="000B4C55"/>
    <w:rsid w:val="000B5DE4"/>
    <w:rsid w:val="000B6EF0"/>
    <w:rsid w:val="000B7443"/>
    <w:rsid w:val="000C04DE"/>
    <w:rsid w:val="000C0984"/>
    <w:rsid w:val="000C1909"/>
    <w:rsid w:val="000C2A20"/>
    <w:rsid w:val="000C3CE0"/>
    <w:rsid w:val="000C3CEF"/>
    <w:rsid w:val="000C44E3"/>
    <w:rsid w:val="000C475E"/>
    <w:rsid w:val="000C4EFE"/>
    <w:rsid w:val="000C5033"/>
    <w:rsid w:val="000C6A99"/>
    <w:rsid w:val="000C7B09"/>
    <w:rsid w:val="000D0624"/>
    <w:rsid w:val="000D0F5B"/>
    <w:rsid w:val="000D2122"/>
    <w:rsid w:val="000D3196"/>
    <w:rsid w:val="000D3E73"/>
    <w:rsid w:val="000D3F40"/>
    <w:rsid w:val="000D5FF3"/>
    <w:rsid w:val="000D71DD"/>
    <w:rsid w:val="000D7672"/>
    <w:rsid w:val="000E0D61"/>
    <w:rsid w:val="000E1D40"/>
    <w:rsid w:val="000E1EC3"/>
    <w:rsid w:val="000E21D8"/>
    <w:rsid w:val="000E320E"/>
    <w:rsid w:val="000E5F29"/>
    <w:rsid w:val="000E6816"/>
    <w:rsid w:val="000E69AA"/>
    <w:rsid w:val="000E6C31"/>
    <w:rsid w:val="000E6F75"/>
    <w:rsid w:val="000E7FD3"/>
    <w:rsid w:val="000F0745"/>
    <w:rsid w:val="000F0FB2"/>
    <w:rsid w:val="000F1534"/>
    <w:rsid w:val="000F3E60"/>
    <w:rsid w:val="000F46ED"/>
    <w:rsid w:val="000F5FA0"/>
    <w:rsid w:val="000F6595"/>
    <w:rsid w:val="000F7591"/>
    <w:rsid w:val="000F7FB0"/>
    <w:rsid w:val="001013AD"/>
    <w:rsid w:val="00101E2B"/>
    <w:rsid w:val="00101EBA"/>
    <w:rsid w:val="00103161"/>
    <w:rsid w:val="00103CD0"/>
    <w:rsid w:val="001046A0"/>
    <w:rsid w:val="00104862"/>
    <w:rsid w:val="0010487F"/>
    <w:rsid w:val="00104957"/>
    <w:rsid w:val="0010649A"/>
    <w:rsid w:val="001068E3"/>
    <w:rsid w:val="0010699C"/>
    <w:rsid w:val="00106A8B"/>
    <w:rsid w:val="001075E2"/>
    <w:rsid w:val="00110110"/>
    <w:rsid w:val="001114F0"/>
    <w:rsid w:val="001119B7"/>
    <w:rsid w:val="00111ACC"/>
    <w:rsid w:val="00112BCC"/>
    <w:rsid w:val="00114580"/>
    <w:rsid w:val="001146BA"/>
    <w:rsid w:val="00114E49"/>
    <w:rsid w:val="00114F3D"/>
    <w:rsid w:val="00115CD5"/>
    <w:rsid w:val="00116445"/>
    <w:rsid w:val="00117D05"/>
    <w:rsid w:val="00120E84"/>
    <w:rsid w:val="0012110D"/>
    <w:rsid w:val="00121685"/>
    <w:rsid w:val="00122361"/>
    <w:rsid w:val="00122BE5"/>
    <w:rsid w:val="00124FFE"/>
    <w:rsid w:val="00125D9C"/>
    <w:rsid w:val="00126750"/>
    <w:rsid w:val="0012706E"/>
    <w:rsid w:val="0013028A"/>
    <w:rsid w:val="001308E4"/>
    <w:rsid w:val="0013332E"/>
    <w:rsid w:val="00136104"/>
    <w:rsid w:val="001373B4"/>
    <w:rsid w:val="00142242"/>
    <w:rsid w:val="001439E1"/>
    <w:rsid w:val="00144C42"/>
    <w:rsid w:val="00145F9F"/>
    <w:rsid w:val="00147381"/>
    <w:rsid w:val="00147856"/>
    <w:rsid w:val="00147F84"/>
    <w:rsid w:val="00150F3E"/>
    <w:rsid w:val="001513E5"/>
    <w:rsid w:val="00151AB8"/>
    <w:rsid w:val="00151C63"/>
    <w:rsid w:val="00152908"/>
    <w:rsid w:val="00152B2B"/>
    <w:rsid w:val="001533A8"/>
    <w:rsid w:val="001537D8"/>
    <w:rsid w:val="00153BC6"/>
    <w:rsid w:val="00155A7C"/>
    <w:rsid w:val="0015657E"/>
    <w:rsid w:val="001566DF"/>
    <w:rsid w:val="00156D01"/>
    <w:rsid w:val="00157E96"/>
    <w:rsid w:val="0016290B"/>
    <w:rsid w:val="00162B90"/>
    <w:rsid w:val="00164036"/>
    <w:rsid w:val="00164C2D"/>
    <w:rsid w:val="00165680"/>
    <w:rsid w:val="00167877"/>
    <w:rsid w:val="00167E57"/>
    <w:rsid w:val="00171FE6"/>
    <w:rsid w:val="001722F7"/>
    <w:rsid w:val="001734A0"/>
    <w:rsid w:val="001737EC"/>
    <w:rsid w:val="00174F7F"/>
    <w:rsid w:val="00175976"/>
    <w:rsid w:val="00176059"/>
    <w:rsid w:val="001775A7"/>
    <w:rsid w:val="00180AC3"/>
    <w:rsid w:val="00182613"/>
    <w:rsid w:val="00182E3F"/>
    <w:rsid w:val="001836BB"/>
    <w:rsid w:val="00183D89"/>
    <w:rsid w:val="001844AE"/>
    <w:rsid w:val="00184577"/>
    <w:rsid w:val="00184B9E"/>
    <w:rsid w:val="0018788E"/>
    <w:rsid w:val="00187B5E"/>
    <w:rsid w:val="001905A5"/>
    <w:rsid w:val="00192DA5"/>
    <w:rsid w:val="00193D26"/>
    <w:rsid w:val="0019453D"/>
    <w:rsid w:val="00194A82"/>
    <w:rsid w:val="001973FE"/>
    <w:rsid w:val="00197675"/>
    <w:rsid w:val="001A1419"/>
    <w:rsid w:val="001A2410"/>
    <w:rsid w:val="001A2D6F"/>
    <w:rsid w:val="001A4B09"/>
    <w:rsid w:val="001A5390"/>
    <w:rsid w:val="001A5D34"/>
    <w:rsid w:val="001A644B"/>
    <w:rsid w:val="001A716C"/>
    <w:rsid w:val="001A77EE"/>
    <w:rsid w:val="001A7B0F"/>
    <w:rsid w:val="001B0B44"/>
    <w:rsid w:val="001B2383"/>
    <w:rsid w:val="001B2808"/>
    <w:rsid w:val="001B2F47"/>
    <w:rsid w:val="001B3B7A"/>
    <w:rsid w:val="001B4784"/>
    <w:rsid w:val="001B48E2"/>
    <w:rsid w:val="001B4F38"/>
    <w:rsid w:val="001B54C4"/>
    <w:rsid w:val="001B5B81"/>
    <w:rsid w:val="001B5F75"/>
    <w:rsid w:val="001C0C71"/>
    <w:rsid w:val="001C16B9"/>
    <w:rsid w:val="001C16E9"/>
    <w:rsid w:val="001C24BC"/>
    <w:rsid w:val="001C2BB7"/>
    <w:rsid w:val="001C3626"/>
    <w:rsid w:val="001C4E1C"/>
    <w:rsid w:val="001C52D8"/>
    <w:rsid w:val="001C6534"/>
    <w:rsid w:val="001C6ADE"/>
    <w:rsid w:val="001C6EA0"/>
    <w:rsid w:val="001C7B37"/>
    <w:rsid w:val="001D22F2"/>
    <w:rsid w:val="001D2DBC"/>
    <w:rsid w:val="001D3B73"/>
    <w:rsid w:val="001D4336"/>
    <w:rsid w:val="001D4E03"/>
    <w:rsid w:val="001D58D7"/>
    <w:rsid w:val="001D5C9B"/>
    <w:rsid w:val="001D5FC3"/>
    <w:rsid w:val="001D690A"/>
    <w:rsid w:val="001D6E2D"/>
    <w:rsid w:val="001D7B18"/>
    <w:rsid w:val="001E0094"/>
    <w:rsid w:val="001E07CC"/>
    <w:rsid w:val="001E2482"/>
    <w:rsid w:val="001E2FE8"/>
    <w:rsid w:val="001E3C4E"/>
    <w:rsid w:val="001E410D"/>
    <w:rsid w:val="001E5DDF"/>
    <w:rsid w:val="001E6850"/>
    <w:rsid w:val="001E6965"/>
    <w:rsid w:val="001E6E29"/>
    <w:rsid w:val="001E6E8B"/>
    <w:rsid w:val="001E713D"/>
    <w:rsid w:val="001F0001"/>
    <w:rsid w:val="001F11E0"/>
    <w:rsid w:val="001F1285"/>
    <w:rsid w:val="001F17FC"/>
    <w:rsid w:val="001F1844"/>
    <w:rsid w:val="001F1E4B"/>
    <w:rsid w:val="001F3638"/>
    <w:rsid w:val="001F39E5"/>
    <w:rsid w:val="001F46E7"/>
    <w:rsid w:val="001F566D"/>
    <w:rsid w:val="001F678E"/>
    <w:rsid w:val="001F6B5B"/>
    <w:rsid w:val="001F6FC3"/>
    <w:rsid w:val="001F7335"/>
    <w:rsid w:val="00200263"/>
    <w:rsid w:val="00200D02"/>
    <w:rsid w:val="00201357"/>
    <w:rsid w:val="00201378"/>
    <w:rsid w:val="00201456"/>
    <w:rsid w:val="00201621"/>
    <w:rsid w:val="00201934"/>
    <w:rsid w:val="00201C2D"/>
    <w:rsid w:val="00202983"/>
    <w:rsid w:val="00203407"/>
    <w:rsid w:val="00203424"/>
    <w:rsid w:val="002045D7"/>
    <w:rsid w:val="002045EE"/>
    <w:rsid w:val="00206AB8"/>
    <w:rsid w:val="00206C94"/>
    <w:rsid w:val="00207AE1"/>
    <w:rsid w:val="00210724"/>
    <w:rsid w:val="002115B2"/>
    <w:rsid w:val="00211FC1"/>
    <w:rsid w:val="002125A3"/>
    <w:rsid w:val="00212FA7"/>
    <w:rsid w:val="00214FA3"/>
    <w:rsid w:val="00215138"/>
    <w:rsid w:val="00215C12"/>
    <w:rsid w:val="00217869"/>
    <w:rsid w:val="0021797F"/>
    <w:rsid w:val="00217AA8"/>
    <w:rsid w:val="0022064B"/>
    <w:rsid w:val="002214A2"/>
    <w:rsid w:val="002217F0"/>
    <w:rsid w:val="00221C63"/>
    <w:rsid w:val="002229E2"/>
    <w:rsid w:val="00222F46"/>
    <w:rsid w:val="0022321B"/>
    <w:rsid w:val="0022365E"/>
    <w:rsid w:val="002236BB"/>
    <w:rsid w:val="00225679"/>
    <w:rsid w:val="00225EC4"/>
    <w:rsid w:val="002260C9"/>
    <w:rsid w:val="00226D31"/>
    <w:rsid w:val="00226E95"/>
    <w:rsid w:val="00227678"/>
    <w:rsid w:val="00227EA2"/>
    <w:rsid w:val="00227EAF"/>
    <w:rsid w:val="0023008D"/>
    <w:rsid w:val="00230719"/>
    <w:rsid w:val="00230C67"/>
    <w:rsid w:val="002317E7"/>
    <w:rsid w:val="00231E2B"/>
    <w:rsid w:val="00232AF0"/>
    <w:rsid w:val="00232D1E"/>
    <w:rsid w:val="00233841"/>
    <w:rsid w:val="00234F5E"/>
    <w:rsid w:val="00235297"/>
    <w:rsid w:val="002352F6"/>
    <w:rsid w:val="0023587D"/>
    <w:rsid w:val="00235C5D"/>
    <w:rsid w:val="00236059"/>
    <w:rsid w:val="00237751"/>
    <w:rsid w:val="00240F88"/>
    <w:rsid w:val="002422DC"/>
    <w:rsid w:val="00243F53"/>
    <w:rsid w:val="002457F9"/>
    <w:rsid w:val="00246276"/>
    <w:rsid w:val="00246C4B"/>
    <w:rsid w:val="002477BE"/>
    <w:rsid w:val="00247A4D"/>
    <w:rsid w:val="00247A79"/>
    <w:rsid w:val="00251346"/>
    <w:rsid w:val="002514A6"/>
    <w:rsid w:val="00252898"/>
    <w:rsid w:val="002532A4"/>
    <w:rsid w:val="00254804"/>
    <w:rsid w:val="00254B91"/>
    <w:rsid w:val="002554E5"/>
    <w:rsid w:val="002556CD"/>
    <w:rsid w:val="002567E0"/>
    <w:rsid w:val="00256D4E"/>
    <w:rsid w:val="00256D54"/>
    <w:rsid w:val="00256DB6"/>
    <w:rsid w:val="00260452"/>
    <w:rsid w:val="002606F4"/>
    <w:rsid w:val="00261F96"/>
    <w:rsid w:val="00262C09"/>
    <w:rsid w:val="00263E21"/>
    <w:rsid w:val="00264ABE"/>
    <w:rsid w:val="002659F1"/>
    <w:rsid w:val="00266650"/>
    <w:rsid w:val="00266962"/>
    <w:rsid w:val="00267219"/>
    <w:rsid w:val="002706D2"/>
    <w:rsid w:val="00272BAF"/>
    <w:rsid w:val="00272EC7"/>
    <w:rsid w:val="00274648"/>
    <w:rsid w:val="00275AFF"/>
    <w:rsid w:val="00277ACC"/>
    <w:rsid w:val="002803FD"/>
    <w:rsid w:val="00281FDC"/>
    <w:rsid w:val="00282940"/>
    <w:rsid w:val="00282CC8"/>
    <w:rsid w:val="00283740"/>
    <w:rsid w:val="00283F38"/>
    <w:rsid w:val="00285265"/>
    <w:rsid w:val="00286756"/>
    <w:rsid w:val="00286C9A"/>
    <w:rsid w:val="00287CBC"/>
    <w:rsid w:val="00290357"/>
    <w:rsid w:val="00290595"/>
    <w:rsid w:val="0029063B"/>
    <w:rsid w:val="002917E5"/>
    <w:rsid w:val="00292329"/>
    <w:rsid w:val="00292590"/>
    <w:rsid w:val="00292DF5"/>
    <w:rsid w:val="0029356B"/>
    <w:rsid w:val="002936FD"/>
    <w:rsid w:val="00294277"/>
    <w:rsid w:val="00295EFA"/>
    <w:rsid w:val="002A020A"/>
    <w:rsid w:val="002A0DB9"/>
    <w:rsid w:val="002A180D"/>
    <w:rsid w:val="002A1DF7"/>
    <w:rsid w:val="002A556F"/>
    <w:rsid w:val="002A5AD2"/>
    <w:rsid w:val="002A6EAA"/>
    <w:rsid w:val="002A7547"/>
    <w:rsid w:val="002B07CC"/>
    <w:rsid w:val="002B1663"/>
    <w:rsid w:val="002B3F00"/>
    <w:rsid w:val="002B4F35"/>
    <w:rsid w:val="002B5510"/>
    <w:rsid w:val="002B5963"/>
    <w:rsid w:val="002B7B5E"/>
    <w:rsid w:val="002C072B"/>
    <w:rsid w:val="002C2206"/>
    <w:rsid w:val="002C286C"/>
    <w:rsid w:val="002C3C26"/>
    <w:rsid w:val="002C46F4"/>
    <w:rsid w:val="002C555C"/>
    <w:rsid w:val="002C5E4D"/>
    <w:rsid w:val="002C726A"/>
    <w:rsid w:val="002D0BA0"/>
    <w:rsid w:val="002D0CF0"/>
    <w:rsid w:val="002D1D67"/>
    <w:rsid w:val="002D265C"/>
    <w:rsid w:val="002D2C50"/>
    <w:rsid w:val="002D329D"/>
    <w:rsid w:val="002D3C45"/>
    <w:rsid w:val="002D498A"/>
    <w:rsid w:val="002D55A2"/>
    <w:rsid w:val="002D6191"/>
    <w:rsid w:val="002D7D21"/>
    <w:rsid w:val="002D7F99"/>
    <w:rsid w:val="002E06C9"/>
    <w:rsid w:val="002E1041"/>
    <w:rsid w:val="002E1BA3"/>
    <w:rsid w:val="002E1C04"/>
    <w:rsid w:val="002E1D77"/>
    <w:rsid w:val="002E2795"/>
    <w:rsid w:val="002E280F"/>
    <w:rsid w:val="002E2AA8"/>
    <w:rsid w:val="002E41C4"/>
    <w:rsid w:val="002E5BDD"/>
    <w:rsid w:val="002E5E3B"/>
    <w:rsid w:val="002E60CA"/>
    <w:rsid w:val="002E6A83"/>
    <w:rsid w:val="002E7785"/>
    <w:rsid w:val="002F0697"/>
    <w:rsid w:val="002F18C1"/>
    <w:rsid w:val="002F230B"/>
    <w:rsid w:val="002F28E7"/>
    <w:rsid w:val="002F36B8"/>
    <w:rsid w:val="002F4221"/>
    <w:rsid w:val="002F516E"/>
    <w:rsid w:val="002F563A"/>
    <w:rsid w:val="002F57BF"/>
    <w:rsid w:val="002F59F0"/>
    <w:rsid w:val="002F6F51"/>
    <w:rsid w:val="002F7A13"/>
    <w:rsid w:val="002F7BE7"/>
    <w:rsid w:val="002F7ECA"/>
    <w:rsid w:val="0030068D"/>
    <w:rsid w:val="0030107F"/>
    <w:rsid w:val="00301369"/>
    <w:rsid w:val="0030140D"/>
    <w:rsid w:val="00301F5D"/>
    <w:rsid w:val="003020B9"/>
    <w:rsid w:val="00305EB3"/>
    <w:rsid w:val="0030641E"/>
    <w:rsid w:val="00307963"/>
    <w:rsid w:val="00307B63"/>
    <w:rsid w:val="003105A2"/>
    <w:rsid w:val="003116BB"/>
    <w:rsid w:val="003119A9"/>
    <w:rsid w:val="003129AC"/>
    <w:rsid w:val="0031330B"/>
    <w:rsid w:val="00313807"/>
    <w:rsid w:val="00313C52"/>
    <w:rsid w:val="003164B4"/>
    <w:rsid w:val="00317825"/>
    <w:rsid w:val="00317D82"/>
    <w:rsid w:val="00321FF5"/>
    <w:rsid w:val="00325D05"/>
    <w:rsid w:val="00325E11"/>
    <w:rsid w:val="003270CD"/>
    <w:rsid w:val="003272E1"/>
    <w:rsid w:val="0032775D"/>
    <w:rsid w:val="003305B8"/>
    <w:rsid w:val="00330A67"/>
    <w:rsid w:val="0033130B"/>
    <w:rsid w:val="0033489A"/>
    <w:rsid w:val="0033584A"/>
    <w:rsid w:val="0033762E"/>
    <w:rsid w:val="00342603"/>
    <w:rsid w:val="0034304B"/>
    <w:rsid w:val="00344434"/>
    <w:rsid w:val="00344778"/>
    <w:rsid w:val="003458F5"/>
    <w:rsid w:val="0034716D"/>
    <w:rsid w:val="00347579"/>
    <w:rsid w:val="00347730"/>
    <w:rsid w:val="00347950"/>
    <w:rsid w:val="00353796"/>
    <w:rsid w:val="00353A43"/>
    <w:rsid w:val="00353B1D"/>
    <w:rsid w:val="00355DA3"/>
    <w:rsid w:val="003564E0"/>
    <w:rsid w:val="003568A8"/>
    <w:rsid w:val="00356C92"/>
    <w:rsid w:val="00357576"/>
    <w:rsid w:val="0036208E"/>
    <w:rsid w:val="00362BAD"/>
    <w:rsid w:val="003637D4"/>
    <w:rsid w:val="00363C88"/>
    <w:rsid w:val="003646AB"/>
    <w:rsid w:val="0036565B"/>
    <w:rsid w:val="00365B28"/>
    <w:rsid w:val="00367803"/>
    <w:rsid w:val="00367B29"/>
    <w:rsid w:val="0037058F"/>
    <w:rsid w:val="00371BB6"/>
    <w:rsid w:val="00371CAA"/>
    <w:rsid w:val="00372B93"/>
    <w:rsid w:val="0037425B"/>
    <w:rsid w:val="00374BC2"/>
    <w:rsid w:val="00374C99"/>
    <w:rsid w:val="00375115"/>
    <w:rsid w:val="00375AF4"/>
    <w:rsid w:val="003761AE"/>
    <w:rsid w:val="00376534"/>
    <w:rsid w:val="00376A60"/>
    <w:rsid w:val="00380118"/>
    <w:rsid w:val="003807BD"/>
    <w:rsid w:val="00381F0D"/>
    <w:rsid w:val="0038336A"/>
    <w:rsid w:val="00384495"/>
    <w:rsid w:val="0038460B"/>
    <w:rsid w:val="0038573A"/>
    <w:rsid w:val="0038721F"/>
    <w:rsid w:val="0039215E"/>
    <w:rsid w:val="00392513"/>
    <w:rsid w:val="00392745"/>
    <w:rsid w:val="00393295"/>
    <w:rsid w:val="00393779"/>
    <w:rsid w:val="0039440F"/>
    <w:rsid w:val="00395096"/>
    <w:rsid w:val="003950F9"/>
    <w:rsid w:val="0039630D"/>
    <w:rsid w:val="003A3987"/>
    <w:rsid w:val="003A520C"/>
    <w:rsid w:val="003A5711"/>
    <w:rsid w:val="003A6AB4"/>
    <w:rsid w:val="003A6BAE"/>
    <w:rsid w:val="003A78F8"/>
    <w:rsid w:val="003B06D2"/>
    <w:rsid w:val="003B0939"/>
    <w:rsid w:val="003B1AEB"/>
    <w:rsid w:val="003B2603"/>
    <w:rsid w:val="003B3151"/>
    <w:rsid w:val="003B355C"/>
    <w:rsid w:val="003B5FE1"/>
    <w:rsid w:val="003B6D67"/>
    <w:rsid w:val="003B6D7A"/>
    <w:rsid w:val="003B724E"/>
    <w:rsid w:val="003B74A1"/>
    <w:rsid w:val="003B74B5"/>
    <w:rsid w:val="003B7589"/>
    <w:rsid w:val="003C03DC"/>
    <w:rsid w:val="003C0620"/>
    <w:rsid w:val="003C1B00"/>
    <w:rsid w:val="003C343D"/>
    <w:rsid w:val="003C3A5D"/>
    <w:rsid w:val="003C4527"/>
    <w:rsid w:val="003C4C80"/>
    <w:rsid w:val="003C5D67"/>
    <w:rsid w:val="003C5E1C"/>
    <w:rsid w:val="003C680F"/>
    <w:rsid w:val="003C6938"/>
    <w:rsid w:val="003C69FC"/>
    <w:rsid w:val="003C7DD6"/>
    <w:rsid w:val="003D0009"/>
    <w:rsid w:val="003D0204"/>
    <w:rsid w:val="003D03DD"/>
    <w:rsid w:val="003D112A"/>
    <w:rsid w:val="003D1228"/>
    <w:rsid w:val="003D12B5"/>
    <w:rsid w:val="003D2104"/>
    <w:rsid w:val="003D2D2D"/>
    <w:rsid w:val="003D35C0"/>
    <w:rsid w:val="003D5C2C"/>
    <w:rsid w:val="003D6830"/>
    <w:rsid w:val="003E064C"/>
    <w:rsid w:val="003E0E49"/>
    <w:rsid w:val="003E21B1"/>
    <w:rsid w:val="003E28AB"/>
    <w:rsid w:val="003E37CD"/>
    <w:rsid w:val="003E3857"/>
    <w:rsid w:val="003E3AFF"/>
    <w:rsid w:val="003E46F5"/>
    <w:rsid w:val="003E4AA0"/>
    <w:rsid w:val="003E4C45"/>
    <w:rsid w:val="003E538B"/>
    <w:rsid w:val="003E5787"/>
    <w:rsid w:val="003E68B1"/>
    <w:rsid w:val="003E72A5"/>
    <w:rsid w:val="003F0DD5"/>
    <w:rsid w:val="003F11A6"/>
    <w:rsid w:val="003F139A"/>
    <w:rsid w:val="003F1515"/>
    <w:rsid w:val="003F16E7"/>
    <w:rsid w:val="003F2F3E"/>
    <w:rsid w:val="003F3DF6"/>
    <w:rsid w:val="003F402E"/>
    <w:rsid w:val="003F5C51"/>
    <w:rsid w:val="003F6354"/>
    <w:rsid w:val="003F7217"/>
    <w:rsid w:val="004008DE"/>
    <w:rsid w:val="00400D06"/>
    <w:rsid w:val="00400D30"/>
    <w:rsid w:val="0040239B"/>
    <w:rsid w:val="0040243E"/>
    <w:rsid w:val="0040246A"/>
    <w:rsid w:val="00402CE7"/>
    <w:rsid w:val="00403BEA"/>
    <w:rsid w:val="00405226"/>
    <w:rsid w:val="00405330"/>
    <w:rsid w:val="0040542F"/>
    <w:rsid w:val="00405591"/>
    <w:rsid w:val="00405B00"/>
    <w:rsid w:val="00405C75"/>
    <w:rsid w:val="00405D5A"/>
    <w:rsid w:val="00405DE7"/>
    <w:rsid w:val="00406D6A"/>
    <w:rsid w:val="00407421"/>
    <w:rsid w:val="00410706"/>
    <w:rsid w:val="004113C9"/>
    <w:rsid w:val="004122FA"/>
    <w:rsid w:val="004200F3"/>
    <w:rsid w:val="00420248"/>
    <w:rsid w:val="00420BEC"/>
    <w:rsid w:val="0042112C"/>
    <w:rsid w:val="0042251D"/>
    <w:rsid w:val="00423633"/>
    <w:rsid w:val="004242EE"/>
    <w:rsid w:val="00426FE5"/>
    <w:rsid w:val="004272A6"/>
    <w:rsid w:val="00427BBA"/>
    <w:rsid w:val="00427F2C"/>
    <w:rsid w:val="0043119F"/>
    <w:rsid w:val="0043398B"/>
    <w:rsid w:val="00433C5E"/>
    <w:rsid w:val="00433CAA"/>
    <w:rsid w:val="00433FFA"/>
    <w:rsid w:val="00435475"/>
    <w:rsid w:val="0043606A"/>
    <w:rsid w:val="00436B3B"/>
    <w:rsid w:val="00437980"/>
    <w:rsid w:val="00440143"/>
    <w:rsid w:val="004401ED"/>
    <w:rsid w:val="00440843"/>
    <w:rsid w:val="0044349C"/>
    <w:rsid w:val="00445FB2"/>
    <w:rsid w:val="004468AB"/>
    <w:rsid w:val="00447074"/>
    <w:rsid w:val="00452585"/>
    <w:rsid w:val="00452895"/>
    <w:rsid w:val="00452F23"/>
    <w:rsid w:val="00453319"/>
    <w:rsid w:val="00453F1D"/>
    <w:rsid w:val="00454272"/>
    <w:rsid w:val="004542C8"/>
    <w:rsid w:val="004549A9"/>
    <w:rsid w:val="004549D1"/>
    <w:rsid w:val="00455DFE"/>
    <w:rsid w:val="004566FA"/>
    <w:rsid w:val="00457099"/>
    <w:rsid w:val="004573D2"/>
    <w:rsid w:val="004575DE"/>
    <w:rsid w:val="004578DC"/>
    <w:rsid w:val="00457E97"/>
    <w:rsid w:val="00460091"/>
    <w:rsid w:val="00460E4C"/>
    <w:rsid w:val="00461AC1"/>
    <w:rsid w:val="00461B93"/>
    <w:rsid w:val="00462343"/>
    <w:rsid w:val="004628A6"/>
    <w:rsid w:val="00463624"/>
    <w:rsid w:val="00463C59"/>
    <w:rsid w:val="00464A91"/>
    <w:rsid w:val="00464E99"/>
    <w:rsid w:val="00465B8C"/>
    <w:rsid w:val="0046645E"/>
    <w:rsid w:val="004671F2"/>
    <w:rsid w:val="00467760"/>
    <w:rsid w:val="00471696"/>
    <w:rsid w:val="0047191F"/>
    <w:rsid w:val="00472258"/>
    <w:rsid w:val="00474787"/>
    <w:rsid w:val="004749C3"/>
    <w:rsid w:val="00475270"/>
    <w:rsid w:val="004763FA"/>
    <w:rsid w:val="00476D44"/>
    <w:rsid w:val="00477BEC"/>
    <w:rsid w:val="00480813"/>
    <w:rsid w:val="0048081D"/>
    <w:rsid w:val="0048089A"/>
    <w:rsid w:val="00480BBC"/>
    <w:rsid w:val="004811D4"/>
    <w:rsid w:val="004817E5"/>
    <w:rsid w:val="00481881"/>
    <w:rsid w:val="004839EA"/>
    <w:rsid w:val="00483C27"/>
    <w:rsid w:val="00483CDB"/>
    <w:rsid w:val="00484612"/>
    <w:rsid w:val="0048519E"/>
    <w:rsid w:val="004860CD"/>
    <w:rsid w:val="004866EA"/>
    <w:rsid w:val="00487052"/>
    <w:rsid w:val="00490DEA"/>
    <w:rsid w:val="004949AC"/>
    <w:rsid w:val="004974A1"/>
    <w:rsid w:val="004A026C"/>
    <w:rsid w:val="004A0A75"/>
    <w:rsid w:val="004A26AA"/>
    <w:rsid w:val="004A2A46"/>
    <w:rsid w:val="004A2AFD"/>
    <w:rsid w:val="004A39D4"/>
    <w:rsid w:val="004A3DDB"/>
    <w:rsid w:val="004A4700"/>
    <w:rsid w:val="004A50D6"/>
    <w:rsid w:val="004A711A"/>
    <w:rsid w:val="004A77DF"/>
    <w:rsid w:val="004A7B35"/>
    <w:rsid w:val="004A7CA7"/>
    <w:rsid w:val="004A7CF6"/>
    <w:rsid w:val="004B15E3"/>
    <w:rsid w:val="004B15F0"/>
    <w:rsid w:val="004B18E9"/>
    <w:rsid w:val="004B1C18"/>
    <w:rsid w:val="004B34FB"/>
    <w:rsid w:val="004B43DF"/>
    <w:rsid w:val="004B448D"/>
    <w:rsid w:val="004B553B"/>
    <w:rsid w:val="004C01B8"/>
    <w:rsid w:val="004C1ECD"/>
    <w:rsid w:val="004C208A"/>
    <w:rsid w:val="004C23DC"/>
    <w:rsid w:val="004C364D"/>
    <w:rsid w:val="004C36B7"/>
    <w:rsid w:val="004C51F5"/>
    <w:rsid w:val="004C52DF"/>
    <w:rsid w:val="004C5D7B"/>
    <w:rsid w:val="004C6BF0"/>
    <w:rsid w:val="004C7429"/>
    <w:rsid w:val="004C7BA7"/>
    <w:rsid w:val="004D0D4D"/>
    <w:rsid w:val="004D1191"/>
    <w:rsid w:val="004D1AA1"/>
    <w:rsid w:val="004D2649"/>
    <w:rsid w:val="004D2976"/>
    <w:rsid w:val="004D2B70"/>
    <w:rsid w:val="004D31B0"/>
    <w:rsid w:val="004D34AD"/>
    <w:rsid w:val="004D3C16"/>
    <w:rsid w:val="004D3C6F"/>
    <w:rsid w:val="004D4130"/>
    <w:rsid w:val="004D5324"/>
    <w:rsid w:val="004D5F2D"/>
    <w:rsid w:val="004D678B"/>
    <w:rsid w:val="004E013B"/>
    <w:rsid w:val="004E037B"/>
    <w:rsid w:val="004E0906"/>
    <w:rsid w:val="004E142F"/>
    <w:rsid w:val="004E3748"/>
    <w:rsid w:val="004E4CA8"/>
    <w:rsid w:val="004E5C57"/>
    <w:rsid w:val="004E5E85"/>
    <w:rsid w:val="004E75FE"/>
    <w:rsid w:val="004E7F94"/>
    <w:rsid w:val="004F01E5"/>
    <w:rsid w:val="004F0288"/>
    <w:rsid w:val="004F0793"/>
    <w:rsid w:val="004F0B47"/>
    <w:rsid w:val="004F3839"/>
    <w:rsid w:val="004F3C18"/>
    <w:rsid w:val="004F43AA"/>
    <w:rsid w:val="004F47FC"/>
    <w:rsid w:val="004F5DE3"/>
    <w:rsid w:val="004F6294"/>
    <w:rsid w:val="004F6CCC"/>
    <w:rsid w:val="00500179"/>
    <w:rsid w:val="00500329"/>
    <w:rsid w:val="0050312E"/>
    <w:rsid w:val="00503D01"/>
    <w:rsid w:val="0050528D"/>
    <w:rsid w:val="005102A2"/>
    <w:rsid w:val="005105C7"/>
    <w:rsid w:val="00510744"/>
    <w:rsid w:val="0051077A"/>
    <w:rsid w:val="00510BAB"/>
    <w:rsid w:val="005125A0"/>
    <w:rsid w:val="00512CFC"/>
    <w:rsid w:val="00514671"/>
    <w:rsid w:val="00515734"/>
    <w:rsid w:val="00516BC0"/>
    <w:rsid w:val="00516E48"/>
    <w:rsid w:val="00517819"/>
    <w:rsid w:val="005215F0"/>
    <w:rsid w:val="0052165F"/>
    <w:rsid w:val="00522A6C"/>
    <w:rsid w:val="00522BB4"/>
    <w:rsid w:val="00523AFE"/>
    <w:rsid w:val="005248CA"/>
    <w:rsid w:val="0052521B"/>
    <w:rsid w:val="00525E9B"/>
    <w:rsid w:val="00526431"/>
    <w:rsid w:val="00526721"/>
    <w:rsid w:val="0052799B"/>
    <w:rsid w:val="00530657"/>
    <w:rsid w:val="0053400B"/>
    <w:rsid w:val="00535749"/>
    <w:rsid w:val="00535D1A"/>
    <w:rsid w:val="00536F5B"/>
    <w:rsid w:val="00537902"/>
    <w:rsid w:val="00542670"/>
    <w:rsid w:val="00543050"/>
    <w:rsid w:val="00543575"/>
    <w:rsid w:val="00544025"/>
    <w:rsid w:val="0054451B"/>
    <w:rsid w:val="00545001"/>
    <w:rsid w:val="005457DC"/>
    <w:rsid w:val="0054660D"/>
    <w:rsid w:val="00546A47"/>
    <w:rsid w:val="00547F72"/>
    <w:rsid w:val="00550937"/>
    <w:rsid w:val="005509CD"/>
    <w:rsid w:val="00550F15"/>
    <w:rsid w:val="0055177E"/>
    <w:rsid w:val="005528A2"/>
    <w:rsid w:val="00552B03"/>
    <w:rsid w:val="0055330D"/>
    <w:rsid w:val="00553D80"/>
    <w:rsid w:val="005559D5"/>
    <w:rsid w:val="00556C0B"/>
    <w:rsid w:val="005571AB"/>
    <w:rsid w:val="005578D6"/>
    <w:rsid w:val="00557D7D"/>
    <w:rsid w:val="0056007E"/>
    <w:rsid w:val="0056013F"/>
    <w:rsid w:val="00560224"/>
    <w:rsid w:val="00560955"/>
    <w:rsid w:val="00561795"/>
    <w:rsid w:val="00562BA8"/>
    <w:rsid w:val="0056376A"/>
    <w:rsid w:val="00563D0B"/>
    <w:rsid w:val="005640D4"/>
    <w:rsid w:val="00564552"/>
    <w:rsid w:val="0056579C"/>
    <w:rsid w:val="00566921"/>
    <w:rsid w:val="00566EDA"/>
    <w:rsid w:val="00567276"/>
    <w:rsid w:val="00572D2C"/>
    <w:rsid w:val="0057306E"/>
    <w:rsid w:val="005750C4"/>
    <w:rsid w:val="00576CB6"/>
    <w:rsid w:val="00576FBF"/>
    <w:rsid w:val="00577474"/>
    <w:rsid w:val="00577C03"/>
    <w:rsid w:val="00577FAD"/>
    <w:rsid w:val="00580EF3"/>
    <w:rsid w:val="00585784"/>
    <w:rsid w:val="00585C7A"/>
    <w:rsid w:val="00586A33"/>
    <w:rsid w:val="00587462"/>
    <w:rsid w:val="00587C8D"/>
    <w:rsid w:val="00591EF2"/>
    <w:rsid w:val="00592198"/>
    <w:rsid w:val="005923A1"/>
    <w:rsid w:val="0059320E"/>
    <w:rsid w:val="005953FB"/>
    <w:rsid w:val="005963F4"/>
    <w:rsid w:val="00597B52"/>
    <w:rsid w:val="005A0256"/>
    <w:rsid w:val="005A2E37"/>
    <w:rsid w:val="005A2E6F"/>
    <w:rsid w:val="005A3998"/>
    <w:rsid w:val="005A50B1"/>
    <w:rsid w:val="005A50E5"/>
    <w:rsid w:val="005A5699"/>
    <w:rsid w:val="005A63AB"/>
    <w:rsid w:val="005B0482"/>
    <w:rsid w:val="005B07AC"/>
    <w:rsid w:val="005B0E4D"/>
    <w:rsid w:val="005B1205"/>
    <w:rsid w:val="005B19B0"/>
    <w:rsid w:val="005B6066"/>
    <w:rsid w:val="005B68A8"/>
    <w:rsid w:val="005B70F0"/>
    <w:rsid w:val="005B71D1"/>
    <w:rsid w:val="005C04AD"/>
    <w:rsid w:val="005C209F"/>
    <w:rsid w:val="005C3E8A"/>
    <w:rsid w:val="005C40D3"/>
    <w:rsid w:val="005C45E6"/>
    <w:rsid w:val="005C4FD1"/>
    <w:rsid w:val="005C5B1B"/>
    <w:rsid w:val="005C7903"/>
    <w:rsid w:val="005C7A37"/>
    <w:rsid w:val="005D034A"/>
    <w:rsid w:val="005D06E4"/>
    <w:rsid w:val="005D6DD3"/>
    <w:rsid w:val="005D713F"/>
    <w:rsid w:val="005D77A1"/>
    <w:rsid w:val="005D7E6B"/>
    <w:rsid w:val="005E0F3C"/>
    <w:rsid w:val="005E49E2"/>
    <w:rsid w:val="005E4ABD"/>
    <w:rsid w:val="005E5319"/>
    <w:rsid w:val="005E54DE"/>
    <w:rsid w:val="005E5ABC"/>
    <w:rsid w:val="005E5F94"/>
    <w:rsid w:val="005E6172"/>
    <w:rsid w:val="005F0204"/>
    <w:rsid w:val="005F0FD8"/>
    <w:rsid w:val="005F1102"/>
    <w:rsid w:val="005F1B79"/>
    <w:rsid w:val="005F2A22"/>
    <w:rsid w:val="005F3673"/>
    <w:rsid w:val="005F42C9"/>
    <w:rsid w:val="005F48B9"/>
    <w:rsid w:val="005F5C7F"/>
    <w:rsid w:val="005F63E3"/>
    <w:rsid w:val="005F7D3F"/>
    <w:rsid w:val="006007D5"/>
    <w:rsid w:val="00600A4C"/>
    <w:rsid w:val="00601585"/>
    <w:rsid w:val="00601B13"/>
    <w:rsid w:val="00603B33"/>
    <w:rsid w:val="00607D89"/>
    <w:rsid w:val="00607EB4"/>
    <w:rsid w:val="006116EE"/>
    <w:rsid w:val="00611E4E"/>
    <w:rsid w:val="00613763"/>
    <w:rsid w:val="00617F02"/>
    <w:rsid w:val="00620526"/>
    <w:rsid w:val="00620DDA"/>
    <w:rsid w:val="00621602"/>
    <w:rsid w:val="00621FAE"/>
    <w:rsid w:val="00622B4A"/>
    <w:rsid w:val="00623AF9"/>
    <w:rsid w:val="00623B56"/>
    <w:rsid w:val="00624E5F"/>
    <w:rsid w:val="00624E9B"/>
    <w:rsid w:val="006251E6"/>
    <w:rsid w:val="00625EE2"/>
    <w:rsid w:val="00626208"/>
    <w:rsid w:val="00627004"/>
    <w:rsid w:val="0062722D"/>
    <w:rsid w:val="006272F4"/>
    <w:rsid w:val="00627439"/>
    <w:rsid w:val="006309DE"/>
    <w:rsid w:val="006323C6"/>
    <w:rsid w:val="00632A0C"/>
    <w:rsid w:val="00632D31"/>
    <w:rsid w:val="006330A5"/>
    <w:rsid w:val="0063321F"/>
    <w:rsid w:val="00634466"/>
    <w:rsid w:val="006349E1"/>
    <w:rsid w:val="00636016"/>
    <w:rsid w:val="00636518"/>
    <w:rsid w:val="006366BA"/>
    <w:rsid w:val="00637E87"/>
    <w:rsid w:val="00640EDB"/>
    <w:rsid w:val="0064286A"/>
    <w:rsid w:val="006435C7"/>
    <w:rsid w:val="0064387C"/>
    <w:rsid w:val="00643CC5"/>
    <w:rsid w:val="0064402F"/>
    <w:rsid w:val="00644142"/>
    <w:rsid w:val="00645A52"/>
    <w:rsid w:val="00645CF4"/>
    <w:rsid w:val="00646562"/>
    <w:rsid w:val="006504BE"/>
    <w:rsid w:val="00650D02"/>
    <w:rsid w:val="006511A9"/>
    <w:rsid w:val="0065180D"/>
    <w:rsid w:val="00651918"/>
    <w:rsid w:val="00652145"/>
    <w:rsid w:val="00652545"/>
    <w:rsid w:val="00654456"/>
    <w:rsid w:val="0065445B"/>
    <w:rsid w:val="006550F3"/>
    <w:rsid w:val="006555A9"/>
    <w:rsid w:val="00655674"/>
    <w:rsid w:val="00656020"/>
    <w:rsid w:val="00656A9A"/>
    <w:rsid w:val="00656F7D"/>
    <w:rsid w:val="006571CA"/>
    <w:rsid w:val="00657DE1"/>
    <w:rsid w:val="00657FEB"/>
    <w:rsid w:val="0066038A"/>
    <w:rsid w:val="006618AC"/>
    <w:rsid w:val="00662802"/>
    <w:rsid w:val="00662D3D"/>
    <w:rsid w:val="00662D47"/>
    <w:rsid w:val="006632E9"/>
    <w:rsid w:val="006633E2"/>
    <w:rsid w:val="00663967"/>
    <w:rsid w:val="00663BBB"/>
    <w:rsid w:val="00663F2B"/>
    <w:rsid w:val="00665BEF"/>
    <w:rsid w:val="0066697E"/>
    <w:rsid w:val="00667B5E"/>
    <w:rsid w:val="0067034D"/>
    <w:rsid w:val="00671269"/>
    <w:rsid w:val="00672326"/>
    <w:rsid w:val="006743D9"/>
    <w:rsid w:val="006747D5"/>
    <w:rsid w:val="00674DB5"/>
    <w:rsid w:val="00674DD7"/>
    <w:rsid w:val="00674F64"/>
    <w:rsid w:val="0067567C"/>
    <w:rsid w:val="00675B67"/>
    <w:rsid w:val="00676134"/>
    <w:rsid w:val="00680AE9"/>
    <w:rsid w:val="00681C4B"/>
    <w:rsid w:val="00682BA0"/>
    <w:rsid w:val="00683974"/>
    <w:rsid w:val="006845F6"/>
    <w:rsid w:val="0068495B"/>
    <w:rsid w:val="00687308"/>
    <w:rsid w:val="00687D46"/>
    <w:rsid w:val="00691B7E"/>
    <w:rsid w:val="00693295"/>
    <w:rsid w:val="006938C8"/>
    <w:rsid w:val="00694253"/>
    <w:rsid w:val="006944E2"/>
    <w:rsid w:val="00694B78"/>
    <w:rsid w:val="00694EAF"/>
    <w:rsid w:val="00695093"/>
    <w:rsid w:val="006955F2"/>
    <w:rsid w:val="006958F2"/>
    <w:rsid w:val="00695FD4"/>
    <w:rsid w:val="006960BB"/>
    <w:rsid w:val="00697402"/>
    <w:rsid w:val="006A055D"/>
    <w:rsid w:val="006A05E2"/>
    <w:rsid w:val="006A0F83"/>
    <w:rsid w:val="006A1607"/>
    <w:rsid w:val="006A28E5"/>
    <w:rsid w:val="006A2942"/>
    <w:rsid w:val="006A2A32"/>
    <w:rsid w:val="006A3D18"/>
    <w:rsid w:val="006A4F52"/>
    <w:rsid w:val="006A5995"/>
    <w:rsid w:val="006A5FFB"/>
    <w:rsid w:val="006A6011"/>
    <w:rsid w:val="006A6752"/>
    <w:rsid w:val="006A683E"/>
    <w:rsid w:val="006B1074"/>
    <w:rsid w:val="006B1365"/>
    <w:rsid w:val="006B158A"/>
    <w:rsid w:val="006B2443"/>
    <w:rsid w:val="006B3251"/>
    <w:rsid w:val="006B48F9"/>
    <w:rsid w:val="006B4BE4"/>
    <w:rsid w:val="006B4E0E"/>
    <w:rsid w:val="006B5BCF"/>
    <w:rsid w:val="006B610A"/>
    <w:rsid w:val="006B70DE"/>
    <w:rsid w:val="006C0244"/>
    <w:rsid w:val="006C0A62"/>
    <w:rsid w:val="006C0E35"/>
    <w:rsid w:val="006C111E"/>
    <w:rsid w:val="006C1686"/>
    <w:rsid w:val="006C56BD"/>
    <w:rsid w:val="006C7DCF"/>
    <w:rsid w:val="006D012E"/>
    <w:rsid w:val="006D0C63"/>
    <w:rsid w:val="006D2836"/>
    <w:rsid w:val="006D2844"/>
    <w:rsid w:val="006D36A2"/>
    <w:rsid w:val="006D3A13"/>
    <w:rsid w:val="006D3A39"/>
    <w:rsid w:val="006D3BB5"/>
    <w:rsid w:val="006D5768"/>
    <w:rsid w:val="006D6310"/>
    <w:rsid w:val="006D6A4B"/>
    <w:rsid w:val="006E00E0"/>
    <w:rsid w:val="006E0E37"/>
    <w:rsid w:val="006E1AC4"/>
    <w:rsid w:val="006E31C6"/>
    <w:rsid w:val="006E342B"/>
    <w:rsid w:val="006E36CF"/>
    <w:rsid w:val="006E3A23"/>
    <w:rsid w:val="006E3A9B"/>
    <w:rsid w:val="006E4BE0"/>
    <w:rsid w:val="006E5F25"/>
    <w:rsid w:val="006E76CA"/>
    <w:rsid w:val="006E79B8"/>
    <w:rsid w:val="006E7B47"/>
    <w:rsid w:val="006F09DA"/>
    <w:rsid w:val="006F1E35"/>
    <w:rsid w:val="006F281D"/>
    <w:rsid w:val="006F29FB"/>
    <w:rsid w:val="006F2E08"/>
    <w:rsid w:val="006F3B5D"/>
    <w:rsid w:val="006F6B32"/>
    <w:rsid w:val="006F6FE0"/>
    <w:rsid w:val="006F7105"/>
    <w:rsid w:val="006F78EC"/>
    <w:rsid w:val="00701599"/>
    <w:rsid w:val="00701803"/>
    <w:rsid w:val="0070252D"/>
    <w:rsid w:val="0070286D"/>
    <w:rsid w:val="00702E94"/>
    <w:rsid w:val="00703419"/>
    <w:rsid w:val="00703A9C"/>
    <w:rsid w:val="00704906"/>
    <w:rsid w:val="00704B20"/>
    <w:rsid w:val="0070532D"/>
    <w:rsid w:val="00705910"/>
    <w:rsid w:val="007061AB"/>
    <w:rsid w:val="00706C0E"/>
    <w:rsid w:val="00707272"/>
    <w:rsid w:val="00707F27"/>
    <w:rsid w:val="00711BD6"/>
    <w:rsid w:val="00713DD2"/>
    <w:rsid w:val="0071447E"/>
    <w:rsid w:val="007154E8"/>
    <w:rsid w:val="00715D13"/>
    <w:rsid w:val="00716057"/>
    <w:rsid w:val="0071646D"/>
    <w:rsid w:val="00716D07"/>
    <w:rsid w:val="007226F2"/>
    <w:rsid w:val="00723885"/>
    <w:rsid w:val="0072525F"/>
    <w:rsid w:val="007258CC"/>
    <w:rsid w:val="00725CC1"/>
    <w:rsid w:val="0072647A"/>
    <w:rsid w:val="00726C17"/>
    <w:rsid w:val="00727017"/>
    <w:rsid w:val="007319A2"/>
    <w:rsid w:val="0073242A"/>
    <w:rsid w:val="00732C87"/>
    <w:rsid w:val="00733D12"/>
    <w:rsid w:val="00733E02"/>
    <w:rsid w:val="00734D6F"/>
    <w:rsid w:val="00735240"/>
    <w:rsid w:val="007352F5"/>
    <w:rsid w:val="0073586C"/>
    <w:rsid w:val="0073677A"/>
    <w:rsid w:val="00740C3D"/>
    <w:rsid w:val="0074303C"/>
    <w:rsid w:val="007431B7"/>
    <w:rsid w:val="007436A2"/>
    <w:rsid w:val="00744109"/>
    <w:rsid w:val="00744EF7"/>
    <w:rsid w:val="00744FCB"/>
    <w:rsid w:val="0074516B"/>
    <w:rsid w:val="00745BA3"/>
    <w:rsid w:val="00745DAC"/>
    <w:rsid w:val="00746DEF"/>
    <w:rsid w:val="007474F3"/>
    <w:rsid w:val="007475E5"/>
    <w:rsid w:val="007505C0"/>
    <w:rsid w:val="00750695"/>
    <w:rsid w:val="0075085D"/>
    <w:rsid w:val="007511D8"/>
    <w:rsid w:val="00751985"/>
    <w:rsid w:val="00751DEE"/>
    <w:rsid w:val="007525F3"/>
    <w:rsid w:val="00752CA1"/>
    <w:rsid w:val="0075340D"/>
    <w:rsid w:val="00753514"/>
    <w:rsid w:val="00754346"/>
    <w:rsid w:val="007554ED"/>
    <w:rsid w:val="00755684"/>
    <w:rsid w:val="00757380"/>
    <w:rsid w:val="00757725"/>
    <w:rsid w:val="0076149B"/>
    <w:rsid w:val="00761677"/>
    <w:rsid w:val="007616E9"/>
    <w:rsid w:val="007622C7"/>
    <w:rsid w:val="007633B9"/>
    <w:rsid w:val="00763744"/>
    <w:rsid w:val="00763D8D"/>
    <w:rsid w:val="00763EDD"/>
    <w:rsid w:val="00763F0B"/>
    <w:rsid w:val="007658FD"/>
    <w:rsid w:val="00767DFA"/>
    <w:rsid w:val="007700E2"/>
    <w:rsid w:val="00770388"/>
    <w:rsid w:val="00771DBA"/>
    <w:rsid w:val="00772185"/>
    <w:rsid w:val="00774689"/>
    <w:rsid w:val="00775322"/>
    <w:rsid w:val="00775421"/>
    <w:rsid w:val="00775EA2"/>
    <w:rsid w:val="007762E4"/>
    <w:rsid w:val="00776808"/>
    <w:rsid w:val="007769B1"/>
    <w:rsid w:val="0077796F"/>
    <w:rsid w:val="00780354"/>
    <w:rsid w:val="00780EAF"/>
    <w:rsid w:val="00780F68"/>
    <w:rsid w:val="0078238A"/>
    <w:rsid w:val="007830D3"/>
    <w:rsid w:val="007836D7"/>
    <w:rsid w:val="00783983"/>
    <w:rsid w:val="00784370"/>
    <w:rsid w:val="007853F1"/>
    <w:rsid w:val="007854FB"/>
    <w:rsid w:val="00785703"/>
    <w:rsid w:val="00785E3A"/>
    <w:rsid w:val="00786524"/>
    <w:rsid w:val="00786B54"/>
    <w:rsid w:val="00790982"/>
    <w:rsid w:val="0079180B"/>
    <w:rsid w:val="007923A1"/>
    <w:rsid w:val="0079368A"/>
    <w:rsid w:val="00795893"/>
    <w:rsid w:val="00795A0B"/>
    <w:rsid w:val="00796558"/>
    <w:rsid w:val="007978B7"/>
    <w:rsid w:val="007A0D31"/>
    <w:rsid w:val="007A1C7C"/>
    <w:rsid w:val="007A2231"/>
    <w:rsid w:val="007A2BCD"/>
    <w:rsid w:val="007A426E"/>
    <w:rsid w:val="007A58C0"/>
    <w:rsid w:val="007A6474"/>
    <w:rsid w:val="007A6931"/>
    <w:rsid w:val="007A7277"/>
    <w:rsid w:val="007B064B"/>
    <w:rsid w:val="007B2D33"/>
    <w:rsid w:val="007B3240"/>
    <w:rsid w:val="007B342A"/>
    <w:rsid w:val="007B4031"/>
    <w:rsid w:val="007B54A7"/>
    <w:rsid w:val="007B72C4"/>
    <w:rsid w:val="007C023F"/>
    <w:rsid w:val="007C1423"/>
    <w:rsid w:val="007C2CA2"/>
    <w:rsid w:val="007C3072"/>
    <w:rsid w:val="007C38FA"/>
    <w:rsid w:val="007C3BD4"/>
    <w:rsid w:val="007C3CB2"/>
    <w:rsid w:val="007C4773"/>
    <w:rsid w:val="007C7D38"/>
    <w:rsid w:val="007C7E73"/>
    <w:rsid w:val="007D051F"/>
    <w:rsid w:val="007D0BBA"/>
    <w:rsid w:val="007D16FE"/>
    <w:rsid w:val="007D2550"/>
    <w:rsid w:val="007D2D8C"/>
    <w:rsid w:val="007D3332"/>
    <w:rsid w:val="007D333C"/>
    <w:rsid w:val="007D35CC"/>
    <w:rsid w:val="007D455C"/>
    <w:rsid w:val="007D5E7D"/>
    <w:rsid w:val="007D6583"/>
    <w:rsid w:val="007D778F"/>
    <w:rsid w:val="007E0924"/>
    <w:rsid w:val="007E0FFD"/>
    <w:rsid w:val="007E146C"/>
    <w:rsid w:val="007E18FC"/>
    <w:rsid w:val="007E3EB1"/>
    <w:rsid w:val="007E494F"/>
    <w:rsid w:val="007E5BBF"/>
    <w:rsid w:val="007E5F8C"/>
    <w:rsid w:val="007E64EE"/>
    <w:rsid w:val="007E68BF"/>
    <w:rsid w:val="007F0B94"/>
    <w:rsid w:val="007F101F"/>
    <w:rsid w:val="007F26DD"/>
    <w:rsid w:val="007F2884"/>
    <w:rsid w:val="007F2CFD"/>
    <w:rsid w:val="007F3CED"/>
    <w:rsid w:val="007F45A8"/>
    <w:rsid w:val="007F4A44"/>
    <w:rsid w:val="007F5449"/>
    <w:rsid w:val="00801696"/>
    <w:rsid w:val="008029BC"/>
    <w:rsid w:val="00802A64"/>
    <w:rsid w:val="00803074"/>
    <w:rsid w:val="00803FFB"/>
    <w:rsid w:val="00804A23"/>
    <w:rsid w:val="008052F2"/>
    <w:rsid w:val="00805C6A"/>
    <w:rsid w:val="00806EA6"/>
    <w:rsid w:val="00807246"/>
    <w:rsid w:val="00807ACD"/>
    <w:rsid w:val="00807D72"/>
    <w:rsid w:val="00810AFC"/>
    <w:rsid w:val="008126C8"/>
    <w:rsid w:val="00812A43"/>
    <w:rsid w:val="00812AFF"/>
    <w:rsid w:val="00812FF0"/>
    <w:rsid w:val="00813269"/>
    <w:rsid w:val="0081460D"/>
    <w:rsid w:val="00814803"/>
    <w:rsid w:val="00814C48"/>
    <w:rsid w:val="008178A9"/>
    <w:rsid w:val="00817FFD"/>
    <w:rsid w:val="00820B1F"/>
    <w:rsid w:val="00822129"/>
    <w:rsid w:val="008225C0"/>
    <w:rsid w:val="00823255"/>
    <w:rsid w:val="00824B0D"/>
    <w:rsid w:val="008253AF"/>
    <w:rsid w:val="00825746"/>
    <w:rsid w:val="00825B3D"/>
    <w:rsid w:val="00825C43"/>
    <w:rsid w:val="008302A8"/>
    <w:rsid w:val="008307AD"/>
    <w:rsid w:val="008309F3"/>
    <w:rsid w:val="00832C5F"/>
    <w:rsid w:val="008331BB"/>
    <w:rsid w:val="0083358E"/>
    <w:rsid w:val="00833991"/>
    <w:rsid w:val="00834B6A"/>
    <w:rsid w:val="008359E6"/>
    <w:rsid w:val="008369B8"/>
    <w:rsid w:val="00836FBC"/>
    <w:rsid w:val="00837B40"/>
    <w:rsid w:val="00837E6A"/>
    <w:rsid w:val="00842009"/>
    <w:rsid w:val="008423D6"/>
    <w:rsid w:val="0084288D"/>
    <w:rsid w:val="008429AF"/>
    <w:rsid w:val="008429B1"/>
    <w:rsid w:val="008431AA"/>
    <w:rsid w:val="00843F37"/>
    <w:rsid w:val="00844217"/>
    <w:rsid w:val="008444BD"/>
    <w:rsid w:val="0084463C"/>
    <w:rsid w:val="00844A70"/>
    <w:rsid w:val="0084505C"/>
    <w:rsid w:val="00846B79"/>
    <w:rsid w:val="00846C24"/>
    <w:rsid w:val="008475E1"/>
    <w:rsid w:val="00847A98"/>
    <w:rsid w:val="00851B24"/>
    <w:rsid w:val="00851F54"/>
    <w:rsid w:val="0085365A"/>
    <w:rsid w:val="00853A3D"/>
    <w:rsid w:val="00855C31"/>
    <w:rsid w:val="00856E77"/>
    <w:rsid w:val="00861ECB"/>
    <w:rsid w:val="00862E96"/>
    <w:rsid w:val="008651F3"/>
    <w:rsid w:val="00865467"/>
    <w:rsid w:val="00866AB0"/>
    <w:rsid w:val="00867F1E"/>
    <w:rsid w:val="00870D8D"/>
    <w:rsid w:val="00872125"/>
    <w:rsid w:val="0087223E"/>
    <w:rsid w:val="00872F1D"/>
    <w:rsid w:val="00873550"/>
    <w:rsid w:val="008735D5"/>
    <w:rsid w:val="00873D83"/>
    <w:rsid w:val="00874AC4"/>
    <w:rsid w:val="008758EC"/>
    <w:rsid w:val="008767B4"/>
    <w:rsid w:val="00877027"/>
    <w:rsid w:val="00877854"/>
    <w:rsid w:val="00880F08"/>
    <w:rsid w:val="00882097"/>
    <w:rsid w:val="00882E11"/>
    <w:rsid w:val="0088372F"/>
    <w:rsid w:val="0088405F"/>
    <w:rsid w:val="00884635"/>
    <w:rsid w:val="00885D1A"/>
    <w:rsid w:val="00885EF1"/>
    <w:rsid w:val="008875E6"/>
    <w:rsid w:val="00887864"/>
    <w:rsid w:val="0089026A"/>
    <w:rsid w:val="00890CEF"/>
    <w:rsid w:val="00890F31"/>
    <w:rsid w:val="00891490"/>
    <w:rsid w:val="00892F69"/>
    <w:rsid w:val="00894731"/>
    <w:rsid w:val="00894CB7"/>
    <w:rsid w:val="00894E16"/>
    <w:rsid w:val="00896267"/>
    <w:rsid w:val="00896BC3"/>
    <w:rsid w:val="00896DBE"/>
    <w:rsid w:val="008A02CF"/>
    <w:rsid w:val="008A04EE"/>
    <w:rsid w:val="008A06A9"/>
    <w:rsid w:val="008A096F"/>
    <w:rsid w:val="008A28C3"/>
    <w:rsid w:val="008A2A13"/>
    <w:rsid w:val="008A3471"/>
    <w:rsid w:val="008A4D4E"/>
    <w:rsid w:val="008A5EF0"/>
    <w:rsid w:val="008A6570"/>
    <w:rsid w:val="008A76E5"/>
    <w:rsid w:val="008A7FD6"/>
    <w:rsid w:val="008B035B"/>
    <w:rsid w:val="008B10D6"/>
    <w:rsid w:val="008B343A"/>
    <w:rsid w:val="008B415E"/>
    <w:rsid w:val="008B4790"/>
    <w:rsid w:val="008B534C"/>
    <w:rsid w:val="008B5BFA"/>
    <w:rsid w:val="008B655B"/>
    <w:rsid w:val="008B757A"/>
    <w:rsid w:val="008B77C5"/>
    <w:rsid w:val="008B7A35"/>
    <w:rsid w:val="008C109F"/>
    <w:rsid w:val="008C134F"/>
    <w:rsid w:val="008C1413"/>
    <w:rsid w:val="008C169A"/>
    <w:rsid w:val="008C2B9F"/>
    <w:rsid w:val="008C33C4"/>
    <w:rsid w:val="008C3699"/>
    <w:rsid w:val="008C3759"/>
    <w:rsid w:val="008C449C"/>
    <w:rsid w:val="008C5A1D"/>
    <w:rsid w:val="008C68AC"/>
    <w:rsid w:val="008D007F"/>
    <w:rsid w:val="008D30D2"/>
    <w:rsid w:val="008D3815"/>
    <w:rsid w:val="008D4E44"/>
    <w:rsid w:val="008D5ECA"/>
    <w:rsid w:val="008D5EEE"/>
    <w:rsid w:val="008D6838"/>
    <w:rsid w:val="008D6C00"/>
    <w:rsid w:val="008D7D2E"/>
    <w:rsid w:val="008D7FBD"/>
    <w:rsid w:val="008E077D"/>
    <w:rsid w:val="008E0FBB"/>
    <w:rsid w:val="008E164C"/>
    <w:rsid w:val="008E3200"/>
    <w:rsid w:val="008E3869"/>
    <w:rsid w:val="008E396E"/>
    <w:rsid w:val="008E5731"/>
    <w:rsid w:val="008E5DB0"/>
    <w:rsid w:val="008E63B5"/>
    <w:rsid w:val="008E70EF"/>
    <w:rsid w:val="008E772B"/>
    <w:rsid w:val="008F0F4B"/>
    <w:rsid w:val="008F0F5E"/>
    <w:rsid w:val="008F207C"/>
    <w:rsid w:val="008F2C6D"/>
    <w:rsid w:val="008F2F92"/>
    <w:rsid w:val="008F3BD2"/>
    <w:rsid w:val="008F689B"/>
    <w:rsid w:val="00901984"/>
    <w:rsid w:val="00901D0E"/>
    <w:rsid w:val="00903485"/>
    <w:rsid w:val="009034E6"/>
    <w:rsid w:val="00903C2E"/>
    <w:rsid w:val="0090517B"/>
    <w:rsid w:val="00906176"/>
    <w:rsid w:val="0090678C"/>
    <w:rsid w:val="00907115"/>
    <w:rsid w:val="00910184"/>
    <w:rsid w:val="00910308"/>
    <w:rsid w:val="0091076A"/>
    <w:rsid w:val="00910CE3"/>
    <w:rsid w:val="0091256C"/>
    <w:rsid w:val="00912B8C"/>
    <w:rsid w:val="009155CE"/>
    <w:rsid w:val="00915956"/>
    <w:rsid w:val="0091674D"/>
    <w:rsid w:val="009169CC"/>
    <w:rsid w:val="00917B54"/>
    <w:rsid w:val="00920E07"/>
    <w:rsid w:val="00922AC0"/>
    <w:rsid w:val="0092374D"/>
    <w:rsid w:val="00923BAA"/>
    <w:rsid w:val="00924970"/>
    <w:rsid w:val="00925C52"/>
    <w:rsid w:val="00925FC7"/>
    <w:rsid w:val="009267F6"/>
    <w:rsid w:val="0092738A"/>
    <w:rsid w:val="00927B5B"/>
    <w:rsid w:val="009304A6"/>
    <w:rsid w:val="00930D1F"/>
    <w:rsid w:val="009317C0"/>
    <w:rsid w:val="00931B11"/>
    <w:rsid w:val="009326BF"/>
    <w:rsid w:val="00932B3B"/>
    <w:rsid w:val="0093538C"/>
    <w:rsid w:val="00935CE6"/>
    <w:rsid w:val="00936ADD"/>
    <w:rsid w:val="0093778C"/>
    <w:rsid w:val="0093787B"/>
    <w:rsid w:val="00937BC1"/>
    <w:rsid w:val="00941524"/>
    <w:rsid w:val="00942060"/>
    <w:rsid w:val="00942C8E"/>
    <w:rsid w:val="00943353"/>
    <w:rsid w:val="00943F7F"/>
    <w:rsid w:val="00943FF1"/>
    <w:rsid w:val="00944DE7"/>
    <w:rsid w:val="00945216"/>
    <w:rsid w:val="009466B3"/>
    <w:rsid w:val="00946D0A"/>
    <w:rsid w:val="0095111A"/>
    <w:rsid w:val="0095159F"/>
    <w:rsid w:val="00954586"/>
    <w:rsid w:val="00954921"/>
    <w:rsid w:val="00954F31"/>
    <w:rsid w:val="0095534A"/>
    <w:rsid w:val="009554F4"/>
    <w:rsid w:val="009557AD"/>
    <w:rsid w:val="00955FBA"/>
    <w:rsid w:val="0095752B"/>
    <w:rsid w:val="00957671"/>
    <w:rsid w:val="009606DB"/>
    <w:rsid w:val="009607A3"/>
    <w:rsid w:val="00960B91"/>
    <w:rsid w:val="00960C17"/>
    <w:rsid w:val="00961330"/>
    <w:rsid w:val="009617A9"/>
    <w:rsid w:val="00961BEE"/>
    <w:rsid w:val="00962D09"/>
    <w:rsid w:val="00962EE2"/>
    <w:rsid w:val="00963095"/>
    <w:rsid w:val="00963940"/>
    <w:rsid w:val="00964F1C"/>
    <w:rsid w:val="00965869"/>
    <w:rsid w:val="00966173"/>
    <w:rsid w:val="00966610"/>
    <w:rsid w:val="00966641"/>
    <w:rsid w:val="00966979"/>
    <w:rsid w:val="00966AF2"/>
    <w:rsid w:val="009672A4"/>
    <w:rsid w:val="00971EBB"/>
    <w:rsid w:val="00972E09"/>
    <w:rsid w:val="0097376D"/>
    <w:rsid w:val="00973859"/>
    <w:rsid w:val="00974176"/>
    <w:rsid w:val="00974A70"/>
    <w:rsid w:val="0097791A"/>
    <w:rsid w:val="00977ABC"/>
    <w:rsid w:val="00980DFA"/>
    <w:rsid w:val="00980ED7"/>
    <w:rsid w:val="00982684"/>
    <w:rsid w:val="00982B62"/>
    <w:rsid w:val="00982BB3"/>
    <w:rsid w:val="00983C33"/>
    <w:rsid w:val="00983EB5"/>
    <w:rsid w:val="00983FA9"/>
    <w:rsid w:val="00984382"/>
    <w:rsid w:val="00985092"/>
    <w:rsid w:val="0098568C"/>
    <w:rsid w:val="009860CF"/>
    <w:rsid w:val="009871FB"/>
    <w:rsid w:val="009877CC"/>
    <w:rsid w:val="009877FD"/>
    <w:rsid w:val="00987CA5"/>
    <w:rsid w:val="00987CAB"/>
    <w:rsid w:val="009900E6"/>
    <w:rsid w:val="00990F17"/>
    <w:rsid w:val="009912B5"/>
    <w:rsid w:val="00991437"/>
    <w:rsid w:val="009914DC"/>
    <w:rsid w:val="0099178D"/>
    <w:rsid w:val="00991B82"/>
    <w:rsid w:val="00991FE3"/>
    <w:rsid w:val="00993E30"/>
    <w:rsid w:val="00994A20"/>
    <w:rsid w:val="00994D3B"/>
    <w:rsid w:val="009A2913"/>
    <w:rsid w:val="009A3DA3"/>
    <w:rsid w:val="009A3DE0"/>
    <w:rsid w:val="009A4EB2"/>
    <w:rsid w:val="009B0970"/>
    <w:rsid w:val="009B1268"/>
    <w:rsid w:val="009B21AE"/>
    <w:rsid w:val="009B2564"/>
    <w:rsid w:val="009B4C1C"/>
    <w:rsid w:val="009B5DF3"/>
    <w:rsid w:val="009B69E0"/>
    <w:rsid w:val="009C0281"/>
    <w:rsid w:val="009C07AA"/>
    <w:rsid w:val="009C2792"/>
    <w:rsid w:val="009C2E21"/>
    <w:rsid w:val="009C3ECB"/>
    <w:rsid w:val="009C422A"/>
    <w:rsid w:val="009C5FAB"/>
    <w:rsid w:val="009C632F"/>
    <w:rsid w:val="009C6BDC"/>
    <w:rsid w:val="009C6D8D"/>
    <w:rsid w:val="009D25F6"/>
    <w:rsid w:val="009D27E6"/>
    <w:rsid w:val="009D2AC0"/>
    <w:rsid w:val="009D2F5A"/>
    <w:rsid w:val="009D3308"/>
    <w:rsid w:val="009D3B4B"/>
    <w:rsid w:val="009D4A17"/>
    <w:rsid w:val="009D4D5E"/>
    <w:rsid w:val="009D5361"/>
    <w:rsid w:val="009D6237"/>
    <w:rsid w:val="009D6341"/>
    <w:rsid w:val="009E2C70"/>
    <w:rsid w:val="009E42A2"/>
    <w:rsid w:val="009E4842"/>
    <w:rsid w:val="009E56D5"/>
    <w:rsid w:val="009E662A"/>
    <w:rsid w:val="009E749D"/>
    <w:rsid w:val="009E7A09"/>
    <w:rsid w:val="009F0910"/>
    <w:rsid w:val="009F169E"/>
    <w:rsid w:val="009F17BE"/>
    <w:rsid w:val="009F2244"/>
    <w:rsid w:val="009F2262"/>
    <w:rsid w:val="009F2679"/>
    <w:rsid w:val="009F41F3"/>
    <w:rsid w:val="009F4265"/>
    <w:rsid w:val="00A000D9"/>
    <w:rsid w:val="00A00612"/>
    <w:rsid w:val="00A00C9C"/>
    <w:rsid w:val="00A02D03"/>
    <w:rsid w:val="00A02E94"/>
    <w:rsid w:val="00A04DC3"/>
    <w:rsid w:val="00A051F0"/>
    <w:rsid w:val="00A057DC"/>
    <w:rsid w:val="00A05C40"/>
    <w:rsid w:val="00A0725B"/>
    <w:rsid w:val="00A073A4"/>
    <w:rsid w:val="00A0756D"/>
    <w:rsid w:val="00A10153"/>
    <w:rsid w:val="00A11014"/>
    <w:rsid w:val="00A11EC9"/>
    <w:rsid w:val="00A121FB"/>
    <w:rsid w:val="00A12699"/>
    <w:rsid w:val="00A12F69"/>
    <w:rsid w:val="00A13BE9"/>
    <w:rsid w:val="00A1605C"/>
    <w:rsid w:val="00A16657"/>
    <w:rsid w:val="00A16E16"/>
    <w:rsid w:val="00A175E4"/>
    <w:rsid w:val="00A17A74"/>
    <w:rsid w:val="00A21802"/>
    <w:rsid w:val="00A22A04"/>
    <w:rsid w:val="00A2387F"/>
    <w:rsid w:val="00A23AAC"/>
    <w:rsid w:val="00A23FCD"/>
    <w:rsid w:val="00A24BBF"/>
    <w:rsid w:val="00A24E49"/>
    <w:rsid w:val="00A25AA4"/>
    <w:rsid w:val="00A25E38"/>
    <w:rsid w:val="00A25F38"/>
    <w:rsid w:val="00A26FD9"/>
    <w:rsid w:val="00A27411"/>
    <w:rsid w:val="00A275E1"/>
    <w:rsid w:val="00A27C51"/>
    <w:rsid w:val="00A27E7D"/>
    <w:rsid w:val="00A3096C"/>
    <w:rsid w:val="00A31048"/>
    <w:rsid w:val="00A329CB"/>
    <w:rsid w:val="00A33005"/>
    <w:rsid w:val="00A34C99"/>
    <w:rsid w:val="00A34DC6"/>
    <w:rsid w:val="00A356F1"/>
    <w:rsid w:val="00A36910"/>
    <w:rsid w:val="00A36BAF"/>
    <w:rsid w:val="00A370A6"/>
    <w:rsid w:val="00A375F1"/>
    <w:rsid w:val="00A4014B"/>
    <w:rsid w:val="00A40F3D"/>
    <w:rsid w:val="00A41B24"/>
    <w:rsid w:val="00A41C7F"/>
    <w:rsid w:val="00A43DC7"/>
    <w:rsid w:val="00A444BF"/>
    <w:rsid w:val="00A453B1"/>
    <w:rsid w:val="00A47C0D"/>
    <w:rsid w:val="00A47EFC"/>
    <w:rsid w:val="00A507D2"/>
    <w:rsid w:val="00A5152D"/>
    <w:rsid w:val="00A53F6A"/>
    <w:rsid w:val="00A551CF"/>
    <w:rsid w:val="00A55DAC"/>
    <w:rsid w:val="00A57205"/>
    <w:rsid w:val="00A57436"/>
    <w:rsid w:val="00A605F9"/>
    <w:rsid w:val="00A60AED"/>
    <w:rsid w:val="00A60E45"/>
    <w:rsid w:val="00A611E9"/>
    <w:rsid w:val="00A63BA5"/>
    <w:rsid w:val="00A63D27"/>
    <w:rsid w:val="00A64313"/>
    <w:rsid w:val="00A64F5B"/>
    <w:rsid w:val="00A6542C"/>
    <w:rsid w:val="00A655A9"/>
    <w:rsid w:val="00A65C3F"/>
    <w:rsid w:val="00A66EE9"/>
    <w:rsid w:val="00A6714F"/>
    <w:rsid w:val="00A677A6"/>
    <w:rsid w:val="00A7047C"/>
    <w:rsid w:val="00A7287F"/>
    <w:rsid w:val="00A72FCC"/>
    <w:rsid w:val="00A73844"/>
    <w:rsid w:val="00A739F0"/>
    <w:rsid w:val="00A76165"/>
    <w:rsid w:val="00A77E6F"/>
    <w:rsid w:val="00A806C7"/>
    <w:rsid w:val="00A80D20"/>
    <w:rsid w:val="00A82CD9"/>
    <w:rsid w:val="00A83374"/>
    <w:rsid w:val="00A83F2E"/>
    <w:rsid w:val="00A8504E"/>
    <w:rsid w:val="00A86EA4"/>
    <w:rsid w:val="00A91A3E"/>
    <w:rsid w:val="00A92139"/>
    <w:rsid w:val="00A92481"/>
    <w:rsid w:val="00A935B2"/>
    <w:rsid w:val="00A94216"/>
    <w:rsid w:val="00A95E98"/>
    <w:rsid w:val="00A967AA"/>
    <w:rsid w:val="00A96F5E"/>
    <w:rsid w:val="00AA01D4"/>
    <w:rsid w:val="00AA1BD3"/>
    <w:rsid w:val="00AA2D96"/>
    <w:rsid w:val="00AA2F08"/>
    <w:rsid w:val="00AA3A7C"/>
    <w:rsid w:val="00AA4004"/>
    <w:rsid w:val="00AA7D45"/>
    <w:rsid w:val="00AA7E40"/>
    <w:rsid w:val="00AB03DA"/>
    <w:rsid w:val="00AB0EEC"/>
    <w:rsid w:val="00AB1C1C"/>
    <w:rsid w:val="00AB1C29"/>
    <w:rsid w:val="00AB2B55"/>
    <w:rsid w:val="00AB312A"/>
    <w:rsid w:val="00AB5B2F"/>
    <w:rsid w:val="00AB738C"/>
    <w:rsid w:val="00AC067E"/>
    <w:rsid w:val="00AC07D9"/>
    <w:rsid w:val="00AC10D2"/>
    <w:rsid w:val="00AC240E"/>
    <w:rsid w:val="00AC318C"/>
    <w:rsid w:val="00AC3F10"/>
    <w:rsid w:val="00AC42A3"/>
    <w:rsid w:val="00AC42D0"/>
    <w:rsid w:val="00AC4C43"/>
    <w:rsid w:val="00AC5A44"/>
    <w:rsid w:val="00AC5DEF"/>
    <w:rsid w:val="00AC6190"/>
    <w:rsid w:val="00AC64A1"/>
    <w:rsid w:val="00AC66C5"/>
    <w:rsid w:val="00AC6C99"/>
    <w:rsid w:val="00AC7251"/>
    <w:rsid w:val="00AC76B2"/>
    <w:rsid w:val="00AD1B63"/>
    <w:rsid w:val="00AD619D"/>
    <w:rsid w:val="00AD6AB3"/>
    <w:rsid w:val="00AD6DA0"/>
    <w:rsid w:val="00AD6DEE"/>
    <w:rsid w:val="00AD712B"/>
    <w:rsid w:val="00AE032E"/>
    <w:rsid w:val="00AE0A63"/>
    <w:rsid w:val="00AE0BD8"/>
    <w:rsid w:val="00AE1AE1"/>
    <w:rsid w:val="00AE1B7C"/>
    <w:rsid w:val="00AE1D02"/>
    <w:rsid w:val="00AE1EF8"/>
    <w:rsid w:val="00AE2226"/>
    <w:rsid w:val="00AE2D8D"/>
    <w:rsid w:val="00AE46EE"/>
    <w:rsid w:val="00AE4ABE"/>
    <w:rsid w:val="00AE4D65"/>
    <w:rsid w:val="00AE4EBF"/>
    <w:rsid w:val="00AE5AF7"/>
    <w:rsid w:val="00AE6371"/>
    <w:rsid w:val="00AE7B04"/>
    <w:rsid w:val="00AF0B62"/>
    <w:rsid w:val="00AF53D5"/>
    <w:rsid w:val="00AF7504"/>
    <w:rsid w:val="00B00522"/>
    <w:rsid w:val="00B0207A"/>
    <w:rsid w:val="00B020FB"/>
    <w:rsid w:val="00B026FB"/>
    <w:rsid w:val="00B0401C"/>
    <w:rsid w:val="00B04168"/>
    <w:rsid w:val="00B045F8"/>
    <w:rsid w:val="00B0556F"/>
    <w:rsid w:val="00B06A9C"/>
    <w:rsid w:val="00B07274"/>
    <w:rsid w:val="00B07B88"/>
    <w:rsid w:val="00B10C1D"/>
    <w:rsid w:val="00B12049"/>
    <w:rsid w:val="00B1298D"/>
    <w:rsid w:val="00B135BC"/>
    <w:rsid w:val="00B14946"/>
    <w:rsid w:val="00B150A8"/>
    <w:rsid w:val="00B172F2"/>
    <w:rsid w:val="00B17910"/>
    <w:rsid w:val="00B20952"/>
    <w:rsid w:val="00B21CFD"/>
    <w:rsid w:val="00B22068"/>
    <w:rsid w:val="00B2516C"/>
    <w:rsid w:val="00B255BA"/>
    <w:rsid w:val="00B2587E"/>
    <w:rsid w:val="00B265DB"/>
    <w:rsid w:val="00B2788D"/>
    <w:rsid w:val="00B27B09"/>
    <w:rsid w:val="00B300AD"/>
    <w:rsid w:val="00B31124"/>
    <w:rsid w:val="00B327D2"/>
    <w:rsid w:val="00B3397F"/>
    <w:rsid w:val="00B34309"/>
    <w:rsid w:val="00B34580"/>
    <w:rsid w:val="00B3505A"/>
    <w:rsid w:val="00B3565F"/>
    <w:rsid w:val="00B35712"/>
    <w:rsid w:val="00B35B22"/>
    <w:rsid w:val="00B36265"/>
    <w:rsid w:val="00B36D67"/>
    <w:rsid w:val="00B370A5"/>
    <w:rsid w:val="00B3735E"/>
    <w:rsid w:val="00B37A21"/>
    <w:rsid w:val="00B406AC"/>
    <w:rsid w:val="00B421A1"/>
    <w:rsid w:val="00B42380"/>
    <w:rsid w:val="00B42426"/>
    <w:rsid w:val="00B439C4"/>
    <w:rsid w:val="00B43D46"/>
    <w:rsid w:val="00B44852"/>
    <w:rsid w:val="00B45428"/>
    <w:rsid w:val="00B45A0D"/>
    <w:rsid w:val="00B45B74"/>
    <w:rsid w:val="00B52F57"/>
    <w:rsid w:val="00B53412"/>
    <w:rsid w:val="00B53751"/>
    <w:rsid w:val="00B5378C"/>
    <w:rsid w:val="00B54DC6"/>
    <w:rsid w:val="00B55B57"/>
    <w:rsid w:val="00B567D7"/>
    <w:rsid w:val="00B57693"/>
    <w:rsid w:val="00B57F66"/>
    <w:rsid w:val="00B57FBF"/>
    <w:rsid w:val="00B61183"/>
    <w:rsid w:val="00B61B4E"/>
    <w:rsid w:val="00B630CD"/>
    <w:rsid w:val="00B63371"/>
    <w:rsid w:val="00B63F7E"/>
    <w:rsid w:val="00B65076"/>
    <w:rsid w:val="00B66443"/>
    <w:rsid w:val="00B66AC1"/>
    <w:rsid w:val="00B67EAE"/>
    <w:rsid w:val="00B702AF"/>
    <w:rsid w:val="00B70C5E"/>
    <w:rsid w:val="00B70DE9"/>
    <w:rsid w:val="00B717E4"/>
    <w:rsid w:val="00B72E73"/>
    <w:rsid w:val="00B7301C"/>
    <w:rsid w:val="00B74CFF"/>
    <w:rsid w:val="00B74E74"/>
    <w:rsid w:val="00B7782F"/>
    <w:rsid w:val="00B77939"/>
    <w:rsid w:val="00B81111"/>
    <w:rsid w:val="00B82CBC"/>
    <w:rsid w:val="00B8336F"/>
    <w:rsid w:val="00B83B76"/>
    <w:rsid w:val="00B84D34"/>
    <w:rsid w:val="00B86A05"/>
    <w:rsid w:val="00B873B5"/>
    <w:rsid w:val="00B9102D"/>
    <w:rsid w:val="00B919E1"/>
    <w:rsid w:val="00B91A47"/>
    <w:rsid w:val="00B91F49"/>
    <w:rsid w:val="00B930B9"/>
    <w:rsid w:val="00B93260"/>
    <w:rsid w:val="00B93F28"/>
    <w:rsid w:val="00B94005"/>
    <w:rsid w:val="00B95699"/>
    <w:rsid w:val="00B96AC7"/>
    <w:rsid w:val="00B96CF6"/>
    <w:rsid w:val="00B972CB"/>
    <w:rsid w:val="00BA06E3"/>
    <w:rsid w:val="00BA0FD9"/>
    <w:rsid w:val="00BA1190"/>
    <w:rsid w:val="00BA2FDA"/>
    <w:rsid w:val="00BA40D9"/>
    <w:rsid w:val="00BA4BAA"/>
    <w:rsid w:val="00BA59D7"/>
    <w:rsid w:val="00BA6599"/>
    <w:rsid w:val="00BA6672"/>
    <w:rsid w:val="00BA66FA"/>
    <w:rsid w:val="00BA690F"/>
    <w:rsid w:val="00BA6AAA"/>
    <w:rsid w:val="00BA7189"/>
    <w:rsid w:val="00BA718D"/>
    <w:rsid w:val="00BA7670"/>
    <w:rsid w:val="00BA7A1E"/>
    <w:rsid w:val="00BB0BA8"/>
    <w:rsid w:val="00BB0D86"/>
    <w:rsid w:val="00BB287E"/>
    <w:rsid w:val="00BB37A8"/>
    <w:rsid w:val="00BB37E3"/>
    <w:rsid w:val="00BB401A"/>
    <w:rsid w:val="00BB51EC"/>
    <w:rsid w:val="00BB6206"/>
    <w:rsid w:val="00BB63E6"/>
    <w:rsid w:val="00BC09A7"/>
    <w:rsid w:val="00BC09F7"/>
    <w:rsid w:val="00BC1312"/>
    <w:rsid w:val="00BC165C"/>
    <w:rsid w:val="00BC1C3C"/>
    <w:rsid w:val="00BC1E03"/>
    <w:rsid w:val="00BC2A15"/>
    <w:rsid w:val="00BC3683"/>
    <w:rsid w:val="00BC3D5A"/>
    <w:rsid w:val="00BC3F4C"/>
    <w:rsid w:val="00BC58A3"/>
    <w:rsid w:val="00BC6125"/>
    <w:rsid w:val="00BC66F9"/>
    <w:rsid w:val="00BC6820"/>
    <w:rsid w:val="00BC6C03"/>
    <w:rsid w:val="00BC6F02"/>
    <w:rsid w:val="00BC6F77"/>
    <w:rsid w:val="00BD1031"/>
    <w:rsid w:val="00BD13F3"/>
    <w:rsid w:val="00BD3C2B"/>
    <w:rsid w:val="00BD4005"/>
    <w:rsid w:val="00BD452D"/>
    <w:rsid w:val="00BD455D"/>
    <w:rsid w:val="00BD4A6B"/>
    <w:rsid w:val="00BD4F67"/>
    <w:rsid w:val="00BD51DD"/>
    <w:rsid w:val="00BD5D99"/>
    <w:rsid w:val="00BD6203"/>
    <w:rsid w:val="00BD68F5"/>
    <w:rsid w:val="00BD7747"/>
    <w:rsid w:val="00BE063C"/>
    <w:rsid w:val="00BE1DE5"/>
    <w:rsid w:val="00BE2CD8"/>
    <w:rsid w:val="00BE2E79"/>
    <w:rsid w:val="00BE32D1"/>
    <w:rsid w:val="00BE36D4"/>
    <w:rsid w:val="00BE3880"/>
    <w:rsid w:val="00BE411A"/>
    <w:rsid w:val="00BE4487"/>
    <w:rsid w:val="00BE461F"/>
    <w:rsid w:val="00BE655E"/>
    <w:rsid w:val="00BE7A4E"/>
    <w:rsid w:val="00BE7AC8"/>
    <w:rsid w:val="00BF0A9F"/>
    <w:rsid w:val="00BF212F"/>
    <w:rsid w:val="00BF35BF"/>
    <w:rsid w:val="00BF3699"/>
    <w:rsid w:val="00BF36C6"/>
    <w:rsid w:val="00BF373E"/>
    <w:rsid w:val="00BF3FD2"/>
    <w:rsid w:val="00BF43FA"/>
    <w:rsid w:val="00BF5631"/>
    <w:rsid w:val="00BF61DB"/>
    <w:rsid w:val="00BF652B"/>
    <w:rsid w:val="00BF6A4A"/>
    <w:rsid w:val="00BF74DF"/>
    <w:rsid w:val="00BF7CCD"/>
    <w:rsid w:val="00C016EB"/>
    <w:rsid w:val="00C017AF"/>
    <w:rsid w:val="00C0182E"/>
    <w:rsid w:val="00C045BB"/>
    <w:rsid w:val="00C0568F"/>
    <w:rsid w:val="00C060CA"/>
    <w:rsid w:val="00C06B16"/>
    <w:rsid w:val="00C06CB9"/>
    <w:rsid w:val="00C07043"/>
    <w:rsid w:val="00C074B9"/>
    <w:rsid w:val="00C07A15"/>
    <w:rsid w:val="00C07A7C"/>
    <w:rsid w:val="00C12472"/>
    <w:rsid w:val="00C127E3"/>
    <w:rsid w:val="00C12993"/>
    <w:rsid w:val="00C14194"/>
    <w:rsid w:val="00C1562E"/>
    <w:rsid w:val="00C15C47"/>
    <w:rsid w:val="00C1772D"/>
    <w:rsid w:val="00C178D1"/>
    <w:rsid w:val="00C20FD7"/>
    <w:rsid w:val="00C21C6A"/>
    <w:rsid w:val="00C21DCE"/>
    <w:rsid w:val="00C22683"/>
    <w:rsid w:val="00C226BA"/>
    <w:rsid w:val="00C24365"/>
    <w:rsid w:val="00C2469F"/>
    <w:rsid w:val="00C24EDF"/>
    <w:rsid w:val="00C250D5"/>
    <w:rsid w:val="00C25D38"/>
    <w:rsid w:val="00C27758"/>
    <w:rsid w:val="00C303AE"/>
    <w:rsid w:val="00C31458"/>
    <w:rsid w:val="00C3203F"/>
    <w:rsid w:val="00C322A8"/>
    <w:rsid w:val="00C32C4F"/>
    <w:rsid w:val="00C32CA3"/>
    <w:rsid w:val="00C34219"/>
    <w:rsid w:val="00C342E1"/>
    <w:rsid w:val="00C345F9"/>
    <w:rsid w:val="00C35458"/>
    <w:rsid w:val="00C35A61"/>
    <w:rsid w:val="00C35CA4"/>
    <w:rsid w:val="00C363E0"/>
    <w:rsid w:val="00C3771E"/>
    <w:rsid w:val="00C377A0"/>
    <w:rsid w:val="00C40B0E"/>
    <w:rsid w:val="00C40CCE"/>
    <w:rsid w:val="00C41346"/>
    <w:rsid w:val="00C4171E"/>
    <w:rsid w:val="00C4210A"/>
    <w:rsid w:val="00C433AA"/>
    <w:rsid w:val="00C43BD6"/>
    <w:rsid w:val="00C446D8"/>
    <w:rsid w:val="00C44B47"/>
    <w:rsid w:val="00C45B16"/>
    <w:rsid w:val="00C45EBD"/>
    <w:rsid w:val="00C466DC"/>
    <w:rsid w:val="00C468DC"/>
    <w:rsid w:val="00C4702A"/>
    <w:rsid w:val="00C47B12"/>
    <w:rsid w:val="00C47C33"/>
    <w:rsid w:val="00C505A1"/>
    <w:rsid w:val="00C5218C"/>
    <w:rsid w:val="00C527F8"/>
    <w:rsid w:val="00C534CE"/>
    <w:rsid w:val="00C53A07"/>
    <w:rsid w:val="00C5415C"/>
    <w:rsid w:val="00C541D9"/>
    <w:rsid w:val="00C54CB1"/>
    <w:rsid w:val="00C55FA0"/>
    <w:rsid w:val="00C570B2"/>
    <w:rsid w:val="00C6110D"/>
    <w:rsid w:val="00C62615"/>
    <w:rsid w:val="00C62E60"/>
    <w:rsid w:val="00C6335B"/>
    <w:rsid w:val="00C63F3D"/>
    <w:rsid w:val="00C645D0"/>
    <w:rsid w:val="00C647E4"/>
    <w:rsid w:val="00C65119"/>
    <w:rsid w:val="00C6643C"/>
    <w:rsid w:val="00C67B4F"/>
    <w:rsid w:val="00C71AC0"/>
    <w:rsid w:val="00C71AD3"/>
    <w:rsid w:val="00C72787"/>
    <w:rsid w:val="00C729CD"/>
    <w:rsid w:val="00C73B4F"/>
    <w:rsid w:val="00C74104"/>
    <w:rsid w:val="00C74280"/>
    <w:rsid w:val="00C75616"/>
    <w:rsid w:val="00C75D45"/>
    <w:rsid w:val="00C80468"/>
    <w:rsid w:val="00C80CAD"/>
    <w:rsid w:val="00C82510"/>
    <w:rsid w:val="00C83288"/>
    <w:rsid w:val="00C83A49"/>
    <w:rsid w:val="00C83F39"/>
    <w:rsid w:val="00C84215"/>
    <w:rsid w:val="00C84523"/>
    <w:rsid w:val="00C846E1"/>
    <w:rsid w:val="00C847B5"/>
    <w:rsid w:val="00C854D6"/>
    <w:rsid w:val="00C85653"/>
    <w:rsid w:val="00C90211"/>
    <w:rsid w:val="00C902EA"/>
    <w:rsid w:val="00C90783"/>
    <w:rsid w:val="00C92789"/>
    <w:rsid w:val="00C92FF1"/>
    <w:rsid w:val="00C93C0C"/>
    <w:rsid w:val="00C93CEC"/>
    <w:rsid w:val="00C95C0B"/>
    <w:rsid w:val="00C964B1"/>
    <w:rsid w:val="00C96738"/>
    <w:rsid w:val="00CA0927"/>
    <w:rsid w:val="00CA0939"/>
    <w:rsid w:val="00CA0E05"/>
    <w:rsid w:val="00CA144E"/>
    <w:rsid w:val="00CA14B0"/>
    <w:rsid w:val="00CA1840"/>
    <w:rsid w:val="00CA3B50"/>
    <w:rsid w:val="00CA40F6"/>
    <w:rsid w:val="00CA4623"/>
    <w:rsid w:val="00CA4B6A"/>
    <w:rsid w:val="00CA6105"/>
    <w:rsid w:val="00CA6F30"/>
    <w:rsid w:val="00CA7402"/>
    <w:rsid w:val="00CA74A2"/>
    <w:rsid w:val="00CA7818"/>
    <w:rsid w:val="00CA7A9C"/>
    <w:rsid w:val="00CA7E8B"/>
    <w:rsid w:val="00CB007D"/>
    <w:rsid w:val="00CB0544"/>
    <w:rsid w:val="00CB140F"/>
    <w:rsid w:val="00CB1C03"/>
    <w:rsid w:val="00CB2063"/>
    <w:rsid w:val="00CB23A9"/>
    <w:rsid w:val="00CB31AD"/>
    <w:rsid w:val="00CB5E26"/>
    <w:rsid w:val="00CB616C"/>
    <w:rsid w:val="00CB639A"/>
    <w:rsid w:val="00CB6509"/>
    <w:rsid w:val="00CC06B2"/>
    <w:rsid w:val="00CC0CC8"/>
    <w:rsid w:val="00CC1309"/>
    <w:rsid w:val="00CC1977"/>
    <w:rsid w:val="00CC1D1C"/>
    <w:rsid w:val="00CC1F56"/>
    <w:rsid w:val="00CC2185"/>
    <w:rsid w:val="00CC28DD"/>
    <w:rsid w:val="00CC3041"/>
    <w:rsid w:val="00CC3804"/>
    <w:rsid w:val="00CC4601"/>
    <w:rsid w:val="00CC5FF8"/>
    <w:rsid w:val="00CC6BAC"/>
    <w:rsid w:val="00CC7102"/>
    <w:rsid w:val="00CC7128"/>
    <w:rsid w:val="00CC75A2"/>
    <w:rsid w:val="00CD0D29"/>
    <w:rsid w:val="00CD2039"/>
    <w:rsid w:val="00CD2162"/>
    <w:rsid w:val="00CD49EF"/>
    <w:rsid w:val="00CD5A0D"/>
    <w:rsid w:val="00CD7272"/>
    <w:rsid w:val="00CD75D2"/>
    <w:rsid w:val="00CE0348"/>
    <w:rsid w:val="00CE0F49"/>
    <w:rsid w:val="00CE3ED5"/>
    <w:rsid w:val="00CE423E"/>
    <w:rsid w:val="00CE67AF"/>
    <w:rsid w:val="00CE6F1E"/>
    <w:rsid w:val="00CF04E5"/>
    <w:rsid w:val="00CF2044"/>
    <w:rsid w:val="00CF20A0"/>
    <w:rsid w:val="00CF4068"/>
    <w:rsid w:val="00CF406E"/>
    <w:rsid w:val="00CF4D75"/>
    <w:rsid w:val="00CF550E"/>
    <w:rsid w:val="00CF71EE"/>
    <w:rsid w:val="00CF7381"/>
    <w:rsid w:val="00CF75EC"/>
    <w:rsid w:val="00D0002B"/>
    <w:rsid w:val="00D007C7"/>
    <w:rsid w:val="00D0230C"/>
    <w:rsid w:val="00D02747"/>
    <w:rsid w:val="00D029A4"/>
    <w:rsid w:val="00D02C2A"/>
    <w:rsid w:val="00D037B5"/>
    <w:rsid w:val="00D03FFF"/>
    <w:rsid w:val="00D0461F"/>
    <w:rsid w:val="00D07040"/>
    <w:rsid w:val="00D07155"/>
    <w:rsid w:val="00D10459"/>
    <w:rsid w:val="00D107B7"/>
    <w:rsid w:val="00D111B0"/>
    <w:rsid w:val="00D1120B"/>
    <w:rsid w:val="00D117B8"/>
    <w:rsid w:val="00D11B8A"/>
    <w:rsid w:val="00D11E29"/>
    <w:rsid w:val="00D137F5"/>
    <w:rsid w:val="00D14664"/>
    <w:rsid w:val="00D175D4"/>
    <w:rsid w:val="00D21F6F"/>
    <w:rsid w:val="00D226A0"/>
    <w:rsid w:val="00D26A3A"/>
    <w:rsid w:val="00D26F1A"/>
    <w:rsid w:val="00D27175"/>
    <w:rsid w:val="00D277F5"/>
    <w:rsid w:val="00D30466"/>
    <w:rsid w:val="00D304CE"/>
    <w:rsid w:val="00D3157C"/>
    <w:rsid w:val="00D3162E"/>
    <w:rsid w:val="00D31B3E"/>
    <w:rsid w:val="00D323CD"/>
    <w:rsid w:val="00D32626"/>
    <w:rsid w:val="00D33CEB"/>
    <w:rsid w:val="00D33D96"/>
    <w:rsid w:val="00D353D7"/>
    <w:rsid w:val="00D35671"/>
    <w:rsid w:val="00D358D4"/>
    <w:rsid w:val="00D3631D"/>
    <w:rsid w:val="00D364E5"/>
    <w:rsid w:val="00D37232"/>
    <w:rsid w:val="00D37658"/>
    <w:rsid w:val="00D4116F"/>
    <w:rsid w:val="00D41184"/>
    <w:rsid w:val="00D414B5"/>
    <w:rsid w:val="00D41C63"/>
    <w:rsid w:val="00D42666"/>
    <w:rsid w:val="00D428E9"/>
    <w:rsid w:val="00D434B3"/>
    <w:rsid w:val="00D44C50"/>
    <w:rsid w:val="00D459F4"/>
    <w:rsid w:val="00D460DF"/>
    <w:rsid w:val="00D46F18"/>
    <w:rsid w:val="00D4768E"/>
    <w:rsid w:val="00D47C63"/>
    <w:rsid w:val="00D47C7E"/>
    <w:rsid w:val="00D47CF4"/>
    <w:rsid w:val="00D50C7E"/>
    <w:rsid w:val="00D50E41"/>
    <w:rsid w:val="00D5212F"/>
    <w:rsid w:val="00D526FD"/>
    <w:rsid w:val="00D528D0"/>
    <w:rsid w:val="00D52D57"/>
    <w:rsid w:val="00D52DD6"/>
    <w:rsid w:val="00D52EB8"/>
    <w:rsid w:val="00D53012"/>
    <w:rsid w:val="00D53B92"/>
    <w:rsid w:val="00D543E3"/>
    <w:rsid w:val="00D5552B"/>
    <w:rsid w:val="00D557FA"/>
    <w:rsid w:val="00D560F9"/>
    <w:rsid w:val="00D56D8A"/>
    <w:rsid w:val="00D61ED1"/>
    <w:rsid w:val="00D6208B"/>
    <w:rsid w:val="00D624E0"/>
    <w:rsid w:val="00D6323D"/>
    <w:rsid w:val="00D65736"/>
    <w:rsid w:val="00D67916"/>
    <w:rsid w:val="00D70277"/>
    <w:rsid w:val="00D7082A"/>
    <w:rsid w:val="00D717AC"/>
    <w:rsid w:val="00D71A5D"/>
    <w:rsid w:val="00D74414"/>
    <w:rsid w:val="00D7499E"/>
    <w:rsid w:val="00D76498"/>
    <w:rsid w:val="00D811A3"/>
    <w:rsid w:val="00D824D2"/>
    <w:rsid w:val="00D82B2E"/>
    <w:rsid w:val="00D849BF"/>
    <w:rsid w:val="00D85B23"/>
    <w:rsid w:val="00D86780"/>
    <w:rsid w:val="00D86E4E"/>
    <w:rsid w:val="00D878B0"/>
    <w:rsid w:val="00D90823"/>
    <w:rsid w:val="00D91CBA"/>
    <w:rsid w:val="00D94156"/>
    <w:rsid w:val="00D943D0"/>
    <w:rsid w:val="00D94439"/>
    <w:rsid w:val="00D962F0"/>
    <w:rsid w:val="00D97BE4"/>
    <w:rsid w:val="00D97F08"/>
    <w:rsid w:val="00DA005C"/>
    <w:rsid w:val="00DA15E3"/>
    <w:rsid w:val="00DA34E9"/>
    <w:rsid w:val="00DA3DD0"/>
    <w:rsid w:val="00DA3ED9"/>
    <w:rsid w:val="00DA56CD"/>
    <w:rsid w:val="00DA6398"/>
    <w:rsid w:val="00DA659F"/>
    <w:rsid w:val="00DA7032"/>
    <w:rsid w:val="00DA7643"/>
    <w:rsid w:val="00DB46AA"/>
    <w:rsid w:val="00DB4813"/>
    <w:rsid w:val="00DB4938"/>
    <w:rsid w:val="00DB5028"/>
    <w:rsid w:val="00DB5AAB"/>
    <w:rsid w:val="00DB6228"/>
    <w:rsid w:val="00DC186B"/>
    <w:rsid w:val="00DC2906"/>
    <w:rsid w:val="00DC3D1B"/>
    <w:rsid w:val="00DC3FD9"/>
    <w:rsid w:val="00DC4AE4"/>
    <w:rsid w:val="00DC5F49"/>
    <w:rsid w:val="00DC6251"/>
    <w:rsid w:val="00DC6D92"/>
    <w:rsid w:val="00DC7545"/>
    <w:rsid w:val="00DC77D8"/>
    <w:rsid w:val="00DC7BEC"/>
    <w:rsid w:val="00DD1193"/>
    <w:rsid w:val="00DD11BD"/>
    <w:rsid w:val="00DD1AE1"/>
    <w:rsid w:val="00DD4948"/>
    <w:rsid w:val="00DD5438"/>
    <w:rsid w:val="00DD60FB"/>
    <w:rsid w:val="00DD68C2"/>
    <w:rsid w:val="00DD6C5E"/>
    <w:rsid w:val="00DE0022"/>
    <w:rsid w:val="00DE03B2"/>
    <w:rsid w:val="00DE073C"/>
    <w:rsid w:val="00DE16E9"/>
    <w:rsid w:val="00DE321D"/>
    <w:rsid w:val="00DE4365"/>
    <w:rsid w:val="00DE4C6F"/>
    <w:rsid w:val="00DE5373"/>
    <w:rsid w:val="00DE554E"/>
    <w:rsid w:val="00DE58B1"/>
    <w:rsid w:val="00DE5BDA"/>
    <w:rsid w:val="00DE6A34"/>
    <w:rsid w:val="00DE6B22"/>
    <w:rsid w:val="00DF1BF3"/>
    <w:rsid w:val="00DF1C4A"/>
    <w:rsid w:val="00DF2119"/>
    <w:rsid w:val="00DF2359"/>
    <w:rsid w:val="00DF34CC"/>
    <w:rsid w:val="00DF3B3D"/>
    <w:rsid w:val="00DF4926"/>
    <w:rsid w:val="00DF673A"/>
    <w:rsid w:val="00DF7CC4"/>
    <w:rsid w:val="00E00E9B"/>
    <w:rsid w:val="00E00F8F"/>
    <w:rsid w:val="00E01B46"/>
    <w:rsid w:val="00E05F95"/>
    <w:rsid w:val="00E06324"/>
    <w:rsid w:val="00E065B4"/>
    <w:rsid w:val="00E068FB"/>
    <w:rsid w:val="00E06EA2"/>
    <w:rsid w:val="00E10110"/>
    <w:rsid w:val="00E109B2"/>
    <w:rsid w:val="00E10AAD"/>
    <w:rsid w:val="00E10E4F"/>
    <w:rsid w:val="00E112C2"/>
    <w:rsid w:val="00E11C47"/>
    <w:rsid w:val="00E121AE"/>
    <w:rsid w:val="00E12DDC"/>
    <w:rsid w:val="00E1400B"/>
    <w:rsid w:val="00E14053"/>
    <w:rsid w:val="00E15177"/>
    <w:rsid w:val="00E159F0"/>
    <w:rsid w:val="00E166CD"/>
    <w:rsid w:val="00E16755"/>
    <w:rsid w:val="00E17B51"/>
    <w:rsid w:val="00E208CC"/>
    <w:rsid w:val="00E21500"/>
    <w:rsid w:val="00E21870"/>
    <w:rsid w:val="00E21F2D"/>
    <w:rsid w:val="00E2249A"/>
    <w:rsid w:val="00E22F6E"/>
    <w:rsid w:val="00E244B9"/>
    <w:rsid w:val="00E245D6"/>
    <w:rsid w:val="00E2474A"/>
    <w:rsid w:val="00E25B05"/>
    <w:rsid w:val="00E271BE"/>
    <w:rsid w:val="00E27429"/>
    <w:rsid w:val="00E3015A"/>
    <w:rsid w:val="00E30BBC"/>
    <w:rsid w:val="00E30C20"/>
    <w:rsid w:val="00E30E91"/>
    <w:rsid w:val="00E30EBB"/>
    <w:rsid w:val="00E311EE"/>
    <w:rsid w:val="00E31500"/>
    <w:rsid w:val="00E31C84"/>
    <w:rsid w:val="00E32B5E"/>
    <w:rsid w:val="00E33420"/>
    <w:rsid w:val="00E3370E"/>
    <w:rsid w:val="00E33D2F"/>
    <w:rsid w:val="00E343A3"/>
    <w:rsid w:val="00E358BE"/>
    <w:rsid w:val="00E35AF5"/>
    <w:rsid w:val="00E35D4E"/>
    <w:rsid w:val="00E361BB"/>
    <w:rsid w:val="00E363D3"/>
    <w:rsid w:val="00E36FFE"/>
    <w:rsid w:val="00E37291"/>
    <w:rsid w:val="00E373F3"/>
    <w:rsid w:val="00E41E57"/>
    <w:rsid w:val="00E41E7A"/>
    <w:rsid w:val="00E4272F"/>
    <w:rsid w:val="00E42AD5"/>
    <w:rsid w:val="00E42FD5"/>
    <w:rsid w:val="00E43266"/>
    <w:rsid w:val="00E4395F"/>
    <w:rsid w:val="00E44CFC"/>
    <w:rsid w:val="00E45237"/>
    <w:rsid w:val="00E47A1A"/>
    <w:rsid w:val="00E503CA"/>
    <w:rsid w:val="00E537FA"/>
    <w:rsid w:val="00E5384A"/>
    <w:rsid w:val="00E55AD2"/>
    <w:rsid w:val="00E55AEC"/>
    <w:rsid w:val="00E560FD"/>
    <w:rsid w:val="00E57717"/>
    <w:rsid w:val="00E57F35"/>
    <w:rsid w:val="00E6040B"/>
    <w:rsid w:val="00E610C7"/>
    <w:rsid w:val="00E6154F"/>
    <w:rsid w:val="00E61EAF"/>
    <w:rsid w:val="00E62CDE"/>
    <w:rsid w:val="00E62EC7"/>
    <w:rsid w:val="00E6346D"/>
    <w:rsid w:val="00E63ABD"/>
    <w:rsid w:val="00E63D94"/>
    <w:rsid w:val="00E64C9B"/>
    <w:rsid w:val="00E65EA7"/>
    <w:rsid w:val="00E663EB"/>
    <w:rsid w:val="00E66C39"/>
    <w:rsid w:val="00E67AC7"/>
    <w:rsid w:val="00E67B68"/>
    <w:rsid w:val="00E67FAF"/>
    <w:rsid w:val="00E70CC7"/>
    <w:rsid w:val="00E7105C"/>
    <w:rsid w:val="00E71576"/>
    <w:rsid w:val="00E7211C"/>
    <w:rsid w:val="00E727B4"/>
    <w:rsid w:val="00E731EA"/>
    <w:rsid w:val="00E7490A"/>
    <w:rsid w:val="00E74EE3"/>
    <w:rsid w:val="00E758B8"/>
    <w:rsid w:val="00E773A0"/>
    <w:rsid w:val="00E77F0E"/>
    <w:rsid w:val="00E81538"/>
    <w:rsid w:val="00E8218B"/>
    <w:rsid w:val="00E82285"/>
    <w:rsid w:val="00E82F3D"/>
    <w:rsid w:val="00E85022"/>
    <w:rsid w:val="00E85235"/>
    <w:rsid w:val="00E860AC"/>
    <w:rsid w:val="00E87A60"/>
    <w:rsid w:val="00E90720"/>
    <w:rsid w:val="00E90CA8"/>
    <w:rsid w:val="00E91702"/>
    <w:rsid w:val="00E92082"/>
    <w:rsid w:val="00E926DA"/>
    <w:rsid w:val="00E932F2"/>
    <w:rsid w:val="00E9493D"/>
    <w:rsid w:val="00E95A45"/>
    <w:rsid w:val="00E96246"/>
    <w:rsid w:val="00EA09E6"/>
    <w:rsid w:val="00EA1A7C"/>
    <w:rsid w:val="00EA265F"/>
    <w:rsid w:val="00EA2747"/>
    <w:rsid w:val="00EA37F9"/>
    <w:rsid w:val="00EA48FC"/>
    <w:rsid w:val="00EA5000"/>
    <w:rsid w:val="00EA69C3"/>
    <w:rsid w:val="00EB0742"/>
    <w:rsid w:val="00EB0D59"/>
    <w:rsid w:val="00EB18AD"/>
    <w:rsid w:val="00EB2203"/>
    <w:rsid w:val="00EB2615"/>
    <w:rsid w:val="00EB28CD"/>
    <w:rsid w:val="00EB2E9E"/>
    <w:rsid w:val="00EB38C4"/>
    <w:rsid w:val="00EB3CD1"/>
    <w:rsid w:val="00EB3FD4"/>
    <w:rsid w:val="00EB5501"/>
    <w:rsid w:val="00EB57A9"/>
    <w:rsid w:val="00EB6405"/>
    <w:rsid w:val="00EB6F62"/>
    <w:rsid w:val="00EB75FE"/>
    <w:rsid w:val="00EB7684"/>
    <w:rsid w:val="00EC031D"/>
    <w:rsid w:val="00EC2431"/>
    <w:rsid w:val="00EC25DD"/>
    <w:rsid w:val="00EC2985"/>
    <w:rsid w:val="00EC33B7"/>
    <w:rsid w:val="00EC366B"/>
    <w:rsid w:val="00EC399F"/>
    <w:rsid w:val="00EC4E66"/>
    <w:rsid w:val="00EC4E89"/>
    <w:rsid w:val="00EC5738"/>
    <w:rsid w:val="00EC5BA4"/>
    <w:rsid w:val="00ED063F"/>
    <w:rsid w:val="00ED13C8"/>
    <w:rsid w:val="00ED1D87"/>
    <w:rsid w:val="00ED2A43"/>
    <w:rsid w:val="00ED3714"/>
    <w:rsid w:val="00ED3929"/>
    <w:rsid w:val="00ED3FEC"/>
    <w:rsid w:val="00ED4477"/>
    <w:rsid w:val="00ED48A4"/>
    <w:rsid w:val="00ED63D2"/>
    <w:rsid w:val="00ED6AB2"/>
    <w:rsid w:val="00ED74A0"/>
    <w:rsid w:val="00ED7CDD"/>
    <w:rsid w:val="00ED7FF2"/>
    <w:rsid w:val="00EE2D96"/>
    <w:rsid w:val="00EE31A3"/>
    <w:rsid w:val="00EE3F0F"/>
    <w:rsid w:val="00EE52F5"/>
    <w:rsid w:val="00EE6BC1"/>
    <w:rsid w:val="00EE7F07"/>
    <w:rsid w:val="00EF10F0"/>
    <w:rsid w:val="00EF180F"/>
    <w:rsid w:val="00EF18F6"/>
    <w:rsid w:val="00EF2A0C"/>
    <w:rsid w:val="00EF362C"/>
    <w:rsid w:val="00EF4C2E"/>
    <w:rsid w:val="00EF5AC9"/>
    <w:rsid w:val="00EF679E"/>
    <w:rsid w:val="00EF6895"/>
    <w:rsid w:val="00EF6E58"/>
    <w:rsid w:val="00EF6F6F"/>
    <w:rsid w:val="00F0039C"/>
    <w:rsid w:val="00F00DC9"/>
    <w:rsid w:val="00F025C8"/>
    <w:rsid w:val="00F02B28"/>
    <w:rsid w:val="00F02CD8"/>
    <w:rsid w:val="00F03A6F"/>
    <w:rsid w:val="00F0713D"/>
    <w:rsid w:val="00F078B5"/>
    <w:rsid w:val="00F1061C"/>
    <w:rsid w:val="00F1180D"/>
    <w:rsid w:val="00F1298C"/>
    <w:rsid w:val="00F12E05"/>
    <w:rsid w:val="00F1351A"/>
    <w:rsid w:val="00F13938"/>
    <w:rsid w:val="00F15621"/>
    <w:rsid w:val="00F15CE1"/>
    <w:rsid w:val="00F15F42"/>
    <w:rsid w:val="00F1642E"/>
    <w:rsid w:val="00F1677C"/>
    <w:rsid w:val="00F167D6"/>
    <w:rsid w:val="00F20E8F"/>
    <w:rsid w:val="00F2132D"/>
    <w:rsid w:val="00F21708"/>
    <w:rsid w:val="00F221AA"/>
    <w:rsid w:val="00F22E84"/>
    <w:rsid w:val="00F24F9C"/>
    <w:rsid w:val="00F25C00"/>
    <w:rsid w:val="00F26753"/>
    <w:rsid w:val="00F272A0"/>
    <w:rsid w:val="00F307A6"/>
    <w:rsid w:val="00F30AB9"/>
    <w:rsid w:val="00F31CBE"/>
    <w:rsid w:val="00F32555"/>
    <w:rsid w:val="00F33B19"/>
    <w:rsid w:val="00F33B78"/>
    <w:rsid w:val="00F34C5A"/>
    <w:rsid w:val="00F36152"/>
    <w:rsid w:val="00F361CB"/>
    <w:rsid w:val="00F36D45"/>
    <w:rsid w:val="00F370B4"/>
    <w:rsid w:val="00F372F3"/>
    <w:rsid w:val="00F3751F"/>
    <w:rsid w:val="00F37BFC"/>
    <w:rsid w:val="00F419FE"/>
    <w:rsid w:val="00F42A25"/>
    <w:rsid w:val="00F43566"/>
    <w:rsid w:val="00F43B00"/>
    <w:rsid w:val="00F448F4"/>
    <w:rsid w:val="00F4683D"/>
    <w:rsid w:val="00F46D10"/>
    <w:rsid w:val="00F50667"/>
    <w:rsid w:val="00F509D9"/>
    <w:rsid w:val="00F50A81"/>
    <w:rsid w:val="00F50FEA"/>
    <w:rsid w:val="00F51A53"/>
    <w:rsid w:val="00F51DC7"/>
    <w:rsid w:val="00F52C04"/>
    <w:rsid w:val="00F52F54"/>
    <w:rsid w:val="00F53597"/>
    <w:rsid w:val="00F55ECB"/>
    <w:rsid w:val="00F56C74"/>
    <w:rsid w:val="00F57207"/>
    <w:rsid w:val="00F5747F"/>
    <w:rsid w:val="00F5794E"/>
    <w:rsid w:val="00F606DB"/>
    <w:rsid w:val="00F60FEF"/>
    <w:rsid w:val="00F62E90"/>
    <w:rsid w:val="00F63303"/>
    <w:rsid w:val="00F63949"/>
    <w:rsid w:val="00F63A44"/>
    <w:rsid w:val="00F63A66"/>
    <w:rsid w:val="00F63FE7"/>
    <w:rsid w:val="00F644D9"/>
    <w:rsid w:val="00F64C49"/>
    <w:rsid w:val="00F656A9"/>
    <w:rsid w:val="00F65DEA"/>
    <w:rsid w:val="00F65E49"/>
    <w:rsid w:val="00F66353"/>
    <w:rsid w:val="00F66DF8"/>
    <w:rsid w:val="00F67ECF"/>
    <w:rsid w:val="00F70120"/>
    <w:rsid w:val="00F7063D"/>
    <w:rsid w:val="00F70CD4"/>
    <w:rsid w:val="00F71201"/>
    <w:rsid w:val="00F72138"/>
    <w:rsid w:val="00F73E58"/>
    <w:rsid w:val="00F74539"/>
    <w:rsid w:val="00F74B84"/>
    <w:rsid w:val="00F8068D"/>
    <w:rsid w:val="00F82042"/>
    <w:rsid w:val="00F8275C"/>
    <w:rsid w:val="00F842CC"/>
    <w:rsid w:val="00F84376"/>
    <w:rsid w:val="00F84CB7"/>
    <w:rsid w:val="00F8543D"/>
    <w:rsid w:val="00F86C2F"/>
    <w:rsid w:val="00F86DED"/>
    <w:rsid w:val="00F9086D"/>
    <w:rsid w:val="00F908C4"/>
    <w:rsid w:val="00F911F0"/>
    <w:rsid w:val="00F9259C"/>
    <w:rsid w:val="00F94389"/>
    <w:rsid w:val="00F9496E"/>
    <w:rsid w:val="00F94CAB"/>
    <w:rsid w:val="00F94D52"/>
    <w:rsid w:val="00F96096"/>
    <w:rsid w:val="00F96741"/>
    <w:rsid w:val="00FA00A1"/>
    <w:rsid w:val="00FA12C7"/>
    <w:rsid w:val="00FA1629"/>
    <w:rsid w:val="00FA211A"/>
    <w:rsid w:val="00FA215F"/>
    <w:rsid w:val="00FA2302"/>
    <w:rsid w:val="00FA2AD7"/>
    <w:rsid w:val="00FA3877"/>
    <w:rsid w:val="00FA390E"/>
    <w:rsid w:val="00FA3A5D"/>
    <w:rsid w:val="00FA5054"/>
    <w:rsid w:val="00FA6CE9"/>
    <w:rsid w:val="00FA6FA2"/>
    <w:rsid w:val="00FB03FC"/>
    <w:rsid w:val="00FB050D"/>
    <w:rsid w:val="00FB1764"/>
    <w:rsid w:val="00FB2480"/>
    <w:rsid w:val="00FB5172"/>
    <w:rsid w:val="00FB56D4"/>
    <w:rsid w:val="00FB698D"/>
    <w:rsid w:val="00FB7D95"/>
    <w:rsid w:val="00FC0283"/>
    <w:rsid w:val="00FC076E"/>
    <w:rsid w:val="00FC11EF"/>
    <w:rsid w:val="00FC15B7"/>
    <w:rsid w:val="00FC24B4"/>
    <w:rsid w:val="00FC2B68"/>
    <w:rsid w:val="00FC2FAD"/>
    <w:rsid w:val="00FC4224"/>
    <w:rsid w:val="00FC49E1"/>
    <w:rsid w:val="00FC4B82"/>
    <w:rsid w:val="00FC4CE4"/>
    <w:rsid w:val="00FD0B82"/>
    <w:rsid w:val="00FD1537"/>
    <w:rsid w:val="00FD1A53"/>
    <w:rsid w:val="00FD349C"/>
    <w:rsid w:val="00FD4D99"/>
    <w:rsid w:val="00FD6EF7"/>
    <w:rsid w:val="00FD7AFE"/>
    <w:rsid w:val="00FD7DA6"/>
    <w:rsid w:val="00FE0ABD"/>
    <w:rsid w:val="00FE12EB"/>
    <w:rsid w:val="00FE1A58"/>
    <w:rsid w:val="00FE2630"/>
    <w:rsid w:val="00FE2D4E"/>
    <w:rsid w:val="00FE34E0"/>
    <w:rsid w:val="00FE3AFA"/>
    <w:rsid w:val="00FE426B"/>
    <w:rsid w:val="00FE5E3B"/>
    <w:rsid w:val="00FE6428"/>
    <w:rsid w:val="00FE6BC2"/>
    <w:rsid w:val="00FE6D8D"/>
    <w:rsid w:val="00FE7715"/>
    <w:rsid w:val="00FF0136"/>
    <w:rsid w:val="00FF0269"/>
    <w:rsid w:val="00FF1917"/>
    <w:rsid w:val="00FF1C59"/>
    <w:rsid w:val="00FF1E51"/>
    <w:rsid w:val="00FF2E00"/>
    <w:rsid w:val="00FF362B"/>
    <w:rsid w:val="00FF3942"/>
    <w:rsid w:val="00FF44F6"/>
    <w:rsid w:val="00FF4D7F"/>
    <w:rsid w:val="00FF5111"/>
    <w:rsid w:val="00FF61F9"/>
    <w:rsid w:val="00FF64A5"/>
    <w:rsid w:val="00FF693A"/>
    <w:rsid w:val="00FF7483"/>
    <w:rsid w:val="030D17A1"/>
    <w:rsid w:val="039842CF"/>
    <w:rsid w:val="048C3056"/>
    <w:rsid w:val="08C86E23"/>
    <w:rsid w:val="0B100BEF"/>
    <w:rsid w:val="0C0D15D3"/>
    <w:rsid w:val="0C4046A2"/>
    <w:rsid w:val="0D2476C2"/>
    <w:rsid w:val="0E9E6512"/>
    <w:rsid w:val="1217234F"/>
    <w:rsid w:val="12442C11"/>
    <w:rsid w:val="12C329EB"/>
    <w:rsid w:val="148C7DF2"/>
    <w:rsid w:val="14926B19"/>
    <w:rsid w:val="15AC59B8"/>
    <w:rsid w:val="162B0FD3"/>
    <w:rsid w:val="191423C7"/>
    <w:rsid w:val="196A3BC0"/>
    <w:rsid w:val="1B9024EC"/>
    <w:rsid w:val="1BD23C9F"/>
    <w:rsid w:val="1C1E41C2"/>
    <w:rsid w:val="1C965EB7"/>
    <w:rsid w:val="1EC96675"/>
    <w:rsid w:val="235A693B"/>
    <w:rsid w:val="245074F8"/>
    <w:rsid w:val="277515FF"/>
    <w:rsid w:val="28177609"/>
    <w:rsid w:val="28DC43AF"/>
    <w:rsid w:val="2A5C1303"/>
    <w:rsid w:val="2AED7806"/>
    <w:rsid w:val="2B3043E2"/>
    <w:rsid w:val="2F8512FC"/>
    <w:rsid w:val="2F915CA3"/>
    <w:rsid w:val="302B6E8C"/>
    <w:rsid w:val="37887BDC"/>
    <w:rsid w:val="386C12AB"/>
    <w:rsid w:val="38C84008"/>
    <w:rsid w:val="38E01351"/>
    <w:rsid w:val="395121A0"/>
    <w:rsid w:val="3969274F"/>
    <w:rsid w:val="398443D3"/>
    <w:rsid w:val="3DC53681"/>
    <w:rsid w:val="41A3653E"/>
    <w:rsid w:val="446E0159"/>
    <w:rsid w:val="45EE77A4"/>
    <w:rsid w:val="479554D6"/>
    <w:rsid w:val="4967214E"/>
    <w:rsid w:val="4A394D65"/>
    <w:rsid w:val="4A5D0A54"/>
    <w:rsid w:val="4D6C7200"/>
    <w:rsid w:val="4D797607"/>
    <w:rsid w:val="4DB148AE"/>
    <w:rsid w:val="4F495A4B"/>
    <w:rsid w:val="51C35677"/>
    <w:rsid w:val="52A041E0"/>
    <w:rsid w:val="52FC2DD4"/>
    <w:rsid w:val="53C72BD7"/>
    <w:rsid w:val="54913993"/>
    <w:rsid w:val="570D3802"/>
    <w:rsid w:val="586C4558"/>
    <w:rsid w:val="59796F2C"/>
    <w:rsid w:val="5A427C66"/>
    <w:rsid w:val="5A587B27"/>
    <w:rsid w:val="5A81253D"/>
    <w:rsid w:val="5AC9030A"/>
    <w:rsid w:val="5B6350C8"/>
    <w:rsid w:val="5B915104"/>
    <w:rsid w:val="5BD668B8"/>
    <w:rsid w:val="5D3715D8"/>
    <w:rsid w:val="5D4E0DD5"/>
    <w:rsid w:val="62EE0681"/>
    <w:rsid w:val="63C90AB0"/>
    <w:rsid w:val="651B7D58"/>
    <w:rsid w:val="65A96DEB"/>
    <w:rsid w:val="66B5531C"/>
    <w:rsid w:val="6B385909"/>
    <w:rsid w:val="6CBA368C"/>
    <w:rsid w:val="700B0E1C"/>
    <w:rsid w:val="70F1433F"/>
    <w:rsid w:val="71D46F9E"/>
    <w:rsid w:val="72001D2A"/>
    <w:rsid w:val="74E76B6A"/>
    <w:rsid w:val="75F55735"/>
    <w:rsid w:val="7605012D"/>
    <w:rsid w:val="761C7166"/>
    <w:rsid w:val="76A741E9"/>
    <w:rsid w:val="774A49A6"/>
    <w:rsid w:val="77764653"/>
    <w:rsid w:val="77D9530E"/>
    <w:rsid w:val="79F3642F"/>
    <w:rsid w:val="7AAC6D0A"/>
    <w:rsid w:val="7BA8731A"/>
    <w:rsid w:val="7D731E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Times New Roman"/>
      <w:kern w:val="30"/>
      <w:sz w:val="30"/>
      <w:szCs w:val="21"/>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6"/>
    <w:qFormat/>
    <w:uiPriority w:val="9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27"/>
    <w:qFormat/>
    <w:uiPriority w:val="99"/>
    <w:pPr>
      <w:keepNext/>
      <w:keepLines/>
      <w:spacing w:before="260" w:after="260" w:line="416" w:lineRule="auto"/>
      <w:outlineLvl w:val="2"/>
    </w:pPr>
    <w:rPr>
      <w:b/>
      <w:bCs/>
      <w:kern w:val="0"/>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3"/>
    <w:unhideWhenUsed/>
    <w:qFormat/>
    <w:uiPriority w:val="99"/>
    <w:rPr>
      <w:rFonts w:ascii="宋体"/>
      <w:sz w:val="18"/>
      <w:szCs w:val="18"/>
    </w:rPr>
  </w:style>
  <w:style w:type="paragraph" w:styleId="6">
    <w:name w:val="annotation text"/>
    <w:basedOn w:val="1"/>
    <w:link w:val="31"/>
    <w:unhideWhenUsed/>
    <w:qFormat/>
    <w:uiPriority w:val="99"/>
    <w:pPr>
      <w:jc w:val="left"/>
    </w:pPr>
  </w:style>
  <w:style w:type="paragraph" w:styleId="7">
    <w:name w:val="Body Text"/>
    <w:basedOn w:val="1"/>
    <w:link w:val="38"/>
    <w:qFormat/>
    <w:uiPriority w:val="1"/>
    <w:pPr>
      <w:ind w:left="119"/>
      <w:jc w:val="left"/>
    </w:pPr>
    <w:rPr>
      <w:rFonts w:ascii="仿宋_GB2312" w:hAnsi="仿宋_GB2312" w:eastAsia="仿宋_GB2312" w:cstheme="minorBidi"/>
      <w:kern w:val="0"/>
      <w:szCs w:val="30"/>
      <w:lang w:eastAsia="en-US"/>
    </w:rPr>
  </w:style>
  <w:style w:type="paragraph" w:styleId="8">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9">
    <w:name w:val="Balloon Text"/>
    <w:basedOn w:val="1"/>
    <w:link w:val="30"/>
    <w:unhideWhenUsed/>
    <w:qFormat/>
    <w:uiPriority w:val="99"/>
    <w:rPr>
      <w:sz w:val="18"/>
      <w:szCs w:val="18"/>
    </w:rPr>
  </w:style>
  <w:style w:type="paragraph" w:styleId="10">
    <w:name w:val="footer"/>
    <w:basedOn w:val="1"/>
    <w:link w:val="2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2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oc 1"/>
    <w:basedOn w:val="1"/>
    <w:next w:val="1"/>
    <w:unhideWhenUsed/>
    <w:qFormat/>
    <w:uiPriority w:val="39"/>
    <w:pPr>
      <w:widowControl/>
      <w:tabs>
        <w:tab w:val="right" w:leader="dot" w:pos="8931"/>
      </w:tabs>
      <w:spacing w:line="400" w:lineRule="exact"/>
      <w:jc w:val="left"/>
    </w:pPr>
    <w:rPr>
      <w:rFonts w:asciiTheme="minorHAnsi" w:hAnsiTheme="minorHAnsi" w:eastAsiaTheme="minorEastAsia"/>
      <w:kern w:val="0"/>
      <w:sz w:val="22"/>
      <w:szCs w:val="22"/>
    </w:rPr>
  </w:style>
  <w:style w:type="paragraph" w:styleId="13">
    <w:name w:val="footnote text"/>
    <w:basedOn w:val="1"/>
    <w:link w:val="43"/>
    <w:qFormat/>
    <w:uiPriority w:val="0"/>
    <w:pPr>
      <w:snapToGrid w:val="0"/>
      <w:jc w:val="left"/>
    </w:pPr>
    <w:rPr>
      <w:sz w:val="18"/>
      <w:szCs w:val="18"/>
    </w:rPr>
  </w:style>
  <w:style w:type="paragraph" w:styleId="14">
    <w:name w:val="toc 2"/>
    <w:basedOn w:val="1"/>
    <w:next w:val="1"/>
    <w:unhideWhenUsed/>
    <w:qFormat/>
    <w:uiPriority w:val="39"/>
    <w:pPr>
      <w:widowControl/>
      <w:tabs>
        <w:tab w:val="right" w:leader="dot" w:pos="8789"/>
      </w:tabs>
      <w:spacing w:line="400" w:lineRule="exact"/>
      <w:jc w:val="left"/>
    </w:pPr>
    <w:rPr>
      <w:rFonts w:ascii="仿宋_GB2312" w:eastAsia="仿宋_GB2312" w:hAnsiTheme="minorHAnsi"/>
      <w:b/>
      <w:bCs/>
      <w:kern w:val="0"/>
      <w:sz w:val="24"/>
      <w:szCs w:val="24"/>
      <w:lang w:val="zh-CN"/>
    </w:rPr>
  </w:style>
  <w:style w:type="paragraph" w:styleId="15">
    <w:name w:val="annotation subject"/>
    <w:basedOn w:val="6"/>
    <w:next w:val="6"/>
    <w:link w:val="32"/>
    <w:unhideWhenUsed/>
    <w:qFormat/>
    <w:uiPriority w:val="99"/>
    <w:rPr>
      <w:b/>
      <w:bCs/>
    </w:rPr>
  </w:style>
  <w:style w:type="table" w:styleId="17">
    <w:name w:val="Table Grid"/>
    <w:basedOn w:val="16"/>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9">
    <w:name w:val="Strong"/>
    <w:basedOn w:val="18"/>
    <w:qFormat/>
    <w:uiPriority w:val="22"/>
    <w:rPr>
      <w:b/>
      <w:bCs/>
    </w:rPr>
  </w:style>
  <w:style w:type="character" w:styleId="20">
    <w:name w:val="page number"/>
    <w:basedOn w:val="18"/>
    <w:qFormat/>
    <w:uiPriority w:val="0"/>
  </w:style>
  <w:style w:type="character" w:styleId="21">
    <w:name w:val="Emphasis"/>
    <w:basedOn w:val="18"/>
    <w:qFormat/>
    <w:uiPriority w:val="20"/>
    <w:rPr>
      <w:i/>
      <w:iCs/>
    </w:rPr>
  </w:style>
  <w:style w:type="character" w:styleId="22">
    <w:name w:val="Hyperlink"/>
    <w:basedOn w:val="18"/>
    <w:unhideWhenUsed/>
    <w:qFormat/>
    <w:uiPriority w:val="99"/>
    <w:rPr>
      <w:color w:val="0000FF" w:themeColor="hyperlink"/>
      <w:u w:val="single"/>
      <w14:textFill>
        <w14:solidFill>
          <w14:schemeClr w14:val="hlink"/>
        </w14:solidFill>
      </w14:textFill>
    </w:rPr>
  </w:style>
  <w:style w:type="character" w:styleId="23">
    <w:name w:val="annotation reference"/>
    <w:basedOn w:val="18"/>
    <w:unhideWhenUsed/>
    <w:qFormat/>
    <w:uiPriority w:val="99"/>
    <w:rPr>
      <w:sz w:val="21"/>
      <w:szCs w:val="21"/>
    </w:rPr>
  </w:style>
  <w:style w:type="character" w:styleId="24">
    <w:name w:val="footnote reference"/>
    <w:qFormat/>
    <w:uiPriority w:val="0"/>
    <w:rPr>
      <w:vertAlign w:val="superscript"/>
    </w:rPr>
  </w:style>
  <w:style w:type="character" w:customStyle="1" w:styleId="25">
    <w:name w:val="标题 1 字符"/>
    <w:basedOn w:val="18"/>
    <w:link w:val="2"/>
    <w:qFormat/>
    <w:uiPriority w:val="9"/>
    <w:rPr>
      <w:rFonts w:ascii="Times New Roman" w:hAnsi="Times New Roman" w:eastAsia="宋体" w:cs="Times New Roman"/>
      <w:b/>
      <w:bCs/>
      <w:kern w:val="44"/>
      <w:sz w:val="44"/>
      <w:szCs w:val="44"/>
    </w:rPr>
  </w:style>
  <w:style w:type="character" w:customStyle="1" w:styleId="26">
    <w:name w:val="标题 2 字符"/>
    <w:basedOn w:val="18"/>
    <w:link w:val="3"/>
    <w:qFormat/>
    <w:uiPriority w:val="99"/>
    <w:rPr>
      <w:rFonts w:ascii="Cambria" w:hAnsi="Cambria" w:eastAsia="宋体" w:cs="Times New Roman"/>
      <w:b/>
      <w:bCs/>
      <w:kern w:val="0"/>
      <w:sz w:val="32"/>
      <w:szCs w:val="32"/>
    </w:rPr>
  </w:style>
  <w:style w:type="character" w:customStyle="1" w:styleId="27">
    <w:name w:val="标题 3 字符"/>
    <w:basedOn w:val="18"/>
    <w:link w:val="4"/>
    <w:qFormat/>
    <w:uiPriority w:val="99"/>
    <w:rPr>
      <w:rFonts w:ascii="Times New Roman" w:hAnsi="Times New Roman" w:eastAsia="宋体" w:cs="Times New Roman"/>
      <w:b/>
      <w:bCs/>
      <w:kern w:val="0"/>
      <w:sz w:val="32"/>
      <w:szCs w:val="32"/>
    </w:rPr>
  </w:style>
  <w:style w:type="character" w:customStyle="1" w:styleId="28">
    <w:name w:val="页眉 字符"/>
    <w:basedOn w:val="18"/>
    <w:link w:val="11"/>
    <w:qFormat/>
    <w:uiPriority w:val="99"/>
    <w:rPr>
      <w:sz w:val="18"/>
      <w:szCs w:val="18"/>
    </w:rPr>
  </w:style>
  <w:style w:type="character" w:customStyle="1" w:styleId="29">
    <w:name w:val="页脚 字符"/>
    <w:basedOn w:val="18"/>
    <w:link w:val="10"/>
    <w:qFormat/>
    <w:uiPriority w:val="0"/>
    <w:rPr>
      <w:sz w:val="18"/>
      <w:szCs w:val="18"/>
    </w:rPr>
  </w:style>
  <w:style w:type="character" w:customStyle="1" w:styleId="30">
    <w:name w:val="批注框文本 字符"/>
    <w:basedOn w:val="18"/>
    <w:link w:val="9"/>
    <w:semiHidden/>
    <w:qFormat/>
    <w:uiPriority w:val="99"/>
    <w:rPr>
      <w:rFonts w:ascii="Times New Roman" w:hAnsi="Times New Roman" w:eastAsia="宋体" w:cs="Times New Roman"/>
      <w:sz w:val="18"/>
      <w:szCs w:val="18"/>
    </w:rPr>
  </w:style>
  <w:style w:type="character" w:customStyle="1" w:styleId="31">
    <w:name w:val="批注文字 字符"/>
    <w:basedOn w:val="18"/>
    <w:link w:val="6"/>
    <w:qFormat/>
    <w:uiPriority w:val="99"/>
    <w:rPr>
      <w:rFonts w:ascii="Times New Roman" w:hAnsi="Times New Roman" w:eastAsia="宋体" w:cs="Times New Roman"/>
      <w:szCs w:val="21"/>
    </w:rPr>
  </w:style>
  <w:style w:type="character" w:customStyle="1" w:styleId="32">
    <w:name w:val="批注主题 字符"/>
    <w:basedOn w:val="31"/>
    <w:link w:val="15"/>
    <w:semiHidden/>
    <w:qFormat/>
    <w:uiPriority w:val="99"/>
    <w:rPr>
      <w:rFonts w:ascii="Times New Roman" w:hAnsi="Times New Roman" w:eastAsia="宋体" w:cs="Times New Roman"/>
      <w:b/>
      <w:bCs/>
      <w:szCs w:val="21"/>
    </w:rPr>
  </w:style>
  <w:style w:type="character" w:customStyle="1" w:styleId="33">
    <w:name w:val="文档结构图 字符"/>
    <w:basedOn w:val="18"/>
    <w:link w:val="5"/>
    <w:semiHidden/>
    <w:qFormat/>
    <w:uiPriority w:val="99"/>
    <w:rPr>
      <w:rFonts w:ascii="宋体" w:hAnsi="Times New Roman" w:eastAsia="宋体" w:cs="Times New Roman"/>
      <w:sz w:val="18"/>
      <w:szCs w:val="18"/>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36">
    <w:name w:val="页码 New New"/>
    <w:basedOn w:val="18"/>
    <w:qFormat/>
    <w:uiPriority w:val="0"/>
  </w:style>
  <w:style w:type="paragraph" w:customStyle="1" w:styleId="37">
    <w:name w:val="列表段落1"/>
    <w:basedOn w:val="1"/>
    <w:qFormat/>
    <w:uiPriority w:val="34"/>
    <w:pPr>
      <w:ind w:firstLine="420" w:firstLineChars="200"/>
    </w:pPr>
  </w:style>
  <w:style w:type="character" w:customStyle="1" w:styleId="38">
    <w:name w:val="正文文本 字符"/>
    <w:basedOn w:val="18"/>
    <w:link w:val="7"/>
    <w:qFormat/>
    <w:uiPriority w:val="1"/>
    <w:rPr>
      <w:rFonts w:ascii="仿宋_GB2312" w:hAnsi="仿宋_GB2312" w:eastAsia="仿宋_GB2312"/>
      <w:kern w:val="0"/>
      <w:sz w:val="30"/>
      <w:szCs w:val="30"/>
      <w:lang w:eastAsia="en-US"/>
    </w:rPr>
  </w:style>
  <w:style w:type="character" w:customStyle="1" w:styleId="39">
    <w:name w:val="未处理的提及1"/>
    <w:basedOn w:val="18"/>
    <w:unhideWhenUsed/>
    <w:qFormat/>
    <w:uiPriority w:val="99"/>
    <w:rPr>
      <w:color w:val="605E5C"/>
      <w:shd w:val="clear" w:color="auto" w:fill="E1DFDD"/>
    </w:rPr>
  </w:style>
  <w:style w:type="paragraph" w:customStyle="1" w:styleId="40">
    <w:name w:val="列表段落2"/>
    <w:basedOn w:val="1"/>
    <w:qFormat/>
    <w:uiPriority w:val="99"/>
    <w:pPr>
      <w:ind w:firstLine="420" w:firstLineChars="200"/>
    </w:pPr>
  </w:style>
  <w:style w:type="character" w:customStyle="1" w:styleId="41">
    <w:name w:val="k95rp1jg"/>
    <w:basedOn w:val="18"/>
    <w:qFormat/>
    <w:uiPriority w:val="0"/>
  </w:style>
  <w:style w:type="character" w:customStyle="1" w:styleId="42">
    <w:name w:val="font01"/>
    <w:basedOn w:val="18"/>
    <w:qFormat/>
    <w:uiPriority w:val="0"/>
    <w:rPr>
      <w:rFonts w:hint="eastAsia" w:ascii="仿宋_GB2312" w:eastAsia="仿宋_GB2312" w:cs="仿宋_GB2312"/>
      <w:color w:val="000000"/>
      <w:sz w:val="28"/>
      <w:szCs w:val="28"/>
      <w:u w:val="none"/>
    </w:rPr>
  </w:style>
  <w:style w:type="character" w:customStyle="1" w:styleId="43">
    <w:name w:val="脚注文本 字符"/>
    <w:basedOn w:val="18"/>
    <w:link w:val="13"/>
    <w:qFormat/>
    <w:uiPriority w:val="0"/>
    <w:rPr>
      <w:rFonts w:ascii="仿宋" w:eastAsia="仿宋"/>
      <w:kern w:val="30"/>
      <w:sz w:val="18"/>
      <w:szCs w:val="18"/>
    </w:rPr>
  </w:style>
  <w:style w:type="paragraph" w:customStyle="1" w:styleId="44">
    <w:name w:val="修订2"/>
    <w:hidden/>
    <w:semiHidden/>
    <w:qFormat/>
    <w:uiPriority w:val="99"/>
    <w:rPr>
      <w:rFonts w:ascii="仿宋" w:hAnsi="Times New Roman" w:eastAsia="仿宋" w:cs="Times New Roman"/>
      <w:kern w:val="30"/>
      <w:sz w:val="30"/>
      <w:szCs w:val="21"/>
      <w:lang w:val="en-US" w:eastAsia="zh-CN" w:bidi="ar-SA"/>
    </w:rPr>
  </w:style>
  <w:style w:type="paragraph" w:customStyle="1" w:styleId="45">
    <w:name w:val="修订3"/>
    <w:hidden/>
    <w:unhideWhenUsed/>
    <w:qFormat/>
    <w:uiPriority w:val="99"/>
    <w:rPr>
      <w:rFonts w:ascii="仿宋" w:hAnsi="Times New Roman" w:eastAsia="仿宋" w:cs="Times New Roman"/>
      <w:kern w:val="30"/>
      <w:sz w:val="30"/>
      <w:szCs w:val="21"/>
      <w:lang w:val="en-US" w:eastAsia="zh-CN" w:bidi="ar-SA"/>
    </w:rPr>
  </w:style>
  <w:style w:type="paragraph" w:customStyle="1" w:styleId="46">
    <w:name w:val="修订4"/>
    <w:hidden/>
    <w:unhideWhenUsed/>
    <w:qFormat/>
    <w:uiPriority w:val="99"/>
    <w:rPr>
      <w:rFonts w:ascii="仿宋" w:hAnsi="Times New Roman" w:eastAsia="仿宋" w:cs="Times New Roman"/>
      <w:kern w:val="30"/>
      <w:sz w:val="30"/>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3C48-EA67-498C-94D3-64315D51A82D}">
  <ds:schemaRefs/>
</ds:datastoreItem>
</file>

<file path=docProps/app.xml><?xml version="1.0" encoding="utf-8"?>
<Properties xmlns="http://schemas.openxmlformats.org/officeDocument/2006/extended-properties" xmlns:vt="http://schemas.openxmlformats.org/officeDocument/2006/docPropsVTypes">
  <Template>Normal.dotm</Template>
  <Pages>40</Pages>
  <Words>3297</Words>
  <Characters>18794</Characters>
  <Lines>156</Lines>
  <Paragraphs>44</Paragraphs>
  <TotalTime>1</TotalTime>
  <ScaleCrop>false</ScaleCrop>
  <LinksUpToDate>false</LinksUpToDate>
  <CharactersWithSpaces>22047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2023-09-04T01:16:00Z</dcterms:created>
  <dcterms:modified xsi:type="dcterms:W3CDTF">2023-10-31T16:46:45Z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D5E7A4D6159748D2A3A18969330D8314_12</vt:lpwstr>
  </property>
</Properties>
</file>