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480" w:lineRule="atLeast"/>
        <w:ind w:left="0" w:right="0" w:firstLine="0"/>
        <w:jc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方正小标宋_GBK" w:cs="Times New Roman"/>
          <w:i w:val="0"/>
          <w:caps w:val="0"/>
          <w:color w:val="000000"/>
          <w:spacing w:val="0"/>
          <w:sz w:val="34"/>
          <w:szCs w:val="34"/>
          <w:lang w:eastAsia="zh-CN"/>
        </w:rPr>
        <w:t>玉溪市</w:t>
      </w:r>
      <w:r>
        <w:rPr>
          <w:rFonts w:hint="default" w:ascii="Times New Roman" w:hAnsi="Times New Roman" w:eastAsia="方正小标宋_GBK" w:cs="Times New Roman"/>
          <w:i w:val="0"/>
          <w:caps w:val="0"/>
          <w:color w:val="000000"/>
          <w:spacing w:val="0"/>
          <w:sz w:val="34"/>
          <w:szCs w:val="34"/>
        </w:rPr>
        <w:t>水利</w:t>
      </w:r>
      <w:r>
        <w:rPr>
          <w:rFonts w:hint="default" w:ascii="Times New Roman" w:hAnsi="Times New Roman" w:eastAsia="方正小标宋_GBK" w:cs="Times New Roman"/>
          <w:i w:val="0"/>
          <w:caps w:val="0"/>
          <w:color w:val="000000"/>
          <w:spacing w:val="0"/>
          <w:sz w:val="34"/>
          <w:szCs w:val="34"/>
          <w:lang w:eastAsia="zh-CN"/>
        </w:rPr>
        <w:t>局</w:t>
      </w:r>
      <w:r>
        <w:rPr>
          <w:rFonts w:hint="eastAsia" w:ascii="Times New Roman" w:hAnsi="Times New Roman" w:eastAsia="方正小标宋_GBK" w:cs="Times New Roman"/>
          <w:i w:val="0"/>
          <w:caps w:val="0"/>
          <w:color w:val="000000"/>
          <w:spacing w:val="0"/>
          <w:sz w:val="34"/>
          <w:szCs w:val="34"/>
          <w:lang w:eastAsia="zh-CN"/>
        </w:rPr>
        <w:t>政府信息</w:t>
      </w:r>
      <w:bookmarkStart w:id="0" w:name="_GoBack"/>
      <w:bookmarkEnd w:id="0"/>
      <w:r>
        <w:rPr>
          <w:rFonts w:hint="default" w:ascii="Times New Roman" w:hAnsi="Times New Roman" w:eastAsia="方正小标宋_GBK" w:cs="Times New Roman"/>
          <w:i w:val="0"/>
          <w:caps w:val="0"/>
          <w:color w:val="000000"/>
          <w:spacing w:val="0"/>
          <w:sz w:val="34"/>
          <w:szCs w:val="34"/>
        </w:rPr>
        <w:t>公开目录</w:t>
      </w:r>
      <w:r>
        <w:rPr>
          <w:rFonts w:hint="default" w:ascii="Times New Roman" w:hAnsi="Times New Roman" w:eastAsia="方正小标宋_GBK" w:cs="Times New Roman"/>
          <w:b w:val="0"/>
          <w:bCs w:val="0"/>
          <w:i w:val="0"/>
          <w:caps w:val="0"/>
          <w:color w:val="000000"/>
          <w:spacing w:val="0"/>
          <w:sz w:val="30"/>
          <w:szCs w:val="30"/>
          <w:lang w:val="en-US" w:eastAsia="zh-CN"/>
        </w:rPr>
        <w:t>(2023年修改)</w:t>
      </w:r>
    </w:p>
    <w:tbl>
      <w:tblPr>
        <w:tblStyle w:val="3"/>
        <w:tblW w:w="138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
        <w:gridCol w:w="572"/>
        <w:gridCol w:w="512"/>
        <w:gridCol w:w="2136"/>
        <w:gridCol w:w="1639"/>
        <w:gridCol w:w="829"/>
        <w:gridCol w:w="653"/>
        <w:gridCol w:w="3198"/>
        <w:gridCol w:w="468"/>
        <w:gridCol w:w="468"/>
        <w:gridCol w:w="468"/>
        <w:gridCol w:w="636"/>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 w:hRule="atLeast"/>
        </w:trPr>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序号</w:t>
            </w:r>
          </w:p>
        </w:tc>
        <w:tc>
          <w:tcPr>
            <w:tcW w:w="1084" w:type="dxa"/>
            <w:gridSpan w:val="2"/>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公开事项</w:t>
            </w:r>
          </w:p>
        </w:tc>
        <w:tc>
          <w:tcPr>
            <w:tcW w:w="2136"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公开内容（要素）</w:t>
            </w:r>
          </w:p>
        </w:tc>
        <w:tc>
          <w:tcPr>
            <w:tcW w:w="1639"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公开依据</w:t>
            </w:r>
          </w:p>
        </w:tc>
        <w:tc>
          <w:tcPr>
            <w:tcW w:w="829"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时限</w:t>
            </w:r>
          </w:p>
        </w:tc>
        <w:tc>
          <w:tcPr>
            <w:tcW w:w="653"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主体</w:t>
            </w:r>
          </w:p>
        </w:tc>
        <w:tc>
          <w:tcPr>
            <w:tcW w:w="3198"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公开渠道和载体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（“□”表示可选项，由各地根据有关要求和实际情况确定）</w:t>
            </w:r>
          </w:p>
        </w:tc>
        <w:tc>
          <w:tcPr>
            <w:tcW w:w="936" w:type="dxa"/>
            <w:gridSpan w:val="2"/>
            <w:tcBorders>
              <w:top w:val="single" w:color="000000" w:sz="4" w:space="0"/>
              <w:left w:val="single" w:color="auto" w:sz="4" w:space="0"/>
              <w:bottom w:val="single" w:color="auto"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公开对象</w:t>
            </w:r>
          </w:p>
        </w:tc>
        <w:tc>
          <w:tcPr>
            <w:tcW w:w="1104" w:type="dxa"/>
            <w:gridSpan w:val="2"/>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公开方式</w:t>
            </w:r>
          </w:p>
        </w:tc>
        <w:tc>
          <w:tcPr>
            <w:tcW w:w="1964" w:type="dxa"/>
            <w:vMerge w:val="restart"/>
            <w:tcBorders>
              <w:top w:val="single" w:color="000000" w:sz="4" w:space="0"/>
              <w:left w:val="single" w:color="auto"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imes New Roman" w:hAnsi="Times New Roman" w:eastAsia="宋体" w:cs="Times New Roman"/>
                <w:i w:val="0"/>
                <w:caps w:val="0"/>
                <w:color w:val="000000"/>
                <w:spacing w:val="0"/>
                <w:sz w:val="18"/>
                <w:szCs w:val="18"/>
                <w:lang w:eastAsia="zh-CN"/>
              </w:rPr>
            </w:pPr>
            <w:r>
              <w:rPr>
                <w:rFonts w:hint="eastAsia" w:ascii="Times New Roman" w:hAnsi="Times New Roman" w:eastAsia="宋体" w:cs="Times New Roman"/>
                <w:i w:val="0"/>
                <w:caps w:val="0"/>
                <w:color w:val="000000"/>
                <w:spacing w:val="0"/>
                <w:sz w:val="18"/>
                <w:szCs w:val="18"/>
                <w:lang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57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一级事项</w:t>
            </w:r>
          </w:p>
        </w:tc>
        <w:tc>
          <w:tcPr>
            <w:tcW w:w="51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二级事项</w:t>
            </w:r>
          </w:p>
        </w:tc>
        <w:tc>
          <w:tcPr>
            <w:tcW w:w="2136"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1639"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829"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653"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3198"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全社会</w:t>
            </w:r>
          </w:p>
        </w:tc>
        <w:tc>
          <w:tcPr>
            <w:tcW w:w="46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特定群体</w:t>
            </w:r>
          </w:p>
        </w:tc>
        <w:tc>
          <w:tcPr>
            <w:tcW w:w="468"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主动</w:t>
            </w:r>
          </w:p>
        </w:tc>
        <w:tc>
          <w:tcPr>
            <w:tcW w:w="636"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依申请</w:t>
            </w:r>
          </w:p>
        </w:tc>
        <w:tc>
          <w:tcPr>
            <w:tcW w:w="1964" w:type="dxa"/>
            <w:vMerge w:val="continue"/>
            <w:tcBorders>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eastAsia="宋体" w:cs="Times New Roman"/>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rPr>
                <w:rFonts w:hint="default" w:ascii="Times New Roman" w:hAnsi="Times New Roman" w:eastAsia="宋体" w:cs="Times New Roman"/>
                <w:i w:val="0"/>
                <w:caps w:val="0"/>
                <w:color w:val="000000"/>
                <w:spacing w:val="0"/>
                <w:sz w:val="19"/>
                <w:szCs w:val="19"/>
                <w:lang w:val="en-US" w:eastAsia="zh-CN"/>
              </w:rPr>
            </w:pPr>
            <w:r>
              <w:rPr>
                <w:rFonts w:hint="default" w:ascii="Times New Roman" w:hAnsi="Times New Roman" w:eastAsia="宋体" w:cs="Times New Roman"/>
                <w:i w:val="0"/>
                <w:caps w:val="0"/>
                <w:color w:val="000000"/>
                <w:spacing w:val="0"/>
                <w:sz w:val="19"/>
                <w:szCs w:val="19"/>
                <w:lang w:val="en-US" w:eastAsia="zh-CN"/>
              </w:rPr>
              <w:t>1</w:t>
            </w:r>
          </w:p>
        </w:tc>
        <w:tc>
          <w:tcPr>
            <w:tcW w:w="57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aps w:val="0"/>
                <w:color w:val="000000"/>
                <w:spacing w:val="0"/>
                <w:sz w:val="18"/>
                <w:szCs w:val="18"/>
                <w:lang w:val="en-US" w:eastAsia="zh-C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left"/>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olor w:val="000000"/>
                <w:kern w:val="0"/>
                <w:sz w:val="15"/>
                <w:szCs w:val="15"/>
                <w:lang w:val="en-US" w:eastAsia="zh-CN" w:bidi="ar"/>
              </w:rPr>
              <w:t>机构设置</w:t>
            </w:r>
          </w:p>
        </w:tc>
        <w:tc>
          <w:tcPr>
            <w:tcW w:w="2136"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spacing w:after="156" w:afterAutospacing="0"/>
              <w:jc w:val="left"/>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olor w:val="000000"/>
                <w:kern w:val="0"/>
                <w:sz w:val="15"/>
                <w:szCs w:val="15"/>
                <w:lang w:val="en-US" w:eastAsia="zh-CN" w:bidi="ar"/>
              </w:rPr>
              <w:t>1.机构基本信息、职能</w:t>
            </w:r>
            <w:r>
              <w:rPr>
                <w:rFonts w:hint="default" w:ascii="Times New Roman" w:hAnsi="Times New Roman" w:eastAsia="宋体" w:cs="Times New Roman"/>
                <w:i w:val="0"/>
                <w:color w:val="000000"/>
                <w:kern w:val="0"/>
                <w:sz w:val="15"/>
                <w:szCs w:val="15"/>
                <w:lang w:val="en-US" w:eastAsia="zh-CN" w:bidi="ar"/>
              </w:rPr>
              <w:br w:type="textWrapping"/>
            </w:r>
            <w:r>
              <w:rPr>
                <w:rFonts w:hint="default" w:ascii="Times New Roman" w:hAnsi="Times New Roman" w:eastAsia="宋体" w:cs="Times New Roman"/>
                <w:i w:val="0"/>
                <w:color w:val="000000"/>
                <w:kern w:val="0"/>
                <w:sz w:val="15"/>
                <w:szCs w:val="15"/>
                <w:lang w:val="en-US" w:eastAsia="zh-CN" w:bidi="ar"/>
              </w:rPr>
              <w:t>2.内设机构及联系方式</w:t>
            </w:r>
            <w:r>
              <w:rPr>
                <w:rFonts w:hint="default" w:ascii="Times New Roman" w:hAnsi="Times New Roman" w:eastAsia="宋体" w:cs="Times New Roman"/>
                <w:i w:val="0"/>
                <w:color w:val="000000"/>
                <w:kern w:val="0"/>
                <w:sz w:val="15"/>
                <w:szCs w:val="15"/>
                <w:lang w:val="en-US" w:eastAsia="zh-CN" w:bidi="ar"/>
              </w:rPr>
              <w:br w:type="textWrapping"/>
            </w:r>
            <w:r>
              <w:rPr>
                <w:rFonts w:hint="default" w:ascii="Times New Roman" w:hAnsi="Times New Roman" w:eastAsia="宋体" w:cs="Times New Roman"/>
                <w:i w:val="0"/>
                <w:color w:val="000000"/>
                <w:kern w:val="0"/>
                <w:sz w:val="15"/>
                <w:szCs w:val="15"/>
                <w:lang w:val="en-US" w:eastAsia="zh-CN" w:bidi="ar"/>
              </w:rPr>
              <w:t>3.所属事业单位职能及联系方式</w:t>
            </w:r>
          </w:p>
        </w:tc>
        <w:tc>
          <w:tcPr>
            <w:tcW w:w="163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《中华人民共和国政府信息公开条例》</w:t>
            </w:r>
          </w:p>
        </w:tc>
        <w:tc>
          <w:tcPr>
            <w:tcW w:w="82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宋体" w:cs="Times New Roman"/>
                <w:i w:val="0"/>
                <w:caps w:val="0"/>
                <w:color w:val="000000"/>
                <w:spacing w:val="0"/>
                <w:sz w:val="18"/>
                <w:szCs w:val="18"/>
              </w:rPr>
            </w:pPr>
          </w:p>
        </w:tc>
        <w:tc>
          <w:tcPr>
            <w:tcW w:w="468"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eastAsia="宋体" w:cs="Times New Roman"/>
                <w:i w:val="0"/>
                <w:caps w:val="0"/>
                <w:color w:val="000000"/>
                <w:spacing w:val="0"/>
                <w:sz w:val="18"/>
                <w:szCs w:val="18"/>
              </w:rPr>
            </w:pPr>
          </w:p>
        </w:tc>
        <w:tc>
          <w:tcPr>
            <w:tcW w:w="1964"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imes New Roman" w:hAnsi="Times New Roman" w:eastAsia="宋体" w:cs="Times New Roman"/>
                <w:i w:val="0"/>
                <w:caps w:val="0"/>
                <w:color w:val="000000"/>
                <w:spacing w:val="0"/>
                <w:sz w:val="18"/>
                <w:szCs w:val="18"/>
                <w:lang w:eastAsia="zh-CN"/>
              </w:rPr>
            </w:pPr>
            <w:r>
              <w:rPr>
                <w:rFonts w:hint="eastAsia" w:ascii="Times New Roman" w:hAnsi="Times New Roman" w:eastAsia="宋体" w:cs="Times New Roman"/>
                <w:i w:val="0"/>
                <w:caps w:val="0"/>
                <w:color w:val="000000"/>
                <w:spacing w:val="0"/>
                <w:sz w:val="18"/>
                <w:szCs w:val="18"/>
                <w:lang w:eastAsia="zh-CN"/>
              </w:rPr>
              <w:t>机关党委（人事科）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rPr>
                <w:rFonts w:hint="default" w:ascii="Times New Roman" w:hAnsi="Times New Roman" w:eastAsia="宋体" w:cs="Times New Roman"/>
                <w:i w:val="0"/>
                <w:caps w:val="0"/>
                <w:color w:val="000000"/>
                <w:spacing w:val="0"/>
                <w:sz w:val="19"/>
                <w:szCs w:val="19"/>
                <w:lang w:val="en-US" w:eastAsia="zh-CN"/>
              </w:rPr>
            </w:pPr>
            <w:r>
              <w:rPr>
                <w:rFonts w:hint="default" w:ascii="Times New Roman" w:hAnsi="Times New Roman" w:eastAsia="宋体" w:cs="Times New Roman"/>
                <w:i w:val="0"/>
                <w:caps w:val="0"/>
                <w:color w:val="000000"/>
                <w:spacing w:val="0"/>
                <w:sz w:val="19"/>
                <w:szCs w:val="19"/>
                <w:lang w:val="en-US" w:eastAsia="zh-CN"/>
              </w:rPr>
              <w:t>2</w:t>
            </w:r>
          </w:p>
        </w:tc>
        <w:tc>
          <w:tcPr>
            <w:tcW w:w="57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left"/>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olor w:val="000000"/>
                <w:kern w:val="0"/>
                <w:sz w:val="15"/>
                <w:szCs w:val="15"/>
                <w:lang w:val="en-US" w:eastAsia="zh-CN" w:bidi="ar"/>
              </w:rPr>
              <w:t>领导信息</w:t>
            </w:r>
          </w:p>
        </w:tc>
        <w:tc>
          <w:tcPr>
            <w:tcW w:w="2136"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olor w:val="000000"/>
                <w:kern w:val="0"/>
                <w:sz w:val="15"/>
                <w:szCs w:val="15"/>
                <w:lang w:val="en-US" w:eastAsia="zh-CN" w:bidi="ar"/>
              </w:rPr>
              <w:t>姓名、职务、简历、分管工作</w:t>
            </w:r>
          </w:p>
        </w:tc>
        <w:tc>
          <w:tcPr>
            <w:tcW w:w="163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《中华人民共和国政府信息公开条例》</w:t>
            </w:r>
          </w:p>
        </w:tc>
        <w:tc>
          <w:tcPr>
            <w:tcW w:w="82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宋体" w:cs="Times New Roman"/>
                <w:i w:val="0"/>
                <w:caps w:val="0"/>
                <w:color w:val="000000"/>
                <w:spacing w:val="0"/>
                <w:sz w:val="18"/>
                <w:szCs w:val="18"/>
              </w:rPr>
            </w:pPr>
          </w:p>
        </w:tc>
        <w:tc>
          <w:tcPr>
            <w:tcW w:w="468"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eastAsia="宋体" w:cs="Times New Roman"/>
                <w:i w:val="0"/>
                <w:caps w:val="0"/>
                <w:color w:val="000000"/>
                <w:spacing w:val="0"/>
                <w:sz w:val="18"/>
                <w:szCs w:val="18"/>
              </w:rPr>
            </w:pPr>
          </w:p>
        </w:tc>
        <w:tc>
          <w:tcPr>
            <w:tcW w:w="1964"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imes New Roman" w:hAnsi="Times New Roman" w:eastAsia="宋体" w:cs="Times New Roman"/>
                <w:i w:val="0"/>
                <w:caps w:val="0"/>
                <w:color w:val="000000"/>
                <w:spacing w:val="0"/>
                <w:sz w:val="18"/>
                <w:szCs w:val="18"/>
                <w:lang w:eastAsia="zh-CN"/>
              </w:rPr>
            </w:pPr>
            <w:r>
              <w:rPr>
                <w:rFonts w:hint="eastAsia" w:ascii="Times New Roman" w:hAnsi="Times New Roman" w:eastAsia="宋体" w:cs="Times New Roman"/>
                <w:i w:val="0"/>
                <w:caps w:val="0"/>
                <w:color w:val="000000"/>
                <w:spacing w:val="0"/>
                <w:sz w:val="18"/>
                <w:szCs w:val="18"/>
                <w:lang w:eastAsia="zh-CN"/>
              </w:rPr>
              <w:t>机关党委（人事科）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rPr>
                <w:rFonts w:hint="default" w:ascii="Times New Roman" w:hAnsi="Times New Roman" w:eastAsia="宋体" w:cs="Times New Roman"/>
                <w:i w:val="0"/>
                <w:caps w:val="0"/>
                <w:color w:val="000000"/>
                <w:spacing w:val="0"/>
                <w:sz w:val="19"/>
                <w:szCs w:val="19"/>
                <w:lang w:val="en-US" w:eastAsia="zh-CN"/>
              </w:rPr>
            </w:pPr>
            <w:r>
              <w:rPr>
                <w:rFonts w:hint="default" w:ascii="Times New Roman" w:hAnsi="Times New Roman" w:eastAsia="宋体" w:cs="Times New Roman"/>
                <w:i w:val="0"/>
                <w:caps w:val="0"/>
                <w:color w:val="000000"/>
                <w:spacing w:val="0"/>
                <w:sz w:val="19"/>
                <w:szCs w:val="19"/>
                <w:lang w:val="en-US" w:eastAsia="zh-CN"/>
              </w:rPr>
              <w:t>3</w:t>
            </w:r>
          </w:p>
        </w:tc>
        <w:tc>
          <w:tcPr>
            <w:tcW w:w="57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left"/>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olor w:val="000000"/>
                <w:kern w:val="0"/>
                <w:sz w:val="15"/>
                <w:szCs w:val="15"/>
                <w:lang w:val="en-US" w:eastAsia="zh-CN" w:bidi="ar"/>
              </w:rPr>
              <w:t>公开指南</w:t>
            </w:r>
          </w:p>
        </w:tc>
        <w:tc>
          <w:tcPr>
            <w:tcW w:w="2136"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olor w:val="000000"/>
                <w:kern w:val="0"/>
                <w:sz w:val="15"/>
                <w:szCs w:val="15"/>
                <w:lang w:val="en-US" w:eastAsia="zh-CN" w:bidi="ar"/>
              </w:rPr>
              <w:t>1.主动公开的政府信息 </w:t>
            </w:r>
            <w:r>
              <w:rPr>
                <w:rFonts w:hint="default" w:ascii="Times New Roman" w:hAnsi="Times New Roman" w:eastAsia="宋体" w:cs="Times New Roman"/>
                <w:i w:val="0"/>
                <w:color w:val="000000"/>
                <w:kern w:val="0"/>
                <w:sz w:val="15"/>
                <w:szCs w:val="15"/>
                <w:lang w:val="en-US" w:eastAsia="zh-CN" w:bidi="ar"/>
              </w:rPr>
              <w:br w:type="textWrapping"/>
            </w:r>
            <w:r>
              <w:rPr>
                <w:rFonts w:hint="default" w:ascii="Times New Roman" w:hAnsi="Times New Roman" w:eastAsia="宋体" w:cs="Times New Roman"/>
                <w:i w:val="0"/>
                <w:color w:val="000000"/>
                <w:kern w:val="0"/>
                <w:sz w:val="15"/>
                <w:szCs w:val="15"/>
                <w:lang w:val="en-US" w:eastAsia="zh-CN" w:bidi="ar"/>
              </w:rPr>
              <w:t>2.依申请公开受理机构、流程等</w:t>
            </w:r>
            <w:r>
              <w:rPr>
                <w:rFonts w:hint="default" w:ascii="Times New Roman" w:hAnsi="Times New Roman" w:eastAsia="宋体" w:cs="Times New Roman"/>
                <w:i w:val="0"/>
                <w:color w:val="000000"/>
                <w:kern w:val="0"/>
                <w:sz w:val="15"/>
                <w:szCs w:val="15"/>
                <w:lang w:val="en-US" w:eastAsia="zh-CN" w:bidi="ar"/>
              </w:rPr>
              <w:br w:type="textWrapping"/>
            </w:r>
            <w:r>
              <w:rPr>
                <w:rFonts w:hint="default" w:ascii="Times New Roman" w:hAnsi="Times New Roman" w:eastAsia="宋体" w:cs="Times New Roman"/>
                <w:i w:val="0"/>
                <w:color w:val="000000"/>
                <w:kern w:val="0"/>
                <w:sz w:val="15"/>
                <w:szCs w:val="15"/>
                <w:lang w:val="en-US" w:eastAsia="zh-CN" w:bidi="ar"/>
              </w:rPr>
              <w:t>3.政府信息公开机构信息</w:t>
            </w:r>
            <w:r>
              <w:rPr>
                <w:rFonts w:hint="default" w:ascii="Times New Roman" w:hAnsi="Times New Roman" w:eastAsia="宋体" w:cs="Times New Roman"/>
                <w:i w:val="0"/>
                <w:color w:val="000000"/>
                <w:kern w:val="0"/>
                <w:sz w:val="15"/>
                <w:szCs w:val="15"/>
                <w:lang w:val="en-US" w:eastAsia="zh-CN" w:bidi="ar"/>
              </w:rPr>
              <w:br w:type="textWrapping"/>
            </w:r>
            <w:r>
              <w:rPr>
                <w:rFonts w:hint="default" w:ascii="Times New Roman" w:hAnsi="Times New Roman" w:eastAsia="宋体" w:cs="Times New Roman"/>
                <w:i w:val="0"/>
                <w:color w:val="000000"/>
                <w:kern w:val="0"/>
                <w:sz w:val="15"/>
                <w:szCs w:val="15"/>
                <w:lang w:val="en-US" w:eastAsia="zh-CN" w:bidi="ar"/>
              </w:rPr>
              <w:t>4.监督方式</w:t>
            </w:r>
          </w:p>
        </w:tc>
        <w:tc>
          <w:tcPr>
            <w:tcW w:w="163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《中华人民共和国政府信息公开条例》</w:t>
            </w:r>
          </w:p>
        </w:tc>
        <w:tc>
          <w:tcPr>
            <w:tcW w:w="829"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textAlignment w:val="center"/>
              <w:rPr>
                <w:rFonts w:hint="default" w:ascii="Times New Roman" w:hAnsi="Times New Roman" w:eastAsia="sans-serif" w:cs="Times New Roman"/>
                <w:i w:val="0"/>
                <w:caps w:val="0"/>
                <w:color w:val="000000"/>
                <w:spacing w:val="0"/>
                <w:sz w:val="19"/>
                <w:szCs w:val="19"/>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000000"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宋体" w:cs="Times New Roman"/>
                <w:i w:val="0"/>
                <w:caps w:val="0"/>
                <w:color w:val="000000"/>
                <w:spacing w:val="0"/>
                <w:sz w:val="18"/>
                <w:szCs w:val="18"/>
              </w:rPr>
            </w:pPr>
          </w:p>
        </w:tc>
        <w:tc>
          <w:tcPr>
            <w:tcW w:w="468"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Times New Roman" w:hAnsi="Times New Roman" w:eastAsia="宋体" w:cs="Times New Roman"/>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宋体" w:cs="Times New Roman"/>
                <w:i w:val="0"/>
                <w:caps w:val="0"/>
                <w:color w:val="000000"/>
                <w:spacing w:val="0"/>
                <w:sz w:val="18"/>
                <w:szCs w:val="18"/>
              </w:rPr>
            </w:pPr>
          </w:p>
          <w:p>
            <w:pPr>
              <w:keepNext w:val="0"/>
              <w:keepLines w:val="0"/>
              <w:widowControl/>
              <w:suppressLineNumbers w:val="0"/>
              <w:jc w:val="left"/>
              <w:rPr>
                <w:rFonts w:hint="default" w:ascii="Times New Roman" w:hAnsi="Times New Roman" w:eastAsia="宋体" w:cs="Times New Roman"/>
                <w:i w:val="0"/>
                <w:caps w:val="0"/>
                <w:color w:val="000000"/>
                <w:spacing w:val="0"/>
                <w:sz w:val="18"/>
                <w:szCs w:val="18"/>
              </w:rPr>
            </w:pPr>
          </w:p>
        </w:tc>
        <w:tc>
          <w:tcPr>
            <w:tcW w:w="1964" w:type="dxa"/>
            <w:tcBorders>
              <w:top w:val="single" w:color="000000"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8"/>
                <w:szCs w:val="18"/>
                <w:lang w:eastAsia="zh-CN"/>
              </w:rPr>
            </w:pPr>
            <w:r>
              <w:rPr>
                <w:rFonts w:hint="eastAsia" w:ascii="Times New Roman" w:hAnsi="Times New Roman" w:eastAsia="宋体" w:cs="Times New Roman"/>
                <w:i w:val="0"/>
                <w:caps w:val="0"/>
                <w:color w:val="000000"/>
                <w:spacing w:val="0"/>
                <w:sz w:val="18"/>
                <w:szCs w:val="18"/>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6"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572" w:type="dxa"/>
            <w:tcBorders>
              <w:top w:val="single" w:color="auto" w:sz="4" w:space="0"/>
              <w:left w:val="single" w:color="auto"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政策文件</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水利领域政策文件及相关解读</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《中华人民共和国政府信息公开条例》</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各相关科室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8"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重大决策预公开</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水利领域的重大决策，决策前向社会公开决策草案、决策依据，意见征集方式和期限</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《中华人民共和国政府信息公开条例》《重大行政决策程序暂行条例》</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按进展情况及时公开</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各相关科室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24"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6</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回应关切</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对涉及到水利领域经济社会热点问题、群众广泛关注的热点、咨询的相关问题等进行回应</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《中华人民共和国政府信息公开条例》《国务院办公厅关于进一步加强政府信息公开回应社会关切提升政府公信力的意见》《国务院办公厅关于在政务公开工作中进一步做好政务舆情回应的通知》</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及时回应</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44"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7</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业务办理</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主要业务工作的办事依据、条件、程序、时限，办事时间、地点、部门、联系方式及相关办理结果</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行政许可的执法决定信息在执法决定作出之日起7个工作日内，其他信息形成或者变更之日起20个工作日内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行政审批与政策法规科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88"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8</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公共服务</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依法行政</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实施行政处罚、行政强制等事项的依据、条件、程序以及本行政机关认为具有一定社会影响的行政处罚决定</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行政处罚的执法决定信息在执法决定作出之日起7个工作日内，其他信息形成或者变更之日起20个工作日内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行政审批与政策法规科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9</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水资源管理与保护</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取用水</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重要饮用水水源地名录</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《国务院关于实行最严格水资源管理制度的意见》</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w:t>
            </w: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水资源科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24"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10</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水资源管理与保护</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取用水</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审批机关认为涉及社会公共利益的取水听证，定期发放取水许可证的情况</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《取水许可和水资源费征收管理条例》</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水资源科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64"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11</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河湖管理</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河湖长制工作</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市级</w:t>
            </w:r>
            <w:r>
              <w:rPr>
                <w:rFonts w:hint="default" w:ascii="Times New Roman" w:hAnsi="Times New Roman" w:eastAsia="宋体" w:cs="Times New Roman"/>
                <w:i w:val="0"/>
                <w:caps w:val="0"/>
                <w:color w:val="000000"/>
                <w:spacing w:val="0"/>
                <w:sz w:val="18"/>
                <w:szCs w:val="18"/>
              </w:rPr>
              <w:t>河湖长名录，河湖长姓名、职责、河湖概况、管护目标、监督电话</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《关于全面推行河长制的意见》《关于在湖泊实施湖长制的指导意见》</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河（湖）长制工作科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08"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12</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监督管理</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水利安全生产监督</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安全生产监督举报电话、信箱或电子邮件地址等</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《中华人民共和国安全生产法》《中华人民共和国政府信息公开条例》</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建设运行管理与监督科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6" w:hRule="atLeast"/>
        </w:trPr>
        <w:tc>
          <w:tcPr>
            <w:tcW w:w="34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13</w:t>
            </w:r>
          </w:p>
        </w:tc>
        <w:tc>
          <w:tcPr>
            <w:tcW w:w="57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监督管理</w:t>
            </w:r>
          </w:p>
        </w:tc>
        <w:tc>
          <w:tcPr>
            <w:tcW w:w="512"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“双随机、一公开”监管</w:t>
            </w:r>
          </w:p>
        </w:tc>
        <w:tc>
          <w:tcPr>
            <w:tcW w:w="21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随机抽查事项清单，抽查情况及查处结果</w:t>
            </w:r>
          </w:p>
        </w:tc>
        <w:tc>
          <w:tcPr>
            <w:tcW w:w="163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《国务院办公厅关于推广随机抽查规范事中事后监管的通知》《水利部办公厅关于印发推行“双随机、一公开”监管工作方案的通知》</w:t>
            </w:r>
          </w:p>
        </w:tc>
        <w:tc>
          <w:tcPr>
            <w:tcW w:w="829"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000000"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机关各科室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28" w:hRule="atLeast"/>
        </w:trPr>
        <w:tc>
          <w:tcPr>
            <w:tcW w:w="348" w:type="dxa"/>
            <w:tcBorders>
              <w:top w:val="single" w:color="auto" w:sz="4" w:space="0"/>
              <w:left w:val="single" w:color="000000" w:sz="4" w:space="0"/>
              <w:bottom w:val="single" w:color="auto" w:sz="4" w:space="0"/>
              <w:right w:val="single" w:color="000000" w:sz="4" w:space="0"/>
            </w:tcBorders>
            <w:shd w:val="clear" w:color="auto" w:fill="auto"/>
            <w:noWrap/>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14</w:t>
            </w:r>
          </w:p>
        </w:tc>
        <w:tc>
          <w:tcPr>
            <w:tcW w:w="572"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水利科技</w:t>
            </w:r>
          </w:p>
        </w:tc>
        <w:tc>
          <w:tcPr>
            <w:tcW w:w="512"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水利科技</w:t>
            </w:r>
          </w:p>
        </w:tc>
        <w:tc>
          <w:tcPr>
            <w:tcW w:w="2136"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面向基层需求的成熟适用水利科技成果信息及推广情况，水利科普工作开展情况</w:t>
            </w:r>
          </w:p>
        </w:tc>
        <w:tc>
          <w:tcPr>
            <w:tcW w:w="1639"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《中华人民共和国促进科技成果转化法》《关于新时代进一步加强科学技术普及工作的意见》《水利部、共青团中央、 中国科协关于加强水利科普工作的指导意见》</w:t>
            </w:r>
          </w:p>
        </w:tc>
        <w:tc>
          <w:tcPr>
            <w:tcW w:w="829"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信息形成或者变更之日起20个工作日内</w:t>
            </w:r>
          </w:p>
        </w:tc>
        <w:tc>
          <w:tcPr>
            <w:tcW w:w="653"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caps w:val="0"/>
                <w:color w:val="000000"/>
                <w:spacing w:val="0"/>
                <w:sz w:val="18"/>
                <w:szCs w:val="18"/>
                <w:lang w:eastAsia="zh-CN"/>
              </w:rPr>
              <w:t>玉溪市水利局</w:t>
            </w:r>
          </w:p>
        </w:tc>
        <w:tc>
          <w:tcPr>
            <w:tcW w:w="3198"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sym w:font="Wingdings 2" w:char="0052"/>
            </w:r>
            <w:r>
              <w:rPr>
                <w:rFonts w:hint="default" w:ascii="Times New Roman" w:hAnsi="Times New Roman" w:eastAsia="宋体" w:cs="Times New Roman"/>
                <w:i w:val="0"/>
                <w:caps w:val="0"/>
                <w:color w:val="000000"/>
                <w:spacing w:val="0"/>
                <w:sz w:val="18"/>
                <w:szCs w:val="18"/>
              </w:rPr>
              <w:t>政府网站    □政府公报</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□两微一端    □发布会/听证会                 </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□广播电视    □纸质媒体</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□公开查阅点  □政务服务中心</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□便民服务站  □入户/现场</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□社区/企事业单位/村公示栏（电子屏）</w:t>
            </w:r>
            <w:r>
              <w:rPr>
                <w:rFonts w:hint="default" w:ascii="Times New Roman" w:hAnsi="Times New Roman" w:eastAsia="宋体" w:cs="Times New Roman"/>
                <w:i w:val="0"/>
                <w:caps w:val="0"/>
                <w:color w:val="000000"/>
                <w:spacing w:val="0"/>
                <w:sz w:val="18"/>
                <w:szCs w:val="18"/>
              </w:rPr>
              <w:br w:type="textWrapping"/>
            </w:r>
            <w:r>
              <w:rPr>
                <w:rFonts w:hint="default" w:ascii="Times New Roman" w:hAnsi="Times New Roman" w:eastAsia="宋体" w:cs="Times New Roman"/>
                <w:i w:val="0"/>
                <w:caps w:val="0"/>
                <w:color w:val="000000"/>
                <w:spacing w:val="0"/>
                <w:sz w:val="18"/>
                <w:szCs w:val="18"/>
              </w:rPr>
              <w:t>□精准推送    □其他</w:t>
            </w:r>
          </w:p>
        </w:tc>
        <w:tc>
          <w:tcPr>
            <w:tcW w:w="468"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468"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468"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rPr>
            </w:pPr>
            <w:r>
              <w:rPr>
                <w:rFonts w:hint="default" w:ascii="Times New Roman" w:hAnsi="Times New Roman" w:eastAsia="宋体" w:cs="Times New Roman"/>
                <w:i w:val="0"/>
                <w:caps w:val="0"/>
                <w:color w:val="000000"/>
                <w:spacing w:val="0"/>
                <w:sz w:val="18"/>
                <w:szCs w:val="18"/>
              </w:rPr>
              <w:t>√</w:t>
            </w:r>
          </w:p>
        </w:tc>
        <w:tc>
          <w:tcPr>
            <w:tcW w:w="636"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default" w:ascii="Times New Roman" w:hAnsi="Times New Roman" w:eastAsia="sans-serif" w:cs="Times New Roman"/>
                <w:i w:val="0"/>
                <w:caps w:val="0"/>
                <w:color w:val="000000"/>
                <w:spacing w:val="0"/>
                <w:sz w:val="19"/>
                <w:szCs w:val="19"/>
              </w:rPr>
            </w:pPr>
          </w:p>
        </w:tc>
        <w:tc>
          <w:tcPr>
            <w:tcW w:w="1964" w:type="dxa"/>
            <w:tcBorders>
              <w:top w:val="single" w:color="auto" w:sz="4" w:space="0"/>
              <w:left w:val="single" w:color="auto" w:sz="4" w:space="0"/>
              <w:bottom w:val="single" w:color="auto" w:sz="4" w:space="0"/>
              <w:right w:val="single" w:color="000000" w:sz="4" w:space="0"/>
            </w:tcBorders>
            <w:shd w:val="clear" w:color="auto" w:fill="auto"/>
            <w:tcMar>
              <w:top w:w="0" w:type="dxa"/>
              <w:left w:w="24" w:type="dxa"/>
              <w:bottom w:w="0" w:type="dxa"/>
              <w:right w:w="24" w:type="dxa"/>
            </w:tcMar>
            <w:vAlign w:val="center"/>
          </w:tcPr>
          <w:p>
            <w:pPr>
              <w:keepNext w:val="0"/>
              <w:keepLines w:val="0"/>
              <w:widowControl/>
              <w:suppressLineNumbers w:val="0"/>
              <w:jc w:val="left"/>
              <w:rPr>
                <w:rFonts w:hint="eastAsia" w:ascii="Times New Roman" w:hAnsi="Times New Roman" w:eastAsia="宋体" w:cs="Times New Roman"/>
                <w:i w:val="0"/>
                <w:caps w:val="0"/>
                <w:color w:val="000000"/>
                <w:spacing w:val="0"/>
                <w:sz w:val="19"/>
                <w:szCs w:val="19"/>
                <w:lang w:eastAsia="zh-CN"/>
              </w:rPr>
            </w:pPr>
            <w:r>
              <w:rPr>
                <w:rFonts w:hint="eastAsia" w:ascii="Times New Roman" w:hAnsi="Times New Roman" w:eastAsia="宋体" w:cs="Times New Roman"/>
                <w:i w:val="0"/>
                <w:caps w:val="0"/>
                <w:color w:val="000000"/>
                <w:spacing w:val="0"/>
                <w:sz w:val="19"/>
                <w:szCs w:val="19"/>
                <w:lang w:eastAsia="zh-CN"/>
              </w:rPr>
              <w:t>办公室、各涉及科室</w:t>
            </w: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474E7"/>
    <w:rsid w:val="016C3380"/>
    <w:rsid w:val="05E30DEB"/>
    <w:rsid w:val="08857923"/>
    <w:rsid w:val="0A683032"/>
    <w:rsid w:val="34076675"/>
    <w:rsid w:val="3A9474E7"/>
    <w:rsid w:val="403646ED"/>
    <w:rsid w:val="51DE2AC9"/>
    <w:rsid w:val="622E70BC"/>
    <w:rsid w:val="6B2744F4"/>
    <w:rsid w:val="6BE07984"/>
    <w:rsid w:val="6D41084F"/>
    <w:rsid w:val="742B2914"/>
    <w:rsid w:val="78A9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454545"/>
      <w:u w:val="none"/>
    </w:rPr>
  </w:style>
  <w:style w:type="character" w:styleId="6">
    <w:name w:val="Hyperlink"/>
    <w:basedOn w:val="4"/>
    <w:qFormat/>
    <w:uiPriority w:val="0"/>
    <w:rPr>
      <w:color w:val="454545"/>
      <w:u w:val="none"/>
    </w:rPr>
  </w:style>
  <w:style w:type="character" w:customStyle="1" w:styleId="7">
    <w:name w:val="swiper-active-switch"/>
    <w:basedOn w:val="4"/>
    <w:qFormat/>
    <w:uiPriority w:val="0"/>
    <w:rPr>
      <w:shd w:val="clear" w:fill="01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2023-10-30T08:55:00Z</dcterms:created>
  <dc:creator>潘艳美</dc:creator>
  <cp:lastModifiedBy>潘艳美</cp:lastModifiedBy>
  <dcterms:modified xsi:type="dcterms:W3CDTF">2023-11-15T07:31:23Z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