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bookmarkStart w:id="0" w:name="_GoBack"/>
      <w:r>
        <w:rPr>
          <w:rFonts w:hint="eastAsia" w:ascii="方正仿宋_GBK" w:hAnsi="方正仿宋_GBK" w:eastAsia="方正仿宋_GBK" w:cs="方正仿宋_GBK"/>
          <w:sz w:val="28"/>
          <w:szCs w:val="28"/>
          <w:lang w:eastAsia="zh-CN"/>
        </w:rPr>
        <w:t>玉溪市住房和城乡建设局会同玉溪市文化和旅游局；县级政府依法确定的部门会同文化和旅游部门</w:t>
      </w:r>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1.历史建筑实施原址保护审批（设区的市级权限）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2.历史建筑实施原址保护审批（县级权限）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历史建筑实施原址保护审批（设区的市级权限）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【00011713300201】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历史建筑实施原址保护审批【00011713300Y】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历史建筑实施原址保护审批（设区的市级权限）【000117133002】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历史建筑实施原址保护审批（设区的市级权限）(00011713300201)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（2）《历史文化名城名镇名村保护条例》第三十九条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600" w:lineRule="exact"/>
        <w:ind w:left="559" w:leftChars="266" w:firstLine="0" w:firstLineChars="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玉溪市住房和城乡建设局会同玉溪市文化和旅游局</w:t>
      </w: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1.已取得建设工程选址批准文件（如果没有选址批准文件，应有产权证明）。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2.建设项目对历史建筑的真实性和完整性不造成损害，不影响其历史文化价值。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3.历史建筑原址保护所需费用，已列入建设工程预算。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在历史文化名城、名镇、名村、街区保护范围内的，</w:t>
      </w:r>
      <w:r>
        <w:rPr>
          <w:rFonts w:hint="eastAsia" w:ascii="方正仿宋_GBK" w:hAnsi="方正仿宋_GBK" w:eastAsia="方正仿宋_GBK" w:cs="方正仿宋_GBK"/>
          <w:sz w:val="28"/>
          <w:szCs w:val="28"/>
        </w:rPr>
        <w:t>应符合经批准的历史文化名城、名镇、名村和街区保护规划或相关专项规划要求。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建设工程选址，应当尽可能避开历史建筑；因特殊情况不能避开的，应当尽可能实施原址保护。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第三十条历史文化名城、名镇、名村、名街保护范围内的土地利用和各项建设，应当符合经批准的保护规划和保护详细规划。</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1.实行电子化申报和审批。2.不再要求申请人提供人员身份证明、社保证明、营业执照、资质资格证书等材料。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建筑实施原址保护审批事项进行监管，依法查处违法违规行为。2.对历史建筑实施原址保护工程项目进行监管，依法查处违法违规行为。3.开展对历史建筑实施原址保护审批“双随机、一公开”监管，通过信息公示、抽查、评估等方式，综合运用提醒、约谈、告诫、通报等手段，依法查处违法违规行为并公开结果。4.加强历史建筑实施原址保护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历史建筑实施原址保护申报书，内容包括：建设单位名称及法人登记证明；建设工程名称、地点、规模；历史建筑公布文件以及所有权情况说明；保护措施名称、主要内容；建设项目无法避让历史建筑的说明。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建设工程选址批准文件</w:t>
      </w:r>
      <w:r>
        <w:rPr>
          <w:rFonts w:ascii="方正仿宋_GBK" w:hAnsi="方正仿宋_GBK" w:eastAsia="方正仿宋_GBK" w:cs="方正仿宋_GBK"/>
          <w:sz w:val="28"/>
          <w:szCs w:val="28"/>
        </w:rPr>
        <w:t>（如果没有选址批准文件，应有产权证明）</w:t>
      </w:r>
      <w:r>
        <w:rPr>
          <w:rFonts w:hint="eastAsia" w:ascii="方正仿宋_GBK" w:hAnsi="方正仿宋_GBK" w:eastAsia="方正仿宋_GBK" w:cs="方正仿宋_GBK"/>
          <w:sz w:val="28"/>
          <w:szCs w:val="28"/>
        </w:rPr>
        <w:t>。</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历史建筑保护措施具体方案及影响评估报告。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建设工程预算相关材料。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近一个月内历史建筑的正面、侧面、后面照片各一张。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部分情况下开展）、组织听证（部分情况下开展），5、公示（部分情况下开展），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《行政许可法》第四章 行政许可的实施程序</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历史建筑实施原址保护许可决定书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历史建筑实施原址保护审批（县级权限）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【00011713300301】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历史建筑实施原址保护审批【00011713300Y】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历史建筑实施原址保护审批（县级权限）【000117133003】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历史建筑实施原址保护审批（县级权限）(00011713300301)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（2）《历史文化名城名镇名村保护条例》第三十九条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县政府依法确定的部门会同文化和旅游部门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1.已取得建设工程选址批准文件（如果没有选址批准文件，应有产权证明）。</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2.建设项目对历史建筑的真实性和完整性不造成损害，不影响其历史文化价值。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3.历史建筑原址保护所需费用，已列入建设工程预算。</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在历史文化名城、名镇、名村、街区保护范围内的，</w:t>
      </w:r>
      <w:r>
        <w:rPr>
          <w:rFonts w:hint="eastAsia" w:ascii="方正仿宋_GBK" w:hAnsi="方正仿宋_GBK" w:eastAsia="方正仿宋_GBK" w:cs="方正仿宋_GBK"/>
          <w:sz w:val="28"/>
          <w:szCs w:val="28"/>
        </w:rPr>
        <w:t>应符合经批准的历史文化名城、名镇、名村和街区保护规划或相关专项规划要求。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（1）《历史文化名城名镇名村保护条例》第三十四条建设工程选址，应当尽可能避开历史建筑；因特殊情况不能避开的，应当尽可能实施原址保护。</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第三十条历史文化名城、名镇、名村、名街保护范围内的土地利用和各项建设，应当符合经批准的保护规划和保护详细规划。</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1.实行电子化申报和审批。2.不再要求申请人提供人员身份证明、社保证明、营业执照、资质资格证书等材料。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建筑实施原址保护审批事项进行监管，依法查处违法违规行为。2.对历史建筑实施原址保护工程项目进行监管，依法查处违法违规行为。3.开展对历史建筑实施原址保护审批“双随机、一公开”监管，通过信息公示、抽查、评估等方式，综合运用提醒、约谈、告诫、通报等手段，依法查处违法违规行为并公开结果。 4.加强历史建筑实施原址保护信用监管，依法依规对失信主体开展失信惩戒。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历史建筑实施原址保护申报书，内容包括：建设单位名称及法人登记证明；建设工程名称、地点、规模；历史建筑公布文件以及所有权情况说明；保护措施名称、主要内容；建设项目无法避让历史建筑的说明。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建设工程选址批准文件</w:t>
      </w:r>
      <w:r>
        <w:rPr>
          <w:rFonts w:ascii="方正仿宋_GBK" w:hAnsi="方正仿宋_GBK" w:eastAsia="方正仿宋_GBK" w:cs="方正仿宋_GBK"/>
          <w:sz w:val="28"/>
          <w:szCs w:val="28"/>
        </w:rPr>
        <w:t>（如果没有选址批准文件，应有产权证明）</w:t>
      </w:r>
      <w:r>
        <w:rPr>
          <w:rFonts w:hint="eastAsia" w:ascii="方正仿宋_GBK" w:hAnsi="方正仿宋_GBK" w:eastAsia="方正仿宋_GBK" w:cs="方正仿宋_GBK"/>
          <w:sz w:val="28"/>
          <w:szCs w:val="28"/>
        </w:rPr>
        <w:t>。</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历史建筑保护措施具体方案及影响评估报告。</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建设工程预算相关材料。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近一个月内历史建筑的正面、侧面、后面照片各一张。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部分情况下开展）、组织听证（部分情况下开展），5、公示（部分情况下开展），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《行政许可法》第四章 行政许可的实施程序</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历史建筑实施原址保护许可决定书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《历史文化名城名镇名村保护条例》第三十四条　建设工程选址，应当尽可能避开历史建筑；因特殊情况不能避开的，应当尽可能实施原址保护。</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对历史建筑实施原址保护的，建设单位应当事先确定保护措施，报城市、县人民政府城乡规划主管部门会同同级文物主管部门批准。</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本条规定的历史建筑原址保护、迁移、拆除所需费用，由建设单位列入建设工程预算。</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7129"/>
    <w:rsid w:val="24A82C4D"/>
    <w:rsid w:val="2DD11D2F"/>
    <w:rsid w:val="354D392C"/>
    <w:rsid w:val="42F62DE4"/>
    <w:rsid w:val="4A4E3D1D"/>
    <w:rsid w:val="72597129"/>
    <w:rsid w:val="7C8B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2023-11-07T03:02:00Z</dcterms:created>
  <dc:creator>DELL</dc:creator>
  <cp:lastModifiedBy>DELL</cp:lastModifiedBy>
  <dcterms:modified xsi:type="dcterms:W3CDTF">2023-11-14T03:23:28Z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