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房地产开发企业二级资质核定（设区的市级权限）新申请</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【00011711800301】</w:t>
      </w:r>
    </w:p>
    <w:p>
      <w:pPr>
        <w:spacing w:line="54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房地产开发企业资质核定【00011711800Y】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房地产开发企业二级资质核定（设区的市级权限）【000117118003】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房地产开发企业二级资质核定（设区的市级权限）新申请(00011711800301)</w:t>
      </w:r>
    </w:p>
    <w:p>
      <w:pPr>
        <w:spacing w:line="360" w:lineRule="auto"/>
        <w:ind w:firstLine="562" w:firstLineChars="200"/>
        <w:rPr>
          <w:rFonts w:hint="eastAsia" w:ascii="Times New Roman" w:hAnsi="Times New Roman" w:eastAsia="仿宋GB2312"/>
          <w:b/>
          <w:bCs/>
          <w:sz w:val="28"/>
          <w:szCs w:val="28"/>
        </w:rPr>
      </w:pPr>
      <w:bookmarkStart w:id="0" w:name="_GoBack"/>
      <w:bookmarkEnd w:id="0"/>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（1）《城市房地产开发经营管理条例》第九条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（2）《房地产开发企业资质管理规定》（建设部令第77号，住房和城乡建设部令第24号、第45号、第54号修改）第三条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（1）《房地产开发企业资质管理规定》（建设部令第77号，住房和城乡建设部令第24号、第45号、第54号修改）。</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（1）《房地产开发企业资质管理规定》（建设部令第77号，住房和城乡建设部令第24号、第45号、第54号修改）。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Times New Roman" w:hAnsi="Times New Roman" w:eastAsia="仿宋GB2312"/>
          <w:b/>
          <w:bCs/>
          <w:sz w:val="28"/>
          <w:szCs w:val="28"/>
          <w:lang w:eastAsia="zh-CN"/>
        </w:rPr>
        <w:t>玉溪市住房和城乡建设局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房地产开发企业资质核定（二级）</w:t>
      </w:r>
    </w:p>
    <w:p>
      <w:pPr>
        <w:spacing w:line="54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资格型</w:t>
      </w:r>
    </w:p>
    <w:p>
      <w:pPr>
        <w:spacing w:line="54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有职称的建筑、结构、财务、房地产及有关经济类的专业管理人员不少于5人，其中专职会计人员不少于2人；</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工程技术负责人具有相应专业中级以上职称，财务负责人具有相应专业初级以上职称，配有统计人员；</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具有完善的质量保证体系。</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房地产开发企业资质管理规定》（建设部令第77号，住房和城乡建设部令第24号、第45号、第54号修改）。第五条1.有职称的建筑、结构、财务、房地产及有关经济类的专业管理人员不少于5人，其中专职会计人员不少于2人；2.工程技术负责人具有相应专业中级以上职称，财务负责人具有相应专业初级以上职称，配有统计人员；3.具有完善的质量保证体系。</w:t>
      </w:r>
    </w:p>
    <w:p>
      <w:pPr>
        <w:spacing w:line="54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房地产开发企业资质核定</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房地产开发企业资质证书（二级）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优化审批服务</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将房地产开发企业资质由四级调整为两级，取消三级、四级资质，相应调整二级资质的许可条件。将承诺审批时限由20个工作日压减至5个工作日。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县级以上人民政府房地产开发主管部门依法依规开展“双随机、一公开”监管，依法查处房地产开发企业的违法违规行为。</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县级以上人民政府房地产开发主管部门依法依规加强对房地产开发企业信用监管，不断提升信用监管水平。</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指导行业协会发挥自律作用，推进房地产开发企业的规范诚信运作，杜绝违法违规行为。</w:t>
      </w:r>
    </w:p>
    <w:p>
      <w:pPr>
        <w:spacing w:line="54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（1）企业资质等级申报表；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（2）专业管理、技术人员的职称证件；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（3）建立质量管理制度、具有质量管理部门及相应质量管理人员等质量保证体系情况说明。</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房地产开发企业资质管理规定》（建设部令第77号，住房和城乡建设部令第24号、第45号、第54号修改）。第七条1.企业资质等级申报表；2.专业管理、技术人员的职称证件；3.建立质量管理制度、具有质量管理部门及相应质量管理人员等质量保证体系情况说明。</w:t>
      </w:r>
    </w:p>
    <w:p>
      <w:pPr>
        <w:spacing w:line="54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申请企业提交申请；</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核定发证机关受理/不予受理；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核定发证机关审查；</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作出行政许可决定，不予许可的，告知申请人不予许可原因；准予许可的，制作并发放证书。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《房地产开发企业资质管理规定》（建设部令第77号，住房和城乡建设部令第24号、第45号、第54号修改）。第八条房地产开发企业资质等级实行分级审批。 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一级资质由省、自治区、直辖市人民政府住房和城乡建设主管部门初审，报国务院住房和城乡建设主管部门审批。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二级资质由省、自治区、直辖市人民政府住房和城乡建设主管部门或者其确定的设区的市级人民政府房地产开发主管部门审批。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经资质审查合格的企业，由资质审批部门发给相应等级的资质证书。资质证书有效期为3年。 申请核定资质的房地产开发企业，应当通过相应的政务服务平台提出申请。</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4.承诺审批时限：5</w:t>
      </w:r>
      <w:r>
        <w:rPr>
          <w:rFonts w:ascii="方正仿宋_GBK" w:hAnsi="方正仿宋_GBK" w:eastAsia="方正仿宋_GBK" w:cs="方正仿宋_GBK"/>
          <w:sz w:val="28"/>
          <w:szCs w:val="28"/>
        </w:rPr>
        <w:t>个工作日</w:t>
      </w:r>
    </w:p>
    <w:p>
      <w:pPr>
        <w:spacing w:line="54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pPr>
        <w:spacing w:line="54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房地产开发企业资质证书（二级）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3年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《房地产开发企业资质管理规定》（建设部令第77号，住房和城乡建设部令第24号、第45号、第54号修改）。第八条资质证书有效期为3年。</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企业变更名称、法定代表人和主要管理、技术负责人，应当在变更30日内，向原资质审批部门办理变更手续。 </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（1）有职称的建筑、结构、财务、房地产及有关经济类的专业管理人员不少于5人，其中专职会计人员不少于2人；</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（2）工程技术负责人具有相应专业中级以上职称，财务负责人具有相应专业初级以上职称，配有统计人员；</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（3）具有完善的质量保证体系。</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《中华人民共和国行政许可法》第四十一条法律、行政法规设定的行政许可，其适用范围没有地域限制的，申请人取得的行政许可在全国范围内有效。</w:t>
      </w:r>
    </w:p>
    <w:p>
      <w:pPr>
        <w:spacing w:line="54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pPr>
        <w:spacing w:line="54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省、自治区、直辖市人民政府住房城乡建设主管部门确定的设区的市级人民政府住房城乡建设主管部门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根据《云南省住房和城乡建设厅关于明确房地产开发企业二级资质审批权限的通知》要求，二级资质审批由各州市住房城乡建设（房地产开发）主管部门审批。</w:t>
      </w: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26362F"/>
    <w:rsid w:val="498349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DELL</cp:lastModifiedBy>
  <dcterms:modified xsi:type="dcterms:W3CDTF">2023-11-07T03:48:28Z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