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>监督索引号53040000233200201000</w:t>
      </w:r>
    </w:p>
    <w:p>
      <w:pP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44"/>
          <w:szCs w:val="44"/>
        </w:rPr>
        <w:t>玉溪市水利局（本级）2022年度部门决算</w:t>
      </w:r>
    </w:p>
    <w:p>
      <w:pPr>
        <w:ind w:firstLine="3840" w:firstLineChars="120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目录</w:t>
      </w:r>
    </w:p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第一部分  玉溪市水利局（本级）概况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一、主要职能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二、部门基本情况</w:t>
      </w:r>
    </w:p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第二部分  2022年度部门决算表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一、收入支出决算表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二、收入决算表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三、支出决算表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四、财政拨款收入支出决算表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五、一般公共预算财政拨款收入支出决算表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六、一般公共预算财政拨款基本支出决算表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七、一般公共预算财政拨款项目支出决算表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八、政府性基金预算财政拨款收入支出决算表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九、国有资本经营预算财政拨款收入支出决算表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十、“三公”经费、行政参公单位机关运行经费情况表</w:t>
      </w:r>
    </w:p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第三部分  2022年度部门决算情况说明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一、收入决算情况说明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二、支出决算情况说明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三、一般公共预算财政拨款支出决算情况说明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四、财政拨款“三公”经费支出决算情况说明</w:t>
      </w:r>
    </w:p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第四部分  其他重要事项及相关口径情况说明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一、机关运行经费支出情况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二、国有资产占用情况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三、政府采购支出情况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四、部门绩效自评情况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（一）部门整体支出绩效自评情况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（二）部门整体支出绩效自评表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（三）项目支出绩效自评表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五、其他重要事项情况说明</w:t>
      </w:r>
    </w:p>
    <w:p>
      <w:pP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六、相关口径说明</w:t>
      </w:r>
    </w:p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第五部分  名词解释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44"/>
          <w:szCs w:val="44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D6B51"/>
    <w:rsid w:val="19B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2023-10-26T15:00:00Z</dcterms:created>
  <dc:creator>波波</dc:creator>
  <cp:lastModifiedBy>波波</cp:lastModifiedBy>
  <dcterms:modified xsi:type="dcterms:W3CDTF">2023-10-26T15:02:12Z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