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玉溪市人民政府关于印发</w:t>
      </w:r>
    </w:p>
    <w:p>
      <w:pPr>
        <w:keepNext w:val="0"/>
        <w:keepLines w:val="0"/>
        <w:pageBreakBefore w:val="0"/>
        <w:widowControl/>
        <w:kinsoku/>
        <w:wordWrap/>
        <w:overflowPunct/>
        <w:topLinePunct w:val="0"/>
        <w:autoSpaceDE/>
        <w:autoSpaceDN/>
        <w:bidi w:val="0"/>
        <w:adjustRightInd w:val="0"/>
        <w:snapToGrid w:val="0"/>
        <w:spacing w:line="590" w:lineRule="exact"/>
        <w:ind w:firstLine="0" w:firstLineChars="0"/>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auto"/>
          <w:kern w:val="0"/>
          <w:sz w:val="44"/>
          <w:szCs w:val="44"/>
          <w:highlight w:val="none"/>
        </w:rPr>
        <w:t>玉溪市非常规水资源管理办法</w:t>
      </w:r>
      <w:r>
        <w:rPr>
          <w:rFonts w:hint="eastAsia" w:ascii="方正小标宋_GBK" w:hAnsi="方正小标宋_GBK" w:eastAsia="方正小标宋_GBK" w:cs="方正小标宋_GBK"/>
          <w:color w:val="000000"/>
          <w:sz w:val="44"/>
          <w:szCs w:val="44"/>
        </w:rPr>
        <w:t>的通知</w:t>
      </w:r>
    </w:p>
    <w:p>
      <w:pPr>
        <w:spacing w:line="680" w:lineRule="exact"/>
        <w:jc w:val="center"/>
        <w:rPr>
          <w:rFonts w:ascii="方正小标宋_GBK" w:hAnsi="方正小标宋_GBK" w:eastAsia="方正小标宋_GBK" w:cs="方正小标宋_GBK"/>
          <w:color w:val="000000"/>
          <w:sz w:val="44"/>
          <w:szCs w:val="44"/>
        </w:rPr>
      </w:pPr>
    </w:p>
    <w:p>
      <w:pPr>
        <w:spacing w:line="590" w:lineRule="exact"/>
        <w:ind w:left="0" w:leftChars="0" w:firstLine="0" w:firstLineChars="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各县（市、区）人民政府，市直各委、办、局，各人民团体和企事业单位，中央、省驻玉单位：</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《玉溪市非常规水资源管理办法》已经第六届市人民政府第</w:t>
      </w:r>
      <w:r>
        <w:rPr>
          <w:rFonts w:hint="eastAsia" w:ascii="Times New Roman" w:hAnsi="Times New Roman" w:cs="Times New Roman"/>
          <w:color w:val="000000"/>
          <w:sz w:val="32"/>
          <w:szCs w:val="32"/>
          <w:lang w:val="en-US" w:eastAsia="zh-CN"/>
        </w:rPr>
        <w:t>24</w:t>
      </w:r>
      <w:r>
        <w:rPr>
          <w:rFonts w:hint="eastAsia" w:ascii="Times New Roman" w:hAnsi="Times New Roman" w:eastAsia="方正仿宋_GBK" w:cs="Times New Roman"/>
          <w:color w:val="000000"/>
          <w:sz w:val="32"/>
          <w:szCs w:val="32"/>
        </w:rPr>
        <w:t>次常务会议讨论通过，现印发给你们，请认真遵照执行。</w:t>
      </w: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jc w:val="both"/>
        <w:rPr>
          <w:rFonts w:ascii="方正小标宋_GBK" w:hAnsi="方正小标宋_GBK" w:eastAsia="方正小标宋_GBK" w:cs="方正小标宋_GBK"/>
          <w:color w:val="000000"/>
          <w:sz w:val="44"/>
          <w:szCs w:val="44"/>
        </w:rPr>
      </w:pPr>
    </w:p>
    <w:p>
      <w:pPr>
        <w:spacing w:line="590" w:lineRule="exact"/>
        <w:ind w:firstLine="640" w:firstLineChars="200"/>
        <w:jc w:val="both"/>
        <w:rPr>
          <w:rFonts w:ascii="Times New Roman" w:hAnsi="Times New Roman" w:eastAsia="方正仿宋_GBK" w:cs="Times New Roman"/>
          <w:color w:val="000000"/>
          <w:sz w:val="32"/>
          <w:szCs w:val="32"/>
        </w:rPr>
      </w:pPr>
      <w:bookmarkStart w:id="0" w:name="_GoBack"/>
      <w:bookmarkEnd w:id="0"/>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5440" w:firstLineChars="17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rPr>
        <w:t>日</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（此件公开发布）</w:t>
      </w:r>
    </w:p>
    <w:p>
      <w:pPr>
        <w:spacing w:line="590" w:lineRule="exact"/>
        <w:ind w:firstLine="5440" w:firstLineChars="1700"/>
        <w:jc w:val="both"/>
        <w:rPr>
          <w:rFonts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黑体_GBK" w:hAnsi="方正黑体_GBK" w:eastAsia="方正黑体_GBK" w:cs="方正黑体_GBK"/>
          <w:sz w:val="28"/>
          <w:szCs w:val="28"/>
          <w:lang w:val="en-US" w:eastAsia="zh-CN"/>
        </w:rPr>
      </w:pPr>
      <w:r>
        <w:rPr>
          <w:rFonts w:hint="eastAsia" w:ascii="Times New Roman" w:hAnsi="Times New Roman" w:eastAsia="方正小标宋_GBK" w:cs="Times New Roman"/>
          <w:color w:val="000000"/>
          <w:sz w:val="44"/>
          <w:szCs w:val="44"/>
        </w:rPr>
        <w:br w:type="page"/>
      </w:r>
    </w:p>
    <w:p>
      <w:pPr>
        <w:keepNext w:val="0"/>
        <w:keepLines w:val="0"/>
        <w:pageBreakBefore w:val="0"/>
        <w:widowControl/>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14:textFill>
            <w14:solidFill>
              <w14:schemeClr w14:val="tx1"/>
            </w14:solidFill>
          </w14:textFill>
        </w:rPr>
        <w:t>玉溪市非常规水资源管理办法</w:t>
      </w:r>
    </w:p>
    <w:p>
      <w:pPr>
        <w:keepNext w:val="0"/>
        <w:keepLines w:val="0"/>
        <w:pageBreakBefore w:val="0"/>
        <w:widowControl w:val="0"/>
        <w:kinsoku/>
        <w:wordWrap/>
        <w:overflowPunct/>
        <w:topLinePunct w:val="0"/>
        <w:autoSpaceDE/>
        <w:autoSpaceDN/>
        <w:bidi w:val="0"/>
        <w:adjustRightInd w:val="0"/>
        <w:snapToGrid w:val="0"/>
        <w:spacing w:line="590" w:lineRule="exact"/>
        <w:ind w:firstLine="561"/>
        <w:textAlignment w:val="auto"/>
        <w:rPr>
          <w:rFonts w:eastAsia="方正仿宋_GBK"/>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第一条</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了</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落实最严格的水资源管理制度，促进</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本市</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非常规水资源的有效利用，提高水资源利用效率，保障用水安全，促进经济和社会可持续发展，根据《中华人民共和国水法》《云南省节约用水条例》</w:t>
      </w:r>
      <w:r>
        <w:rPr>
          <w:rFonts w:hint="eastAsia" w:ascii="仿宋" w:hAnsi="仿宋" w:eastAsia="仿宋" w:cs="仿宋"/>
          <w:color w:val="000000" w:themeColor="text1"/>
          <w:sz w:val="32"/>
          <w:szCs w:val="32"/>
          <w:highlight w:val="none"/>
          <w14:textFill>
            <w14:solidFill>
              <w14:schemeClr w14:val="tx1"/>
            </w14:solidFill>
          </w14:textFill>
        </w:rPr>
        <w:t>等法律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法规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，结合本市实际，制定本办法。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第二条</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本市</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城市建成区范围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内</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非常规水资源利用设施的规划、建设、运行（营）</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维护，非常规水的利用以及相关管理活动，适用本办法。</w:t>
      </w:r>
    </w:p>
    <w:p>
      <w:pPr>
        <w:keepNext w:val="0"/>
        <w:keepLines w:val="0"/>
        <w:pageBreakBefore w:val="0"/>
        <w:kinsoku/>
        <w:wordWrap/>
        <w:overflowPunct/>
        <w:topLinePunct w:val="0"/>
        <w:autoSpaceDE w:val="0"/>
        <w:autoSpaceDN/>
        <w:bidi w:val="0"/>
        <w:adjustRightInd/>
        <w:snapToGrid/>
        <w:spacing w:line="590" w:lineRule="exact"/>
        <w:ind w:firstLine="642"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第三条</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本办法所称非常规水资源，是指雨水、再生水等经过处理后，达到规定的水质标准，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可以</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在一定范围内重复使用的非饮用水。</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eastAsia"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本办法所称再生水，是指对污水处理厂出水、工业排水、生活污水等非常规水源进行回收，经过处理后达到一定水质标准，并在一定范围内重复利用的水资源。</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本办法所称非常规水资源利用设施，包括雨水收集利用设施和再生水利用设施，是指非常规水资源的净化处理、集水、供水、计量、检测设施以及其他附属设施。</w:t>
      </w:r>
    </w:p>
    <w:p>
      <w:pPr>
        <w:pageBreakBefore w:val="0"/>
        <w:numPr>
          <w:ilvl w:val="0"/>
          <w:numId w:val="0"/>
        </w:numPr>
        <w:kinsoku/>
        <w:wordWrap/>
        <w:overflowPunct/>
        <w:topLinePunct w:val="0"/>
        <w:bidi w:val="0"/>
        <w:spacing w:line="590" w:lineRule="exact"/>
        <w:ind w:firstLine="642"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市、县（市、区）住房城乡建设</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主管部门负责本</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市、县（市、区）</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非常规水资源管理、监督、指导工作</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市、县（市、区）工业和信息化、财政、自然资源规划、生态环境、农业农村、水利、林草等部门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按照各自职责</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做好</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非常规水资源利用管理相关</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工作。</w:t>
      </w:r>
    </w:p>
    <w:p>
      <w:pPr>
        <w:keepNext w:val="0"/>
        <w:keepLines w:val="0"/>
        <w:pageBreakBefore w:val="0"/>
        <w:kinsoku/>
        <w:wordWrap/>
        <w:overflowPunct/>
        <w:topLinePunct w:val="0"/>
        <w:autoSpaceDE/>
        <w:autoSpaceDN/>
        <w:bidi w:val="0"/>
        <w:adjustRightInd w:val="0"/>
        <w:snapToGrid w:val="0"/>
        <w:spacing w:line="590" w:lineRule="exact"/>
        <w:ind w:firstLine="642"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市、县（市、区）人民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政府</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加大财政资金投入力度，</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加强非常规水资源利用、管理，建设节水型城市</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“谁投资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谁收益”的原则</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鼓励单位和个人以独资、合资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合作</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方式建设非常规水资源利用设施。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第六条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编制节约用水规划、非常规水源利用规划等水利专业规划时，应充分考虑非常规水源的用水需求、供水能力和设施布局，明确非常规水源最低配置量、配置对象及水源类型，统筹推进非常规水源配置利用设施建设和提质改造。规划相关内容不符合要求的，水行政主管部门不得同意其通过审查。</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第七条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下列用水领域应当优先使用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适当种类的</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ab/>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城市绿化、</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厕所冲洗</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、道路清扫、车辆冲洗、建筑施工、消防等城市杂用水；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（二）娱乐性、观赏性、湿地等环境用水；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（三）冷却水、初级洗涤、锅炉、工艺等工业用水；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（四）农田灌溉、造林育苗、畜牧养殖、水产养殖等农、林、牧、渔业用水；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（五）地表水等补充水。</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第八条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城市</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新建、改建、扩建建设项目配套非常规水资源利用设施的，非常规水资源利用设施的建设资金应当纳入主体工程投资总概算，并与主体工程同时设计、同时施工、同时投入使用。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90" w:lineRule="exact"/>
        <w:ind w:leftChars="0"/>
        <w:jc w:val="center"/>
        <w:textAlignment w:val="auto"/>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第二章</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 xml:space="preserve"> </w:t>
      </w:r>
      <w:r>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t>雨水的利用</w:t>
      </w:r>
    </w:p>
    <w:p>
      <w:pPr>
        <w:pStyle w:val="2"/>
        <w:keepNext w:val="0"/>
        <w:keepLines w:val="0"/>
        <w:pageBreakBefore w:val="0"/>
        <w:kinsoku/>
        <w:wordWrap/>
        <w:overflowPunct/>
        <w:topLinePunct w:val="0"/>
        <w:bidi w:val="0"/>
        <w:spacing w:after="0" w:line="590" w:lineRule="exact"/>
        <w:ind w:left="0" w:leftChars="0" w:firstLine="642" w:firstLineChars="200"/>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结合海绵城市建设，因地制宜提升公园、绿地、建筑、道路、广场等雨水资源综合利用水平。结合治污减排，积极推进雨污分流和雨水收集利用。</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有特殊污染源的化工、制药、医疗机构等在建设雨水收集利用设施时建设单位应当召开</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由</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相关行政主管部门参加的专题论证会。</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第十一条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严格按照《建筑与小区雨水控制及利用工程技术规范》（GB50400—2016）和国家及地方其它相关规定，建设雨水收集利用设施</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雨水收集利用设施的设计、施工，</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结合低影响开发模式，在建设工程地面硬化后不增加建设区域内雨水径流量和外排总量</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雨水收集利用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设施的设计，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除满足收集、处理和贮存回用外，还应当考虑调蓄排放功能，消减雨水洪峰径流量</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景观、循环水池可以合并设计建设为雨水储存利用设施。</w:t>
      </w:r>
    </w:p>
    <w:p>
      <w:pPr>
        <w:keepNext w:val="0"/>
        <w:keepLines w:val="0"/>
        <w:pageBreakBefore w:val="0"/>
        <w:kinsoku/>
        <w:wordWrap/>
        <w:overflowPunct/>
        <w:topLinePunct w:val="0"/>
        <w:bidi w:val="0"/>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第十二条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雨水收集利用应当因地制宜，结合雨水集蓄利用、入渗回补</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调蓄排放等方式综合利用。</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（一）利用类型为建筑物屋顶</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雨水应当集中引入蓄水设施处理后利用，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或者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引入地面透水区域</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如</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绿地、透水路面</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进行入渗回补；</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（二）利用类型为庭院、广场、公园、人行道等建筑工程</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，应当按照建设标准选用透水材料或建设低冲击模式设施，将雨水引入透水区域入渗回补，</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或者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引入蓄水设施处理利用；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（三）利用类型为城市道路等市政基础设施</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，应当结合沿线的绿化灌溉设计建设雨水收集利用设施，并充分利用道路雨水管网，综合考虑雨水收集利用系统。</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第十三条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雨水主要用于农业灌溉用水、工业用水、生活杂用水、城市景观生态用水。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雨水水质应当根据用途决定。除达到《建筑与小区雨水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控制及</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利用工程技术规范》</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GB50400—2016</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规定水质指标外，其余指标应当符合国家现行相关标准的规定。有多用途的，其水质标准应当按最高水质标准确定。</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第十四条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雨水收集利用设施的建设单位、管理单位或者物业管理企业，应按照《建筑与小区雨水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控制及</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利用工程技术规范》</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GB50400—2016</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规定，加强对设施、设备的维护和管理，确保其正常运行。</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t>再生水利用</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第十五条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县（市、区）住房城乡建设主管部门</w:t>
      </w: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应当编制再生水开发利用</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专项</w:t>
      </w: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规划，因地制宜建设城市再生水</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利用</w:t>
      </w:r>
      <w:r>
        <w:rPr>
          <w:rFonts w:hint="default" w:ascii="Times New Roman" w:hAnsi="Times New Roman" w:eastAsia="方正仿宋_GBK" w:cs="Times New Roman"/>
          <w:b w:val="0"/>
          <w:bCs w:val="0"/>
          <w:color w:val="000000" w:themeColor="text1"/>
          <w:kern w:val="0"/>
          <w:sz w:val="32"/>
          <w:szCs w:val="32"/>
          <w:highlight w:val="none"/>
          <w:lang w:eastAsia="zh-CN"/>
          <w14:textFill>
            <w14:solidFill>
              <w14:schemeClr w14:val="tx1"/>
            </w14:solidFill>
          </w14:textFill>
        </w:rPr>
        <w:t>设施，为开发利用再生水提供便利。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第十</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再生水水源主要有：</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（一）生活污水；</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（二）城市污水处理厂出水（达到再生水的用途标准）；</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（三）符合再生水标准、安全、相对洁净的工业排水。</w:t>
      </w:r>
    </w:p>
    <w:p>
      <w:pPr>
        <w:keepNext w:val="0"/>
        <w:keepLines w:val="0"/>
        <w:pageBreakBefore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电镀、化工、印染等有毒有害的工业废水</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医疗机构废水和放射性废水等不能作为再生水水源。</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第十七条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再生水利用设施的规划与建设</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应当遵循</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因地制宜、集中与分散建设相结合，以集中建设为主的原则。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编制城市规划或者进行城市建设，应</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当安排</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再生水利用设施的建设用地，新建、改建、扩建城市道路，应当按照再生水利用规划的要求，铺设再生水利用管线。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新建城市污水处理厂应当配套建设集中式再生水利用设施和再生水输配设施。</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第十八条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在城市</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建成区</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范围内新建、改建、扩建下列工程项目，建设单位应当同期配套建设再生水利用设施：</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（一）建筑面积在2万平方米以上的宾馆、饭店、商场、综合性服务楼、高层住宅；</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（二）建筑面积在3万平方米以上的机关、科研单位、大专院校和大型综合性文化体育设施；</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（三）建筑面积在5万平方米以上的居住区和集中建筑区；</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（四）可回收水量在150立方米／日以上的建设项目；</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（五）其他应当配套建设再生水利用设施的项目。</w:t>
      </w:r>
    </w:p>
    <w:p>
      <w:pPr>
        <w:keepNext w:val="0"/>
        <w:keepLines w:val="0"/>
        <w:pageBreakBefore w:val="0"/>
        <w:kinsoku/>
        <w:wordWrap/>
        <w:overflowPunct/>
        <w:topLinePunct w:val="0"/>
        <w:autoSpaceDE/>
        <w:autoSpaceDN/>
        <w:bidi w:val="0"/>
        <w:adjustRightInd w:val="0"/>
        <w:snapToGrid w:val="0"/>
        <w:spacing w:line="590" w:lineRule="exact"/>
        <w:ind w:firstLine="6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符合前款规定的现有建筑，具备建设场地等条件的，应当按照当地再生水利用发展规划配套建设再生水利用设施。</w:t>
      </w:r>
    </w:p>
    <w:p>
      <w:pPr>
        <w:keepNext w:val="0"/>
        <w:keepLines w:val="0"/>
        <w:pageBreakBefore w:val="0"/>
        <w:kinsoku/>
        <w:wordWrap/>
        <w:overflowPunct/>
        <w:topLinePunct w:val="0"/>
        <w:autoSpaceDN w:val="0"/>
        <w:bidi w:val="0"/>
        <w:adjustRightInd w:val="0"/>
        <w:snapToGrid w:val="0"/>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第十九条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ab/>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城市</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再生水</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管网覆盖范围内的工程项目开工前，建设单位应当到再生水运行（营）单位查明地下城市</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再生水</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设施情况</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施工可能影响</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再生水</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设施安全的</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建设单位应当</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采取相应保护措施。</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ab/>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再生水水质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达到下列标准：</w:t>
      </w:r>
    </w:p>
    <w:p>
      <w:pPr>
        <w:keepNext w:val="0"/>
        <w:keepLines w:val="0"/>
        <w:pageBreakBefore w:val="0"/>
        <w:kinsoku/>
        <w:wordWrap/>
        <w:overflowPunct/>
        <w:topLinePunct w:val="0"/>
        <w:bidi w:val="0"/>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（一）用作道路清洁、消防、城市绿化、建筑施工、车辆清洗、厕所冲洗等城市杂用水的达到《城市污水再生利用 城市杂用水水质》（GB/T18920-2020）的规定，其中城市绿化中的绿地用水达到《城市污水再生利用 绿地灌溉水质》（GB/T25499-2010）的规定；</w:t>
      </w:r>
    </w:p>
    <w:p>
      <w:pPr>
        <w:keepNext w:val="0"/>
        <w:keepLines w:val="0"/>
        <w:pageBreakBefore w:val="0"/>
        <w:kinsoku/>
        <w:wordWrap/>
        <w:overflowPunct/>
        <w:topLinePunct w:val="0"/>
        <w:bidi w:val="0"/>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（二）用作娱乐性、观赏性景观环境用水的达到《城市污水再生利用 景观环境用水水质》（GB/T18921-2019）的规定;</w:t>
      </w:r>
    </w:p>
    <w:p>
      <w:pPr>
        <w:keepNext w:val="0"/>
        <w:keepLines w:val="0"/>
        <w:pageBreakBefore w:val="0"/>
        <w:kinsoku/>
        <w:wordWrap/>
        <w:overflowPunct/>
        <w:topLinePunct w:val="0"/>
        <w:bidi w:val="0"/>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（三）用于农业灌溉用水的达到《农田灌溉水质标准》（GB5084-2021）、《城市污水再生利用农田灌溉用水水质》（GB20922-2007）的规定;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（四）用于工业领域的冷却洗涤、锅炉工业用水的达到《再生水水质标准》（SL368-2006）、《城市污水再生利用工业用水水质》（GB/T19923-2005）的规定。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再生水利用系统有各种用途时，其水质标准应当</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按照</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最高使用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标准</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确定。</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第二十一条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再生水价格由</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供需双方自主协商确定。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14:textFill>
            <w14:solidFill>
              <w14:schemeClr w14:val="tx1"/>
            </w14:solidFill>
          </w14:textFill>
        </w:rPr>
        <w:t>运行和管理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第二十二条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非常规水资源利用设施的日常运行</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管理</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维护由非常规水资源运行（营）管理单位负责，并接受</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属地住房城乡建设</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主管部门的监督和管理。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自建非常规水资源利用设施日常运行管理和维护由所有权人或管理人负责。</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第二十三条</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非常规水资源运行</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营</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管理单位</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应当</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建立非常规水资源运行、维护管理制度和工作规程，保证非常规水利用设施正常运行。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非常规水资源运行（营）管理单位不得擅自停止运行设施或者停止供水。因设施检修维护等原因需要停止运行或者供水的，应</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当</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提前24小时通知用户，并向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属地住房城乡建设主管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非常规水资源利用设施管理人员必须经过技术培训，经过考核合格后方能从事管理工作。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第二十四条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非常规水资源供水系统和自来水供水系统应当相互独立，非常规水资源利用设施和管线应当有明显标识，在出水口标出“非饮用水”标识。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第二十五条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县（市、区）住房城乡建设主管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部门应当会同有关部门制定非常规水资源利用突发事件应急预案，并定期组织演练。发生非常规水资源利用突发事件时，应当立即启动应急预案。</w:t>
      </w:r>
    </w:p>
    <w:p>
      <w:pPr>
        <w:pStyle w:val="4"/>
        <w:keepNext w:val="0"/>
        <w:keepLines w:val="0"/>
        <w:pageBreakBefore w:val="0"/>
        <w:kinsoku/>
        <w:wordWrap/>
        <w:overflowPunct/>
        <w:topLinePunct w:val="0"/>
        <w:bidi w:val="0"/>
        <w:spacing w:line="590" w:lineRule="exact"/>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t>第五章</w:t>
      </w:r>
      <w:r>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tab/>
      </w:r>
      <w:r>
        <w:rPr>
          <w:rFonts w:hint="default" w:ascii="方正黑体_GBK" w:hAnsi="方正黑体_GBK" w:eastAsia="方正黑体_GBK" w:cs="方正黑体_GBK"/>
          <w:b w:val="0"/>
          <w:bCs w:val="0"/>
          <w:color w:val="000000" w:themeColor="text1"/>
          <w:sz w:val="32"/>
          <w:szCs w:val="32"/>
          <w:highlight w:val="none"/>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第二十六条</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违反本办法规定的，</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按照</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有关法律法规规章</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规定</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进行处理。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第二十七条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国家机关及其有关人员在非常规水资源管理工作中滥用职权、玩忽职守、徇私舞弊的，依法给予处分；给他人造成损害的，依法承担赔偿责任；构成犯罪的，依法追究刑事责任。</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方正黑体_GBK" w:hAnsi="方正黑体_GBK" w:eastAsia="方正黑体_GBK" w:cs="方正黑体_GBK"/>
          <w:color w:val="000000" w:themeColor="text1"/>
          <w:sz w:val="32"/>
          <w:szCs w:val="32"/>
          <w:highlight w:val="none"/>
          <w14:textFill>
            <w14:solidFill>
              <w14:schemeClr w14:val="tx1"/>
            </w14:solidFill>
          </w14:textFill>
        </w:rPr>
        <w:t>第六章</w:t>
      </w:r>
      <w:r>
        <w:rPr>
          <w:rFonts w:hint="default" w:ascii="方正黑体_GBK" w:hAnsi="方正黑体_GBK" w:eastAsia="方正黑体_GBK" w:cs="方正黑体_GBK"/>
          <w:color w:val="000000" w:themeColor="text1"/>
          <w:sz w:val="32"/>
          <w:szCs w:val="32"/>
          <w:highlight w:val="none"/>
          <w14:textFill>
            <w14:solidFill>
              <w14:schemeClr w14:val="tx1"/>
            </w14:solidFill>
          </w14:textFill>
        </w:rPr>
        <w:tab/>
      </w:r>
      <w:r>
        <w:rPr>
          <w:rFonts w:hint="default" w:ascii="方正黑体_GBK" w:hAnsi="方正黑体_GBK" w:eastAsia="方正黑体_GBK" w:cs="方正黑体_GBK"/>
          <w:color w:val="000000" w:themeColor="text1"/>
          <w:sz w:val="32"/>
          <w:szCs w:val="32"/>
          <w:highlight w:val="none"/>
          <w14:textFill>
            <w14:solidFill>
              <w14:schemeClr w14:val="tx1"/>
            </w14:solidFill>
          </w14:textFill>
        </w:rPr>
        <w:t>附则</w:t>
      </w:r>
    </w:p>
    <w:p>
      <w:pPr>
        <w:keepNext w:val="0"/>
        <w:keepLines w:val="0"/>
        <w:pageBreakBefore w:val="0"/>
        <w:widowControl w:val="0"/>
        <w:tabs>
          <w:tab w:val="left" w:pos="2360"/>
        </w:tabs>
        <w:kinsoku/>
        <w:wordWrap/>
        <w:overflowPunct/>
        <w:topLinePunct w:val="0"/>
        <w:autoSpaceDE/>
        <w:autoSpaceDN/>
        <w:bidi w:val="0"/>
        <w:adjustRightInd/>
        <w:snapToGrid/>
        <w:spacing w:line="590" w:lineRule="exact"/>
        <w:ind w:left="0" w:right="0" w:firstLine="642"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第</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二十八</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条</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本办法所列标准、规范如有修订，以修订后的最新版本为准。</w:t>
      </w:r>
    </w:p>
    <w:p>
      <w:pPr>
        <w:keepNext w:val="0"/>
        <w:keepLines w:val="0"/>
        <w:pageBreakBefore w:val="0"/>
        <w:widowControl w:val="0"/>
        <w:tabs>
          <w:tab w:val="left" w:pos="2360"/>
        </w:tabs>
        <w:kinsoku/>
        <w:wordWrap/>
        <w:overflowPunct/>
        <w:topLinePunct w:val="0"/>
        <w:autoSpaceDE/>
        <w:autoSpaceDN/>
        <w:bidi w:val="0"/>
        <w:adjustRightInd/>
        <w:snapToGrid/>
        <w:spacing w:line="590" w:lineRule="exact"/>
        <w:ind w:left="0" w:right="0" w:firstLine="642"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第</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二十九</w:t>
      </w: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条</w:t>
      </w:r>
      <w:r>
        <w:rPr>
          <w:rFonts w:hint="eastAsia"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本办法自</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2023年11月1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日起施行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。2015年9月8日起公布的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《玉溪市城市</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非常规水资源</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管理办法（试行）》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（玉溪市人民政府公告第45号）</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同时废止。</w:t>
      </w:r>
    </w:p>
    <w:p>
      <w:pPr>
        <w:pageBreakBefore w:val="0"/>
        <w:kinsoku/>
        <w:wordWrap/>
        <w:overflowPunct/>
        <w:topLinePunct w:val="0"/>
        <w:bidi w:val="0"/>
        <w:spacing w:line="590" w:lineRule="exact"/>
        <w:textAlignment w:val="auto"/>
        <w:rPr>
          <w:color w:val="000000" w:themeColor="text1"/>
          <w:highlight w:val="none"/>
          <w14:textFill>
            <w14:solidFill>
              <w14:schemeClr w14:val="tx1"/>
            </w14:solidFill>
          </w14:textFill>
        </w:rPr>
      </w:pPr>
    </w:p>
    <w:sectPr>
      <w:footerReference r:id="rId3" w:type="default"/>
      <w:pgSz w:w="11906" w:h="16838"/>
      <w:pgMar w:top="2041" w:right="1474" w:bottom="1304" w:left="1587" w:header="1361" w:footer="119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color w:val="auto"/>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A94D"/>
    <w:multiLevelType w:val="singleLevel"/>
    <w:tmpl w:val="0005A94D"/>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36CF0"/>
    <w:rsid w:val="00F371AC"/>
    <w:rsid w:val="01383CB4"/>
    <w:rsid w:val="04A42143"/>
    <w:rsid w:val="075D608E"/>
    <w:rsid w:val="07972AF7"/>
    <w:rsid w:val="0BF4338A"/>
    <w:rsid w:val="0C9F7997"/>
    <w:rsid w:val="0D7C7281"/>
    <w:rsid w:val="0FEC5A46"/>
    <w:rsid w:val="116270F8"/>
    <w:rsid w:val="17857FA7"/>
    <w:rsid w:val="182B692D"/>
    <w:rsid w:val="1B9F67A7"/>
    <w:rsid w:val="283800D6"/>
    <w:rsid w:val="2AF7012F"/>
    <w:rsid w:val="334D5A0D"/>
    <w:rsid w:val="38660A79"/>
    <w:rsid w:val="3A943052"/>
    <w:rsid w:val="3BFD608B"/>
    <w:rsid w:val="3C216BB2"/>
    <w:rsid w:val="3DD36CF0"/>
    <w:rsid w:val="42F24ADD"/>
    <w:rsid w:val="462C429A"/>
    <w:rsid w:val="48256BC3"/>
    <w:rsid w:val="485F0328"/>
    <w:rsid w:val="48E40189"/>
    <w:rsid w:val="517F4866"/>
    <w:rsid w:val="51826461"/>
    <w:rsid w:val="52C8686C"/>
    <w:rsid w:val="57EA3922"/>
    <w:rsid w:val="5A5A07D7"/>
    <w:rsid w:val="5C084892"/>
    <w:rsid w:val="5C5205F2"/>
    <w:rsid w:val="5C7457BC"/>
    <w:rsid w:val="5C79532E"/>
    <w:rsid w:val="5FB90802"/>
    <w:rsid w:val="5FB920F5"/>
    <w:rsid w:val="60D828ED"/>
    <w:rsid w:val="63BE7920"/>
    <w:rsid w:val="64447616"/>
    <w:rsid w:val="65BD2189"/>
    <w:rsid w:val="668F2683"/>
    <w:rsid w:val="66B9682E"/>
    <w:rsid w:val="711775A8"/>
    <w:rsid w:val="71222104"/>
    <w:rsid w:val="719F60EE"/>
    <w:rsid w:val="730E1994"/>
    <w:rsid w:val="78090A73"/>
    <w:rsid w:val="7BD73D61"/>
    <w:rsid w:val="7D8678BD"/>
    <w:rsid w:val="D9E8E710"/>
    <w:rsid w:val="E9DDD2BC"/>
    <w:rsid w:val="EF5F10EA"/>
    <w:rsid w:val="F4F6BE59"/>
    <w:rsid w:val="F67699D2"/>
    <w:rsid w:val="FA6A4F64"/>
    <w:rsid w:val="FC7B9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basedOn w:val="1"/>
    <w:next w:val="5"/>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te Heading"/>
    <w:basedOn w:val="1"/>
    <w:next w:val="1"/>
    <w:qFormat/>
    <w:uiPriority w:val="99"/>
    <w:pPr>
      <w:jc w:val="center"/>
    </w:pPr>
  </w:style>
  <w:style w:type="paragraph" w:styleId="8">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Normal Indent1"/>
    <w:basedOn w:val="1"/>
    <w:qFormat/>
    <w:uiPriority w:val="99"/>
    <w:pPr>
      <w:ind w:firstLine="420" w:firstLineChars="200"/>
    </w:pPr>
  </w:style>
  <w:style w:type="paragraph" w:customStyle="1" w:styleId="16">
    <w:name w:val="主标题"/>
    <w:basedOn w:val="1"/>
    <w:qFormat/>
    <w:uiPriority w:val="0"/>
    <w:pPr>
      <w:spacing w:line="579" w:lineRule="exact"/>
      <w:ind w:firstLine="0" w:firstLineChars="0"/>
      <w:jc w:val="center"/>
      <w:outlineLvl w:val="0"/>
    </w:pPr>
    <w:rPr>
      <w:rFonts w:eastAsia="方正小标宋_GBK"/>
      <w:sz w:val="44"/>
    </w:rPr>
  </w:style>
  <w:style w:type="paragraph" w:customStyle="1" w:styleId="17">
    <w:name w:val="—副标题"/>
    <w:basedOn w:val="1"/>
    <w:qFormat/>
    <w:uiPriority w:val="0"/>
    <w:pPr>
      <w:spacing w:line="579" w:lineRule="exact"/>
      <w:ind w:firstLine="0" w:firstLineChars="0"/>
      <w:jc w:val="center"/>
    </w:pPr>
    <w:rPr>
      <w:rFonts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2023-07-21T10:08:00Z</dcterms:created>
  <dc:creator>Administrator</dc:creator>
  <cp:lastModifiedBy>user</cp:lastModifiedBy>
  <cp:lastPrinted>2023-09-19T10:37:00Z</cp:lastPrinted>
  <dcterms:modified xsi:type="dcterms:W3CDTF">2023-10-25T09:25:02Z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14699F76097FD1445637BF64AB495199</vt:lpwstr>
  </property>
</Properties>
</file>