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Times New Roman" w:hAnsi="Times New Roman" w:eastAsia="方正仿宋_GBK" w:cs="Times New Roman"/>
          <w:sz w:val="32"/>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eastAsia="仿宋_GB2312" w:cs="Times New Roman"/>
          <w:sz w:val="32"/>
        </w:rPr>
      </w:pPr>
      <w:r>
        <w:rPr>
          <w:rFonts w:hint="default" w:ascii="Times New Roman" w:hAnsi="Times New Roman" w:eastAsia="方正仿宋_GBK" w:cs="Times New Roman"/>
          <w:sz w:val="32"/>
          <w:lang w:eastAsia="zh-CN"/>
        </w:rPr>
        <w:t>玉</w:t>
      </w:r>
      <w:r>
        <w:rPr>
          <w:rFonts w:hint="default" w:ascii="Times New Roman" w:hAnsi="Times New Roman" w:eastAsia="方正仿宋_GBK" w:cs="Times New Roman"/>
          <w:sz w:val="32"/>
        </w:rPr>
        <w:t>环审〔</w:t>
      </w:r>
      <w:r>
        <w:rPr>
          <w:rFonts w:hint="default" w:ascii="Times New Roman" w:hAnsi="Times New Roman" w:eastAsia="方正仿宋_GBK" w:cs="Times New Roman"/>
          <w:sz w:val="32"/>
          <w:lang w:val="en-US" w:eastAsia="zh-CN"/>
        </w:rPr>
        <w:t>202</w:t>
      </w:r>
      <w:r>
        <w:rPr>
          <w:rFonts w:hint="default" w:eastAsia="方正仿宋_GBK" w:cs="Times New Roman"/>
          <w:sz w:val="32"/>
          <w:lang w:val="en-US" w:eastAsia="zh-CN"/>
        </w:rPr>
        <w:t>3</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1</w:t>
      </w:r>
      <w:r>
        <w:rPr>
          <w:rFonts w:hint="eastAsia" w:eastAsia="方正仿宋_GBK" w:cs="Times New Roman"/>
          <w:sz w:val="32"/>
          <w:lang w:val="en-US" w:eastAsia="zh-CN"/>
        </w:rPr>
        <w:t>—9</w:t>
      </w:r>
      <w:r>
        <w:rPr>
          <w:rFonts w:hint="default" w:ascii="Times New Roman" w:hAnsi="Times New Roman" w:eastAsia="方正仿宋_GBK" w:cs="Times New Roman"/>
          <w:sz w:val="32"/>
        </w:rPr>
        <w:t>号</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default" w:ascii="Times New Roman" w:hAnsi="Times New Roman" w:cs="Times New Roman"/>
          <w:sz w:val="32"/>
        </w:rPr>
      </w:pPr>
    </w:p>
    <w:p>
      <w:pPr>
        <w:keepNext w:val="0"/>
        <w:keepLines w:val="0"/>
        <w:pageBreakBefore w:val="0"/>
        <w:widowControl w:val="0"/>
        <w:kinsoku/>
        <w:wordWrap/>
        <w:overflowPunct/>
        <w:topLinePunct w:val="0"/>
        <w:autoSpaceDE w:val="0"/>
        <w:autoSpaceDN w:val="0"/>
        <w:bidi w:val="0"/>
        <w:adjustRightInd w:val="0"/>
        <w:spacing w:line="590" w:lineRule="exact"/>
        <w:jc w:val="center"/>
        <w:textAlignment w:val="auto"/>
        <w:outlineLvl w:val="0"/>
        <w:rPr>
          <w:rFonts w:hint="eastAsia" w:ascii="方正小标宋_GBK" w:hAnsi="方正小标宋_GBK" w:eastAsia="方正小标宋_GBK" w:cs="方正小标宋_GBK"/>
          <w:bCs/>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inorEastAsia" w:hAnsiTheme="minorEastAsia" w:eastAsiaTheme="minorEastAsia" w:cstheme="minorEastAsia"/>
          <w:bCs/>
          <w:sz w:val="36"/>
          <w:szCs w:val="36"/>
          <w:lang w:val="zh-CN"/>
        </w:rPr>
      </w:pPr>
      <w:r>
        <w:rPr>
          <w:rFonts w:hint="eastAsia" w:asciiTheme="minorEastAsia" w:hAnsiTheme="minorEastAsia" w:eastAsiaTheme="minorEastAsia" w:cstheme="minorEastAsia"/>
          <w:bCs/>
          <w:sz w:val="36"/>
          <w:szCs w:val="36"/>
          <w:lang w:eastAsia="zh-CN"/>
        </w:rPr>
        <w:t>玉溪市生态</w:t>
      </w:r>
      <w:r>
        <w:rPr>
          <w:rFonts w:hint="eastAsia" w:asciiTheme="minorEastAsia" w:hAnsiTheme="minorEastAsia" w:eastAsiaTheme="minorEastAsia" w:cstheme="minorEastAsia"/>
          <w:bCs/>
          <w:sz w:val="36"/>
          <w:szCs w:val="36"/>
        </w:rPr>
        <w:t>环境</w:t>
      </w:r>
      <w:r>
        <w:rPr>
          <w:rFonts w:hint="eastAsia" w:asciiTheme="minorEastAsia" w:hAnsiTheme="minorEastAsia" w:eastAsiaTheme="minorEastAsia" w:cstheme="minorEastAsia"/>
          <w:bCs/>
          <w:sz w:val="36"/>
          <w:szCs w:val="36"/>
          <w:lang w:eastAsia="zh-CN"/>
        </w:rPr>
        <w:t>局关于</w:t>
      </w:r>
      <w:r>
        <w:rPr>
          <w:rFonts w:hint="eastAsia" w:asciiTheme="minorEastAsia" w:hAnsiTheme="minorEastAsia" w:eastAsiaTheme="minorEastAsia" w:cstheme="minorEastAsia"/>
          <w:color w:val="auto"/>
          <w:sz w:val="36"/>
          <w:szCs w:val="36"/>
          <w:lang w:eastAsia="zh-CN"/>
        </w:rPr>
        <w:t>玉溪矿业有限公司东</w:t>
      </w:r>
      <w:r>
        <w:rPr>
          <w:rFonts w:hint="eastAsia" w:asciiTheme="minorEastAsia" w:hAnsiTheme="minorEastAsia" w:eastAsiaTheme="minorEastAsia" w:cstheme="minorEastAsia"/>
          <w:color w:val="000000"/>
          <w:sz w:val="36"/>
          <w:szCs w:val="36"/>
          <w:highlight w:val="none"/>
          <w:shd w:val="clear" w:color="auto" w:fill="auto"/>
        </w:rPr>
        <w:t>部矿段</w:t>
      </w:r>
      <w:r>
        <w:rPr>
          <w:rFonts w:hint="eastAsia" w:asciiTheme="minorEastAsia" w:hAnsiTheme="minorEastAsia" w:eastAsiaTheme="minorEastAsia" w:cstheme="minorEastAsia"/>
          <w:color w:val="000000"/>
          <w:sz w:val="36"/>
          <w:szCs w:val="36"/>
          <w:highlight w:val="none"/>
          <w:shd w:val="clear" w:color="auto" w:fill="auto"/>
          <w:lang w:val="en-US" w:eastAsia="zh-CN"/>
        </w:rPr>
        <w:t>1</w:t>
      </w:r>
      <w:r>
        <w:rPr>
          <w:rFonts w:hint="eastAsia" w:asciiTheme="minorEastAsia" w:hAnsiTheme="minorEastAsia" w:eastAsiaTheme="minorEastAsia" w:cstheme="minorEastAsia"/>
          <w:color w:val="000000"/>
          <w:sz w:val="36"/>
          <w:szCs w:val="36"/>
          <w:highlight w:val="none"/>
          <w:shd w:val="clear" w:color="auto" w:fill="auto"/>
        </w:rPr>
        <w:t>85m</w:t>
      </w:r>
      <w:r>
        <w:rPr>
          <w:rFonts w:hint="eastAsia" w:asciiTheme="minorEastAsia" w:hAnsiTheme="minorEastAsia" w:eastAsiaTheme="minorEastAsia" w:cstheme="minorEastAsia"/>
          <w:color w:val="000000"/>
          <w:sz w:val="36"/>
          <w:szCs w:val="36"/>
          <w:highlight w:val="none"/>
          <w:shd w:val="clear" w:color="auto" w:fill="auto"/>
          <w:lang w:eastAsia="zh-CN"/>
        </w:rPr>
        <w:t>及以下</w:t>
      </w:r>
      <w:r>
        <w:rPr>
          <w:rFonts w:hint="eastAsia" w:asciiTheme="minorEastAsia" w:hAnsiTheme="minorEastAsia" w:eastAsiaTheme="minorEastAsia" w:cstheme="minorEastAsia"/>
          <w:color w:val="000000"/>
          <w:sz w:val="36"/>
          <w:szCs w:val="36"/>
          <w:highlight w:val="none"/>
          <w:shd w:val="clear" w:color="auto" w:fill="auto"/>
        </w:rPr>
        <w:t>中</w:t>
      </w:r>
      <w:r>
        <w:rPr>
          <w:rFonts w:hint="eastAsia" w:asciiTheme="minorEastAsia" w:hAnsiTheme="minorEastAsia" w:eastAsiaTheme="minorEastAsia" w:cstheme="minorEastAsia"/>
          <w:color w:val="000000"/>
          <w:sz w:val="36"/>
          <w:szCs w:val="36"/>
          <w:highlight w:val="none"/>
          <w:shd w:val="clear" w:color="auto" w:fill="auto"/>
          <w:lang w:eastAsia="zh-CN"/>
        </w:rPr>
        <w:t>段生产</w:t>
      </w:r>
      <w:r>
        <w:rPr>
          <w:rFonts w:hint="eastAsia" w:asciiTheme="minorEastAsia" w:hAnsiTheme="minorEastAsia" w:eastAsiaTheme="minorEastAsia" w:cstheme="minorEastAsia"/>
          <w:color w:val="000000"/>
          <w:sz w:val="36"/>
          <w:szCs w:val="36"/>
          <w:highlight w:val="none"/>
          <w:shd w:val="clear" w:color="auto" w:fill="auto"/>
        </w:rPr>
        <w:t>持续</w:t>
      </w:r>
      <w:r>
        <w:rPr>
          <w:rFonts w:hint="eastAsia" w:asciiTheme="minorEastAsia" w:hAnsiTheme="minorEastAsia" w:eastAsiaTheme="minorEastAsia" w:cstheme="minorEastAsia"/>
          <w:bCs/>
          <w:sz w:val="36"/>
          <w:szCs w:val="36"/>
        </w:rPr>
        <w:t>工程</w:t>
      </w:r>
      <w:r>
        <w:rPr>
          <w:rFonts w:hint="eastAsia" w:asciiTheme="minorEastAsia" w:hAnsiTheme="minorEastAsia" w:eastAsiaTheme="minorEastAsia" w:cstheme="minorEastAsia"/>
          <w:bCs/>
          <w:sz w:val="36"/>
          <w:szCs w:val="36"/>
          <w:lang w:eastAsia="zh-CN"/>
        </w:rPr>
        <w:t>项目</w:t>
      </w:r>
      <w:r>
        <w:rPr>
          <w:rFonts w:hint="eastAsia" w:asciiTheme="minorEastAsia" w:hAnsiTheme="minorEastAsia" w:eastAsiaTheme="minorEastAsia" w:cstheme="minorEastAsia"/>
          <w:bCs/>
          <w:sz w:val="36"/>
          <w:szCs w:val="36"/>
          <w:lang w:val="zh-CN"/>
        </w:rPr>
        <w:t>环境影响</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9"/>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lang w:val="zh-CN"/>
        </w:rPr>
        <w:t>报告书的</w:t>
      </w:r>
      <w:r>
        <w:rPr>
          <w:rFonts w:hint="eastAsia" w:asciiTheme="minorEastAsia" w:hAnsiTheme="minorEastAsia" w:eastAsiaTheme="minorEastAsia" w:cstheme="minorEastAsia"/>
          <w:bCs/>
          <w:sz w:val="36"/>
          <w:szCs w:val="36"/>
        </w:rPr>
        <w:t>批复</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color w:val="auto"/>
          <w:sz w:val="32"/>
          <w:szCs w:val="32"/>
          <w:lang w:eastAsia="zh-CN"/>
        </w:rPr>
        <w:t>玉溪矿业有限公司</w:t>
      </w:r>
      <w:r>
        <w:rPr>
          <w:rFonts w:hint="eastAsia" w:asciiTheme="minorEastAsia" w:hAnsiTheme="minorEastAsia" w:eastAsiaTheme="minorEastAsia" w:cstheme="minorEastAsia"/>
          <w:sz w:val="32"/>
          <w:szCs w:val="32"/>
          <w:lang w:val="en-US"/>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sz w:val="32"/>
          <w:szCs w:val="32"/>
          <w:lang w:val="en-US"/>
        </w:rPr>
        <w:t>你</w:t>
      </w:r>
      <w:r>
        <w:rPr>
          <w:rFonts w:hint="eastAsia" w:asciiTheme="minorEastAsia" w:hAnsiTheme="minorEastAsia" w:eastAsiaTheme="minorEastAsia" w:cstheme="minorEastAsia"/>
          <w:sz w:val="32"/>
          <w:szCs w:val="32"/>
          <w:lang w:val="en-US" w:eastAsia="zh-CN"/>
        </w:rPr>
        <w:t>公司</w:t>
      </w:r>
      <w:r>
        <w:rPr>
          <w:rFonts w:hint="eastAsia" w:asciiTheme="minorEastAsia" w:hAnsiTheme="minorEastAsia" w:eastAsiaTheme="minorEastAsia" w:cstheme="minorEastAsia"/>
          <w:sz w:val="32"/>
          <w:szCs w:val="32"/>
          <w:lang w:val="en-US"/>
        </w:rPr>
        <w:t>申请报批的《</w:t>
      </w:r>
      <w:r>
        <w:rPr>
          <w:rFonts w:hint="eastAsia" w:asciiTheme="minorEastAsia" w:hAnsiTheme="minorEastAsia" w:eastAsiaTheme="minorEastAsia" w:cstheme="minorEastAsia"/>
          <w:color w:val="auto"/>
          <w:sz w:val="32"/>
          <w:szCs w:val="32"/>
          <w:lang w:eastAsia="zh-CN"/>
        </w:rPr>
        <w:t>东</w:t>
      </w:r>
      <w:r>
        <w:rPr>
          <w:rFonts w:hint="eastAsia" w:asciiTheme="minorEastAsia" w:hAnsiTheme="minorEastAsia" w:eastAsiaTheme="minorEastAsia" w:cstheme="minorEastAsia"/>
          <w:color w:val="000000"/>
          <w:sz w:val="32"/>
          <w:szCs w:val="32"/>
          <w:highlight w:val="none"/>
          <w:shd w:val="clear" w:color="auto" w:fill="auto"/>
        </w:rPr>
        <w:t>部矿段</w:t>
      </w:r>
      <w:r>
        <w:rPr>
          <w:rFonts w:hint="eastAsia" w:asciiTheme="minorEastAsia" w:hAnsiTheme="minorEastAsia" w:eastAsiaTheme="minorEastAsia" w:cstheme="minorEastAsia"/>
          <w:color w:val="000000"/>
          <w:sz w:val="32"/>
          <w:szCs w:val="32"/>
          <w:highlight w:val="none"/>
          <w:shd w:val="clear" w:color="auto" w:fill="auto"/>
          <w:lang w:val="en-US" w:eastAsia="zh-CN"/>
        </w:rPr>
        <w:t>1</w:t>
      </w:r>
      <w:r>
        <w:rPr>
          <w:rFonts w:hint="eastAsia" w:asciiTheme="minorEastAsia" w:hAnsiTheme="minorEastAsia" w:eastAsiaTheme="minorEastAsia" w:cstheme="minorEastAsia"/>
          <w:color w:val="000000"/>
          <w:sz w:val="32"/>
          <w:szCs w:val="32"/>
          <w:highlight w:val="none"/>
          <w:shd w:val="clear" w:color="auto" w:fill="auto"/>
        </w:rPr>
        <w:t>85m</w:t>
      </w:r>
      <w:r>
        <w:rPr>
          <w:rFonts w:hint="eastAsia" w:asciiTheme="minorEastAsia" w:hAnsiTheme="minorEastAsia" w:eastAsiaTheme="minorEastAsia" w:cstheme="minorEastAsia"/>
          <w:color w:val="000000"/>
          <w:sz w:val="32"/>
          <w:szCs w:val="32"/>
          <w:highlight w:val="none"/>
          <w:shd w:val="clear" w:color="auto" w:fill="auto"/>
          <w:lang w:eastAsia="zh-CN"/>
        </w:rPr>
        <w:t>及以下</w:t>
      </w:r>
      <w:r>
        <w:rPr>
          <w:rFonts w:hint="eastAsia" w:asciiTheme="minorEastAsia" w:hAnsiTheme="minorEastAsia" w:eastAsiaTheme="minorEastAsia" w:cstheme="minorEastAsia"/>
          <w:color w:val="000000"/>
          <w:sz w:val="32"/>
          <w:szCs w:val="32"/>
          <w:highlight w:val="none"/>
          <w:shd w:val="clear" w:color="auto" w:fill="auto"/>
        </w:rPr>
        <w:t>中</w:t>
      </w:r>
      <w:r>
        <w:rPr>
          <w:rFonts w:hint="eastAsia" w:asciiTheme="minorEastAsia" w:hAnsiTheme="minorEastAsia" w:eastAsiaTheme="minorEastAsia" w:cstheme="minorEastAsia"/>
          <w:color w:val="000000"/>
          <w:sz w:val="32"/>
          <w:szCs w:val="32"/>
          <w:highlight w:val="none"/>
          <w:shd w:val="clear" w:color="auto" w:fill="auto"/>
          <w:lang w:eastAsia="zh-CN"/>
        </w:rPr>
        <w:t>段生产</w:t>
      </w:r>
      <w:r>
        <w:rPr>
          <w:rFonts w:hint="eastAsia" w:asciiTheme="minorEastAsia" w:hAnsiTheme="minorEastAsia" w:eastAsiaTheme="minorEastAsia" w:cstheme="minorEastAsia"/>
          <w:color w:val="000000"/>
          <w:sz w:val="32"/>
          <w:szCs w:val="32"/>
          <w:highlight w:val="none"/>
          <w:shd w:val="clear" w:color="auto" w:fill="auto"/>
        </w:rPr>
        <w:t>持续</w:t>
      </w:r>
      <w:r>
        <w:rPr>
          <w:rFonts w:hint="eastAsia" w:asciiTheme="minorEastAsia" w:hAnsiTheme="minorEastAsia" w:eastAsiaTheme="minorEastAsia" w:cstheme="minorEastAsia"/>
          <w:bCs/>
          <w:sz w:val="32"/>
          <w:szCs w:val="32"/>
        </w:rPr>
        <w:t>工程</w:t>
      </w:r>
      <w:r>
        <w:rPr>
          <w:rFonts w:hint="eastAsia" w:asciiTheme="minorEastAsia" w:hAnsiTheme="minorEastAsia" w:eastAsiaTheme="minorEastAsia" w:cstheme="minorEastAsia"/>
          <w:bCs/>
          <w:sz w:val="32"/>
          <w:szCs w:val="32"/>
          <w:lang w:eastAsia="zh-CN"/>
        </w:rPr>
        <w:t>项目</w:t>
      </w:r>
      <w:r>
        <w:rPr>
          <w:rFonts w:hint="eastAsia" w:asciiTheme="minorEastAsia" w:hAnsiTheme="minorEastAsia" w:eastAsiaTheme="minorEastAsia" w:cstheme="minorEastAsia"/>
          <w:sz w:val="32"/>
          <w:szCs w:val="32"/>
          <w:lang w:val="en-US"/>
        </w:rPr>
        <w:t>环境影响报告书》（以下简称《报告书》）收悉。</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我局2023年8月31日</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局长专题会研究同意</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现</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批复如下：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一、基本情况</w:t>
      </w:r>
    </w:p>
    <w:p>
      <w:pPr>
        <w:adjustRightInd w:val="0"/>
        <w:snapToGrid w:val="0"/>
        <w:spacing w:line="560" w:lineRule="exact"/>
        <w:ind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大红山铜矿</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位于</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新平县戛洒镇大红山</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采矿</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许可</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证号</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z w:val="32"/>
          <w:szCs w:val="32"/>
          <w14:textFill>
            <w14:solidFill>
              <w14:schemeClr w14:val="tx1"/>
            </w14:solidFill>
          </w14:textFill>
        </w:rPr>
        <w:t>C5300002009113120044984，</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矿区面积</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为8.7966km</w:t>
      </w:r>
      <w:r>
        <w:rPr>
          <w:rFonts w:hint="eastAsia" w:asciiTheme="minorEastAsia" w:hAnsiTheme="minorEastAsia" w:eastAsiaTheme="minorEastAsia" w:cstheme="minorEastAsia"/>
          <w:color w:val="000000" w:themeColor="text1"/>
          <w:sz w:val="32"/>
          <w:szCs w:val="32"/>
          <w:vertAlign w:val="superscript"/>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2"/>
          <w:szCs w:val="32"/>
          <w14:textFill>
            <w14:solidFill>
              <w14:schemeClr w14:val="tx1"/>
            </w14:solidFill>
          </w14:textFill>
        </w:rPr>
        <w:t>，由4</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t>个拐点圈定，开采标高</w:t>
      </w:r>
      <w:r>
        <w:rPr>
          <w:rFonts w:hint="eastAsia" w:asciiTheme="minorEastAsia" w:hAnsiTheme="minorEastAsia" w:eastAsiaTheme="minorEastAsia" w:cstheme="minorEastAsia"/>
          <w:color w:val="000000" w:themeColor="text1"/>
          <w:sz w:val="32"/>
          <w:szCs w:val="32"/>
          <w14:textFill>
            <w14:solidFill>
              <w14:schemeClr w14:val="tx1"/>
            </w14:solidFill>
          </w14:textFill>
        </w:rPr>
        <w:t>-300m~+1000m，</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开采方式为地下开采</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生产规模</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429万t/a，</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分</w:t>
      </w:r>
      <w:r>
        <w:rPr>
          <w:rFonts w:hint="eastAsia" w:asciiTheme="minorEastAsia" w:hAnsiTheme="minorEastAsia" w:eastAsiaTheme="minorEastAsia" w:cstheme="minorEastAsia"/>
          <w:color w:val="000000" w:themeColor="text1"/>
          <w:sz w:val="32"/>
          <w:szCs w:val="32"/>
          <w14:textFill>
            <w14:solidFill>
              <w14:schemeClr w14:val="tx1"/>
            </w14:solidFill>
          </w14:textFill>
        </w:rPr>
        <w:t>东</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矿区、</w:t>
      </w:r>
      <w:r>
        <w:rPr>
          <w:rFonts w:hint="eastAsia" w:asciiTheme="minorEastAsia" w:hAnsiTheme="minorEastAsia" w:eastAsiaTheme="minorEastAsia" w:cstheme="minorEastAsia"/>
          <w:color w:val="000000" w:themeColor="text1"/>
          <w:sz w:val="32"/>
          <w:szCs w:val="32"/>
          <w14:textFill>
            <w14:solidFill>
              <w14:schemeClr w14:val="tx1"/>
            </w14:solidFill>
          </w14:textFill>
        </w:rPr>
        <w:t>西矿区，东矿区主采本部矿段、西矿区主采西部矿段，井下形成各自独立、完整的开采系统</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；东</w:t>
      </w:r>
      <w:r>
        <w:rPr>
          <w:rFonts w:hint="eastAsia" w:asciiTheme="minorEastAsia" w:hAnsiTheme="minorEastAsia" w:eastAsiaTheme="minorEastAsia" w:cstheme="minorEastAsia"/>
          <w:color w:val="000000" w:themeColor="text1"/>
          <w:sz w:val="32"/>
          <w:szCs w:val="32"/>
          <w14:textFill>
            <w14:solidFill>
              <w14:schemeClr w14:val="tx1"/>
            </w14:solidFill>
          </w14:textFill>
        </w:rPr>
        <w:t>部矿段开采规模为7000t/d，西部矿段开采规模为6000t/d</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，其</w:t>
      </w:r>
      <w:r>
        <w:rPr>
          <w:rFonts w:hint="eastAsia" w:asciiTheme="minorEastAsia" w:hAnsiTheme="minorEastAsia" w:eastAsiaTheme="minorEastAsia" w:cstheme="minorEastAsia"/>
          <w:color w:val="000000" w:themeColor="text1"/>
          <w:sz w:val="32"/>
          <w:szCs w:val="32"/>
          <w14:textFill>
            <w14:solidFill>
              <w14:schemeClr w14:val="tx1"/>
            </w14:solidFill>
          </w14:textFill>
        </w:rPr>
        <w:t>地面工程主要有一选厂（规模</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70</w:t>
      </w:r>
      <w:r>
        <w:rPr>
          <w:rFonts w:hint="eastAsia" w:asciiTheme="minorEastAsia" w:hAnsiTheme="minorEastAsia" w:eastAsiaTheme="minorEastAsia" w:cstheme="minorEastAsia"/>
          <w:color w:val="000000" w:themeColor="text1"/>
          <w:sz w:val="32"/>
          <w:szCs w:val="32"/>
          <w14:textFill>
            <w14:solidFill>
              <w14:schemeClr w14:val="tx1"/>
            </w14:solidFill>
          </w14:textFill>
        </w:rPr>
        <w:t>00t/d）、二选厂（规模6000t/d）、各坑口工业场地、一充填制备站、二充填制备站、东部废石场、中后期废石场、龙都尾矿库及其他公用辅助设施、生活福利设施、环保设施等</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东</w:t>
      </w:r>
      <w:r>
        <w:rPr>
          <w:rFonts w:hint="eastAsia" w:asciiTheme="minorEastAsia" w:hAnsiTheme="minorEastAsia" w:eastAsiaTheme="minorEastAsia" w:cstheme="minorEastAsia"/>
          <w:color w:val="000000" w:themeColor="text1"/>
          <w:sz w:val="32"/>
          <w:szCs w:val="32"/>
          <w14:textFill>
            <w14:solidFill>
              <w14:schemeClr w14:val="tx1"/>
            </w14:solidFill>
          </w14:textFill>
        </w:rPr>
        <w:t>部矿段按目前7000t/d规模只能维持2~3年，为保证持续生产，采用延伸改造相应斜井、竖井的方式开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采东</w:t>
      </w:r>
      <w:r>
        <w:rPr>
          <w:rFonts w:hint="eastAsia" w:asciiTheme="minorEastAsia" w:hAnsiTheme="minorEastAsia" w:eastAsiaTheme="minorEastAsia" w:cstheme="minorEastAsia"/>
          <w:color w:val="000000" w:themeColor="text1"/>
          <w:sz w:val="32"/>
          <w:szCs w:val="32"/>
          <w14:textFill>
            <w14:solidFill>
              <w14:schemeClr w14:val="tx1"/>
            </w14:solidFill>
          </w14:textFill>
        </w:rPr>
        <w:t>部矿段285中段（285m-400m），主要接替</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东</w:t>
      </w:r>
      <w:r>
        <w:rPr>
          <w:rFonts w:hint="eastAsia" w:asciiTheme="minorEastAsia" w:hAnsiTheme="minorEastAsia" w:eastAsiaTheme="minorEastAsia" w:cstheme="minorEastAsia"/>
          <w:color w:val="000000" w:themeColor="text1"/>
          <w:sz w:val="32"/>
          <w:szCs w:val="32"/>
          <w14:textFill>
            <w14:solidFill>
              <w14:schemeClr w14:val="tx1"/>
            </w14:solidFill>
          </w14:textFill>
        </w:rPr>
        <w:t>部矿段485、435中段采矿能力</w:t>
      </w:r>
      <w:r>
        <w:rPr>
          <w:rFonts w:hint="default"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285中段</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持续开采</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工程</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目前处于建设阶段。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color w:val="000000" w:themeColor="text1"/>
          <w:sz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东</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部矿段</w:t>
      </w:r>
      <w:r>
        <w:rPr>
          <w:rFonts w:hint="eastAsia" w:asciiTheme="minorEastAsia" w:hAnsiTheme="minorEastAsia" w:eastAsiaTheme="minorEastAsia" w:cstheme="minorEastAsia"/>
          <w:color w:val="000000" w:themeColor="text1"/>
          <w:sz w:val="32"/>
          <w:szCs w:val="32"/>
          <w:highlight w:val="none"/>
          <w:shd w:val="clear" w:color="auto" w:fill="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85m</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及以下</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中</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段生产</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持续</w:t>
      </w:r>
      <w:r>
        <w:rPr>
          <w:rFonts w:hint="eastAsia" w:asciiTheme="minorEastAsia" w:hAnsiTheme="minorEastAsia" w:eastAsiaTheme="minorEastAsia" w:cstheme="minorEastAsia"/>
          <w:bCs/>
          <w:color w:val="000000" w:themeColor="text1"/>
          <w:sz w:val="32"/>
          <w:szCs w:val="32"/>
          <w14:textFill>
            <w14:solidFill>
              <w14:schemeClr w14:val="tx1"/>
            </w14:solidFill>
          </w14:textFill>
        </w:rPr>
        <w:t>工程</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开采矿体</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为东</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部矿段</w:t>
      </w:r>
      <w:r>
        <w:rPr>
          <w:rFonts w:hint="eastAsia" w:asciiTheme="minorEastAsia" w:hAnsiTheme="minorEastAsia" w:eastAsiaTheme="minorEastAsia" w:cstheme="minorEastAsia"/>
          <w:color w:val="000000" w:themeColor="text1"/>
          <w:sz w:val="32"/>
          <w:szCs w:val="32"/>
          <w14:textFill>
            <w14:solidFill>
              <w14:schemeClr w14:val="tx1"/>
            </w14:solidFill>
          </w14:textFill>
        </w:rPr>
        <w:t>I</w:t>
      </w:r>
      <w:r>
        <w:rPr>
          <w:rFonts w:hint="eastAsia" w:asciiTheme="minorEastAsia" w:hAnsiTheme="minorEastAsia" w:eastAsiaTheme="minorEastAsia" w:cstheme="minorEastAsia"/>
          <w:color w:val="000000" w:themeColor="text1"/>
          <w:sz w:val="32"/>
          <w:szCs w:val="32"/>
          <w:vertAlign w:val="subscript"/>
          <w14:textFill>
            <w14:solidFill>
              <w14:schemeClr w14:val="tx1"/>
            </w14:solidFill>
          </w14:textFill>
        </w:rPr>
        <w:t>1</w:t>
      </w:r>
      <w:r>
        <w:rPr>
          <w:rFonts w:hint="eastAsia" w:asciiTheme="minorEastAsia" w:hAnsiTheme="minorEastAsia" w:eastAsiaTheme="minorEastAsia" w:cstheme="minorEastAsia"/>
          <w:color w:val="000000" w:themeColor="text1"/>
          <w:sz w:val="32"/>
          <w:szCs w:val="32"/>
          <w14:textFill>
            <w14:solidFill>
              <w14:schemeClr w14:val="tx1"/>
            </w14:solidFill>
          </w14:textFill>
        </w:rPr>
        <w:t>、I</w:t>
      </w:r>
      <w:r>
        <w:rPr>
          <w:rFonts w:hint="eastAsia" w:asciiTheme="minorEastAsia" w:hAnsiTheme="minorEastAsia" w:eastAsiaTheme="minorEastAsia" w:cstheme="minorEastAsia"/>
          <w:color w:val="000000" w:themeColor="text1"/>
          <w:sz w:val="32"/>
          <w:szCs w:val="32"/>
          <w:vertAlign w:val="subscript"/>
          <w14:textFill>
            <w14:solidFill>
              <w14:schemeClr w14:val="tx1"/>
            </w14:solidFill>
          </w14:textFill>
        </w:rPr>
        <w:t>2</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矿体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产品为铜矿石原矿</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开采方式</w:t>
      </w:r>
      <w:r>
        <w:rPr>
          <w:rFonts w:hint="eastAsia" w:asciiTheme="minorEastAsia" w:hAnsiTheme="minorEastAsia" w:eastAsiaTheme="minorEastAsia" w:cstheme="minorEastAsia"/>
          <w:color w:val="000000" w:themeColor="text1"/>
          <w:kern w:val="0"/>
          <w:sz w:val="32"/>
          <w:szCs w:val="32"/>
          <w14:textFill>
            <w14:solidFill>
              <w14:schemeClr w14:val="tx1"/>
            </w14:solidFill>
          </w14:textFill>
        </w:rPr>
        <w:t>地下开采</w:t>
      </w:r>
      <w:r>
        <w:rPr>
          <w:rFonts w:hint="eastAsia" w:asciiTheme="minorEastAsia" w:hAnsiTheme="minorEastAsia" w:eastAsiaTheme="minorEastAsia" w:cstheme="minorEastAsia"/>
          <w:color w:val="000000" w:themeColor="text1"/>
          <w:kern w:val="0"/>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开拓方式</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为</w:t>
      </w:r>
      <w:r>
        <w:rPr>
          <w:rFonts w:hint="eastAsia" w:asciiTheme="minorEastAsia" w:hAnsiTheme="minorEastAsia" w:eastAsiaTheme="minorEastAsia" w:cstheme="minorEastAsia"/>
          <w:color w:val="000000" w:themeColor="text1"/>
          <w:kern w:val="0"/>
          <w:sz w:val="32"/>
          <w:szCs w:val="32"/>
          <w:highlight w:val="none"/>
          <w:shd w:val="clear" w:color="auto" w:fill="auto"/>
          <w14:textFill>
            <w14:solidFill>
              <w14:schemeClr w14:val="tx1"/>
            </w14:solidFill>
          </w14:textFill>
        </w:rPr>
        <w:t>箕斗竖井+胶带斜井+盲箕斗斜井+辅助斜坡道</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开拓</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开采顺序</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为</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首采185m中段西区，随后依次对东区、185m中段以下区域进行进一步加密探矿后再开采，最后回采285m中段矿柱以北区域</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，该工程</w:t>
      </w:r>
      <w:r>
        <w:rPr>
          <w:rFonts w:hint="eastAsia" w:asciiTheme="minorEastAsia" w:hAnsiTheme="minorEastAsia" w:eastAsiaTheme="minorEastAsia" w:cstheme="minorEastAsia"/>
          <w:color w:val="000000" w:themeColor="text1"/>
          <w:sz w:val="32"/>
          <w:szCs w:val="32"/>
          <w14:textFill>
            <w14:solidFill>
              <w14:schemeClr w14:val="tx1"/>
            </w14:solidFill>
          </w14:textFill>
        </w:rPr>
        <w:t>设计服务年限为</w:t>
      </w:r>
      <w:r>
        <w:rPr>
          <w:rFonts w:hint="eastAsia" w:asciiTheme="minorEastAsia" w:hAnsiTheme="minorEastAsia" w:eastAsiaTheme="minorEastAsia" w:cstheme="minorEastAsia"/>
          <w:color w:val="000000" w:themeColor="text1"/>
          <w:sz w:val="32"/>
          <w:szCs w:val="32"/>
          <w:lang w:bidi="zh-CN"/>
          <w14:textFill>
            <w14:solidFill>
              <w14:schemeClr w14:val="tx1"/>
            </w14:solidFill>
          </w14:textFill>
        </w:rPr>
        <w:t>11年，开采</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能力为</w:t>
      </w:r>
      <w:r>
        <w:rPr>
          <w:rFonts w:hint="eastAsia" w:asciiTheme="minorEastAsia" w:hAnsiTheme="minorEastAsia" w:eastAsiaTheme="minorEastAsia" w:cstheme="minorEastAsia"/>
          <w:color w:val="000000" w:themeColor="text1"/>
          <w:kern w:val="0"/>
          <w:sz w:val="32"/>
          <w:szCs w:val="32"/>
          <w:highlight w:val="none"/>
          <w:shd w:val="clear" w:color="auto" w:fill="auto"/>
          <w:lang w:eastAsia="zh-CN"/>
          <w14:textFill>
            <w14:solidFill>
              <w14:schemeClr w14:val="tx1"/>
            </w14:solidFill>
          </w14:textFill>
        </w:rPr>
        <w:t>2000t/d</w:t>
      </w:r>
      <w:r>
        <w:rPr>
          <w:rFonts w:hint="eastAsia" w:asciiTheme="minorEastAsia" w:hAnsiTheme="minorEastAsia" w:eastAsiaTheme="minorEastAsia" w:cstheme="minorEastAsia"/>
          <w:color w:val="000000" w:themeColor="text1"/>
          <w:kern w:val="0"/>
          <w:sz w:val="32"/>
          <w:szCs w:val="32"/>
          <w:highlight w:val="none"/>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kern w:val="0"/>
          <w:sz w:val="32"/>
          <w:szCs w:val="32"/>
          <w:highlight w:val="none"/>
          <w:shd w:val="clear" w:color="auto" w:fill="auto"/>
          <w:lang w:eastAsia="zh-CN"/>
          <w14:textFill>
            <w14:solidFill>
              <w14:schemeClr w14:val="tx1"/>
            </w14:solidFill>
          </w14:textFill>
        </w:rPr>
        <w:t>66万t/</w:t>
      </w:r>
      <w:r>
        <w:rPr>
          <w:rFonts w:hint="eastAsia" w:asciiTheme="minorEastAsia" w:hAnsiTheme="minorEastAsia" w:eastAsiaTheme="minorEastAsia" w:cstheme="minorEastAsia"/>
          <w:color w:val="000000" w:themeColor="text1"/>
          <w:kern w:val="0"/>
          <w:sz w:val="32"/>
          <w:szCs w:val="32"/>
          <w:highlight w:val="none"/>
          <w:shd w:val="clear" w:color="auto" w:fill="auto"/>
          <w:lang w:val="en-US" w:eastAsia="zh-CN"/>
          <w14:textFill>
            <w14:solidFill>
              <w14:schemeClr w14:val="tx1"/>
            </w14:solidFill>
          </w14:textFill>
        </w:rPr>
        <w:t>a</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主要工程</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内容</w:t>
      </w:r>
      <w:r>
        <w:rPr>
          <w:rFonts w:hint="eastAsia" w:asciiTheme="minorEastAsia" w:hAnsiTheme="minorEastAsia" w:eastAsiaTheme="minorEastAsia" w:cstheme="minorEastAsia"/>
          <w:color w:val="000000" w:themeColor="text1"/>
          <w:sz w:val="32"/>
          <w:szCs w:val="32"/>
          <w14:textFill>
            <w14:solidFill>
              <w14:schemeClr w14:val="tx1"/>
            </w14:solidFill>
          </w14:textFill>
        </w:rPr>
        <w:t>为</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新增185m集矿运输水平</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和</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东部进风系统、西部进风系统</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中央回风系统延伸</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及</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无轨斜坡道延伸</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，新建</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185m~-20m矿石转运系统</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，在</w:t>
      </w:r>
      <w:r>
        <w:rPr>
          <w:rFonts w:hint="eastAsia" w:asciiTheme="minorEastAsia" w:hAnsiTheme="minorEastAsia" w:eastAsiaTheme="minorEastAsia" w:cstheme="minorEastAsia"/>
          <w:color w:val="000000" w:themeColor="text1"/>
          <w:kern w:val="2"/>
          <w:sz w:val="32"/>
          <w:szCs w:val="32"/>
          <w:highlight w:val="none"/>
          <w:shd w:val="clear" w:color="auto" w:fill="auto"/>
          <w14:textFill>
            <w14:solidFill>
              <w14:schemeClr w14:val="tx1"/>
            </w14:solidFill>
          </w14:textFill>
        </w:rPr>
        <w:t>原有充填管路</w:t>
      </w:r>
      <w:r>
        <w:rPr>
          <w:rFonts w:hint="eastAsia" w:asciiTheme="minorEastAsia" w:hAnsiTheme="minorEastAsia" w:eastAsiaTheme="minorEastAsia" w:cstheme="minorEastAsia"/>
          <w:color w:val="000000" w:themeColor="text1"/>
          <w:kern w:val="2"/>
          <w:sz w:val="32"/>
          <w:szCs w:val="32"/>
          <w:highlight w:val="none"/>
          <w:shd w:val="clear" w:color="auto" w:fill="auto"/>
          <w:lang w:eastAsia="zh-CN"/>
          <w14:textFill>
            <w14:solidFill>
              <w14:schemeClr w14:val="tx1"/>
            </w14:solidFill>
          </w14:textFill>
        </w:rPr>
        <w:t>基础上，</w:t>
      </w:r>
      <w:r>
        <w:rPr>
          <w:rFonts w:hint="eastAsia" w:asciiTheme="minorEastAsia" w:hAnsiTheme="minorEastAsia" w:eastAsiaTheme="minorEastAsia" w:cstheme="minorEastAsia"/>
          <w:color w:val="000000" w:themeColor="text1"/>
          <w:kern w:val="2"/>
          <w:sz w:val="32"/>
          <w:szCs w:val="32"/>
          <w:highlight w:val="none"/>
          <w:shd w:val="clear" w:color="auto" w:fill="auto"/>
          <w14:textFill>
            <w14:solidFill>
              <w14:schemeClr w14:val="tx1"/>
            </w14:solidFill>
          </w14:textFill>
        </w:rPr>
        <w:t>新铺设管路至</w:t>
      </w:r>
      <w:r>
        <w:rPr>
          <w:rFonts w:hint="eastAsia" w:asciiTheme="minorEastAsia" w:hAnsiTheme="minorEastAsia" w:eastAsiaTheme="minorEastAsia" w:cstheme="minorEastAsia"/>
          <w:color w:val="000000" w:themeColor="text1"/>
          <w:kern w:val="2"/>
          <w:sz w:val="32"/>
          <w:szCs w:val="32"/>
          <w:highlight w:val="none"/>
          <w:shd w:val="clear" w:color="auto" w:fill="auto"/>
          <w:lang w:val="en-US" w:eastAsia="zh-CN"/>
          <w14:textFill>
            <w14:solidFill>
              <w14:schemeClr w14:val="tx1"/>
            </w14:solidFill>
          </w14:textFill>
        </w:rPr>
        <w:t>185</w:t>
      </w:r>
      <w:r>
        <w:rPr>
          <w:rFonts w:hint="eastAsia" w:asciiTheme="minorEastAsia" w:hAnsiTheme="minorEastAsia" w:eastAsiaTheme="minorEastAsia" w:cstheme="minorEastAsia"/>
          <w:color w:val="000000" w:themeColor="text1"/>
          <w:kern w:val="2"/>
          <w:sz w:val="32"/>
          <w:szCs w:val="32"/>
          <w:highlight w:val="none"/>
          <w:shd w:val="clear" w:color="auto" w:fill="auto"/>
          <w14:textFill>
            <w14:solidFill>
              <w14:schemeClr w14:val="tx1"/>
            </w14:solidFill>
          </w14:textFill>
        </w:rPr>
        <w:t>m水平</w:t>
      </w:r>
      <w:r>
        <w:rPr>
          <w:rFonts w:hint="eastAsia" w:asciiTheme="minorEastAsia" w:hAnsiTheme="minorEastAsia" w:eastAsiaTheme="minorEastAsia" w:cstheme="minorEastAsia"/>
          <w:color w:val="000000" w:themeColor="text1"/>
          <w:kern w:val="2"/>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新建</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部分</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回风机站</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在</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185m及以下中段</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运输巷道围岩稳固处新建一个有轨设备修理硐室</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等，其它</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井巷工程</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开拓系统</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工业场地</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辅助工程</w:t>
      </w:r>
      <w:r>
        <w:rPr>
          <w:rFonts w:hint="eastAsia" w:asciiTheme="minorEastAsia" w:hAnsiTheme="minorEastAsia" w:eastAsiaTheme="minorEastAsia" w:cstheme="minorEastAsia"/>
          <w:color w:val="000000" w:themeColor="text1"/>
          <w:sz w:val="32"/>
          <w:szCs w:val="32"/>
          <w:highlight w:val="none"/>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shd w:val="clear" w:color="auto" w:fill="auto"/>
          <w14:textFill>
            <w14:solidFill>
              <w14:schemeClr w14:val="tx1"/>
            </w14:solidFill>
          </w14:textFill>
        </w:rPr>
        <w:t>公用配套工程</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及环保工程</w:t>
      </w:r>
      <w:r>
        <w:rPr>
          <w:rFonts w:hint="eastAsia" w:asciiTheme="minorEastAsia" w:hAnsiTheme="minorEastAsia" w:eastAsiaTheme="minorEastAsia" w:cstheme="minorEastAsia"/>
          <w:color w:val="000000" w:themeColor="text1"/>
          <w:sz w:val="32"/>
          <w:szCs w:val="32"/>
          <w14:textFill>
            <w14:solidFill>
              <w14:schemeClr w14:val="tx1"/>
            </w14:solidFill>
          </w14:textFill>
        </w:rPr>
        <w:t>等</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均</w:t>
      </w:r>
      <w:r>
        <w:rPr>
          <w:rFonts w:hint="eastAsia" w:asciiTheme="minorEastAsia" w:hAnsiTheme="minorEastAsia" w:eastAsiaTheme="minorEastAsia" w:cstheme="minorEastAsia"/>
          <w:color w:val="000000" w:themeColor="text1"/>
          <w:sz w:val="32"/>
          <w:szCs w:val="32"/>
          <w14:textFill>
            <w14:solidFill>
              <w14:schemeClr w14:val="tx1"/>
            </w14:solidFill>
          </w14:textFill>
        </w:rPr>
        <w:t>依托</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现有设施，项目投产后东</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部矿段生产能力</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保</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持7000t/d不变。</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2021</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8日，新平县发展和改革局以新发改投资备案</w:t>
      </w:r>
      <w:r>
        <w:rPr>
          <w:rFonts w:hint="default" w:ascii="Times New Roman" w:hAnsi="Times New Roman" w:eastAsia="方正仿宋_GBK" w:cs="Times New Roman"/>
          <w:color w:val="000000" w:themeColor="text1"/>
          <w:sz w:val="32"/>
          <w14:textFill>
            <w14:solidFill>
              <w14:schemeClr w14:val="tx1"/>
            </w14:solidFill>
          </w14:textFill>
        </w:rPr>
        <w:t>〔</w:t>
      </w:r>
      <w:r>
        <w:rPr>
          <w:rFonts w:hint="default" w:ascii="Times New Roman" w:hAnsi="Times New Roman" w:eastAsia="方正仿宋_GBK" w:cs="Times New Roman"/>
          <w:color w:val="000000" w:themeColor="text1"/>
          <w:sz w:val="32"/>
          <w:lang w:val="en-US" w:eastAsia="zh-CN"/>
          <w14:textFill>
            <w14:solidFill>
              <w14:schemeClr w14:val="tx1"/>
            </w14:solidFill>
          </w14:textFill>
        </w:rPr>
        <w:t>202</w:t>
      </w:r>
      <w:r>
        <w:rPr>
          <w:rFonts w:hint="eastAsia" w:eastAsia="方正仿宋_GBK" w:cs="Times New Roman"/>
          <w:color w:val="000000" w:themeColor="text1"/>
          <w:sz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eastAsia="方正仿宋_GBK" w:cs="Times New Roman"/>
          <w:color w:val="000000" w:themeColor="text1"/>
          <w:sz w:val="32"/>
          <w:lang w:val="en-US" w:eastAsia="zh-CN"/>
          <w14:textFill>
            <w14:solidFill>
              <w14:schemeClr w14:val="tx1"/>
            </w14:solidFill>
          </w14:textFill>
        </w:rPr>
        <w:t>121</w:t>
      </w:r>
      <w:r>
        <w:rPr>
          <w:rFonts w:hint="default" w:ascii="Times New Roman" w:hAnsi="Times New Roman" w:eastAsia="方正仿宋_GBK" w:cs="Times New Roman"/>
          <w:color w:val="000000" w:themeColor="text1"/>
          <w:sz w:val="32"/>
          <w14:textFill>
            <w14:solidFill>
              <w14:schemeClr w14:val="tx1"/>
            </w14:solidFill>
          </w14:textFill>
        </w:rPr>
        <w:t>号</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对该项目下发了《投资项目备案证》，并由</w:t>
      </w:r>
      <w:r>
        <w:rPr>
          <w:rFonts w:hint="default" w:asciiTheme="minorEastAsia" w:hAnsiTheme="minorEastAsia" w:eastAsiaTheme="minorEastAsia" w:cstheme="minorEastAsia"/>
          <w:color w:val="000000" w:themeColor="text1"/>
          <w:sz w:val="32"/>
          <w:szCs w:val="32"/>
          <w:lang w:val="en-US"/>
          <w14:textFill>
            <w14:solidFill>
              <w14:schemeClr w14:val="tx1"/>
            </w14:solidFill>
          </w14:textFill>
        </w:rPr>
        <w:t>2023</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年8月30日同意该备案证延期一年，</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项目代码</w:t>
      </w:r>
      <w:bookmarkStart w:id="0" w:name="_GoBack"/>
      <w:bookmarkEnd w:id="0"/>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2107-530427-04-01-401691</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，项目总投资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15138.57</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万元，其中</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新增</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环保投资</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54</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outlineLvl w:val="9"/>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在全面落实</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》和本批复</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提出的各项生态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环境</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保护措施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建设产生</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的不利</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生态</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环境影响可以得到减缓和控制，我</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局原则</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同意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报告书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》评价结论和拟采取的生态环境保护措施。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二、项目建设和</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开采</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过程中应重点做好的工作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强化生态保护措施，按照“边开采、边</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恢复</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”的要求落实生态恢复措施，防止地表塌陷</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项目须严格按照《矿</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山</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地质环境保护与土地复垦方案》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《矿山生态环境保护与污染防治技术政策》</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等的</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要求切实做好矿区的生态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保护、</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恢复工作</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，以</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满足区域生态功能要求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p>
    <w:p>
      <w:pPr>
        <w:spacing w:line="560" w:lineRule="exact"/>
        <w:ind w:firstLine="640" w:firstLineChars="200"/>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）按照</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清污分流、雨污分流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的原则，优化水处理工艺及回水设施，确保处理工艺、处理规模满足要求，加强污水处理</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设施</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的运行维护，严格落实各项废水收集、处理和综合利用措施。</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切实</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做好</w:t>
      </w:r>
      <w:r>
        <w:rPr>
          <w:rFonts w:hint="eastAsia" w:asciiTheme="minorEastAsia" w:hAnsiTheme="minorEastAsia" w:eastAsiaTheme="minorEastAsia" w:cstheme="minorEastAsia"/>
          <w:color w:val="000000" w:themeColor="text1"/>
          <w:sz w:val="32"/>
          <w:szCs w:val="32"/>
          <w14:textFill>
            <w14:solidFill>
              <w14:schemeClr w14:val="tx1"/>
            </w14:solidFill>
          </w14:textFill>
        </w:rPr>
        <w:t>工业场地、废石场的截排洪设计、施工和管理，防止环境风险，并减小进入场内的雨水量</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产生的</w:t>
      </w:r>
      <w:r>
        <w:rPr>
          <w:rFonts w:hint="eastAsia" w:asciiTheme="minorEastAsia" w:hAnsiTheme="minorEastAsia" w:eastAsiaTheme="minorEastAsia" w:cstheme="minorEastAsia"/>
          <w:color w:val="000000" w:themeColor="text1"/>
          <w:sz w:val="32"/>
          <w:szCs w:val="32"/>
          <w14:textFill>
            <w14:solidFill>
              <w14:schemeClr w14:val="tx1"/>
            </w14:solidFill>
          </w14:textFill>
        </w:rPr>
        <w:t>井下废水</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经</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收集</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沉淀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处理达到</w:t>
      </w:r>
      <w:r>
        <w:rPr>
          <w:rFonts w:hint="eastAsia" w:asciiTheme="minorEastAsia" w:hAnsiTheme="minorEastAsia" w:eastAsiaTheme="minorEastAsia" w:cstheme="minorEastAsia"/>
          <w:color w:val="000000" w:themeColor="text1"/>
          <w:sz w:val="32"/>
          <w:szCs w:val="32"/>
          <w14:textFill>
            <w14:solidFill>
              <w14:schemeClr w14:val="tx1"/>
            </w14:solidFill>
          </w14:textFill>
        </w:rPr>
        <w:t>《铜、镍、钴工业污染物排放标准》（GB25467-2010）表2</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规定的</w:t>
      </w:r>
      <w:r>
        <w:rPr>
          <w:rFonts w:hint="eastAsia" w:asciiTheme="minorEastAsia" w:hAnsiTheme="minorEastAsia" w:eastAsiaTheme="minorEastAsia" w:cstheme="minorEastAsia"/>
          <w:color w:val="000000" w:themeColor="text1"/>
          <w:sz w:val="32"/>
          <w:szCs w:val="32"/>
          <w14:textFill>
            <w14:solidFill>
              <w14:schemeClr w14:val="tx1"/>
            </w14:solidFill>
          </w14:textFill>
        </w:rPr>
        <w:t>标准要求</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14:textFill>
            <w14:solidFill>
              <w14:schemeClr w14:val="tx1"/>
            </w14:solidFill>
          </w14:textFill>
        </w:rPr>
        <w:t>回用于机修用水、空压机冷却补充水、井下防尘用水等，剩余废水全部</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排</w:t>
      </w:r>
      <w:r>
        <w:rPr>
          <w:rFonts w:hint="eastAsia" w:asciiTheme="minorEastAsia" w:hAnsiTheme="minorEastAsia" w:eastAsiaTheme="minorEastAsia" w:cstheme="minorEastAsia"/>
          <w:color w:val="000000" w:themeColor="text1"/>
          <w:sz w:val="32"/>
          <w:szCs w:val="32"/>
          <w14:textFill>
            <w14:solidFill>
              <w14:schemeClr w14:val="tx1"/>
            </w14:solidFill>
          </w14:textFill>
        </w:rPr>
        <w:t>入已建二选厂北面的6000m</w:t>
      </w:r>
      <w:r>
        <w:rPr>
          <w:rFonts w:hint="eastAsia" w:asciiTheme="minorEastAsia" w:hAnsiTheme="minorEastAsia" w:eastAsiaTheme="minorEastAsia" w:cstheme="minorEastAsia"/>
          <w:color w:val="000000" w:themeColor="text1"/>
          <w:sz w:val="32"/>
          <w:szCs w:val="32"/>
          <w:vertAlign w:val="superscript"/>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t>沉淀池，回用于二选厂选矿使用，</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严禁</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外排</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废石场淋滤水</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及工业场地初期雨水</w:t>
      </w:r>
      <w:r>
        <w:rPr>
          <w:rFonts w:hint="eastAsia" w:asciiTheme="minorEastAsia" w:hAnsiTheme="minorEastAsia" w:eastAsiaTheme="minorEastAsia" w:cstheme="minorEastAsia"/>
          <w:color w:val="000000" w:themeColor="text1"/>
          <w:sz w:val="32"/>
          <w:szCs w:val="32"/>
          <w14:textFill>
            <w14:solidFill>
              <w14:schemeClr w14:val="tx1"/>
            </w14:solidFill>
          </w14:textFill>
        </w:rPr>
        <w:t>经</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收集后</w:t>
      </w:r>
      <w:r>
        <w:rPr>
          <w:rFonts w:hint="eastAsia" w:asciiTheme="minorEastAsia" w:hAnsiTheme="minorEastAsia" w:eastAsiaTheme="minorEastAsia" w:cstheme="minorEastAsia"/>
          <w:color w:val="000000" w:themeColor="text1"/>
          <w:sz w:val="32"/>
          <w:szCs w:val="32"/>
          <w14:textFill>
            <w14:solidFill>
              <w14:schemeClr w14:val="tx1"/>
            </w14:solidFill>
          </w14:textFill>
        </w:rPr>
        <w:t>全部回用于二选厂选矿使用，不</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得</w:t>
      </w:r>
      <w:r>
        <w:rPr>
          <w:rFonts w:hint="eastAsia" w:asciiTheme="minorEastAsia" w:hAnsiTheme="minorEastAsia" w:eastAsiaTheme="minorEastAsia" w:cstheme="minorEastAsia"/>
          <w:color w:val="000000" w:themeColor="text1"/>
          <w:sz w:val="32"/>
          <w:szCs w:val="32"/>
          <w14:textFill>
            <w14:solidFill>
              <w14:schemeClr w14:val="tx1"/>
            </w14:solidFill>
          </w14:textFill>
        </w:rPr>
        <w:t>外排</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生活污水排入现有</w:t>
      </w:r>
      <w:r>
        <w:rPr>
          <w:rFonts w:hint="eastAsia" w:asciiTheme="minorEastAsia" w:hAnsiTheme="minorEastAsia" w:eastAsiaTheme="minorEastAsia" w:cstheme="minorEastAsia"/>
          <w:color w:val="000000" w:themeColor="text1"/>
          <w:sz w:val="32"/>
          <w:szCs w:val="32"/>
          <w14:textFill>
            <w14:solidFill>
              <w14:schemeClr w14:val="tx1"/>
            </w14:solidFill>
          </w14:textFill>
        </w:rPr>
        <w:t>生活污水处理站处理</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达标后，</w:t>
      </w:r>
      <w:r>
        <w:rPr>
          <w:rFonts w:hint="eastAsia" w:asciiTheme="minorEastAsia" w:hAnsiTheme="minorEastAsia" w:eastAsiaTheme="minorEastAsia" w:cstheme="minorEastAsia"/>
          <w:color w:val="000000" w:themeColor="text1"/>
          <w:sz w:val="32"/>
          <w:szCs w:val="32"/>
          <w14:textFill>
            <w14:solidFill>
              <w14:schemeClr w14:val="tx1"/>
            </w14:solidFill>
          </w14:textFill>
        </w:rPr>
        <w:t>全部</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排</w:t>
      </w:r>
      <w:r>
        <w:rPr>
          <w:rFonts w:hint="eastAsia" w:asciiTheme="minorEastAsia" w:hAnsiTheme="minorEastAsia" w:eastAsiaTheme="minorEastAsia" w:cstheme="minorEastAsia"/>
          <w:color w:val="000000" w:themeColor="text1"/>
          <w:sz w:val="32"/>
          <w:szCs w:val="32"/>
          <w14:textFill>
            <w14:solidFill>
              <w14:schemeClr w14:val="tx1"/>
            </w14:solidFill>
          </w14:textFill>
        </w:rPr>
        <w:t>入</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现有</w:t>
      </w:r>
      <w:r>
        <w:rPr>
          <w:rFonts w:hint="eastAsia" w:asciiTheme="minorEastAsia" w:hAnsiTheme="minorEastAsia" w:eastAsiaTheme="minorEastAsia" w:cstheme="minorEastAsia"/>
          <w:color w:val="000000" w:themeColor="text1"/>
          <w:sz w:val="32"/>
          <w:szCs w:val="32"/>
          <w14:textFill>
            <w14:solidFill>
              <w14:schemeClr w14:val="tx1"/>
            </w14:solidFill>
          </w14:textFill>
        </w:rPr>
        <w:t>一选厂高位水池，供选矿使用，不</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得</w:t>
      </w:r>
      <w:r>
        <w:rPr>
          <w:rFonts w:hint="eastAsia" w:asciiTheme="minorEastAsia" w:hAnsiTheme="minorEastAsia" w:eastAsiaTheme="minorEastAsia" w:cstheme="minorEastAsia"/>
          <w:color w:val="000000" w:themeColor="text1"/>
          <w:sz w:val="32"/>
          <w:szCs w:val="32"/>
          <w14:textFill>
            <w14:solidFill>
              <w14:schemeClr w14:val="tx1"/>
            </w14:solidFill>
          </w14:textFill>
        </w:rPr>
        <w:t>外排</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；项目须在工业场地</w:t>
      </w:r>
      <w:r>
        <w:rPr>
          <w:rFonts w:hint="eastAsia" w:asciiTheme="minorEastAsia" w:hAnsiTheme="minorEastAsia" w:eastAsiaTheme="minorEastAsia" w:cstheme="minorEastAsia"/>
          <w:color w:val="000000" w:themeColor="text1"/>
          <w:sz w:val="32"/>
          <w:szCs w:val="32"/>
          <w14:textFill>
            <w14:solidFill>
              <w14:schemeClr w14:val="tx1"/>
            </w14:solidFill>
          </w14:textFill>
        </w:rPr>
        <w:t>设置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1个容积</w:t>
      </w:r>
      <w:r>
        <w:rPr>
          <w:rFonts w:hint="eastAsia" w:asciiTheme="minorEastAsia" w:hAnsiTheme="minorEastAsia" w:eastAsiaTheme="minorEastAsia" w:cstheme="minorEastAsia"/>
          <w:color w:val="000000" w:themeColor="text1"/>
          <w:sz w:val="32"/>
          <w:szCs w:val="32"/>
          <w14:textFill>
            <w14:solidFill>
              <w14:schemeClr w14:val="tx1"/>
            </w14:solidFill>
          </w14:textFill>
        </w:rPr>
        <w:t>不低于</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32"/>
          <w:szCs w:val="32"/>
          <w14:textFill>
            <w14:solidFill>
              <w14:schemeClr w14:val="tx1"/>
            </w14:solidFill>
          </w14:textFill>
        </w:rPr>
        <w:t>立方米的初期雨水收集池。</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stheme="minorEastAsia"/>
          <w:smallCaps w:val="0"/>
          <w:color w:val="000000" w:themeColor="text1"/>
          <w:sz w:val="32"/>
          <w:szCs w:val="32"/>
          <w:lang w:val="zh-CN"/>
          <w14:textFill>
            <w14:solidFill>
              <w14:schemeClr w14:val="tx1"/>
            </w14:solidFill>
          </w14:textFill>
        </w:rPr>
        <w:t>落实防渗措施，防止地下水污染</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严格按照《报告书》提出的分区防渗措施和要求，对项目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重点</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防渗区</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一般防渗区和简单防渗区进行防渗处理，防止地下水污染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防渗工程结束</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自行组织验收并建立健全相关工作台账记录，存档备查；</w:t>
      </w:r>
      <w:r>
        <w:rPr>
          <w:rFonts w:hint="eastAsia" w:asciiTheme="minorEastAsia" w:hAnsiTheme="minorEastAsia" w:eastAsiaTheme="minorEastAsia" w:cstheme="minorEastAsia"/>
          <w:color w:val="000000" w:themeColor="text1"/>
          <w:sz w:val="32"/>
          <w:szCs w:val="32"/>
          <w14:textFill>
            <w14:solidFill>
              <w14:schemeClr w14:val="tx1"/>
            </w14:solidFill>
          </w14:textFill>
        </w:rPr>
        <w:t>按</w:t>
      </w:r>
      <w:r>
        <w:rPr>
          <w:rFonts w:hint="eastAsia" w:asciiTheme="minorEastAsia" w:hAnsiTheme="minorEastAsia" w:eastAsiaTheme="minorEastAsia" w:cstheme="minorEastAsia"/>
          <w:bCs/>
          <w:iCs/>
          <w:color w:val="000000" w:themeColor="text1"/>
          <w:sz w:val="32"/>
          <w:szCs w:val="32"/>
          <w14:textFill>
            <w14:solidFill>
              <w14:schemeClr w14:val="tx1"/>
            </w14:solidFill>
          </w14:textFill>
        </w:rPr>
        <w:t>照《中华人民共和国地下水保护条例》</w:t>
      </w:r>
      <w:r>
        <w:rPr>
          <w:rFonts w:hint="eastAsia" w:asciiTheme="minorEastAsia" w:hAnsiTheme="minorEastAsia" w:eastAsiaTheme="minorEastAsia" w:cstheme="minorEastAsia"/>
          <w:bCs/>
          <w:iCs/>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Cs/>
          <w:iCs/>
          <w:color w:val="000000" w:themeColor="text1"/>
          <w:sz w:val="32"/>
          <w:szCs w:val="32"/>
          <w14:textFill>
            <w14:solidFill>
              <w14:schemeClr w14:val="tx1"/>
            </w14:solidFill>
          </w14:textFill>
        </w:rPr>
        <w:t>《地下水污染源防渗技术指南（试行）》</w:t>
      </w:r>
      <w:r>
        <w:rPr>
          <w:rFonts w:hint="eastAsia" w:asciiTheme="minorEastAsia" w:hAnsiTheme="minorEastAsia" w:eastAsiaTheme="minorEastAsia" w:cstheme="minorEastAsia"/>
          <w:bCs/>
          <w:iCs/>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bCs/>
          <w:iCs/>
          <w:color w:val="000000" w:themeColor="text1"/>
          <w:sz w:val="32"/>
          <w:szCs w:val="32"/>
          <w14:textFill>
            <w14:solidFill>
              <w14:schemeClr w14:val="tx1"/>
            </w14:solidFill>
          </w14:textFill>
        </w:rPr>
        <w:t>《地下水环境监测技术规范》（HJ164—2020）等要求，</w:t>
      </w:r>
      <w:r>
        <w:rPr>
          <w:rFonts w:hint="eastAsia" w:asciiTheme="minorEastAsia" w:hAnsiTheme="minorEastAsia" w:eastAsiaTheme="minorEastAsia" w:cstheme="minorEastAsia"/>
          <w:smallCaps w:val="0"/>
          <w:color w:val="000000" w:themeColor="text1"/>
          <w:spacing w:val="6"/>
          <w:sz w:val="32"/>
          <w:szCs w:val="32"/>
          <w:lang w:eastAsia="zh-CN"/>
          <w14:textFill>
            <w14:solidFill>
              <w14:schemeClr w14:val="tx1"/>
            </w14:solidFill>
          </w14:textFill>
        </w:rPr>
        <w:t>制定并落实地下水跟踪监测计划及检漏措施，规范设置地下水</w:t>
      </w:r>
      <w:r>
        <w:rPr>
          <w:rFonts w:hint="eastAsia" w:asciiTheme="minorEastAsia" w:hAnsiTheme="minorEastAsia" w:eastAsiaTheme="minorEastAsia" w:cstheme="minorEastAsia"/>
          <w:smallCaps w:val="0"/>
          <w:color w:val="000000" w:themeColor="text1"/>
          <w:spacing w:val="6"/>
          <w:sz w:val="32"/>
          <w:szCs w:val="32"/>
          <w:lang w:val="en-US" w:eastAsia="zh-CN"/>
          <w14:textFill>
            <w14:solidFill>
              <w14:schemeClr w14:val="tx1"/>
            </w14:solidFill>
          </w14:textFill>
        </w:rPr>
        <w:t>跟踪</w:t>
      </w:r>
      <w:r>
        <w:rPr>
          <w:rFonts w:hint="eastAsia" w:asciiTheme="minorEastAsia" w:hAnsiTheme="minorEastAsia" w:eastAsiaTheme="minorEastAsia" w:cstheme="minorEastAsia"/>
          <w:smallCaps w:val="0"/>
          <w:color w:val="000000" w:themeColor="text1"/>
          <w:spacing w:val="6"/>
          <w:sz w:val="32"/>
          <w:szCs w:val="32"/>
          <w:lang w:eastAsia="zh-CN"/>
          <w14:textFill>
            <w14:solidFill>
              <w14:schemeClr w14:val="tx1"/>
            </w14:solidFill>
          </w14:textFill>
        </w:rPr>
        <w:t>井进行跟踪监测，</w:t>
      </w:r>
      <w:r>
        <w:rPr>
          <w:rFonts w:hint="eastAsia" w:asciiTheme="minorEastAsia" w:hAnsiTheme="minorEastAsia" w:eastAsiaTheme="minorEastAsia" w:cstheme="minorEastAsia"/>
          <w:color w:val="000000" w:themeColor="text1"/>
          <w:sz w:val="32"/>
          <w:szCs w:val="32"/>
          <w14:textFill>
            <w14:solidFill>
              <w14:schemeClr w14:val="tx1"/>
            </w14:solidFill>
          </w14:textFill>
        </w:rPr>
        <w:t>根据监测情况及时完善相应的地下水保护和风险防范措施，保障地下水资源安全</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p>
    <w:p>
      <w:pPr>
        <w:pStyle w:val="6"/>
        <w:adjustRightInd w:val="0"/>
        <w:snapToGrid w:val="0"/>
        <w:spacing w:line="560" w:lineRule="exact"/>
        <w:ind w:firstLine="640" w:firstLineChars="200"/>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）加强环境管理，防止扬尘和噪声污染。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对</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备用原矿堆场</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新增</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kern w:val="24"/>
          <w:sz w:val="32"/>
          <w:szCs w:val="32"/>
          <w14:textFill>
            <w14:solidFill>
              <w14:schemeClr w14:val="tx1"/>
            </w14:solidFill>
          </w14:textFill>
        </w:rPr>
        <w:t>三面围挡+遮雨棚</w:t>
      </w:r>
      <w:r>
        <w:rPr>
          <w:rFonts w:hint="eastAsia" w:ascii="仿宋" w:hAnsi="仿宋" w:eastAsia="仿宋"/>
          <w:color w:val="000000" w:themeColor="text1"/>
          <w:sz w:val="32"/>
          <w:szCs w:val="32"/>
          <w14:textFill>
            <w14:solidFill>
              <w14:schemeClr w14:val="tx1"/>
            </w14:solidFill>
          </w14:textFill>
        </w:rPr>
        <w:t>”，并</w:t>
      </w:r>
      <w:r>
        <w:rPr>
          <w:rFonts w:hint="eastAsia" w:ascii="仿宋" w:hAnsi="仿宋" w:eastAsia="仿宋" w:cs="宋体"/>
          <w:color w:val="000000" w:themeColor="text1"/>
          <w:kern w:val="0"/>
          <w:sz w:val="32"/>
          <w:szCs w:val="32"/>
          <w14:textFill>
            <w14:solidFill>
              <w14:schemeClr w14:val="tx1"/>
            </w14:solidFill>
          </w14:textFill>
        </w:rPr>
        <w:t>设置喷淋设施</w:t>
      </w:r>
      <w:r>
        <w:rPr>
          <w:rFonts w:hint="eastAsia" w:ascii="仿宋" w:hAnsi="仿宋" w:eastAsia="仿宋" w:cs="宋体"/>
          <w:color w:val="000000" w:themeColor="text1"/>
          <w:kern w:val="0"/>
          <w:sz w:val="32"/>
          <w:szCs w:val="32"/>
          <w:lang w:eastAsia="zh-CN"/>
          <w14:textFill>
            <w14:solidFill>
              <w14:schemeClr w14:val="tx1"/>
            </w14:solidFill>
          </w14:textFill>
        </w:rPr>
        <w:t>，</w:t>
      </w:r>
      <w:r>
        <w:rPr>
          <w:rFonts w:ascii="仿宋" w:hAnsi="仿宋" w:eastAsia="仿宋"/>
          <w:color w:val="000000" w:themeColor="text1"/>
          <w:kern w:val="24"/>
          <w:sz w:val="32"/>
          <w:szCs w:val="32"/>
          <w14:textFill>
            <w14:solidFill>
              <w14:schemeClr w14:val="tx1"/>
            </w14:solidFill>
          </w14:textFill>
        </w:rPr>
        <w:t>三面围挡</w:t>
      </w:r>
      <w:r>
        <w:rPr>
          <w:rFonts w:hint="eastAsia" w:ascii="仿宋" w:hAnsi="仿宋" w:eastAsia="仿宋"/>
          <w:color w:val="000000" w:themeColor="text1"/>
          <w:kern w:val="24"/>
          <w:sz w:val="32"/>
          <w:szCs w:val="32"/>
          <w:lang w:eastAsia="zh-CN"/>
          <w14:textFill>
            <w14:solidFill>
              <w14:schemeClr w14:val="tx1"/>
            </w14:solidFill>
          </w14:textFill>
        </w:rPr>
        <w:t>高度须高于物料堆存高度，</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减少</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备用原矿堆场的粉尘</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排放</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；井下采用湿法作业采矿</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风井巷道采用水幕降尘措施</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在矿山地面皮带机头转载处和矿</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石</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跌落点处设置喷雾洒水装置，减少粉尘</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排放；</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在废石场、工业场地、运输道路和装卸储运等易产尘点采取洒水抑尘措施减少无组织粉尘排放</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加强工业场地</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、矿区道路</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硬化、绿化，防止扬尘污染</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，确保项目</w:t>
      </w:r>
      <w:r>
        <w:rPr>
          <w:rFonts w:hint="eastAsia" w:asciiTheme="minorEastAsia" w:hAnsiTheme="minorEastAsia" w:eastAsiaTheme="minorEastAsia" w:cstheme="minorEastAsia"/>
          <w:color w:val="000000" w:themeColor="text1"/>
          <w:sz w:val="32"/>
          <w:szCs w:val="32"/>
          <w14:textFill>
            <w14:solidFill>
              <w14:schemeClr w14:val="tx1"/>
            </w14:solidFill>
          </w14:textFill>
        </w:rPr>
        <w:t>颗粒物场界浓度达到《铜、镍、钴工业污染物排放标准》（GB25467-2010）中的无组织排放限值要求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选用低噪声设备，采取消声、隔声、减震降噪措施，确保项目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场</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界噪声达到《工业企业厂界环境噪声排放标准》（GB12348</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2008）</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类标准要求；加强运输车辆管理，采取有效措施降低对沿线村庄的影响。</w:t>
      </w:r>
    </w:p>
    <w:p>
      <w:pPr>
        <w:adjustRightInd w:val="0"/>
        <w:snapToGrid w:val="0"/>
        <w:spacing w:line="560" w:lineRule="exact"/>
        <w:ind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严格落实各项固废收集、处置及管理要求。规范建立各固废环境管理台账，</w:t>
      </w:r>
      <w:r>
        <w:rPr>
          <w:rFonts w:hint="eastAsia" w:asciiTheme="minorEastAsia" w:hAnsiTheme="minorEastAsia" w:eastAsiaTheme="minorEastAsia" w:cstheme="minorEastAsia"/>
          <w:color w:val="000000" w:themeColor="text1"/>
          <w:sz w:val="32"/>
          <w:szCs w:val="32"/>
          <w14:textFill>
            <w14:solidFill>
              <w14:schemeClr w14:val="tx1"/>
            </w14:solidFill>
          </w14:textFill>
        </w:rPr>
        <w:t>建立采矿废石产生、充填、出坑、综合利用、堆存等台账</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严格按照《一般工业固体废物贮存和填埋污染控制标准》（GB18599</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2020）的要求对</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已建的中后期废石场进行</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管理</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切实加大</w:t>
      </w:r>
      <w:r>
        <w:rPr>
          <w:rFonts w:hint="eastAsia" w:asciiTheme="minorEastAsia" w:hAnsiTheme="minorEastAsia" w:eastAsiaTheme="minorEastAsia" w:cstheme="minorEastAsia"/>
          <w:color w:val="000000" w:themeColor="text1"/>
          <w:sz w:val="32"/>
          <w:szCs w:val="32"/>
          <w14:textFill>
            <w14:solidFill>
              <w14:schemeClr w14:val="tx1"/>
            </w14:solidFill>
          </w14:textFill>
        </w:rPr>
        <w:t>采矿</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废石的</w:t>
      </w:r>
      <w:r>
        <w:rPr>
          <w:rFonts w:hint="eastAsia" w:asciiTheme="minorEastAsia" w:hAnsiTheme="minorEastAsia" w:eastAsiaTheme="minorEastAsia" w:cstheme="minorEastAsia"/>
          <w:color w:val="000000" w:themeColor="text1"/>
          <w:kern w:val="2"/>
          <w:sz w:val="32"/>
          <w:szCs w:val="32"/>
          <w14:textFill>
            <w14:solidFill>
              <w14:schemeClr w14:val="tx1"/>
            </w14:solidFill>
          </w14:textFill>
        </w:rPr>
        <w:t>综合利用</w:t>
      </w:r>
      <w:r>
        <w:rPr>
          <w:rFonts w:hint="eastAsia" w:asciiTheme="minorEastAsia" w:hAnsiTheme="minorEastAsia" w:eastAsiaTheme="minorEastAsia" w:cstheme="minorEastAsia"/>
          <w:color w:val="000000" w:themeColor="text1"/>
          <w:kern w:val="2"/>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中后期</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废石场服务期满</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后</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，须严格按照相关规范和要求及时进行封场设计和生态修复，保证废石场安全，改善生态环境；</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建设符合</w:t>
      </w:r>
      <w:r>
        <w:rPr>
          <w:rFonts w:hint="eastAsia" w:asciiTheme="minorEastAsia" w:hAnsiTheme="minorEastAsia" w:eastAsiaTheme="minorEastAsia" w:cstheme="minorEastAsia"/>
          <w:color w:val="000000" w:themeColor="text1"/>
          <w:sz w:val="32"/>
          <w:szCs w:val="32"/>
          <w14:textFill>
            <w14:solidFill>
              <w14:schemeClr w14:val="tx1"/>
            </w14:solidFill>
          </w14:textFill>
        </w:rPr>
        <w:t>《危险废物贮存污染控制标准》（GB18597—20</w:t>
      </w:r>
      <w:r>
        <w:rPr>
          <w:rFonts w:hint="default" w:asciiTheme="minorEastAsia" w:hAnsiTheme="minorEastAsia" w:eastAsiaTheme="minorEastAsia" w:cstheme="minorEastAsia"/>
          <w:color w:val="000000" w:themeColor="text1"/>
          <w:sz w:val="32"/>
          <w:szCs w:val="32"/>
          <w:lang w:val="en-US"/>
          <w14:textFill>
            <w14:solidFill>
              <w14:schemeClr w14:val="tx1"/>
            </w14:solidFill>
          </w14:textFill>
        </w:rPr>
        <w:t>23</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的危废暂存间，</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废机油等危险废物严格按照国家危险废物管理的有关规定进行收集、贮存，并及时委托具有资质的单位安全处置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；切实做好东部废石场的</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封场设计和生态</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恢</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工作。</w:t>
      </w:r>
    </w:p>
    <w:p>
      <w:pPr>
        <w:pStyle w:val="6"/>
        <w:adjustRightInd w:val="0"/>
        <w:snapToGrid w:val="0"/>
        <w:spacing w:line="560" w:lineRule="exact"/>
        <w:ind w:firstLine="640" w:firstLineChars="2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2"/>
          <w:szCs w:val="32"/>
          <w14:textFill>
            <w14:solidFill>
              <w14:schemeClr w14:val="tx1"/>
            </w14:solidFill>
          </w14:textFill>
        </w:rPr>
        <w:t>严格落实《报告书》中提出的各项</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以新带老</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措施</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firstLine="585"/>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八</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）加强环境管理，</w:t>
      </w:r>
      <w:r>
        <w:rPr>
          <w:rFonts w:hint="eastAsia" w:asciiTheme="minorEastAsia" w:hAnsiTheme="minorEastAsia" w:eastAsiaTheme="minorEastAsia" w:cstheme="minorEastAsia"/>
          <w:color w:val="000000" w:themeColor="text1"/>
          <w:sz w:val="32"/>
          <w:szCs w:val="32"/>
          <w14:textFill>
            <w14:solidFill>
              <w14:schemeClr w14:val="tx1"/>
            </w14:solidFill>
          </w14:textFill>
        </w:rPr>
        <w:t>严格落实环境风险防范和应急措施。</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根据《关于印发〈突发环境事件应急预案管理暂行办法〉的通知》（环发〔2015〕4号）要求，</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对公司现有</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环境风险防范应急预案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进行修改完善</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并报玉溪市生态环境局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新平</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分局备案；加强应急演练，建立完善应急报告制度，落实应急物资和经费。</w:t>
      </w:r>
    </w:p>
    <w:p>
      <w:pPr>
        <w:ind w:firstLine="960" w:firstLineChars="300"/>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三、</w:t>
      </w:r>
      <w:r>
        <w:rPr>
          <w:rFonts w:hint="eastAsia" w:asciiTheme="minorEastAsia" w:hAnsiTheme="minorEastAsia" w:eastAsiaTheme="minorEastAsia" w:cstheme="minorEastAsia"/>
          <w:color w:val="000000" w:themeColor="text1"/>
          <w:sz w:val="32"/>
          <w:szCs w:val="32"/>
          <w14:textFill>
            <w14:solidFill>
              <w14:schemeClr w14:val="tx1"/>
            </w14:solidFill>
          </w14:textFill>
        </w:rPr>
        <w:t>在项目发生实际排污行为之前，应按照《排污许可管理条例》规定</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重新</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申请排污许可证，未取得排污许可证不得排放污染物</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项目运行应符合排污许可管理相关要求</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按照</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排污许可证规定</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的环境监测</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以及相关标准和技术规范要求，制定自行监测方案，并认真组织实施，</w:t>
      </w:r>
      <w:r>
        <w:rPr>
          <w:rFonts w:hint="eastAsia" w:asciiTheme="minorEastAsia" w:hAnsiTheme="minorEastAsia" w:eastAsiaTheme="minorEastAsia" w:cstheme="minorEastAsia"/>
          <w:b w:val="0"/>
          <w:bCs w:val="0"/>
          <w:smallCaps w:val="0"/>
          <w:color w:val="000000" w:themeColor="text1"/>
          <w:kern w:val="0"/>
          <w:sz w:val="32"/>
          <w:szCs w:val="32"/>
          <w:lang w:eastAsia="zh-CN"/>
          <w14:textFill>
            <w14:solidFill>
              <w14:schemeClr w14:val="tx1"/>
            </w14:solidFill>
          </w14:textFill>
        </w:rPr>
        <w:t>防范环境污染，</w:t>
      </w:r>
      <w:r>
        <w:rPr>
          <w:rFonts w:hint="eastAsia" w:asciiTheme="minorEastAsia" w:hAnsiTheme="minorEastAsia" w:eastAsiaTheme="minorEastAsia" w:cstheme="minorEastAsia"/>
          <w:b w:val="0"/>
          <w:bCs w:val="0"/>
          <w:smallCaps w:val="0"/>
          <w:color w:val="000000" w:themeColor="text1"/>
          <w:kern w:val="0"/>
          <w:sz w:val="32"/>
          <w:szCs w:val="32"/>
          <w:lang w:val="en-US" w:eastAsia="zh-CN"/>
          <w14:textFill>
            <w14:solidFill>
              <w14:schemeClr w14:val="tx1"/>
            </w14:solidFill>
          </w14:textFill>
        </w:rPr>
        <w:t>发现异常情况</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须及时上报当地政府及相关部门并采取措施</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处理；</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按照信息公开相关规定，主动向社会公开污染源监测等相关信息</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按照国家相关要求，进一步推行清洁生产制度，单位产品物耗、能耗、水耗等应达到清洁生产先进水平，定期实施清洁生产审核。</w:t>
      </w:r>
    </w:p>
    <w:p>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《报告</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书</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》经批准后，如工程的性质、规模、工艺、地点或者防治污染、防止生态破坏的措施发生重大变动的，应当重新报批环境影响评价文件，否则不得实施建设</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在项目建设、运行过程中产生不符合经审批的《报告</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书</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》情形的，应当组织</w:t>
      </w:r>
      <w:r>
        <w:rPr>
          <w:rFonts w:hint="eastAsia" w:asciiTheme="minorEastAsia" w:hAnsiTheme="minorEastAsia" w:eastAsiaTheme="minorEastAsia" w:cstheme="minorEastAsia"/>
          <w:smallCaps w:val="0"/>
          <w:color w:val="000000" w:themeColor="text1"/>
          <w:sz w:val="32"/>
          <w:szCs w:val="32"/>
          <w:lang w:val="en-US" w:eastAsia="zh-CN"/>
          <w14:textFill>
            <w14:solidFill>
              <w14:schemeClr w14:val="tx1"/>
            </w14:solidFill>
          </w14:textFill>
        </w:rPr>
        <w:t>开展</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环境影响后评价，采取改进措施，按规定备案</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自《报告</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书</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》批准之日起，如超过</w:t>
      </w:r>
      <w:r>
        <w:rPr>
          <w:rFonts w:hint="eastAsia" w:asciiTheme="minorEastAsia" w:hAnsiTheme="minorEastAsia" w:eastAsiaTheme="minorEastAsia" w:cstheme="minorEastAsia"/>
          <w:smallCaps w:val="0"/>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年项目方开工建设的，《报告</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书</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》应当报我</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局</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重新审核</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六、</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你</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公司</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应落实生态环境保护主体责任，建立内部生态环境管理体系，明确机构、人员、职责和制度，加强生态环境管理，推进各项生态环境保护措施落实</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项目建设必须严格执行配套建设的环境保护设施与主体工程同时设计、同时施工、同时投产使用的环境保护</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三同时</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制度</w:t>
      </w:r>
      <w:r>
        <w:rPr>
          <w:rFonts w:hint="eastAsia" w:asciiTheme="minorEastAsia" w:hAnsiTheme="minorEastAsia" w:eastAsiaTheme="minorEastAsia" w:cstheme="minorEastAsia"/>
          <w:smallCaps w:val="0"/>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smallCaps w:val="0"/>
          <w:color w:val="000000" w:themeColor="text1"/>
          <w:sz w:val="32"/>
          <w:szCs w:val="32"/>
          <w14:textFill>
            <w14:solidFill>
              <w14:schemeClr w14:val="tx1"/>
            </w14:solidFill>
          </w14:textFill>
        </w:rPr>
        <w:t>项目正式投运前，应当按照规定的标准和程序，</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自行组织开展竣工</w:t>
      </w:r>
      <w:r>
        <w:rPr>
          <w:rFonts w:hint="eastAsia" w:asciiTheme="minorEastAsia" w:hAnsiTheme="minorEastAsia" w:eastAsiaTheme="minorEastAsia" w:cstheme="minorEastAsia"/>
          <w:color w:val="000000" w:themeColor="text1"/>
          <w:sz w:val="32"/>
          <w:szCs w:val="32"/>
          <w14:textFill>
            <w14:solidFill>
              <w14:schemeClr w14:val="tx1"/>
            </w14:solidFill>
          </w14:textFill>
        </w:rPr>
        <w:t>环境保护</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验收，经验收合格后方可正式投入生产。</w:t>
      </w:r>
    </w:p>
    <w:p>
      <w:pPr>
        <w:keepNext w:val="0"/>
        <w:keepLines w:val="0"/>
        <w:pageBreakBefore w:val="0"/>
        <w:widowControl w:val="0"/>
        <w:kinsoku/>
        <w:wordWrap/>
        <w:overflowPunct/>
        <w:topLinePunct w:val="0"/>
        <w:autoSpaceDE/>
        <w:autoSpaceDN/>
        <w:bidi w:val="0"/>
        <w:snapToGrid w:val="0"/>
        <w:spacing w:line="540" w:lineRule="exact"/>
        <w:ind w:firstLine="320" w:firstLineChars="1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玉溪市生态环境保护综合行政执法支队、玉溪市生态环境局</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新平</w:t>
      </w:r>
      <w:r>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t>分局要切实承担事中事后监管主要责任，履行属地监管职责，按照相关法律法规及《关于进一步完善建设项目环境保护“三同时”及竣工环境保护自主验收监管工作机制的意见》（环执法〔2021〕70号）要求，加强对该项目环境保护“三同时”及</w:t>
      </w:r>
      <w:r>
        <w:rPr>
          <w:rFonts w:hint="eastAsia" w:asciiTheme="minorEastAsia" w:hAnsiTheme="minorEastAsia" w:eastAsiaTheme="minorEastAsia" w:cstheme="minorEastAsia"/>
          <w:color w:val="000000" w:themeColor="text1"/>
          <w:sz w:val="32"/>
          <w:szCs w:val="32"/>
          <w14:textFill>
            <w14:solidFill>
              <w14:schemeClr w14:val="tx1"/>
            </w14:solidFill>
          </w14:textFill>
        </w:rPr>
        <w:t>竣工环境保护自主验收、日常运行等执法监管工作。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000000" w:themeColor="text1"/>
          <w:sz w:val="32"/>
          <w:szCs w:val="32"/>
          <w:lang w:val="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5440" w:firstLineChars="1700"/>
        <w:textAlignment w:val="auto"/>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5120" w:firstLineChars="16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szCs w:val="32"/>
          <w14:textFill>
            <w14:solidFill>
              <w14:schemeClr w14:val="tx1"/>
            </w14:solidFill>
          </w14:textFill>
        </w:rPr>
        <w:t>日</w:t>
      </w:r>
    </w:p>
    <w:p>
      <w:pPr>
        <w:rPr>
          <w:rFonts w:hint="eastAsia" w:asciiTheme="minorEastAsia" w:hAnsiTheme="minorEastAsia" w:eastAsiaTheme="minorEastAsia" w:cstheme="minorEastAsia"/>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10" w:lineRule="exact"/>
        <w:ind w:left="1239" w:leftChars="133" w:hanging="960" w:hangingChars="300"/>
        <w:textAlignment w:val="auto"/>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59055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pt;margin-top:4.65pt;height:0pt;width:441pt;z-index:251663360;mso-width-relative:page;mso-height-relative:page;" filled="f" stroked="t" coordsize="21600,21600" o:gfxdata="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GV+YdEAAAAEAQAA&#10;DwAAAAAAAAABACAAAAAiAAAAZHJzL2Rvd25yZXYueG1sUEsBAhQAFAAAAAgAh07iQN+Ak7jnAQAA&#10;twMAAA4AAAAAAAAAAQAgAAAAIAEAAGRycy9lMm9Eb2MueG1sUEsFBgAAAAAGAAYAWQEAAHkFAAAA&#10;AA==&#10;">
                <v:fill on="f" focussize="0,0"/>
                <v:stroke weight="0.5pt" color="#000000 [3200]" miterlimit="8" joinstyle="miter"/>
                <v:imagedata o:title=""/>
                <o:lock v:ext="edit" aspectratio="f"/>
              </v:line>
            </w:pict>
          </mc:Fallback>
        </mc:AlternateContent>
      </w:r>
      <w:r>
        <w:rPr>
          <w:rFonts w:hint="eastAsia" w:asciiTheme="minorEastAsia" w:hAnsiTheme="minorEastAsia" w:eastAsiaTheme="minorEastAsia" w:cstheme="minorEastAsia"/>
          <w:color w:val="000000" w:themeColor="text1"/>
          <w:sz w:val="32"/>
          <w:szCs w:val="32"/>
          <w14:textFill>
            <w14:solidFill>
              <w14:schemeClr w14:val="tx1"/>
            </w14:solidFill>
          </w14:textFill>
        </w:rPr>
        <w:t>抄送：玉溪市生态环境保护综合行政执法支队</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14:textFill>
            <w14:solidFill>
              <w14:schemeClr w14:val="tx1"/>
            </w14:solidFill>
          </w14:textFill>
        </w:rPr>
        <w:t>玉溪市生态环境局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新平</w:t>
      </w:r>
      <w:r>
        <w:rPr>
          <w:rFonts w:hint="eastAsia" w:asciiTheme="minorEastAsia" w:hAnsiTheme="minorEastAsia" w:eastAsiaTheme="minorEastAsia" w:cstheme="minorEastAsia"/>
          <w:color w:val="000000" w:themeColor="text1"/>
          <w:sz w:val="32"/>
          <w:szCs w:val="32"/>
          <w14:textFill>
            <w14:solidFill>
              <w14:schemeClr w14:val="tx1"/>
            </w14:solidFill>
          </w14:textFill>
        </w:rPr>
        <w:t>分局</w:t>
      </w:r>
      <w:r>
        <w:rPr>
          <w:rFonts w:hint="eastAsia" w:asciiTheme="minorEastAsia" w:hAnsiTheme="minorEastAsia" w:eastAsiaTheme="minorEastAsia" w:cs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云南</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莱恩环保技术工程</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有限公司</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10" w:lineRule="exact"/>
        <w:ind w:firstLine="320" w:firstLineChars="1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000000" w:themeColor="text1"/>
          <w:sz w:val="32"/>
          <w:szCs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363220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75pt;margin-top:28.6pt;height:0pt;width:441pt;z-index:251662336;mso-width-relative:page;mso-height-relative:page;" filled="f" stroked="t" coordsize="21600,21600" o:gfxdata="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vQthH1AAAAAcBAAAPAAAAAAAAAAEAIAAAACIAAABk&#10;cnMvZG93bnJldi54bWxQSwECFAAUAAAACACHTuJAu2Ft7NEBAACKAwAADgAAAAAAAAABACAAAAAj&#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52705</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5pt;height:0pt;width:441pt;z-index:251661312;mso-width-relative:page;mso-height-relative:page;" filled="f" stroked="t" coordsize="21600,21600" o:gfxdata="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KB4r90wAAAAQBAAAPAAAAAAAAAAEAIAAAACIAAABk&#10;cnMvZG93bnJldi54bWxQSwECFAAUAAAACACHTuJATtzBLtIBAACKAwAADgAAAAAAAAABACAAAAAi&#10;AQAAZHJzL2Uyb0RvYy54bWxQSwUGAAAAAAYABgBZAQAAZgUAAAAA&#10;">
                <v:fill on="f" focussize="0,0"/>
                <v:stroke weight="0.25pt" color="#000000" joinstyle="round"/>
                <v:imagedata o:title=""/>
                <o:lock v:ext="edit" aspectratio="f"/>
              </v:line>
            </w:pict>
          </mc:Fallback>
        </mc:AlternateContent>
      </w:r>
      <w:r>
        <w:rPr>
          <w:rFonts w:hint="eastAsia" w:asciiTheme="minorEastAsia" w:hAnsiTheme="minorEastAsia" w:eastAsiaTheme="minorEastAsia" w:cstheme="minorEastAsia"/>
          <w:color w:val="000000" w:themeColor="text1"/>
          <w:sz w:val="32"/>
          <w:szCs w:val="32"/>
          <w14:textFill>
            <w14:solidFill>
              <w14:schemeClr w14:val="tx1"/>
            </w14:solidFill>
          </w14:textFill>
        </w:rPr>
        <w:t xml:space="preserve">玉溪市生态环境局               </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2"/>
          <w:szCs w:val="32"/>
          <w14:textFill>
            <w14:solidFill>
              <w14:schemeClr w14:val="tx1"/>
            </w14:solidFill>
          </w14:textFill>
        </w:rPr>
        <w:t>202</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32"/>
          <w:szCs w:val="32"/>
          <w14:textFill>
            <w14:solidFill>
              <w14:schemeClr w14:val="tx1"/>
            </w14:solidFill>
          </w14:textFill>
        </w:rPr>
        <w:t>日印发</w:t>
      </w:r>
    </w:p>
    <w:sectPr>
      <w:footerReference r:id="rId3" w:type="default"/>
      <w:footerReference r:id="rId4" w:type="even"/>
      <w:pgSz w:w="11906" w:h="16838"/>
      <w:pgMar w:top="2041" w:right="1474" w:bottom="1304" w:left="1588" w:header="1361" w:footer="1191" w:gutter="0"/>
      <w:pgNumType w:fmt="decimal"/>
      <w:cols w:space="0" w:num="1"/>
      <w:rtlGutter w:val="0"/>
      <w:docGrid w:type="linesAndChar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137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137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1.95pt;mso-position-horizontal:outside;mso-position-horizontal-relative:margin;z-index:251659264;mso-width-relative:page;mso-height-relative:page;" filled="f" stroked="f" coordsize="21600,21600" o:gfxdata="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g6vttQAAAAFAQAA&#10;DwAAAAAAAAABACAAAAAiAAAAZHJzL2Rvd25yZXYueG1sUEsBAhQAFAAAAAgAh07iQPQJsPYdAgAA&#10;FAQAAA4AAAAAAAAAAQAgAAAAIwEAAGRycy9lMm9Eb2MueG1sUEsFBgAAAAAGAAYAWQEAALIFAAAA&#10;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37260" cy="2641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937260" cy="264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pt;width:73.8pt;mso-position-horizontal:outside;mso-position-horizontal-relative:margin;z-index:251660288;mso-width-relative:page;mso-height-relative:page;" filled="f" stroked="f" coordsize="21600,21600" o:gfxdata="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WOtNf1AAAAAQBAAAPAAAA&#10;AAAAAAEAIAAAACIAAABkcnMvZG93bnJldi54bWxQSwECFAAUAAAACACHTuJAYUGcUxkCAAATBAAA&#10;DgAAAAAAAAABACAAAAAjAQAAZHJzL2Uyb0RvYy54bWxQSwUGAAAAAAYABgBZAQAArgUAAAAA&#10;">
              <v:fill on="f" focussize="0,0"/>
              <v:stroke on="f" weight="0.5pt"/>
              <v:imagedata o:title=""/>
              <o:lock v:ext="edit" aspectratio="f"/>
              <v:textbox inset="0mm,0mm,0mm,0mm">
                <w:txbxContent>
                  <w:p>
                    <w:pPr>
                      <w:pStyle w:val="8"/>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ZmUwMmNlOWYzNTEwNGU1YjRjM2E3OThkOTIxOTcifQ=="/>
  </w:docVars>
  <w:rsids>
    <w:rsidRoot w:val="2AAF282F"/>
    <w:rsid w:val="0005249D"/>
    <w:rsid w:val="00251335"/>
    <w:rsid w:val="002E39CB"/>
    <w:rsid w:val="00354601"/>
    <w:rsid w:val="00621CDB"/>
    <w:rsid w:val="007216D3"/>
    <w:rsid w:val="009E4FAC"/>
    <w:rsid w:val="00DE2824"/>
    <w:rsid w:val="00E32A7B"/>
    <w:rsid w:val="00E779F3"/>
    <w:rsid w:val="00F138BA"/>
    <w:rsid w:val="017B43B2"/>
    <w:rsid w:val="022E6AD9"/>
    <w:rsid w:val="026C5480"/>
    <w:rsid w:val="02C92423"/>
    <w:rsid w:val="02D359C2"/>
    <w:rsid w:val="03405326"/>
    <w:rsid w:val="03CB0679"/>
    <w:rsid w:val="03DF7990"/>
    <w:rsid w:val="047A7F12"/>
    <w:rsid w:val="06214956"/>
    <w:rsid w:val="06D849E3"/>
    <w:rsid w:val="075F1CAC"/>
    <w:rsid w:val="07CE7264"/>
    <w:rsid w:val="085B58CB"/>
    <w:rsid w:val="09294E4C"/>
    <w:rsid w:val="0A0C5CA5"/>
    <w:rsid w:val="0A955323"/>
    <w:rsid w:val="0C11428E"/>
    <w:rsid w:val="0C1D705A"/>
    <w:rsid w:val="0C5848D6"/>
    <w:rsid w:val="0C5B30EE"/>
    <w:rsid w:val="0C673382"/>
    <w:rsid w:val="0CD1482E"/>
    <w:rsid w:val="0CE82EB7"/>
    <w:rsid w:val="0D625FF1"/>
    <w:rsid w:val="0DF93715"/>
    <w:rsid w:val="0E100F06"/>
    <w:rsid w:val="0EE81C04"/>
    <w:rsid w:val="0F046CBD"/>
    <w:rsid w:val="10085FCB"/>
    <w:rsid w:val="10600A97"/>
    <w:rsid w:val="11851A07"/>
    <w:rsid w:val="11DC6270"/>
    <w:rsid w:val="12080F2A"/>
    <w:rsid w:val="121C3EF8"/>
    <w:rsid w:val="139A2D58"/>
    <w:rsid w:val="13DD3E12"/>
    <w:rsid w:val="14325F56"/>
    <w:rsid w:val="143A6D20"/>
    <w:rsid w:val="147D33EC"/>
    <w:rsid w:val="149421F1"/>
    <w:rsid w:val="14F53A51"/>
    <w:rsid w:val="15B44512"/>
    <w:rsid w:val="16297009"/>
    <w:rsid w:val="16532DBC"/>
    <w:rsid w:val="16D33FA6"/>
    <w:rsid w:val="175B5421"/>
    <w:rsid w:val="17951DDA"/>
    <w:rsid w:val="17BB1953"/>
    <w:rsid w:val="18814E89"/>
    <w:rsid w:val="18CE063C"/>
    <w:rsid w:val="1A3C7BBE"/>
    <w:rsid w:val="1A5F6E8E"/>
    <w:rsid w:val="1A8C320C"/>
    <w:rsid w:val="1B5961B8"/>
    <w:rsid w:val="1D22560D"/>
    <w:rsid w:val="1D36222A"/>
    <w:rsid w:val="1D4C0FD1"/>
    <w:rsid w:val="1EE0592A"/>
    <w:rsid w:val="20875902"/>
    <w:rsid w:val="20AA77ED"/>
    <w:rsid w:val="21081CDE"/>
    <w:rsid w:val="221338AA"/>
    <w:rsid w:val="24404051"/>
    <w:rsid w:val="252B1D4D"/>
    <w:rsid w:val="25B310C3"/>
    <w:rsid w:val="25B61F3B"/>
    <w:rsid w:val="25EC30C6"/>
    <w:rsid w:val="26E52AD8"/>
    <w:rsid w:val="26F33055"/>
    <w:rsid w:val="270A1F02"/>
    <w:rsid w:val="272844C9"/>
    <w:rsid w:val="2750082C"/>
    <w:rsid w:val="27D902BE"/>
    <w:rsid w:val="27E028FD"/>
    <w:rsid w:val="286E622A"/>
    <w:rsid w:val="2A1C1D56"/>
    <w:rsid w:val="2AAF282F"/>
    <w:rsid w:val="2B5D1FBE"/>
    <w:rsid w:val="2B7C248E"/>
    <w:rsid w:val="2BA80578"/>
    <w:rsid w:val="2C4B3AF0"/>
    <w:rsid w:val="2CE31097"/>
    <w:rsid w:val="2D2A0DD4"/>
    <w:rsid w:val="2D45752B"/>
    <w:rsid w:val="2D9B5CF7"/>
    <w:rsid w:val="2DBD7D3C"/>
    <w:rsid w:val="2E4207CB"/>
    <w:rsid w:val="2E8D30CF"/>
    <w:rsid w:val="2FAE1C18"/>
    <w:rsid w:val="2FB47C9F"/>
    <w:rsid w:val="30AB341D"/>
    <w:rsid w:val="30BA0CF3"/>
    <w:rsid w:val="30E34D34"/>
    <w:rsid w:val="31C32A89"/>
    <w:rsid w:val="327F7900"/>
    <w:rsid w:val="33364881"/>
    <w:rsid w:val="334A0CFF"/>
    <w:rsid w:val="341E1D9A"/>
    <w:rsid w:val="35692B73"/>
    <w:rsid w:val="370D5223"/>
    <w:rsid w:val="38403B90"/>
    <w:rsid w:val="38AC02C2"/>
    <w:rsid w:val="38B41D0D"/>
    <w:rsid w:val="38B827D6"/>
    <w:rsid w:val="3B056342"/>
    <w:rsid w:val="3BA00084"/>
    <w:rsid w:val="3C7F7E1B"/>
    <w:rsid w:val="3EF1250A"/>
    <w:rsid w:val="3F155B26"/>
    <w:rsid w:val="401641A9"/>
    <w:rsid w:val="41332E43"/>
    <w:rsid w:val="416A0536"/>
    <w:rsid w:val="41B213B9"/>
    <w:rsid w:val="41D86F7B"/>
    <w:rsid w:val="42083D5A"/>
    <w:rsid w:val="423A11FD"/>
    <w:rsid w:val="43341062"/>
    <w:rsid w:val="447F45D2"/>
    <w:rsid w:val="449823AC"/>
    <w:rsid w:val="44A14CE2"/>
    <w:rsid w:val="4580253E"/>
    <w:rsid w:val="4586478D"/>
    <w:rsid w:val="45A5300C"/>
    <w:rsid w:val="45B72F61"/>
    <w:rsid w:val="45E0385A"/>
    <w:rsid w:val="46396A00"/>
    <w:rsid w:val="46D524F5"/>
    <w:rsid w:val="481B4AAA"/>
    <w:rsid w:val="48D44ECB"/>
    <w:rsid w:val="48E376BD"/>
    <w:rsid w:val="49600971"/>
    <w:rsid w:val="4A51456E"/>
    <w:rsid w:val="4A975BD2"/>
    <w:rsid w:val="4A9D76EF"/>
    <w:rsid w:val="4AAC3CC0"/>
    <w:rsid w:val="4AEF13B7"/>
    <w:rsid w:val="4B0E06C8"/>
    <w:rsid w:val="4C2226B4"/>
    <w:rsid w:val="4C8B1119"/>
    <w:rsid w:val="4D83575F"/>
    <w:rsid w:val="4DD53083"/>
    <w:rsid w:val="4FBF2EF4"/>
    <w:rsid w:val="4FC24B2F"/>
    <w:rsid w:val="501F6C42"/>
    <w:rsid w:val="502D4ABF"/>
    <w:rsid w:val="50DB6DAC"/>
    <w:rsid w:val="51C9023B"/>
    <w:rsid w:val="52601BDC"/>
    <w:rsid w:val="52D2446B"/>
    <w:rsid w:val="52F56BE2"/>
    <w:rsid w:val="534A1F20"/>
    <w:rsid w:val="54ED6695"/>
    <w:rsid w:val="54FD6EDC"/>
    <w:rsid w:val="55C5056F"/>
    <w:rsid w:val="55F0067D"/>
    <w:rsid w:val="562E7FB2"/>
    <w:rsid w:val="56685559"/>
    <w:rsid w:val="56BD2497"/>
    <w:rsid w:val="56DD43CB"/>
    <w:rsid w:val="570502E5"/>
    <w:rsid w:val="591816AF"/>
    <w:rsid w:val="5A4822A0"/>
    <w:rsid w:val="5A7D0E49"/>
    <w:rsid w:val="5B530E0D"/>
    <w:rsid w:val="5BBB79D4"/>
    <w:rsid w:val="5BEC4998"/>
    <w:rsid w:val="5C590380"/>
    <w:rsid w:val="5DD27A48"/>
    <w:rsid w:val="5E04242A"/>
    <w:rsid w:val="5E9B6186"/>
    <w:rsid w:val="5EE571AE"/>
    <w:rsid w:val="5F402FCF"/>
    <w:rsid w:val="5F4A3E48"/>
    <w:rsid w:val="5FA40E41"/>
    <w:rsid w:val="603B69DB"/>
    <w:rsid w:val="61214A7F"/>
    <w:rsid w:val="61F915CB"/>
    <w:rsid w:val="62197AC8"/>
    <w:rsid w:val="63161C90"/>
    <w:rsid w:val="63732C3E"/>
    <w:rsid w:val="644F7208"/>
    <w:rsid w:val="65C33A84"/>
    <w:rsid w:val="65D43D57"/>
    <w:rsid w:val="661C059B"/>
    <w:rsid w:val="664C74D8"/>
    <w:rsid w:val="66F6704A"/>
    <w:rsid w:val="670F1B12"/>
    <w:rsid w:val="6783156C"/>
    <w:rsid w:val="67E051FD"/>
    <w:rsid w:val="67E67E6E"/>
    <w:rsid w:val="69126A56"/>
    <w:rsid w:val="69624277"/>
    <w:rsid w:val="6A065065"/>
    <w:rsid w:val="6A970CFF"/>
    <w:rsid w:val="6B24315D"/>
    <w:rsid w:val="6C196406"/>
    <w:rsid w:val="6CC816B1"/>
    <w:rsid w:val="6DC4470E"/>
    <w:rsid w:val="6E3D7334"/>
    <w:rsid w:val="6F253948"/>
    <w:rsid w:val="6F4C5C4D"/>
    <w:rsid w:val="70502519"/>
    <w:rsid w:val="709D12FB"/>
    <w:rsid w:val="72814495"/>
    <w:rsid w:val="72B73CFC"/>
    <w:rsid w:val="737547B1"/>
    <w:rsid w:val="73A33523"/>
    <w:rsid w:val="7417602D"/>
    <w:rsid w:val="74BA48C7"/>
    <w:rsid w:val="757753B7"/>
    <w:rsid w:val="76862181"/>
    <w:rsid w:val="76EB5318"/>
    <w:rsid w:val="77464346"/>
    <w:rsid w:val="783F1C54"/>
    <w:rsid w:val="789718A7"/>
    <w:rsid w:val="79976840"/>
    <w:rsid w:val="7998590A"/>
    <w:rsid w:val="7A2E13A1"/>
    <w:rsid w:val="7AA60FD4"/>
    <w:rsid w:val="7AC12DF7"/>
    <w:rsid w:val="7ADA625F"/>
    <w:rsid w:val="7B7E0F63"/>
    <w:rsid w:val="7CA3021F"/>
    <w:rsid w:val="7CCE20D6"/>
    <w:rsid w:val="7D2257CD"/>
    <w:rsid w:val="7E8004BE"/>
    <w:rsid w:val="7F0D259B"/>
    <w:rsid w:val="7FCB2CDB"/>
    <w:rsid w:val="BBA5F45B"/>
    <w:rsid w:val="D5FEB219"/>
    <w:rsid w:val="EB6FB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纯文本1"/>
    <w:basedOn w:val="1"/>
    <w:qFormat/>
    <w:uiPriority w:val="0"/>
    <w:rPr>
      <w:rFonts w:ascii="宋体" w:hAnsi="Courier New"/>
    </w:rPr>
  </w:style>
  <w:style w:type="paragraph" w:styleId="5">
    <w:name w:val="Body Text"/>
    <w:basedOn w:val="1"/>
    <w:next w:val="1"/>
    <w:qFormat/>
    <w:uiPriority w:val="0"/>
    <w:pPr>
      <w:spacing w:after="120"/>
    </w:p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正文1"/>
    <w:qFormat/>
    <w:uiPriority w:val="0"/>
    <w:pPr>
      <w:widowControl w:val="0"/>
      <w:adjustRightInd w:val="0"/>
      <w:spacing w:line="360" w:lineRule="auto"/>
      <w:ind w:firstLine="200" w:firstLineChars="200"/>
      <w:jc w:val="both"/>
      <w:textAlignment w:val="baseline"/>
    </w:pPr>
    <w:rPr>
      <w:rFonts w:ascii="Times New Roman" w:hAnsi="Times New Roman" w:eastAsia="宋体" w:cs="Times New Roman"/>
      <w:sz w:val="24"/>
      <w:szCs w:val="22"/>
      <w:lang w:val="en-US" w:eastAsia="zh-CN" w:bidi="ar-SA"/>
    </w:rPr>
  </w:style>
  <w:style w:type="paragraph" w:styleId="11">
    <w:name w:val="Body Text First Indent"/>
    <w:basedOn w:val="5"/>
    <w:next w:val="1"/>
    <w:qFormat/>
    <w:uiPriority w:val="0"/>
    <w:pPr>
      <w:widowControl/>
      <w:ind w:firstLine="420" w:firstLineChars="100"/>
      <w:jc w:val="left"/>
    </w:pPr>
    <w:rPr>
      <w:rFonts w:ascii="Calibri" w:hAnsi="Calibri" w:cs="宋体"/>
      <w:kern w:val="0"/>
    </w:rPr>
  </w:style>
  <w:style w:type="paragraph" w:styleId="12">
    <w:name w:val="Body Text First Indent 2"/>
    <w:basedOn w:val="1"/>
    <w:next w:val="11"/>
    <w:qFormat/>
    <w:uiPriority w:val="0"/>
    <w:pPr>
      <w:ind w:firstLine="420" w:firstLineChars="200"/>
    </w:pPr>
  </w:style>
  <w:style w:type="character" w:styleId="15">
    <w:name w:val="page number"/>
    <w:basedOn w:val="14"/>
    <w:qFormat/>
    <w:uiPriority w:val="0"/>
  </w:style>
  <w:style w:type="paragraph" w:customStyle="1" w:styleId="16">
    <w:name w:val="Default"/>
    <w:basedOn w:val="2"/>
    <w:next w:val="1"/>
    <w:unhideWhenUsed/>
    <w:qFormat/>
    <w:uiPriority w:val="0"/>
    <w:pPr>
      <w:autoSpaceDE w:val="0"/>
      <w:autoSpaceDN w:val="0"/>
    </w:pPr>
    <w:rPr>
      <w:rFonts w:hAnsi="宋体"/>
      <w:color w:val="000000"/>
    </w:rPr>
  </w:style>
  <w:style w:type="paragraph" w:customStyle="1" w:styleId="17">
    <w:name w:val="Plain Text1"/>
    <w:basedOn w:val="1"/>
    <w:qFormat/>
    <w:uiPriority w:val="0"/>
    <w:rPr>
      <w:rFonts w:ascii="宋体" w:hAnsi="Courier New"/>
    </w:rPr>
  </w:style>
  <w:style w:type="paragraph" w:customStyle="1" w:styleId="18">
    <w:name w:val="Normal Indent1"/>
    <w:basedOn w:val="1"/>
    <w:qFormat/>
    <w:uiPriority w:val="0"/>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玉溪市直属党政机关单位</Company>
  <Pages>6</Pages>
  <Words>2213</Words>
  <Characters>2407</Characters>
  <Lines>17</Lines>
  <Paragraphs>4</Paragraphs>
  <TotalTime>52</TotalTime>
  <ScaleCrop>false</ScaleCrop>
  <LinksUpToDate>false</LinksUpToDate>
  <CharactersWithSpaces>2459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2020-08-05T06:42:00Z</dcterms:created>
  <dc:creator>马腾</dc:creator>
  <cp:lastModifiedBy>王振华</cp:lastModifiedBy>
  <cp:lastPrinted>2022-04-30T01:33:00Z</cp:lastPrinted>
  <dcterms:modified xsi:type="dcterms:W3CDTF">2023-09-06T03:04:01Z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92C0F64CD22F4CDEA4629C62530CFBA5</vt:lpwstr>
  </property>
</Properties>
</file>