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jc w:val="center"/>
        <w:textAlignment w:val="auto"/>
        <w:rPr>
          <w:rFonts w:ascii="黑体" w:hAnsi="黑体" w:eastAsia="黑体"/>
          <w:b/>
          <w:sz w:val="44"/>
          <w:szCs w:val="44"/>
        </w:rPr>
      </w:pPr>
    </w:p>
    <w:p>
      <w:pPr>
        <w:keepNext w:val="0"/>
        <w:keepLines w:val="0"/>
        <w:pageBreakBefore w:val="0"/>
        <w:widowControl w:val="0"/>
        <w:kinsoku/>
        <w:wordWrap/>
        <w:overflowPunct/>
        <w:topLinePunct w:val="0"/>
        <w:autoSpaceDE/>
        <w:autoSpaceDN/>
        <w:bidi w:val="0"/>
        <w:adjustRightInd/>
        <w:jc w:val="center"/>
        <w:textAlignment w:val="auto"/>
        <w:rPr>
          <w:rFonts w:hint="eastAsia" w:ascii="方正小标宋_GBK" w:hAnsi="方正小标宋_GBK" w:eastAsia="方正小标宋_GBK" w:cs="方正小标宋_GBK"/>
          <w:bCs/>
          <w:sz w:val="52"/>
          <w:szCs w:val="52"/>
        </w:rPr>
      </w:pPr>
    </w:p>
    <w:p>
      <w:pPr>
        <w:keepNext w:val="0"/>
        <w:keepLines w:val="0"/>
        <w:pageBreakBefore w:val="0"/>
        <w:widowControl w:val="0"/>
        <w:kinsoku/>
        <w:wordWrap/>
        <w:overflowPunct/>
        <w:topLinePunct w:val="0"/>
        <w:autoSpaceDE/>
        <w:autoSpaceDN/>
        <w:bidi w:val="0"/>
        <w:adjustRightInd/>
        <w:jc w:val="center"/>
        <w:textAlignment w:val="auto"/>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玉溪市“十四五”花卉产业发展规划</w:t>
      </w:r>
    </w:p>
    <w:p>
      <w:pPr>
        <w:keepNext w:val="0"/>
        <w:keepLines w:val="0"/>
        <w:pageBreakBefore w:val="0"/>
        <w:widowControl w:val="0"/>
        <w:kinsoku/>
        <w:wordWrap/>
        <w:overflowPunct/>
        <w:topLinePunct w:val="0"/>
        <w:autoSpaceDE/>
        <w:autoSpaceDN/>
        <w:bidi w:val="0"/>
        <w:adjustRightInd/>
        <w:jc w:val="center"/>
        <w:textAlignment w:val="auto"/>
        <w:rPr>
          <w:rFonts w:ascii="黑体" w:hAnsi="黑体" w:eastAsia="黑体"/>
          <w:b/>
          <w:sz w:val="44"/>
          <w:szCs w:val="44"/>
        </w:rPr>
      </w:pPr>
    </w:p>
    <w:p>
      <w:pPr>
        <w:keepNext w:val="0"/>
        <w:keepLines w:val="0"/>
        <w:pageBreakBefore w:val="0"/>
        <w:widowControl w:val="0"/>
        <w:kinsoku/>
        <w:wordWrap/>
        <w:overflowPunct/>
        <w:topLinePunct w:val="0"/>
        <w:autoSpaceDE/>
        <w:autoSpaceDN/>
        <w:bidi w:val="0"/>
        <w:adjustRightInd/>
        <w:jc w:val="center"/>
        <w:textAlignment w:val="auto"/>
        <w:rPr>
          <w:rFonts w:ascii="Times New Roman" w:hAnsi="Times New Roman" w:eastAsia="方正仿宋_GBK" w:cs="Times New Roman"/>
          <w:sz w:val="44"/>
          <w:szCs w:val="44"/>
        </w:rPr>
      </w:pPr>
      <w:r>
        <w:rPr>
          <w:rFonts w:ascii="Times New Roman" w:hAnsi="Times New Roman" w:eastAsia="方正仿宋_GBK" w:cs="Times New Roman"/>
          <w:sz w:val="44"/>
          <w:szCs w:val="44"/>
        </w:rPr>
        <w:t>（2021</w:t>
      </w:r>
      <w:r>
        <w:rPr>
          <w:rFonts w:hint="default" w:ascii="Arial" w:hAnsi="Arial" w:eastAsia="方正仿宋_GBK" w:cs="Arial"/>
          <w:sz w:val="44"/>
          <w:szCs w:val="44"/>
          <w:lang w:val="en-US" w:eastAsia="zh-CN"/>
        </w:rPr>
        <w:t>－</w:t>
      </w:r>
      <w:r>
        <w:rPr>
          <w:rFonts w:ascii="Times New Roman" w:hAnsi="Times New Roman" w:eastAsia="方正仿宋_GBK" w:cs="Times New Roman"/>
          <w:sz w:val="44"/>
          <w:szCs w:val="44"/>
        </w:rPr>
        <w:t>2025年）</w:t>
      </w: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玉溪市农业农村局</w:t>
      </w: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r>
        <w:rPr>
          <w:rFonts w:ascii="Times New Roman" w:hAnsi="Times New Roman" w:eastAsia="方正仿宋_GBK" w:cs="Times New Roman"/>
          <w:sz w:val="32"/>
          <w:szCs w:val="32"/>
        </w:rPr>
        <w:t>2021年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w:t>
      </w:r>
    </w:p>
    <w:p>
      <w:pPr>
        <w:pStyle w:val="12"/>
        <w:keepNext w:val="0"/>
        <w:keepLines w:val="0"/>
        <w:pageBreakBefore w:val="0"/>
        <w:widowControl w:val="0"/>
        <w:tabs>
          <w:tab w:val="right" w:leader="dot" w:pos="8296"/>
        </w:tabs>
        <w:kinsoku/>
        <w:wordWrap/>
        <w:overflowPunct/>
        <w:topLinePunct w:val="0"/>
        <w:autoSpaceDE/>
        <w:autoSpaceDN/>
        <w:bidi w:val="0"/>
        <w:adjustRightInd/>
        <w:spacing w:line="400" w:lineRule="exact"/>
        <w:textAlignment w:val="auto"/>
      </w:pPr>
      <w:bookmarkStart w:id="0" w:name="page4"/>
      <w:bookmarkEnd w:id="0"/>
    </w:p>
    <w:p>
      <w:pPr>
        <w:keepNext w:val="0"/>
        <w:keepLines w:val="0"/>
        <w:pageBreakBefore w:val="0"/>
        <w:widowControl w:val="0"/>
        <w:kinsoku/>
        <w:wordWrap/>
        <w:overflowPunct/>
        <w:topLinePunct w:val="0"/>
        <w:autoSpaceDE/>
        <w:autoSpaceDN/>
        <w:bidi w:val="0"/>
        <w:adjustRightInd/>
        <w:textAlignment w:val="auto"/>
        <w:sectPr>
          <w:footerReference r:id="rId3" w:type="default"/>
          <w:pgSz w:w="11906" w:h="16838"/>
          <w:pgMar w:top="2041" w:right="1474" w:bottom="1304" w:left="1587" w:header="851" w:footer="567" w:gutter="113"/>
          <w:cols w:space="0" w:num="1"/>
          <w:rtlGutter w:val="0"/>
          <w:docGrid w:type="lines" w:linePitch="312" w:charSpace="0"/>
        </w:sectPr>
      </w:pPr>
    </w:p>
    <w:p>
      <w:pPr>
        <w:pStyle w:val="2"/>
      </w:pPr>
    </w:p>
    <w:sdt>
      <w:sdtPr>
        <w:rPr>
          <w:rFonts w:ascii="宋体" w:hAnsi="宋体" w:eastAsia="宋体" w:cstheme="minorBidi"/>
          <w:kern w:val="2"/>
          <w:sz w:val="21"/>
          <w:szCs w:val="22"/>
          <w:lang w:val="en-US" w:eastAsia="zh-CN" w:bidi="ar-SA"/>
        </w:rPr>
        <w:id w:val="147462970"/>
        <w15:color w:val="DBDBDB"/>
        <w:docPartObj>
          <w:docPartGallery w:val="Table of Contents"/>
          <w:docPartUnique/>
        </w:docPartObj>
      </w:sdtPr>
      <w:sdtEndPr>
        <w:rPr>
          <w:rFonts w:ascii="方正小标宋_GBK" w:hAnsi="方正小标宋_GBK" w:eastAsia="方正小标宋_GBK" w:cs="方正小标宋_GBK"/>
          <w:b/>
          <w:bCs w:val="0"/>
          <w:kern w:val="44"/>
          <w:sz w:val="44"/>
          <w:szCs w:val="44"/>
          <w:lang w:val="en-US" w:eastAsia="zh-CN" w:bidi="ar-SA"/>
        </w:rPr>
      </w:sdtEndPr>
      <w:sdtContent>
        <w:p>
          <w:pPr>
            <w:keepNext w:val="0"/>
            <w:keepLines w:val="0"/>
            <w:pageBreakBefore w:val="0"/>
            <w:widowControl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rPr>
              <w:b/>
              <w:bCs/>
              <w:sz w:val="44"/>
              <w:szCs w:val="44"/>
            </w:rPr>
          </w:pPr>
          <w:r>
            <w:rPr>
              <w:rFonts w:ascii="宋体" w:hAnsi="宋体" w:eastAsia="宋体"/>
              <w:b/>
              <w:bCs/>
              <w:sz w:val="44"/>
              <w:szCs w:val="44"/>
            </w:rPr>
            <w:t>目录</w:t>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 w:val="0"/>
              <w:bCs w:val="0"/>
            </w:rPr>
            <w:fldChar w:fldCharType="begin"/>
          </w:r>
          <w:r>
            <w:rPr>
              <w:rFonts w:ascii="方正小标宋_GBK" w:hAnsi="方正小标宋_GBK" w:eastAsia="方正小标宋_GBK" w:cs="方正小标宋_GBK"/>
              <w:b w:val="0"/>
              <w:bCs w:val="0"/>
            </w:rPr>
            <w:instrText xml:space="preserve">TOC \o "1-3" \h \u </w:instrText>
          </w:r>
          <w:r>
            <w:rPr>
              <w:rFonts w:ascii="方正小标宋_GBK" w:hAnsi="方正小标宋_GBK" w:eastAsia="方正小标宋_GBK" w:cs="方正小标宋_GBK"/>
              <w:b w:val="0"/>
              <w:bCs w:val="0"/>
            </w:rPr>
            <w:fldChar w:fldCharType="separate"/>
          </w: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_Toc2539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bCs w:val="0"/>
              <w:sz w:val="24"/>
              <w:szCs w:val="24"/>
            </w:rPr>
            <w:t>前   言</w:t>
          </w:r>
          <w:r>
            <w:rPr>
              <w:sz w:val="24"/>
              <w:szCs w:val="24"/>
            </w:rPr>
            <w:tab/>
          </w:r>
          <w:r>
            <w:rPr>
              <w:sz w:val="24"/>
              <w:szCs w:val="24"/>
            </w:rPr>
            <w:fldChar w:fldCharType="begin"/>
          </w:r>
          <w:r>
            <w:rPr>
              <w:sz w:val="24"/>
              <w:szCs w:val="24"/>
            </w:rPr>
            <w:instrText xml:space="preserve"> PAGEREF _Toc2539 </w:instrText>
          </w:r>
          <w:r>
            <w:rPr>
              <w:sz w:val="24"/>
              <w:szCs w:val="24"/>
            </w:rPr>
            <w:fldChar w:fldCharType="separate"/>
          </w:r>
          <w:r>
            <w:rPr>
              <w:sz w:val="24"/>
              <w:szCs w:val="24"/>
            </w:rPr>
            <w:t>1</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_Toc17134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sz w:val="24"/>
              <w:szCs w:val="24"/>
            </w:rPr>
            <w:t>第一章  玉溪市花卉产业发展战略分析</w:t>
          </w:r>
          <w:r>
            <w:rPr>
              <w:sz w:val="24"/>
              <w:szCs w:val="24"/>
            </w:rPr>
            <w:tab/>
          </w:r>
          <w:r>
            <w:rPr>
              <w:sz w:val="24"/>
              <w:szCs w:val="24"/>
            </w:rPr>
            <w:fldChar w:fldCharType="begin"/>
          </w:r>
          <w:r>
            <w:rPr>
              <w:sz w:val="24"/>
              <w:szCs w:val="24"/>
            </w:rPr>
            <w:instrText xml:space="preserve"> PAGEREF _Toc17134 </w:instrText>
          </w:r>
          <w:r>
            <w:rPr>
              <w:sz w:val="24"/>
              <w:szCs w:val="24"/>
            </w:rPr>
            <w:fldChar w:fldCharType="separate"/>
          </w:r>
          <w:r>
            <w:rPr>
              <w:sz w:val="24"/>
              <w:szCs w:val="24"/>
            </w:rPr>
            <w:t>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_Toc5566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一、玉溪市花卉产业现状</w:t>
          </w:r>
          <w:r>
            <w:rPr>
              <w:sz w:val="24"/>
              <w:szCs w:val="24"/>
            </w:rPr>
            <w:tab/>
          </w:r>
          <w:r>
            <w:rPr>
              <w:sz w:val="24"/>
              <w:szCs w:val="24"/>
            </w:rPr>
            <w:fldChar w:fldCharType="begin"/>
          </w:r>
          <w:r>
            <w:rPr>
              <w:sz w:val="24"/>
              <w:szCs w:val="24"/>
            </w:rPr>
            <w:instrText xml:space="preserve"> PAGEREF _Toc5566 </w:instrText>
          </w:r>
          <w:r>
            <w:rPr>
              <w:sz w:val="24"/>
              <w:szCs w:val="24"/>
            </w:rPr>
            <w:fldChar w:fldCharType="separate"/>
          </w:r>
          <w:r>
            <w:rPr>
              <w:sz w:val="24"/>
              <w:szCs w:val="24"/>
            </w:rPr>
            <w:t>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_Toc18357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（一）产业规模增加迅猛</w:t>
          </w:r>
          <w:r>
            <w:rPr>
              <w:sz w:val="24"/>
              <w:szCs w:val="24"/>
            </w:rPr>
            <w:tab/>
          </w:r>
          <w:r>
            <w:rPr>
              <w:sz w:val="24"/>
              <w:szCs w:val="24"/>
            </w:rPr>
            <w:fldChar w:fldCharType="begin"/>
          </w:r>
          <w:r>
            <w:rPr>
              <w:sz w:val="24"/>
              <w:szCs w:val="24"/>
            </w:rPr>
            <w:instrText xml:space="preserve"> PAGEREF _Toc18357 </w:instrText>
          </w:r>
          <w:r>
            <w:rPr>
              <w:sz w:val="24"/>
              <w:szCs w:val="24"/>
            </w:rPr>
            <w:fldChar w:fldCharType="separate"/>
          </w:r>
          <w:r>
            <w:rPr>
              <w:sz w:val="24"/>
              <w:szCs w:val="24"/>
            </w:rPr>
            <w:t>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_Toc1737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（二）花卉创新实力较强</w:t>
          </w:r>
          <w:r>
            <w:rPr>
              <w:sz w:val="24"/>
              <w:szCs w:val="24"/>
            </w:rPr>
            <w:tab/>
          </w:r>
          <w:r>
            <w:rPr>
              <w:sz w:val="24"/>
              <w:szCs w:val="24"/>
            </w:rPr>
            <w:fldChar w:fldCharType="begin"/>
          </w:r>
          <w:r>
            <w:rPr>
              <w:sz w:val="24"/>
              <w:szCs w:val="24"/>
            </w:rPr>
            <w:instrText xml:space="preserve"> PAGEREF _Toc1737 </w:instrText>
          </w:r>
          <w:r>
            <w:rPr>
              <w:sz w:val="24"/>
              <w:szCs w:val="24"/>
            </w:rPr>
            <w:fldChar w:fldCharType="separate"/>
          </w:r>
          <w:r>
            <w:rPr>
              <w:sz w:val="24"/>
              <w:szCs w:val="24"/>
            </w:rPr>
            <w:t>3</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_Toc3599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（三）外向型产业发展势头强</w:t>
          </w:r>
          <w:r>
            <w:rPr>
              <w:sz w:val="24"/>
              <w:szCs w:val="24"/>
            </w:rPr>
            <w:tab/>
          </w:r>
          <w:r>
            <w:rPr>
              <w:sz w:val="24"/>
              <w:szCs w:val="24"/>
            </w:rPr>
            <w:fldChar w:fldCharType="begin"/>
          </w:r>
          <w:r>
            <w:rPr>
              <w:sz w:val="24"/>
              <w:szCs w:val="24"/>
            </w:rPr>
            <w:instrText xml:space="preserve"> PAGEREF _Toc3599 </w:instrText>
          </w:r>
          <w:r>
            <w:rPr>
              <w:sz w:val="24"/>
              <w:szCs w:val="24"/>
            </w:rPr>
            <w:fldChar w:fldCharType="separate"/>
          </w:r>
          <w:r>
            <w:rPr>
              <w:sz w:val="24"/>
              <w:szCs w:val="24"/>
            </w:rPr>
            <w:t>3</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_Toc8297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（四）组织化程度高、效益显著</w:t>
          </w:r>
          <w:r>
            <w:rPr>
              <w:sz w:val="24"/>
              <w:szCs w:val="24"/>
            </w:rPr>
            <w:tab/>
          </w:r>
          <w:r>
            <w:rPr>
              <w:sz w:val="24"/>
              <w:szCs w:val="24"/>
            </w:rPr>
            <w:fldChar w:fldCharType="begin"/>
          </w:r>
          <w:r>
            <w:rPr>
              <w:sz w:val="24"/>
              <w:szCs w:val="24"/>
            </w:rPr>
            <w:instrText xml:space="preserve"> PAGEREF _Toc8297 </w:instrText>
          </w:r>
          <w:r>
            <w:rPr>
              <w:sz w:val="24"/>
              <w:szCs w:val="24"/>
            </w:rPr>
            <w:fldChar w:fldCharType="separate"/>
          </w:r>
          <w:r>
            <w:rPr>
              <w:sz w:val="24"/>
              <w:szCs w:val="24"/>
            </w:rPr>
            <w:t>3</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_Toc20426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二、玉溪市花卉产业发展优势</w:t>
          </w:r>
          <w:r>
            <w:rPr>
              <w:sz w:val="24"/>
              <w:szCs w:val="24"/>
            </w:rPr>
            <w:tab/>
          </w:r>
          <w:r>
            <w:rPr>
              <w:sz w:val="24"/>
              <w:szCs w:val="24"/>
            </w:rPr>
            <w:fldChar w:fldCharType="begin"/>
          </w:r>
          <w:r>
            <w:rPr>
              <w:sz w:val="24"/>
              <w:szCs w:val="24"/>
            </w:rPr>
            <w:instrText xml:space="preserve"> PAGEREF _Toc20426 </w:instrText>
          </w:r>
          <w:r>
            <w:rPr>
              <w:sz w:val="24"/>
              <w:szCs w:val="24"/>
            </w:rPr>
            <w:fldChar w:fldCharType="separate"/>
          </w:r>
          <w:r>
            <w:rPr>
              <w:sz w:val="24"/>
              <w:szCs w:val="24"/>
            </w:rPr>
            <w:t>4</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_Toc12681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sz w:val="24"/>
              <w:szCs w:val="24"/>
            </w:rPr>
            <w:t>（一）区位优势</w:t>
          </w:r>
          <w:r>
            <w:rPr>
              <w:sz w:val="24"/>
              <w:szCs w:val="24"/>
            </w:rPr>
            <w:tab/>
          </w:r>
          <w:r>
            <w:rPr>
              <w:sz w:val="24"/>
              <w:szCs w:val="24"/>
            </w:rPr>
            <w:fldChar w:fldCharType="begin"/>
          </w:r>
          <w:r>
            <w:rPr>
              <w:sz w:val="24"/>
              <w:szCs w:val="24"/>
            </w:rPr>
            <w:instrText xml:space="preserve"> PAGEREF _Toc12681 </w:instrText>
          </w:r>
          <w:r>
            <w:rPr>
              <w:sz w:val="24"/>
              <w:szCs w:val="24"/>
            </w:rPr>
            <w:fldChar w:fldCharType="separate"/>
          </w:r>
          <w:r>
            <w:rPr>
              <w:sz w:val="24"/>
              <w:szCs w:val="24"/>
            </w:rPr>
            <w:t>4</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_Toc4885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（二）气候优势</w:t>
          </w:r>
          <w:r>
            <w:rPr>
              <w:sz w:val="24"/>
              <w:szCs w:val="24"/>
            </w:rPr>
            <w:tab/>
          </w:r>
          <w:r>
            <w:rPr>
              <w:sz w:val="24"/>
              <w:szCs w:val="24"/>
            </w:rPr>
            <w:fldChar w:fldCharType="begin"/>
          </w:r>
          <w:r>
            <w:rPr>
              <w:sz w:val="24"/>
              <w:szCs w:val="24"/>
            </w:rPr>
            <w:instrText xml:space="preserve"> PAGEREF _Toc4885 </w:instrText>
          </w:r>
          <w:r>
            <w:rPr>
              <w:sz w:val="24"/>
              <w:szCs w:val="24"/>
            </w:rPr>
            <w:fldChar w:fldCharType="separate"/>
          </w:r>
          <w:r>
            <w:rPr>
              <w:sz w:val="24"/>
              <w:szCs w:val="24"/>
            </w:rPr>
            <w:t>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_Toc5834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（三）品牌市场优势</w:t>
          </w:r>
          <w:r>
            <w:rPr>
              <w:sz w:val="24"/>
              <w:szCs w:val="24"/>
            </w:rPr>
            <w:tab/>
          </w:r>
          <w:r>
            <w:rPr>
              <w:sz w:val="24"/>
              <w:szCs w:val="24"/>
            </w:rPr>
            <w:fldChar w:fldCharType="begin"/>
          </w:r>
          <w:r>
            <w:rPr>
              <w:sz w:val="24"/>
              <w:szCs w:val="24"/>
            </w:rPr>
            <w:instrText xml:space="preserve"> PAGEREF _Toc5834 </w:instrText>
          </w:r>
          <w:r>
            <w:rPr>
              <w:sz w:val="24"/>
              <w:szCs w:val="24"/>
            </w:rPr>
            <w:fldChar w:fldCharType="separate"/>
          </w:r>
          <w:r>
            <w:rPr>
              <w:sz w:val="24"/>
              <w:szCs w:val="24"/>
            </w:rPr>
            <w:t>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_Toc7311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（四）专业化生产优势</w:t>
          </w:r>
          <w:r>
            <w:rPr>
              <w:sz w:val="24"/>
              <w:szCs w:val="24"/>
            </w:rPr>
            <w:tab/>
          </w:r>
          <w:r>
            <w:rPr>
              <w:sz w:val="24"/>
              <w:szCs w:val="24"/>
            </w:rPr>
            <w:fldChar w:fldCharType="begin"/>
          </w:r>
          <w:r>
            <w:rPr>
              <w:sz w:val="24"/>
              <w:szCs w:val="24"/>
            </w:rPr>
            <w:instrText xml:space="preserve"> PAGEREF _Toc7311 </w:instrText>
          </w:r>
          <w:r>
            <w:rPr>
              <w:sz w:val="24"/>
              <w:szCs w:val="24"/>
            </w:rPr>
            <w:fldChar w:fldCharType="separate"/>
          </w:r>
          <w:r>
            <w:rPr>
              <w:sz w:val="24"/>
              <w:szCs w:val="24"/>
            </w:rPr>
            <w:t>6</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_Toc31430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（五）政策优势</w:t>
          </w:r>
          <w:r>
            <w:rPr>
              <w:sz w:val="24"/>
              <w:szCs w:val="24"/>
            </w:rPr>
            <w:tab/>
          </w:r>
          <w:r>
            <w:rPr>
              <w:sz w:val="24"/>
              <w:szCs w:val="24"/>
            </w:rPr>
            <w:fldChar w:fldCharType="begin"/>
          </w:r>
          <w:r>
            <w:rPr>
              <w:sz w:val="24"/>
              <w:szCs w:val="24"/>
            </w:rPr>
            <w:instrText xml:space="preserve"> PAGEREF _Toc31430 </w:instrText>
          </w:r>
          <w:r>
            <w:rPr>
              <w:sz w:val="24"/>
              <w:szCs w:val="24"/>
            </w:rPr>
            <w:fldChar w:fldCharType="separate"/>
          </w:r>
          <w:r>
            <w:rPr>
              <w:sz w:val="24"/>
              <w:szCs w:val="24"/>
            </w:rPr>
            <w:t>6</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_Toc27387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（六）花卉市场稳定持续增长</w:t>
          </w:r>
          <w:r>
            <w:rPr>
              <w:sz w:val="24"/>
              <w:szCs w:val="24"/>
            </w:rPr>
            <w:tab/>
          </w:r>
          <w:r>
            <w:rPr>
              <w:sz w:val="24"/>
              <w:szCs w:val="24"/>
            </w:rPr>
            <w:fldChar w:fldCharType="begin"/>
          </w:r>
          <w:r>
            <w:rPr>
              <w:sz w:val="24"/>
              <w:szCs w:val="24"/>
            </w:rPr>
            <w:instrText xml:space="preserve"> PAGEREF _Toc27387 </w:instrText>
          </w:r>
          <w:r>
            <w:rPr>
              <w:sz w:val="24"/>
              <w:szCs w:val="24"/>
            </w:rPr>
            <w:fldChar w:fldCharType="separate"/>
          </w:r>
          <w:r>
            <w:rPr>
              <w:sz w:val="24"/>
              <w:szCs w:val="24"/>
            </w:rPr>
            <w:t>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_Toc11648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三、玉溪市花卉产业发展面临的挑战与机遇分析</w:t>
          </w:r>
          <w:r>
            <w:rPr>
              <w:sz w:val="24"/>
              <w:szCs w:val="24"/>
            </w:rPr>
            <w:tab/>
          </w:r>
          <w:r>
            <w:rPr>
              <w:sz w:val="24"/>
              <w:szCs w:val="24"/>
            </w:rPr>
            <w:fldChar w:fldCharType="begin"/>
          </w:r>
          <w:r>
            <w:rPr>
              <w:sz w:val="24"/>
              <w:szCs w:val="24"/>
            </w:rPr>
            <w:instrText xml:space="preserve"> PAGEREF _Toc11648 </w:instrText>
          </w:r>
          <w:r>
            <w:rPr>
              <w:sz w:val="24"/>
              <w:szCs w:val="24"/>
            </w:rPr>
            <w:fldChar w:fldCharType="separate"/>
          </w:r>
          <w:r>
            <w:rPr>
              <w:sz w:val="24"/>
              <w:szCs w:val="24"/>
            </w:rPr>
            <w:t>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_Toc20852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sz w:val="24"/>
              <w:szCs w:val="24"/>
            </w:rPr>
            <w:t>（一）严峻挑战</w:t>
          </w:r>
          <w:r>
            <w:rPr>
              <w:sz w:val="24"/>
              <w:szCs w:val="24"/>
            </w:rPr>
            <w:tab/>
          </w:r>
          <w:r>
            <w:rPr>
              <w:sz w:val="24"/>
              <w:szCs w:val="24"/>
            </w:rPr>
            <w:fldChar w:fldCharType="begin"/>
          </w:r>
          <w:r>
            <w:rPr>
              <w:sz w:val="24"/>
              <w:szCs w:val="24"/>
            </w:rPr>
            <w:instrText xml:space="preserve"> PAGEREF _Toc20852 </w:instrText>
          </w:r>
          <w:r>
            <w:rPr>
              <w:sz w:val="24"/>
              <w:szCs w:val="24"/>
            </w:rPr>
            <w:fldChar w:fldCharType="separate"/>
          </w:r>
          <w:r>
            <w:rPr>
              <w:sz w:val="24"/>
              <w:szCs w:val="24"/>
            </w:rPr>
            <w:t>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_Toc29762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sz w:val="24"/>
              <w:szCs w:val="24"/>
            </w:rPr>
            <w:t>（二）发展机遇</w:t>
          </w:r>
          <w:r>
            <w:rPr>
              <w:sz w:val="24"/>
              <w:szCs w:val="24"/>
            </w:rPr>
            <w:tab/>
          </w:r>
          <w:r>
            <w:rPr>
              <w:sz w:val="24"/>
              <w:szCs w:val="24"/>
            </w:rPr>
            <w:fldChar w:fldCharType="begin"/>
          </w:r>
          <w:r>
            <w:rPr>
              <w:sz w:val="24"/>
              <w:szCs w:val="24"/>
            </w:rPr>
            <w:instrText xml:space="preserve"> PAGEREF _Toc29762 </w:instrText>
          </w:r>
          <w:r>
            <w:rPr>
              <w:sz w:val="24"/>
              <w:szCs w:val="24"/>
            </w:rPr>
            <w:fldChar w:fldCharType="separate"/>
          </w:r>
          <w:r>
            <w:rPr>
              <w:sz w:val="24"/>
              <w:szCs w:val="24"/>
            </w:rPr>
            <w:t>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_Toc11343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bCs w:val="0"/>
              <w:sz w:val="24"/>
              <w:szCs w:val="24"/>
            </w:rPr>
            <w:t>第二章  花卉产业发展战略目标与路径</w:t>
          </w:r>
          <w:r>
            <w:rPr>
              <w:sz w:val="24"/>
              <w:szCs w:val="24"/>
            </w:rPr>
            <w:tab/>
          </w:r>
          <w:r>
            <w:rPr>
              <w:sz w:val="24"/>
              <w:szCs w:val="24"/>
            </w:rPr>
            <w:fldChar w:fldCharType="begin"/>
          </w:r>
          <w:r>
            <w:rPr>
              <w:sz w:val="24"/>
              <w:szCs w:val="24"/>
            </w:rPr>
            <w:instrText xml:space="preserve"> PAGEREF _Toc11343 </w:instrText>
          </w:r>
          <w:r>
            <w:rPr>
              <w:sz w:val="24"/>
              <w:szCs w:val="24"/>
            </w:rPr>
            <w:fldChar w:fldCharType="separate"/>
          </w:r>
          <w:r>
            <w:rPr>
              <w:sz w:val="24"/>
              <w:szCs w:val="24"/>
            </w:rPr>
            <w:t>10</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_Toc32115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一、发展思路</w:t>
          </w:r>
          <w:r>
            <w:rPr>
              <w:sz w:val="24"/>
              <w:szCs w:val="24"/>
            </w:rPr>
            <w:tab/>
          </w:r>
          <w:r>
            <w:rPr>
              <w:sz w:val="24"/>
              <w:szCs w:val="24"/>
            </w:rPr>
            <w:fldChar w:fldCharType="begin"/>
          </w:r>
          <w:r>
            <w:rPr>
              <w:sz w:val="24"/>
              <w:szCs w:val="24"/>
            </w:rPr>
            <w:instrText xml:space="preserve"> PAGEREF _Toc32115 </w:instrText>
          </w:r>
          <w:r>
            <w:rPr>
              <w:sz w:val="24"/>
              <w:szCs w:val="24"/>
            </w:rPr>
            <w:fldChar w:fldCharType="separate"/>
          </w:r>
          <w:r>
            <w:rPr>
              <w:sz w:val="24"/>
              <w:szCs w:val="24"/>
            </w:rPr>
            <w:t>10</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_Toc19988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二、发展原则</w:t>
          </w:r>
          <w:r>
            <w:rPr>
              <w:sz w:val="24"/>
              <w:szCs w:val="24"/>
            </w:rPr>
            <w:tab/>
          </w:r>
          <w:r>
            <w:rPr>
              <w:sz w:val="24"/>
              <w:szCs w:val="24"/>
            </w:rPr>
            <w:fldChar w:fldCharType="begin"/>
          </w:r>
          <w:r>
            <w:rPr>
              <w:sz w:val="24"/>
              <w:szCs w:val="24"/>
            </w:rPr>
            <w:instrText xml:space="preserve"> PAGEREF _Toc19988 </w:instrText>
          </w:r>
          <w:r>
            <w:rPr>
              <w:sz w:val="24"/>
              <w:szCs w:val="24"/>
            </w:rPr>
            <w:fldChar w:fldCharType="separate"/>
          </w:r>
          <w:r>
            <w:rPr>
              <w:sz w:val="24"/>
              <w:szCs w:val="24"/>
            </w:rPr>
            <w:t>10</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_Toc16437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三、发展目标</w:t>
          </w:r>
          <w:r>
            <w:rPr>
              <w:sz w:val="24"/>
              <w:szCs w:val="24"/>
            </w:rPr>
            <w:tab/>
          </w:r>
          <w:r>
            <w:rPr>
              <w:sz w:val="24"/>
              <w:szCs w:val="24"/>
            </w:rPr>
            <w:fldChar w:fldCharType="begin"/>
          </w:r>
          <w:r>
            <w:rPr>
              <w:sz w:val="24"/>
              <w:szCs w:val="24"/>
            </w:rPr>
            <w:instrText xml:space="preserve"> PAGEREF _Toc16437 </w:instrText>
          </w:r>
          <w:r>
            <w:rPr>
              <w:sz w:val="24"/>
              <w:szCs w:val="24"/>
            </w:rPr>
            <w:fldChar w:fldCharType="separate"/>
          </w:r>
          <w:r>
            <w:rPr>
              <w:sz w:val="24"/>
              <w:szCs w:val="24"/>
            </w:rPr>
            <w:t>12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_Toc27957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四、优化产业布局</w:t>
          </w:r>
          <w:r>
            <w:rPr>
              <w:sz w:val="24"/>
              <w:szCs w:val="24"/>
            </w:rPr>
            <w:tab/>
          </w:r>
          <w:r>
            <w:rPr>
              <w:sz w:val="24"/>
              <w:szCs w:val="24"/>
            </w:rPr>
            <w:fldChar w:fldCharType="begin"/>
          </w:r>
          <w:r>
            <w:rPr>
              <w:sz w:val="24"/>
              <w:szCs w:val="24"/>
            </w:rPr>
            <w:instrText xml:space="preserve"> PAGEREF _Toc27957 </w:instrText>
          </w:r>
          <w:r>
            <w:rPr>
              <w:sz w:val="24"/>
              <w:szCs w:val="24"/>
            </w:rPr>
            <w:fldChar w:fldCharType="separate"/>
          </w:r>
          <w:r>
            <w:rPr>
              <w:sz w:val="24"/>
              <w:szCs w:val="24"/>
            </w:rPr>
            <w:t>12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_Toc25082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sz w:val="24"/>
              <w:szCs w:val="24"/>
            </w:rPr>
            <w:t>第三章  主要任务</w:t>
          </w:r>
          <w:r>
            <w:rPr>
              <w:sz w:val="24"/>
              <w:szCs w:val="24"/>
            </w:rPr>
            <w:tab/>
          </w:r>
          <w:r>
            <w:rPr>
              <w:sz w:val="24"/>
              <w:szCs w:val="24"/>
            </w:rPr>
            <w:fldChar w:fldCharType="begin"/>
          </w:r>
          <w:r>
            <w:rPr>
              <w:sz w:val="24"/>
              <w:szCs w:val="24"/>
            </w:rPr>
            <w:instrText xml:space="preserve"> PAGEREF _Toc25082 </w:instrText>
          </w:r>
          <w:r>
            <w:rPr>
              <w:sz w:val="24"/>
              <w:szCs w:val="24"/>
            </w:rPr>
            <w:fldChar w:fldCharType="separate"/>
          </w:r>
          <w:r>
            <w:rPr>
              <w:sz w:val="24"/>
              <w:szCs w:val="24"/>
            </w:rPr>
            <w:t>15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_Toc17014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一、强化基础设施建设</w:t>
          </w:r>
          <w:r>
            <w:rPr>
              <w:sz w:val="24"/>
              <w:szCs w:val="24"/>
            </w:rPr>
            <w:tab/>
          </w:r>
          <w:r>
            <w:rPr>
              <w:sz w:val="24"/>
              <w:szCs w:val="24"/>
            </w:rPr>
            <w:fldChar w:fldCharType="begin"/>
          </w:r>
          <w:r>
            <w:rPr>
              <w:sz w:val="24"/>
              <w:szCs w:val="24"/>
            </w:rPr>
            <w:instrText xml:space="preserve"> PAGEREF _Toc17014 </w:instrText>
          </w:r>
          <w:r>
            <w:rPr>
              <w:sz w:val="24"/>
              <w:szCs w:val="24"/>
            </w:rPr>
            <w:fldChar w:fldCharType="separate"/>
          </w:r>
          <w:r>
            <w:rPr>
              <w:sz w:val="24"/>
              <w:szCs w:val="24"/>
            </w:rPr>
            <w:t>15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_Toc23834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二、加快良种繁育及推广力度</w:t>
          </w:r>
          <w:r>
            <w:rPr>
              <w:sz w:val="24"/>
              <w:szCs w:val="24"/>
            </w:rPr>
            <w:tab/>
          </w:r>
          <w:r>
            <w:rPr>
              <w:sz w:val="24"/>
              <w:szCs w:val="24"/>
            </w:rPr>
            <w:fldChar w:fldCharType="begin"/>
          </w:r>
          <w:r>
            <w:rPr>
              <w:sz w:val="24"/>
              <w:szCs w:val="24"/>
            </w:rPr>
            <w:instrText xml:space="preserve"> PAGEREF _Toc23834 </w:instrText>
          </w:r>
          <w:r>
            <w:rPr>
              <w:sz w:val="24"/>
              <w:szCs w:val="24"/>
            </w:rPr>
            <w:fldChar w:fldCharType="separate"/>
          </w:r>
          <w:r>
            <w:rPr>
              <w:sz w:val="24"/>
              <w:szCs w:val="24"/>
            </w:rPr>
            <w:t>15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_Toc18581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三、加快产业提质增效步伐</w:t>
          </w:r>
          <w:r>
            <w:rPr>
              <w:sz w:val="24"/>
              <w:szCs w:val="24"/>
            </w:rPr>
            <w:tab/>
          </w:r>
          <w:r>
            <w:rPr>
              <w:sz w:val="24"/>
              <w:szCs w:val="24"/>
            </w:rPr>
            <w:fldChar w:fldCharType="begin"/>
          </w:r>
          <w:r>
            <w:rPr>
              <w:sz w:val="24"/>
              <w:szCs w:val="24"/>
            </w:rPr>
            <w:instrText xml:space="preserve"> PAGEREF _Toc18581 </w:instrText>
          </w:r>
          <w:r>
            <w:rPr>
              <w:sz w:val="24"/>
              <w:szCs w:val="24"/>
            </w:rPr>
            <w:fldChar w:fldCharType="separate"/>
          </w:r>
          <w:r>
            <w:rPr>
              <w:sz w:val="24"/>
              <w:szCs w:val="24"/>
            </w:rPr>
            <w:t>15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_Toc17631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四、培育龙头骨干企业</w:t>
          </w:r>
          <w:r>
            <w:rPr>
              <w:sz w:val="24"/>
              <w:szCs w:val="24"/>
            </w:rPr>
            <w:tab/>
          </w:r>
          <w:r>
            <w:rPr>
              <w:sz w:val="24"/>
              <w:szCs w:val="24"/>
            </w:rPr>
            <w:fldChar w:fldCharType="begin"/>
          </w:r>
          <w:r>
            <w:rPr>
              <w:sz w:val="24"/>
              <w:szCs w:val="24"/>
            </w:rPr>
            <w:instrText xml:space="preserve"> PAGEREF _Toc17631 </w:instrText>
          </w:r>
          <w:r>
            <w:rPr>
              <w:sz w:val="24"/>
              <w:szCs w:val="24"/>
            </w:rPr>
            <w:fldChar w:fldCharType="separate"/>
          </w:r>
          <w:r>
            <w:rPr>
              <w:sz w:val="24"/>
              <w:szCs w:val="24"/>
            </w:rPr>
            <w:t>16</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_Toc259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五、加快发展花卉产品加工</w:t>
          </w:r>
          <w:r>
            <w:rPr>
              <w:sz w:val="24"/>
              <w:szCs w:val="24"/>
            </w:rPr>
            <w:tab/>
          </w:r>
          <w:r>
            <w:rPr>
              <w:sz w:val="24"/>
              <w:szCs w:val="24"/>
            </w:rPr>
            <w:fldChar w:fldCharType="begin"/>
          </w:r>
          <w:r>
            <w:rPr>
              <w:sz w:val="24"/>
              <w:szCs w:val="24"/>
            </w:rPr>
            <w:instrText xml:space="preserve"> PAGEREF _Toc259 </w:instrText>
          </w:r>
          <w:r>
            <w:rPr>
              <w:sz w:val="24"/>
              <w:szCs w:val="24"/>
            </w:rPr>
            <w:fldChar w:fldCharType="separate"/>
          </w:r>
          <w:r>
            <w:rPr>
              <w:sz w:val="24"/>
              <w:szCs w:val="24"/>
            </w:rPr>
            <w:t>16</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_Toc12796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六、加快花卉服务业发展</w:t>
          </w:r>
          <w:r>
            <w:rPr>
              <w:sz w:val="24"/>
              <w:szCs w:val="24"/>
            </w:rPr>
            <w:tab/>
          </w:r>
          <w:r>
            <w:rPr>
              <w:sz w:val="24"/>
              <w:szCs w:val="24"/>
            </w:rPr>
            <w:fldChar w:fldCharType="begin"/>
          </w:r>
          <w:r>
            <w:rPr>
              <w:sz w:val="24"/>
              <w:szCs w:val="24"/>
            </w:rPr>
            <w:instrText xml:space="preserve"> PAGEREF _Toc12796 </w:instrText>
          </w:r>
          <w:r>
            <w:rPr>
              <w:sz w:val="24"/>
              <w:szCs w:val="24"/>
            </w:rPr>
            <w:fldChar w:fldCharType="separate"/>
          </w:r>
          <w:r>
            <w:rPr>
              <w:sz w:val="24"/>
              <w:szCs w:val="24"/>
            </w:rPr>
            <w:t>17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_Toc17808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七、推动产业融合发展</w:t>
          </w:r>
          <w:r>
            <w:rPr>
              <w:sz w:val="24"/>
              <w:szCs w:val="24"/>
            </w:rPr>
            <w:tab/>
          </w:r>
          <w:r>
            <w:rPr>
              <w:sz w:val="24"/>
              <w:szCs w:val="24"/>
            </w:rPr>
            <w:fldChar w:fldCharType="begin"/>
          </w:r>
          <w:r>
            <w:rPr>
              <w:sz w:val="24"/>
              <w:szCs w:val="24"/>
            </w:rPr>
            <w:instrText xml:space="preserve"> PAGEREF _Toc17808 </w:instrText>
          </w:r>
          <w:r>
            <w:rPr>
              <w:sz w:val="24"/>
              <w:szCs w:val="24"/>
            </w:rPr>
            <w:fldChar w:fldCharType="separate"/>
          </w:r>
          <w:r>
            <w:rPr>
              <w:sz w:val="24"/>
              <w:szCs w:val="24"/>
            </w:rPr>
            <w:t>17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_Toc21321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bCs w:val="0"/>
              <w:sz w:val="24"/>
              <w:szCs w:val="24"/>
            </w:rPr>
            <w:t>第四章</w:t>
          </w:r>
          <w:r>
            <w:rPr>
              <w:rFonts w:hint="eastAsia" w:ascii="方正小标宋_GBK" w:hAnsi="方正小标宋_GBK" w:eastAsia="方正小标宋_GBK" w:cs="方正小标宋_GBK"/>
              <w:bCs w:val="0"/>
              <w:sz w:val="24"/>
              <w:szCs w:val="24"/>
              <w:lang w:val="en-US" w:eastAsia="zh-CN"/>
            </w:rPr>
            <w:t xml:space="preserve">  </w:t>
          </w:r>
          <w:r>
            <w:rPr>
              <w:rFonts w:hint="eastAsia" w:ascii="方正小标宋_GBK" w:hAnsi="方正小标宋_GBK" w:eastAsia="方正小标宋_GBK" w:cs="方正小标宋_GBK"/>
              <w:bCs w:val="0"/>
              <w:sz w:val="24"/>
              <w:szCs w:val="24"/>
            </w:rPr>
            <w:t>重点建设项目</w:t>
          </w:r>
          <w:r>
            <w:rPr>
              <w:sz w:val="24"/>
              <w:szCs w:val="24"/>
            </w:rPr>
            <w:tab/>
          </w:r>
          <w:r>
            <w:rPr>
              <w:sz w:val="24"/>
              <w:szCs w:val="24"/>
            </w:rPr>
            <w:fldChar w:fldCharType="begin"/>
          </w:r>
          <w:r>
            <w:rPr>
              <w:sz w:val="24"/>
              <w:szCs w:val="24"/>
            </w:rPr>
            <w:instrText xml:space="preserve"> PAGEREF _Toc21321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_Toc23791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一、种质资源保护利用和品种研发建设项目</w:t>
          </w:r>
          <w:r>
            <w:rPr>
              <w:sz w:val="24"/>
              <w:szCs w:val="24"/>
            </w:rPr>
            <w:tab/>
          </w:r>
          <w:r>
            <w:rPr>
              <w:sz w:val="24"/>
              <w:szCs w:val="24"/>
            </w:rPr>
            <w:fldChar w:fldCharType="begin"/>
          </w:r>
          <w:r>
            <w:rPr>
              <w:sz w:val="24"/>
              <w:szCs w:val="24"/>
            </w:rPr>
            <w:instrText xml:space="preserve"> PAGEREF _Toc23791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_Toc17150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eastAsia="zh-CN"/>
            </w:rPr>
            <w:t>、</w:t>
          </w:r>
          <w:r>
            <w:rPr>
              <w:rFonts w:hint="eastAsia" w:ascii="方正黑体_GBK" w:hAnsi="方正黑体_GBK" w:eastAsia="方正黑体_GBK" w:cs="方正黑体_GBK"/>
              <w:sz w:val="24"/>
              <w:szCs w:val="24"/>
            </w:rPr>
            <w:t>花卉种苗研发生产基地建设项目</w:t>
          </w:r>
          <w:r>
            <w:rPr>
              <w:sz w:val="24"/>
              <w:szCs w:val="24"/>
            </w:rPr>
            <w:tab/>
          </w:r>
          <w:r>
            <w:rPr>
              <w:sz w:val="24"/>
              <w:szCs w:val="24"/>
            </w:rPr>
            <w:fldChar w:fldCharType="begin"/>
          </w:r>
          <w:r>
            <w:rPr>
              <w:sz w:val="24"/>
              <w:szCs w:val="24"/>
            </w:rPr>
            <w:instrText xml:space="preserve"> PAGEREF _Toc17150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_Toc30081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现代花卉绿色高效示范园建设项目</w:t>
          </w:r>
          <w:r>
            <w:rPr>
              <w:sz w:val="24"/>
              <w:szCs w:val="24"/>
            </w:rPr>
            <w:tab/>
          </w:r>
          <w:r>
            <w:rPr>
              <w:sz w:val="24"/>
              <w:szCs w:val="24"/>
            </w:rPr>
            <w:fldChar w:fldCharType="begin"/>
          </w:r>
          <w:r>
            <w:rPr>
              <w:sz w:val="24"/>
              <w:szCs w:val="24"/>
            </w:rPr>
            <w:instrText xml:space="preserve"> PAGEREF _Toc30081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_Toc9940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lang w:eastAsia="zh-CN"/>
            </w:rPr>
            <w:t>四、</w:t>
          </w:r>
          <w:r>
            <w:rPr>
              <w:rFonts w:hint="eastAsia" w:ascii="方正黑体_GBK" w:hAnsi="方正黑体_GBK" w:eastAsia="方正黑体_GBK" w:cs="方正黑体_GBK"/>
              <w:bCs w:val="0"/>
              <w:sz w:val="24"/>
              <w:szCs w:val="24"/>
            </w:rPr>
            <w:t>亚洲花卉科创谷建设项目</w:t>
          </w:r>
          <w:r>
            <w:rPr>
              <w:sz w:val="24"/>
              <w:szCs w:val="24"/>
            </w:rPr>
            <w:tab/>
          </w:r>
          <w:r>
            <w:rPr>
              <w:sz w:val="24"/>
              <w:szCs w:val="24"/>
            </w:rPr>
            <w:fldChar w:fldCharType="begin"/>
          </w:r>
          <w:r>
            <w:rPr>
              <w:sz w:val="24"/>
              <w:szCs w:val="24"/>
            </w:rPr>
            <w:instrText xml:space="preserve"> PAGEREF _Toc9940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_Toc4982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lang w:eastAsia="zh-CN"/>
            </w:rPr>
            <w:t>五、</w:t>
          </w:r>
          <w:r>
            <w:rPr>
              <w:rFonts w:hint="eastAsia" w:ascii="方正黑体_GBK" w:hAnsi="方正黑体_GBK" w:eastAsia="方正黑体_GBK" w:cs="方正黑体_GBK"/>
              <w:sz w:val="24"/>
              <w:szCs w:val="24"/>
            </w:rPr>
            <w:t>乡村振兴产业融合发展建设项目</w:t>
          </w:r>
          <w:r>
            <w:rPr>
              <w:sz w:val="24"/>
              <w:szCs w:val="24"/>
            </w:rPr>
            <w:tab/>
          </w:r>
          <w:r>
            <w:rPr>
              <w:sz w:val="24"/>
              <w:szCs w:val="24"/>
            </w:rPr>
            <w:fldChar w:fldCharType="begin"/>
          </w:r>
          <w:r>
            <w:rPr>
              <w:sz w:val="24"/>
              <w:szCs w:val="24"/>
            </w:rPr>
            <w:instrText xml:space="preserve"> PAGEREF _Toc4982 </w:instrText>
          </w:r>
          <w:r>
            <w:rPr>
              <w:sz w:val="24"/>
              <w:szCs w:val="24"/>
            </w:rPr>
            <w:fldChar w:fldCharType="separate"/>
          </w:r>
          <w:r>
            <w:rPr>
              <w:sz w:val="24"/>
              <w:szCs w:val="24"/>
            </w:rPr>
            <w:t>19</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_Toc31285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lang w:eastAsia="zh-CN"/>
            </w:rPr>
            <w:t>六</w:t>
          </w:r>
          <w:r>
            <w:rPr>
              <w:rFonts w:hint="eastAsia" w:ascii="方正黑体_GBK" w:hAnsi="方正黑体_GBK" w:eastAsia="方正黑体_GBK" w:cs="方正黑体_GBK"/>
              <w:bCs w:val="0"/>
              <w:sz w:val="24"/>
              <w:szCs w:val="24"/>
            </w:rPr>
            <w:t>、互联网+平台建设项目</w:t>
          </w:r>
          <w:r>
            <w:rPr>
              <w:sz w:val="24"/>
              <w:szCs w:val="24"/>
            </w:rPr>
            <w:tab/>
          </w:r>
          <w:r>
            <w:rPr>
              <w:sz w:val="24"/>
              <w:szCs w:val="24"/>
            </w:rPr>
            <w:fldChar w:fldCharType="begin"/>
          </w:r>
          <w:r>
            <w:rPr>
              <w:sz w:val="24"/>
              <w:szCs w:val="24"/>
            </w:rPr>
            <w:instrText xml:space="preserve"> PAGEREF _Toc31285 </w:instrText>
          </w:r>
          <w:r>
            <w:rPr>
              <w:sz w:val="24"/>
              <w:szCs w:val="24"/>
            </w:rPr>
            <w:fldChar w:fldCharType="separate"/>
          </w:r>
          <w:r>
            <w:rPr>
              <w:sz w:val="24"/>
              <w:szCs w:val="24"/>
            </w:rPr>
            <w:t>20</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_Toc29880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bCs w:val="0"/>
              <w:sz w:val="24"/>
              <w:szCs w:val="24"/>
            </w:rPr>
            <w:t>第五章  保障措施</w:t>
          </w:r>
          <w:r>
            <w:rPr>
              <w:sz w:val="24"/>
              <w:szCs w:val="24"/>
            </w:rPr>
            <w:tab/>
          </w:r>
          <w:r>
            <w:rPr>
              <w:sz w:val="24"/>
              <w:szCs w:val="24"/>
            </w:rPr>
            <w:fldChar w:fldCharType="begin"/>
          </w:r>
          <w:r>
            <w:rPr>
              <w:sz w:val="24"/>
              <w:szCs w:val="24"/>
            </w:rPr>
            <w:instrText xml:space="preserve"> PAGEREF _Toc29880 </w:instrText>
          </w:r>
          <w:r>
            <w:rPr>
              <w:sz w:val="24"/>
              <w:szCs w:val="24"/>
            </w:rPr>
            <w:fldChar w:fldCharType="separate"/>
          </w:r>
          <w:r>
            <w:rPr>
              <w:sz w:val="24"/>
              <w:szCs w:val="24"/>
            </w:rPr>
            <w:t>21</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_Toc6879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一、加强组织领导，构建强有力的组织保障</w:t>
          </w:r>
          <w:r>
            <w:rPr>
              <w:sz w:val="24"/>
              <w:szCs w:val="24"/>
            </w:rPr>
            <w:tab/>
          </w:r>
          <w:r>
            <w:rPr>
              <w:sz w:val="24"/>
              <w:szCs w:val="24"/>
            </w:rPr>
            <w:fldChar w:fldCharType="begin"/>
          </w:r>
          <w:r>
            <w:rPr>
              <w:sz w:val="24"/>
              <w:szCs w:val="24"/>
            </w:rPr>
            <w:instrText xml:space="preserve"> PAGEREF _Toc6879 </w:instrText>
          </w:r>
          <w:r>
            <w:rPr>
              <w:sz w:val="24"/>
              <w:szCs w:val="24"/>
            </w:rPr>
            <w:fldChar w:fldCharType="separate"/>
          </w:r>
          <w:r>
            <w:rPr>
              <w:sz w:val="24"/>
              <w:szCs w:val="24"/>
            </w:rPr>
            <w:t>21</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_Toc16775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二、强化政策保障，营造良好的发展环境</w:t>
          </w:r>
          <w:r>
            <w:rPr>
              <w:sz w:val="24"/>
              <w:szCs w:val="24"/>
            </w:rPr>
            <w:tab/>
          </w:r>
          <w:r>
            <w:rPr>
              <w:sz w:val="24"/>
              <w:szCs w:val="24"/>
            </w:rPr>
            <w:fldChar w:fldCharType="begin"/>
          </w:r>
          <w:r>
            <w:rPr>
              <w:sz w:val="24"/>
              <w:szCs w:val="24"/>
            </w:rPr>
            <w:instrText xml:space="preserve"> PAGEREF _Toc16775 </w:instrText>
          </w:r>
          <w:r>
            <w:rPr>
              <w:sz w:val="24"/>
              <w:szCs w:val="24"/>
            </w:rPr>
            <w:fldChar w:fldCharType="separate"/>
          </w:r>
          <w:r>
            <w:rPr>
              <w:sz w:val="24"/>
              <w:szCs w:val="24"/>
            </w:rPr>
            <w:t>21</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_Toc13221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三、拓宽投融资渠道，保障项目持续投入</w:t>
          </w:r>
          <w:r>
            <w:rPr>
              <w:sz w:val="24"/>
              <w:szCs w:val="24"/>
            </w:rPr>
            <w:tab/>
          </w:r>
          <w:r>
            <w:rPr>
              <w:sz w:val="24"/>
              <w:szCs w:val="24"/>
            </w:rPr>
            <w:fldChar w:fldCharType="begin"/>
          </w:r>
          <w:r>
            <w:rPr>
              <w:sz w:val="24"/>
              <w:szCs w:val="24"/>
            </w:rPr>
            <w:instrText xml:space="preserve"> PAGEREF _Toc13221 </w:instrText>
          </w:r>
          <w:r>
            <w:rPr>
              <w:sz w:val="24"/>
              <w:szCs w:val="24"/>
            </w:rPr>
            <w:fldChar w:fldCharType="separate"/>
          </w:r>
          <w:r>
            <w:rPr>
              <w:sz w:val="24"/>
              <w:szCs w:val="24"/>
            </w:rPr>
            <w:t>22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_Toc22198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四、强化责任落实，推进总体目标实现</w:t>
          </w:r>
          <w:r>
            <w:rPr>
              <w:sz w:val="24"/>
              <w:szCs w:val="24"/>
            </w:rPr>
            <w:tab/>
          </w:r>
          <w:r>
            <w:rPr>
              <w:sz w:val="24"/>
              <w:szCs w:val="24"/>
            </w:rPr>
            <w:fldChar w:fldCharType="begin"/>
          </w:r>
          <w:r>
            <w:rPr>
              <w:sz w:val="24"/>
              <w:szCs w:val="24"/>
            </w:rPr>
            <w:instrText xml:space="preserve"> PAGEREF _Toc22198 </w:instrText>
          </w:r>
          <w:r>
            <w:rPr>
              <w:sz w:val="24"/>
              <w:szCs w:val="24"/>
            </w:rPr>
            <w:fldChar w:fldCharType="separate"/>
          </w:r>
          <w:r>
            <w:rPr>
              <w:sz w:val="24"/>
              <w:szCs w:val="24"/>
            </w:rPr>
            <w:t>23</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
            <w:keepNext w:val="0"/>
            <w:keepLines w:val="0"/>
            <w:pageBreakBefore w:val="0"/>
            <w:widowControl w:val="0"/>
            <w:kinsoku/>
            <w:wordWrap/>
            <w:overflowPunct/>
            <w:topLinePunct w:val="0"/>
            <w:autoSpaceDE/>
            <w:autoSpaceDN/>
            <w:bidi w:val="0"/>
            <w:adjustRightInd/>
            <w:snapToGrid/>
            <w:spacing w:before="0" w:after="0" w:line="520" w:lineRule="exact"/>
            <w:jc w:val="center"/>
            <w:textAlignment w:val="auto"/>
            <w:outlineLvl w:val="9"/>
            <w:rPr>
              <w:rFonts w:ascii="方正小标宋_GBK" w:hAnsi="方正小标宋_GBK" w:eastAsia="方正小标宋_GBK" w:cs="方正小标宋_GBK"/>
              <w:b w:val="0"/>
              <w:bCs w:val="0"/>
            </w:rPr>
          </w:pPr>
          <w:r>
            <w:rPr>
              <w:rFonts w:ascii="方正小标宋_GBK" w:hAnsi="方正小标宋_GBK" w:eastAsia="方正小标宋_GBK" w:cs="方正小标宋_GBK"/>
              <w:bCs w:val="0"/>
            </w:rPr>
            <w:fldChar w:fldCharType="end"/>
          </w:r>
        </w:p>
      </w:sdtContent>
    </w:sdt>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小标宋_GBK" w:hAnsi="方正小标宋_GBK" w:eastAsia="方正小标宋_GBK" w:cs="方正小标宋_GBK"/>
          <w:b w:val="0"/>
          <w:bCs w:val="0"/>
        </w:rPr>
      </w:pPr>
      <w:bookmarkStart w:id="1" w:name="_Toc2539"/>
    </w:p>
    <w:p>
      <w:pPr>
        <w:pStyle w:val="3"/>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_GBK" w:hAnsi="方正小标宋_GBK" w:eastAsia="方正小标宋_GBK" w:cs="方正小标宋_GBK"/>
          <w:b w:val="0"/>
          <w:bCs w:val="0"/>
        </w:rPr>
        <w:sectPr>
          <w:footerReference r:id="rId4" w:type="default"/>
          <w:footerReference r:id="rId5" w:type="even"/>
          <w:type w:val="oddPage"/>
          <w:pgSz w:w="11906" w:h="16838"/>
          <w:pgMar w:top="2041" w:right="1474" w:bottom="1304" w:left="1587" w:header="851" w:footer="567" w:gutter="113"/>
          <w:pgNumType w:fmt="upperRoman" w:start="1"/>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ascii="Times New Roman" w:hAnsi="Times New Roman" w:eastAsia="方正仿宋_GBK" w:cs="Times New Roman"/>
          <w:sz w:val="32"/>
          <w:szCs w:val="32"/>
        </w:rPr>
      </w:pPr>
      <w:r>
        <w:rPr>
          <w:rFonts w:hint="eastAsia" w:ascii="方正小标宋_GBK" w:hAnsi="方正小标宋_GBK" w:eastAsia="方正小标宋_GBK" w:cs="方正小标宋_GBK"/>
          <w:b w:val="0"/>
          <w:bCs w:val="0"/>
        </w:rPr>
        <w:t>前   言</w:t>
      </w:r>
      <w:bookmarkEnd w:id="1"/>
    </w:p>
    <w:p>
      <w:pPr>
        <w:pStyle w:val="2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bCs/>
          <w:sz w:val="32"/>
          <w:szCs w:val="32"/>
        </w:rPr>
      </w:pPr>
    </w:p>
    <w:p>
      <w:pPr>
        <w:pStyle w:val="2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bCs/>
          <w:sz w:val="32"/>
          <w:szCs w:val="32"/>
        </w:rPr>
      </w:pPr>
      <w:r>
        <w:rPr>
          <w:rFonts w:hint="eastAsia" w:ascii="方正仿宋_GBK" w:hAnsi="方正仿宋_GBK" w:eastAsia="方正仿宋_GBK" w:cs="方正仿宋_GBK"/>
          <w:bCs/>
          <w:sz w:val="32"/>
          <w:szCs w:val="32"/>
        </w:rPr>
        <w:t>“十四五”时期，是我国“两个一百年”奋斗目标承前启后的历史交汇期和全面建设社会主义现代化的开局起步期，也是实现玉溪市高质量跨越发展的关键时期，具有重要里程碑意义，玉溪经济社会发展要开好局、起好步，就必须利用好战略机遇期。随着国家“一带一路”、长江经济带、孟中印缅经济走廊等重大战略的推进，为玉溪市加</w:t>
      </w:r>
      <w:r>
        <w:rPr>
          <w:rFonts w:hint="default" w:ascii="Times New Roman" w:hAnsi="Times New Roman" w:eastAsia="方正仿宋_GBK" w:cs="Times New Roman"/>
          <w:bCs/>
          <w:sz w:val="32"/>
          <w:szCs w:val="32"/>
        </w:rPr>
        <w:t>快发展提供了强大推动力。云南省建设民族团结进步示范区、生态文明建设排头兵、面向南亚东南亚辐射中心，推进滇中城市经济圈一体化发展，玉溪的地位和作用更加凸显，发展的潜力和空间倍增。</w:t>
      </w:r>
    </w:p>
    <w:p>
      <w:pPr>
        <w:pStyle w:val="2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依据《玉溪市国民经济和社会发展第十四个五年规划及2035年远景目标的建议》《玉溪市</w:t>
      </w:r>
      <w:r>
        <w:rPr>
          <w:rFonts w:hint="eastAsia" w:ascii="方正仿宋_GBK" w:hAnsi="方正仿宋_GBK" w:eastAsia="方正仿宋_GBK" w:cs="方正仿宋_GBK"/>
          <w:bCs/>
          <w:sz w:val="32"/>
          <w:szCs w:val="32"/>
        </w:rPr>
        <w:t>“十四五”农</w:t>
      </w:r>
      <w:r>
        <w:rPr>
          <w:rFonts w:hint="default" w:ascii="Times New Roman" w:hAnsi="Times New Roman" w:eastAsia="方正仿宋_GBK" w:cs="Times New Roman"/>
          <w:bCs/>
          <w:sz w:val="32"/>
          <w:szCs w:val="32"/>
        </w:rPr>
        <w:t>业农村现代化发展规划（2021</w:t>
      </w:r>
      <w:r>
        <w:rPr>
          <w:rFonts w:hint="default" w:ascii="Arial" w:hAnsi="Arial" w:eastAsia="方正仿宋_GBK" w:cs="Arial"/>
          <w:bCs/>
          <w:sz w:val="32"/>
          <w:szCs w:val="32"/>
        </w:rPr>
        <w:t>－</w:t>
      </w:r>
      <w:r>
        <w:rPr>
          <w:rFonts w:hint="default" w:ascii="Times New Roman" w:hAnsi="Times New Roman" w:eastAsia="方正仿宋_GBK" w:cs="Times New Roman"/>
          <w:bCs/>
          <w:sz w:val="32"/>
          <w:szCs w:val="32"/>
        </w:rPr>
        <w:t>2025年）》等，</w:t>
      </w:r>
      <w:r>
        <w:rPr>
          <w:rFonts w:ascii="Times New Roman" w:hAnsi="Times New Roman" w:eastAsia="方正仿宋_GBK" w:cs="Times New Roman"/>
          <w:bCs/>
          <w:sz w:val="32"/>
          <w:szCs w:val="32"/>
        </w:rPr>
        <w:t>为</w:t>
      </w:r>
      <w:r>
        <w:rPr>
          <w:rFonts w:hint="default" w:ascii="Times New Roman" w:hAnsi="Times New Roman" w:eastAsia="方正仿宋_GBK" w:cs="Times New Roman"/>
          <w:bCs/>
          <w:sz w:val="32"/>
          <w:szCs w:val="32"/>
        </w:rPr>
        <w:t>加快推进我市花卉产业转型升级发展，到2025年</w:t>
      </w:r>
      <w:r>
        <w:rPr>
          <w:rFonts w:ascii="Times New Roman" w:hAnsi="Times New Roman" w:eastAsia="方正仿宋_GBK" w:cs="Times New Roman"/>
          <w:bCs/>
          <w:sz w:val="32"/>
          <w:szCs w:val="32"/>
        </w:rPr>
        <w:t>实现</w:t>
      </w:r>
      <w:r>
        <w:rPr>
          <w:rFonts w:hint="default" w:ascii="Times New Roman" w:hAnsi="Times New Roman" w:eastAsia="方正仿宋_GBK" w:cs="Times New Roman"/>
          <w:bCs/>
          <w:sz w:val="32"/>
          <w:szCs w:val="32"/>
        </w:rPr>
        <w:t>花卉</w:t>
      </w:r>
      <w:r>
        <w:rPr>
          <w:rFonts w:ascii="Times New Roman" w:hAnsi="Times New Roman" w:eastAsia="方正仿宋_GBK" w:cs="Times New Roman"/>
          <w:bCs/>
          <w:sz w:val="32"/>
          <w:szCs w:val="32"/>
        </w:rPr>
        <w:t>农业</w:t>
      </w:r>
      <w:r>
        <w:rPr>
          <w:rFonts w:hint="default" w:ascii="Times New Roman" w:hAnsi="Times New Roman" w:eastAsia="方正仿宋_GBK" w:cs="Times New Roman"/>
          <w:bCs/>
          <w:sz w:val="32"/>
          <w:szCs w:val="32"/>
        </w:rPr>
        <w:t>产</w:t>
      </w:r>
      <w:r>
        <w:rPr>
          <w:rFonts w:ascii="Times New Roman" w:hAnsi="Times New Roman" w:eastAsia="方正仿宋_GBK" w:cs="Times New Roman"/>
          <w:bCs/>
          <w:sz w:val="32"/>
          <w:szCs w:val="32"/>
        </w:rPr>
        <w:t>值40</w:t>
      </w:r>
      <w:r>
        <w:rPr>
          <w:rFonts w:hint="default" w:ascii="Times New Roman" w:hAnsi="Times New Roman" w:eastAsia="方正仿宋_GBK" w:cs="Times New Roman"/>
          <w:bCs/>
          <w:sz w:val="32"/>
          <w:szCs w:val="32"/>
        </w:rPr>
        <w:t>亿元发展目标，特编制《玉溪市</w:t>
      </w:r>
      <w:r>
        <w:rPr>
          <w:rFonts w:hint="eastAsia" w:ascii="方正仿宋_GBK" w:hAnsi="方正仿宋_GBK" w:eastAsia="方正仿宋_GBK" w:cs="方正仿宋_GBK"/>
          <w:bCs/>
          <w:sz w:val="32"/>
          <w:szCs w:val="32"/>
        </w:rPr>
        <w:t>“十四五”花</w:t>
      </w:r>
      <w:r>
        <w:rPr>
          <w:rFonts w:hint="default" w:ascii="Times New Roman" w:hAnsi="Times New Roman" w:eastAsia="方正仿宋_GBK" w:cs="Times New Roman"/>
          <w:bCs/>
          <w:sz w:val="32"/>
          <w:szCs w:val="32"/>
        </w:rPr>
        <w:t>卉产业发展规划》。本规划所指花卉产业涵盖花卉种业、鲜切花、盆花、绿化观赏苗木、食用及加工花卉及工业用花等各个领域的科研、种植、加工及配套营销、物流、资材、文化和休闲旅游等全产业链环节。规划期为2021</w:t>
      </w:r>
      <w:r>
        <w:rPr>
          <w:rFonts w:hint="default" w:ascii="Arial" w:hAnsi="Arial" w:eastAsia="方正仿宋_GBK" w:cs="Arial"/>
          <w:bCs/>
          <w:sz w:val="32"/>
          <w:szCs w:val="32"/>
        </w:rPr>
        <w:t>－</w:t>
      </w:r>
      <w:r>
        <w:rPr>
          <w:rFonts w:hint="default" w:ascii="Times New Roman" w:hAnsi="Times New Roman" w:eastAsia="方正仿宋_GBK" w:cs="Times New Roman"/>
          <w:bCs/>
          <w:sz w:val="32"/>
          <w:szCs w:val="32"/>
        </w:rPr>
        <w:t>2025年。</w:t>
      </w:r>
      <w:bookmarkStart w:id="2" w:name="_Toc28002"/>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sz w:val="32"/>
          <w:szCs w:val="32"/>
        </w:rPr>
      </w:pPr>
      <w:bookmarkStart w:id="3" w:name="_Toc17134"/>
      <w:r>
        <w:rPr>
          <w:rFonts w:hint="eastAsia" w:ascii="方正小标宋_GBK" w:hAnsi="方正小标宋_GBK" w:eastAsia="方正小标宋_GBK" w:cs="方正小标宋_GBK"/>
          <w:sz w:val="32"/>
          <w:szCs w:val="32"/>
        </w:rPr>
        <w:br w:type="page"/>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ascii="方正黑体_GBK" w:hAnsi="方正黑体_GBK" w:eastAsia="方正黑体_GBK" w:cs="方正黑体_GBK"/>
          <w:b w:val="0"/>
          <w:bCs w:val="0"/>
        </w:rPr>
      </w:pPr>
      <w:r>
        <w:rPr>
          <w:rFonts w:hint="eastAsia" w:ascii="方正小标宋_GBK" w:hAnsi="方正小标宋_GBK" w:eastAsia="方正小标宋_GBK" w:cs="方正小标宋_GBK"/>
          <w:sz w:val="32"/>
          <w:szCs w:val="32"/>
        </w:rPr>
        <w:t>第一章  玉溪市花卉产业发展战略分析</w:t>
      </w:r>
      <w:bookmarkEnd w:id="2"/>
      <w:bookmarkEnd w:id="3"/>
      <w:bookmarkStart w:id="4" w:name="_Toc12814"/>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5" w:name="_Toc5566"/>
      <w:r>
        <w:rPr>
          <w:rFonts w:hint="eastAsia" w:ascii="方正黑体_GBK" w:hAnsi="方正黑体_GBK" w:eastAsia="方正黑体_GBK" w:cs="方正黑体_GBK"/>
          <w:b w:val="0"/>
          <w:bCs w:val="0"/>
        </w:rPr>
        <w:t>一、玉溪市花卉产业现状</w:t>
      </w:r>
      <w:bookmarkEnd w:id="4"/>
      <w:bookmarkEnd w:id="5"/>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6" w:name="_Toc482865559"/>
      <w:bookmarkStart w:id="7" w:name="_Toc18357"/>
      <w:bookmarkStart w:id="8" w:name="_Toc11031"/>
      <w:r>
        <w:rPr>
          <w:rFonts w:hint="eastAsia" w:ascii="方正楷体_GBK" w:hAnsi="方正楷体_GBK" w:eastAsia="方正楷体_GBK" w:cs="方正楷体_GBK"/>
          <w:b w:val="0"/>
          <w:bCs w:val="0"/>
        </w:rPr>
        <w:t>（一）产业规模增加迅猛</w:t>
      </w:r>
      <w:bookmarkEnd w:id="6"/>
      <w:bookmarkEnd w:id="7"/>
      <w:bookmarkEnd w:id="8"/>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w:t>
      </w:r>
      <w:r>
        <w:rPr>
          <w:rFonts w:hint="eastAsia" w:ascii="方正仿宋_GBK" w:hAnsi="方正仿宋_GBK" w:eastAsia="方正仿宋_GBK" w:cs="方正仿宋_GBK"/>
          <w:sz w:val="32"/>
          <w:szCs w:val="32"/>
        </w:rPr>
        <w:t>过“九五”至“十三五”的</w:t>
      </w:r>
      <w:r>
        <w:rPr>
          <w:rFonts w:ascii="Times New Roman" w:hAnsi="Times New Roman" w:eastAsia="方正仿宋_GBK" w:cs="Times New Roman"/>
          <w:sz w:val="32"/>
          <w:szCs w:val="32"/>
        </w:rPr>
        <w:t>发展，花卉已成为我市最为亮丽的产业。2020年</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花卉园艺种植面积8.28万亩，比2015年增3.85万亩，增86.9%；花卉一产产值</w:t>
      </w:r>
      <w:r>
        <w:rPr>
          <w:rFonts w:hint="eastAsia" w:ascii="Times New Roman" w:hAnsi="Times New Roman" w:eastAsia="方正仿宋_GBK" w:cs="Times New Roman"/>
          <w:sz w:val="32"/>
          <w:szCs w:val="32"/>
          <w:lang w:val="en-US" w:eastAsia="zh-CN"/>
        </w:rPr>
        <w:t>25.5</w:t>
      </w:r>
      <w:r>
        <w:rPr>
          <w:rFonts w:ascii="Times New Roman" w:hAnsi="Times New Roman" w:eastAsia="方正仿宋_GBK" w:cs="Times New Roman"/>
          <w:sz w:val="32"/>
          <w:szCs w:val="32"/>
        </w:rPr>
        <w:t>亿元，比2015年增5.68亿元，</w:t>
      </w:r>
      <w:r>
        <w:rPr>
          <w:rFonts w:ascii="Times New Roman" w:hAnsi="Times New Roman" w:eastAsia="方正仿宋_GBK" w:cs="Times New Roman"/>
          <w:color w:val="000000" w:themeColor="text1"/>
          <w:sz w:val="32"/>
          <w:szCs w:val="32"/>
        </w:rPr>
        <w:t>增</w:t>
      </w:r>
      <w:r>
        <w:rPr>
          <w:rFonts w:hint="eastAsia" w:ascii="Times New Roman" w:hAnsi="Times New Roman" w:eastAsia="方正仿宋_GBK" w:cs="Times New Roman"/>
          <w:color w:val="000000" w:themeColor="text1"/>
          <w:sz w:val="32"/>
          <w:szCs w:val="32"/>
          <w:lang w:val="en-US" w:eastAsia="zh-CN"/>
        </w:rPr>
        <w:t>28.7</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其中，</w:t>
      </w:r>
      <w:r>
        <w:rPr>
          <w:rFonts w:ascii="Times New Roman" w:hAnsi="Times New Roman" w:eastAsia="方正仿宋_GBK" w:cs="Times New Roman"/>
          <w:color w:val="000000" w:themeColor="text1"/>
          <w:sz w:val="32"/>
          <w:szCs w:val="32"/>
        </w:rPr>
        <w:t>鲜切花种植面积4.3</w:t>
      </w:r>
      <w:r>
        <w:rPr>
          <w:rFonts w:hint="default" w:ascii="Times New Roman" w:hAnsi="Times New Roman" w:eastAsia="方正仿宋_GBK" w:cs="Times New Roman"/>
          <w:color w:val="000000" w:themeColor="text1"/>
          <w:sz w:val="32"/>
          <w:szCs w:val="32"/>
        </w:rPr>
        <w:t>0</w:t>
      </w:r>
      <w:r>
        <w:rPr>
          <w:rFonts w:ascii="Times New Roman" w:hAnsi="Times New Roman" w:eastAsia="方正仿宋_GBK" w:cs="Times New Roman"/>
          <w:color w:val="000000" w:themeColor="text1"/>
          <w:sz w:val="32"/>
          <w:szCs w:val="32"/>
        </w:rPr>
        <w:t>万亩，</w:t>
      </w:r>
      <w:r>
        <w:rPr>
          <w:rFonts w:hint="eastAsia" w:ascii="Times New Roman" w:hAnsi="Times New Roman" w:eastAsia="方正仿宋_GBK" w:cs="Times New Roman"/>
          <w:color w:val="000000" w:themeColor="text1"/>
          <w:sz w:val="32"/>
          <w:szCs w:val="32"/>
        </w:rPr>
        <w:t>鲜切花</w:t>
      </w:r>
      <w:r>
        <w:rPr>
          <w:rFonts w:ascii="Times New Roman" w:hAnsi="Times New Roman" w:eastAsia="方正仿宋_GBK" w:cs="Times New Roman"/>
          <w:color w:val="000000" w:themeColor="text1"/>
          <w:sz w:val="32"/>
          <w:szCs w:val="32"/>
        </w:rPr>
        <w:t>产量</w:t>
      </w:r>
      <w:r>
        <w:rPr>
          <w:rFonts w:hint="eastAsia" w:ascii="Times New Roman" w:hAnsi="Times New Roman" w:eastAsia="方正仿宋_GBK" w:cs="Times New Roman"/>
          <w:color w:val="000000" w:themeColor="text1"/>
          <w:sz w:val="32"/>
          <w:szCs w:val="32"/>
          <w:lang w:val="en-US" w:eastAsia="zh-CN"/>
        </w:rPr>
        <w:t>20.57</w:t>
      </w:r>
      <w:r>
        <w:rPr>
          <w:rFonts w:ascii="Times New Roman" w:hAnsi="Times New Roman" w:eastAsia="方正仿宋_GBK" w:cs="Times New Roman"/>
          <w:color w:val="000000" w:themeColor="text1"/>
          <w:sz w:val="32"/>
          <w:szCs w:val="32"/>
        </w:rPr>
        <w:t>亿枝，</w:t>
      </w:r>
      <w:r>
        <w:rPr>
          <w:rFonts w:hint="eastAsia" w:ascii="Times New Roman" w:hAnsi="Times New Roman" w:eastAsia="方正仿宋_GBK" w:cs="Times New Roman"/>
          <w:sz w:val="32"/>
          <w:szCs w:val="32"/>
        </w:rPr>
        <w:t>鲜切花</w:t>
      </w:r>
      <w:r>
        <w:rPr>
          <w:rFonts w:ascii="Times New Roman" w:hAnsi="Times New Roman" w:eastAsia="方正仿宋_GBK" w:cs="Times New Roman"/>
          <w:sz w:val="32"/>
          <w:szCs w:val="32"/>
        </w:rPr>
        <w:t>产值</w:t>
      </w:r>
      <w:r>
        <w:rPr>
          <w:rFonts w:hint="eastAsia" w:ascii="Times New Roman" w:hAnsi="Times New Roman" w:eastAsia="方正仿宋_GBK" w:cs="Times New Roman"/>
          <w:sz w:val="32"/>
          <w:szCs w:val="32"/>
          <w:lang w:val="en-US" w:eastAsia="zh-CN"/>
        </w:rPr>
        <w:t>20.1</w:t>
      </w:r>
      <w:r>
        <w:rPr>
          <w:rFonts w:hint="default" w:ascii="Times New Roman" w:hAnsi="Times New Roman" w:eastAsia="方正仿宋_GBK" w:cs="Times New Roman"/>
          <w:sz w:val="32"/>
          <w:szCs w:val="32"/>
          <w:lang w:eastAsia="zh-CN"/>
        </w:rPr>
        <w:t>0</w:t>
      </w:r>
      <w:r>
        <w:rPr>
          <w:rFonts w:ascii="Times New Roman" w:hAnsi="Times New Roman" w:eastAsia="方正仿宋_GBK" w:cs="Times New Roman"/>
          <w:sz w:val="32"/>
          <w:szCs w:val="32"/>
        </w:rPr>
        <w:t>亿元，比2015年增8.63亿元，增</w:t>
      </w:r>
      <w:r>
        <w:rPr>
          <w:rFonts w:hint="eastAsia" w:ascii="Times New Roman" w:hAnsi="Times New Roman" w:eastAsia="方正仿宋_GBK" w:cs="Times New Roman"/>
          <w:sz w:val="32"/>
          <w:szCs w:val="32"/>
          <w:lang w:val="en-US" w:eastAsia="zh-CN"/>
        </w:rPr>
        <w:t>75.2</w:t>
      </w:r>
      <w:r>
        <w:rPr>
          <w:rFonts w:ascii="Times New Roman" w:hAnsi="Times New Roman" w:eastAsia="方正仿宋_GBK" w:cs="Times New Roman"/>
          <w:sz w:val="32"/>
          <w:szCs w:val="32"/>
        </w:rPr>
        <w:t>%。目前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我市种植的花卉品种主要有</w:t>
      </w:r>
      <w:r>
        <w:rPr>
          <w:rFonts w:hint="eastAsia" w:ascii="Times New Roman" w:hAnsi="Times New Roman" w:eastAsia="方正仿宋_GBK" w:cs="Times New Roman"/>
          <w:sz w:val="32"/>
          <w:szCs w:val="32"/>
          <w:lang w:eastAsia="zh-CN"/>
        </w:rPr>
        <w:t>月季（玫瑰）</w:t>
      </w:r>
      <w:r>
        <w:rPr>
          <w:rFonts w:ascii="Times New Roman" w:hAnsi="Times New Roman" w:eastAsia="方正仿宋_GBK" w:cs="Times New Roman"/>
          <w:sz w:val="32"/>
          <w:szCs w:val="32"/>
        </w:rPr>
        <w:t>、百合、康乃馨、洋桔梗</w:t>
      </w:r>
      <w:r>
        <w:rPr>
          <w:rFonts w:hint="eastAsia" w:ascii="Times New Roman" w:hAnsi="Times New Roman" w:eastAsia="方正仿宋_GBK" w:cs="Times New Roman"/>
          <w:sz w:val="32"/>
          <w:szCs w:val="32"/>
          <w:lang w:eastAsia="zh-CN"/>
        </w:rPr>
        <w:t>、绣球、</w:t>
      </w:r>
      <w:r>
        <w:rPr>
          <w:rFonts w:ascii="Times New Roman" w:hAnsi="Times New Roman" w:eastAsia="方正仿宋_GBK" w:cs="Times New Roman"/>
          <w:sz w:val="32"/>
          <w:szCs w:val="32"/>
        </w:rPr>
        <w:t>非洲菊、大花惠兰、国兰、盆花月季、盆花菊花、绿化苗木、药用、食用加工花卉等60多个品种。其中：月季（玫瑰）鲜切花种植面积11058.2</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亩，生产切花5.28亿枝；康乃馨鲜切</w:t>
      </w:r>
      <w:r>
        <w:rPr>
          <w:rFonts w:hint="eastAsia" w:ascii="Times New Roman" w:hAnsi="Times New Roman" w:eastAsia="方正仿宋_GBK" w:cs="Times New Roman"/>
          <w:sz w:val="32"/>
          <w:szCs w:val="32"/>
        </w:rPr>
        <w:t>花</w:t>
      </w:r>
      <w:r>
        <w:rPr>
          <w:rFonts w:ascii="Times New Roman" w:hAnsi="Times New Roman" w:eastAsia="方正仿宋_GBK" w:cs="Times New Roman"/>
          <w:sz w:val="32"/>
          <w:szCs w:val="32"/>
        </w:rPr>
        <w:t>种植面积5238</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亩，生产切花4.9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亿枝；洋桔梗鲜切花种植面积3975.9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亩，生产切花1.9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亿枝；百合鲜切花种植面积3711.5</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亩，生产切花5339万枝；绣球鲜切花种植面积1453.5</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亩，生产切花2582万枝；黄莺鲜切花种植面积1194.9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亩，生产切花1.22亿枝；非洲菊鲜切花种植面积1019.7亩，生产切花1946万枝；向日葵鲜切花种植面积692.6</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亩，生产切花443万枝；菊花鲜切花种植面积514.4</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亩，生产切花2242万枝；其它鲜切花种植面积2768.9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亩，生产切花6589万枝。生产盆花8301万盆，其中：大花蕙兰106.5万盆、玫瑰小盆花192.6万盆、菊花盆花6.2万盆，其它盆花7995.7万盆。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lang w:eastAsia="zh-CN"/>
        </w:rPr>
      </w:pPr>
      <w:r>
        <w:rPr>
          <w:rFonts w:ascii="Times New Roman" w:hAnsi="Times New Roman" w:eastAsia="方正仿宋_GBK" w:cs="Times New Roman"/>
          <w:sz w:val="32"/>
          <w:szCs w:val="32"/>
        </w:rPr>
        <w:t>生产玫瑰种苗6500万苗，百合种球2700万粒；药用花卉金银花2100</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亩；工业用花有除虫菊3400</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亩；食用花卉主要有茉莉花7500</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亩、食用玫瑰3600</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eastAsia="zh-CN"/>
        </w:rPr>
        <w:t>；绿化观赏苗木种植面积</w:t>
      </w:r>
      <w:r>
        <w:rPr>
          <w:rFonts w:hint="eastAsia" w:ascii="Times New Roman" w:hAnsi="Times New Roman" w:eastAsia="方正仿宋_GBK" w:cs="Times New Roman"/>
          <w:sz w:val="32"/>
          <w:szCs w:val="32"/>
          <w:lang w:val="en-US" w:eastAsia="zh-CN"/>
        </w:rPr>
        <w:t>23200</w:t>
      </w:r>
      <w:r>
        <w:rPr>
          <w:rFonts w:hint="default" w:ascii="Times New Roman" w:hAnsi="Times New Roman" w:eastAsia="方正仿宋_GBK" w:cs="Times New Roman"/>
          <w:sz w:val="32"/>
          <w:szCs w:val="32"/>
          <w:lang w:eastAsia="zh-CN"/>
        </w:rPr>
        <w:t>.00</w:t>
      </w:r>
      <w:r>
        <w:rPr>
          <w:rFonts w:hint="eastAsia" w:ascii="Times New Roman" w:hAnsi="Times New Roman" w:eastAsia="方正仿宋_GBK" w:cs="Times New Roman"/>
          <w:sz w:val="32"/>
          <w:szCs w:val="32"/>
          <w:lang w:val="en-US" w:eastAsia="zh-CN"/>
        </w:rPr>
        <w:t>亩</w:t>
      </w:r>
      <w:bookmarkStart w:id="9" w:name="_Toc482865560"/>
      <w:bookmarkStart w:id="10" w:name="_Toc456074995"/>
      <w:r>
        <w:rPr>
          <w:rFonts w:hint="eastAsia" w:ascii="Times New Roman" w:hAnsi="Times New Roman" w:eastAsia="方正仿宋_GBK"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11" w:name="_Toc1737"/>
      <w:bookmarkStart w:id="12" w:name="_Toc20933"/>
      <w:r>
        <w:rPr>
          <w:rFonts w:hint="eastAsia" w:ascii="方正楷体_GBK" w:hAnsi="方正楷体_GBK" w:eastAsia="方正楷体_GBK" w:cs="方正楷体_GBK"/>
          <w:b w:val="0"/>
          <w:bCs w:val="0"/>
        </w:rPr>
        <w:t>（二）花卉创新实力</w:t>
      </w:r>
      <w:bookmarkEnd w:id="9"/>
      <w:bookmarkEnd w:id="10"/>
      <w:r>
        <w:rPr>
          <w:rFonts w:hint="eastAsia" w:ascii="方正楷体_GBK" w:hAnsi="方正楷体_GBK" w:eastAsia="方正楷体_GBK" w:cs="方正楷体_GBK"/>
          <w:b w:val="0"/>
          <w:bCs w:val="0"/>
        </w:rPr>
        <w:t>较强</w:t>
      </w:r>
      <w:bookmarkEnd w:id="11"/>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花卉</w:t>
      </w:r>
      <w:r>
        <w:rPr>
          <w:rFonts w:ascii="Times New Roman" w:hAnsi="Times New Roman" w:eastAsia="方正仿宋_GBK" w:cs="Times New Roman"/>
          <w:sz w:val="32"/>
          <w:szCs w:val="32"/>
        </w:rPr>
        <w:t>新品种选育方面，截止20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全市获得花卉专利品种55个，其中玫瑰鲜切花22个，盆花玫瑰7个，非洲菊4个、康乃馨4个、马蹄莲4个、樱花5个、百合2个、其他3个。</w:t>
      </w:r>
      <w:r>
        <w:rPr>
          <w:rFonts w:hint="eastAsia" w:ascii="Times New Roman" w:hAnsi="Times New Roman" w:eastAsia="方正仿宋_GBK" w:cs="Times New Roman"/>
          <w:sz w:val="32"/>
          <w:szCs w:val="32"/>
          <w:lang w:eastAsia="zh-CN"/>
        </w:rPr>
        <w:t>发明专利</w:t>
      </w:r>
      <w:r>
        <w:rPr>
          <w:rFonts w:hint="eastAsia" w:ascii="Times New Roman" w:hAnsi="Times New Roman" w:eastAsia="方正仿宋_GBK" w:cs="Times New Roman"/>
          <w:sz w:val="32"/>
          <w:szCs w:val="32"/>
          <w:lang w:val="en-US" w:eastAsia="zh-CN"/>
        </w:rPr>
        <w:t>18项，实用新型专利69项。</w:t>
      </w:r>
      <w:r>
        <w:rPr>
          <w:rFonts w:ascii="Times New Roman" w:hAnsi="Times New Roman" w:eastAsia="方正仿宋_GBK" w:cs="Times New Roman"/>
          <w:sz w:val="32"/>
          <w:szCs w:val="32"/>
        </w:rPr>
        <w:t>生产技术和设施设备方面</w:t>
      </w:r>
      <w:r>
        <w:rPr>
          <w:rFonts w:hint="eastAsia" w:ascii="Times New Roman" w:hAnsi="Times New Roman" w:eastAsia="方正仿宋_GBK" w:cs="Times New Roman"/>
          <w:sz w:val="32"/>
          <w:szCs w:val="32"/>
          <w:lang w:eastAsia="zh-CN"/>
        </w:rPr>
        <w:t>进行了提档升级</w:t>
      </w:r>
      <w:r>
        <w:rPr>
          <w:rFonts w:ascii="Times New Roman" w:hAnsi="Times New Roman" w:eastAsia="方正仿宋_GBK" w:cs="Times New Roman"/>
          <w:sz w:val="32"/>
          <w:szCs w:val="32"/>
        </w:rPr>
        <w:t>，玉溪从事花卉生产的企业大多都制定了自己的企业标准，丽都花卉公司的月季鲜切花标准和瑞园花卉公司的洋桔梗鲜切花标准列入了国家标准，云秀花卉公司的盆花玫瑰标准纳入了云南地方标准。</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13" w:name="_Toc3599"/>
      <w:bookmarkStart w:id="14" w:name="_Toc13199"/>
      <w:bookmarkStart w:id="15" w:name="_Toc456074996"/>
      <w:bookmarkStart w:id="16" w:name="_Toc482865561"/>
      <w:r>
        <w:rPr>
          <w:rFonts w:hint="eastAsia" w:ascii="方正楷体_GBK" w:hAnsi="方正楷体_GBK" w:eastAsia="方正楷体_GBK" w:cs="方正楷体_GBK"/>
          <w:b w:val="0"/>
          <w:bCs w:val="0"/>
        </w:rPr>
        <w:t>（三）外向型产业发展势头强</w:t>
      </w:r>
      <w:bookmarkEnd w:id="13"/>
      <w:bookmarkEnd w:id="14"/>
      <w:bookmarkEnd w:id="15"/>
      <w:bookmarkEnd w:id="1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rPr>
        <w:t>全市已有7家花卉公司获得云南省科技厅认证的</w:t>
      </w:r>
      <w:r>
        <w:rPr>
          <w:rFonts w:hint="eastAsia" w:ascii="方正仿宋_GBK" w:hAnsi="方正仿宋_GBK" w:eastAsia="方正仿宋_GBK" w:cs="方正仿宋_GBK"/>
          <w:color w:val="000000" w:themeColor="text1"/>
          <w:sz w:val="32"/>
          <w:szCs w:val="32"/>
        </w:rPr>
        <w:t>“云南省优质种苗生产基地”，依靠厚实的产业基础和长期的技</w:t>
      </w:r>
      <w:r>
        <w:rPr>
          <w:rFonts w:ascii="Times New Roman" w:hAnsi="Times New Roman" w:eastAsia="方正仿宋_GBK" w:cs="Times New Roman"/>
          <w:color w:val="000000" w:themeColor="text1"/>
          <w:sz w:val="32"/>
          <w:szCs w:val="32"/>
        </w:rPr>
        <w:t>术积累，我市逐步成为我国花卉种苗（球）产销中心，种苗（球）迈入规模化、标准化和工厂化生产轨道</w:t>
      </w:r>
      <w:r>
        <w:rPr>
          <w:rFonts w:hint="eastAsia" w:ascii="Times New Roman" w:hAnsi="Times New Roman" w:eastAsia="方正仿宋_GBK" w:cs="Times New Roman"/>
          <w:color w:val="000000" w:themeColor="text1"/>
          <w:sz w:val="32"/>
          <w:szCs w:val="32"/>
          <w:lang w:eastAsia="zh-CN"/>
        </w:rPr>
        <w:t>。</w:t>
      </w:r>
      <w:r>
        <w:rPr>
          <w:rFonts w:ascii="Times New Roman" w:hAnsi="Times New Roman" w:eastAsia="方正仿宋_GBK" w:cs="Times New Roman"/>
          <w:color w:val="000000" w:themeColor="text1"/>
          <w:sz w:val="32"/>
          <w:szCs w:val="32"/>
        </w:rPr>
        <w:t>玉溪每年生产百合种球2700万粒，玫瑰种苗6500万苗，盆花种苗1500万苗，占云南种球、种苗产销量40</w:t>
      </w:r>
      <w:r>
        <w:rPr>
          <w:rFonts w:hint="default" w:ascii="Times New Roman" w:hAnsi="Times New Roman" w:eastAsia="方正仿宋_GBK" w:cs="Times New Roman"/>
          <w:color w:val="000000" w:themeColor="text1"/>
          <w:sz w:val="32"/>
          <w:szCs w:val="32"/>
        </w:rPr>
        <w:t>.0</w:t>
      </w:r>
      <w:r>
        <w:rPr>
          <w:rFonts w:ascii="Times New Roman" w:hAnsi="Times New Roman" w:eastAsia="方正仿宋_GBK" w:cs="Times New Roman"/>
          <w:color w:val="000000" w:themeColor="text1"/>
          <w:sz w:val="32"/>
          <w:szCs w:val="32"/>
        </w:rPr>
        <w:t>%以上。</w:t>
      </w:r>
      <w:r>
        <w:rPr>
          <w:rFonts w:hint="eastAsia" w:ascii="Times New Roman" w:hAnsi="Times New Roman" w:eastAsia="方正仿宋_GBK" w:cs="Times New Roman"/>
          <w:color w:val="000000" w:themeColor="text1"/>
          <w:sz w:val="32"/>
          <w:szCs w:val="32"/>
        </w:rPr>
        <w:t>种苗、鲜切花、盆花</w:t>
      </w:r>
      <w:r>
        <w:rPr>
          <w:rFonts w:ascii="Times New Roman" w:hAnsi="Times New Roman" w:eastAsia="方正仿宋_GBK" w:cs="Times New Roman"/>
          <w:sz w:val="32"/>
          <w:szCs w:val="32"/>
        </w:rPr>
        <w:t>产品销往全国各大中城市，并出口俄罗斯、日本、澳洲、韩国、东盟、欧盟、阿盟国家和地区，玉溪已成为云南鲜切花、盆花、种球种苗重要生产地。</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17" w:name="_Toc456074998"/>
      <w:bookmarkStart w:id="18" w:name="_Toc482865562"/>
      <w:bookmarkStart w:id="19" w:name="_Toc11043"/>
      <w:bookmarkStart w:id="20" w:name="_Toc8297"/>
      <w:r>
        <w:rPr>
          <w:rFonts w:hint="eastAsia" w:ascii="方正楷体_GBK" w:hAnsi="方正楷体_GBK" w:eastAsia="方正楷体_GBK" w:cs="方正楷体_GBK"/>
          <w:b w:val="0"/>
          <w:bCs w:val="0"/>
        </w:rPr>
        <w:t>（四）组织化程度高、效益显著</w:t>
      </w:r>
      <w:bookmarkEnd w:id="17"/>
      <w:bookmarkEnd w:id="18"/>
      <w:bookmarkEnd w:id="19"/>
      <w:bookmarkEnd w:id="20"/>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方正仿宋_GBK" w:hAnsi="方正仿宋_GBK" w:eastAsia="方正仿宋_GBK" w:cs="方正仿宋_GBK"/>
          <w:sz w:val="32"/>
          <w:szCs w:val="32"/>
        </w:rPr>
      </w:pPr>
      <w:bookmarkStart w:id="21" w:name="_Toc21059"/>
      <w:r>
        <w:rPr>
          <w:rFonts w:ascii="Times New Roman" w:hAnsi="Times New Roman" w:eastAsia="方正仿宋_GBK" w:cs="Times New Roman"/>
          <w:sz w:val="32"/>
          <w:szCs w:val="32"/>
        </w:rPr>
        <w:t>全市有从事花卉生产、加工、营销企业</w:t>
      </w:r>
      <w:r>
        <w:rPr>
          <w:rFonts w:hint="eastAsia" w:ascii="Times New Roman" w:hAnsi="Times New Roman" w:eastAsia="方正仿宋_GBK" w:cs="Times New Roman"/>
          <w:sz w:val="32"/>
          <w:szCs w:val="32"/>
          <w:lang w:val="en-US" w:eastAsia="zh-CN"/>
        </w:rPr>
        <w:t>196</w:t>
      </w:r>
      <w:r>
        <w:rPr>
          <w:rFonts w:ascii="Times New Roman" w:hAnsi="Times New Roman" w:eastAsia="方正仿宋_GBK" w:cs="Times New Roman"/>
          <w:sz w:val="32"/>
          <w:szCs w:val="32"/>
        </w:rPr>
        <w:t>个，花卉合作社和花卉协会82个，其中省级龙头企业13家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市级龙头企业8家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花卉生产合作社77个，带动农户1935户，规模种植大户544户，从业人员合计23012人，其中专业技术人员1478人。</w:t>
      </w:r>
      <w:bookmarkStart w:id="22" w:name="_Toc456074994"/>
      <w:r>
        <w:rPr>
          <w:rFonts w:ascii="Times New Roman" w:hAnsi="Times New Roman" w:eastAsia="方正仿宋_GBK" w:cs="Times New Roman"/>
          <w:sz w:val="32"/>
          <w:szCs w:val="32"/>
        </w:rPr>
        <w:t>龙头企业和专业合作社不断发展壮大，培育出许多拥有自主知识产权品种，成功打造了一批鲜切花知名品牌，基本形成</w:t>
      </w:r>
      <w:r>
        <w:rPr>
          <w:rFonts w:hint="eastAsia" w:ascii="方正仿宋_GBK" w:hAnsi="方正仿宋_GBK" w:eastAsia="方正仿宋_GBK" w:cs="方正仿宋_GBK"/>
          <w:sz w:val="32"/>
          <w:szCs w:val="32"/>
        </w:rPr>
        <w:t>了“中国花卉在云南，云南花卉在玉溪”的良好局面。玉溪花卉不</w:t>
      </w:r>
      <w:r>
        <w:rPr>
          <w:rFonts w:ascii="Times New Roman" w:hAnsi="Times New Roman" w:eastAsia="方正仿宋_GBK" w:cs="Times New Roman"/>
          <w:sz w:val="32"/>
          <w:szCs w:val="32"/>
        </w:rPr>
        <w:t>但在云南乃至全国都有举足轻重的地位和作用</w:t>
      </w:r>
      <w:r>
        <w:rPr>
          <w:rFonts w:hint="eastAsia" w:ascii="Times New Roman" w:hAnsi="Times New Roman" w:eastAsia="方正仿宋_GBK" w:cs="Times New Roman"/>
          <w:sz w:val="32"/>
          <w:szCs w:val="32"/>
          <w:lang w:eastAsia="zh-CN"/>
        </w:rPr>
        <w:t>。云秀花卉、锦海花卉、佳海花卉、爱必达花卉等公司先后于</w:t>
      </w:r>
      <w:r>
        <w:rPr>
          <w:rFonts w:hint="eastAsia" w:ascii="Times New Roman" w:hAnsi="Times New Roman" w:eastAsia="方正仿宋_GBK" w:cs="Times New Roman"/>
          <w:sz w:val="32"/>
          <w:szCs w:val="32"/>
          <w:lang w:val="en-US" w:eastAsia="zh-CN"/>
        </w:rPr>
        <w:t>2018</w:t>
      </w:r>
      <w:r>
        <w:rPr>
          <w:rFonts w:hint="default" w:ascii="Arial" w:hAnsi="Arial" w:eastAsia="方正仿宋_GBK" w:cs="Arial"/>
          <w:sz w:val="32"/>
          <w:szCs w:val="32"/>
          <w:lang w:val="en-US" w:eastAsia="zh-CN"/>
        </w:rPr>
        <w:t>－</w:t>
      </w:r>
      <w:r>
        <w:rPr>
          <w:rFonts w:hint="eastAsia" w:ascii="Times New Roman" w:hAnsi="Times New Roman" w:eastAsia="方正仿宋_GBK" w:cs="Times New Roman"/>
          <w:sz w:val="32"/>
          <w:szCs w:val="32"/>
          <w:lang w:val="en-US" w:eastAsia="zh-CN"/>
        </w:rPr>
        <w:t>2020年</w:t>
      </w:r>
      <w:r>
        <w:rPr>
          <w:rFonts w:hint="eastAsia" w:ascii="Times New Roman" w:hAnsi="Times New Roman" w:eastAsia="方正仿宋_GBK" w:cs="Times New Roman"/>
          <w:sz w:val="32"/>
          <w:szCs w:val="32"/>
          <w:lang w:eastAsia="zh-CN"/>
        </w:rPr>
        <w:t>荣膺云南</w:t>
      </w:r>
      <w:r>
        <w:rPr>
          <w:rFonts w:hint="eastAsia" w:ascii="方正仿宋_GBK" w:hAnsi="方正仿宋_GBK" w:eastAsia="方正仿宋_GBK" w:cs="方正仿宋_GBK"/>
          <w:sz w:val="32"/>
          <w:szCs w:val="32"/>
          <w:lang w:eastAsia="zh-CN"/>
        </w:rPr>
        <w:t>省“十大名花”称号，</w:t>
      </w:r>
      <w:r>
        <w:rPr>
          <w:rFonts w:hint="eastAsia" w:ascii="方正仿宋_GBK" w:hAnsi="方正仿宋_GBK" w:eastAsia="方正仿宋_GBK" w:cs="方正仿宋_GBK"/>
          <w:sz w:val="32"/>
          <w:szCs w:val="32"/>
        </w:rPr>
        <w:t>玉溪花卉已成为全省乃至全国的引领。</w:t>
      </w:r>
      <w:bookmarkEnd w:id="2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花卉是我市农业产业中最具特色，单位面积效益</w:t>
      </w:r>
      <w:r>
        <w:rPr>
          <w:rFonts w:hint="eastAsia" w:ascii="Times New Roman" w:hAnsi="Times New Roman" w:eastAsia="方正仿宋_GBK" w:cs="Times New Roman"/>
          <w:color w:val="000000" w:themeColor="text1"/>
          <w:sz w:val="32"/>
          <w:szCs w:val="32"/>
          <w:lang w:eastAsia="zh-CN"/>
        </w:rPr>
        <w:t>较高</w:t>
      </w:r>
      <w:r>
        <w:rPr>
          <w:rFonts w:ascii="Times New Roman" w:hAnsi="Times New Roman" w:eastAsia="方正仿宋_GBK" w:cs="Times New Roman"/>
          <w:sz w:val="32"/>
          <w:szCs w:val="32"/>
        </w:rPr>
        <w:t>的种植产业，花农人均收入</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以上</w:t>
      </w:r>
      <w:r>
        <w:rPr>
          <w:rFonts w:ascii="Times New Roman" w:hAnsi="Times New Roman" w:eastAsia="方正仿宋_GBK" w:cs="Times New Roman"/>
          <w:sz w:val="32"/>
          <w:szCs w:val="32"/>
        </w:rPr>
        <w:t>。以花卉产业为经济支柱的村社，农村经济收入状况良好，花农增收明显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花卉产业的发展为我市发展高原特色农业、高效农业、现代农业和农民增收发挥重要的引领作用。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Times New Roman" w:hAnsi="Times New Roman" w:eastAsia="方正仿宋_GBK" w:cs="Times New Roman"/>
          <w:sz w:val="32"/>
          <w:szCs w:val="32"/>
        </w:rPr>
      </w:pPr>
      <w:bookmarkStart w:id="23" w:name="_Toc20426"/>
      <w:r>
        <w:rPr>
          <w:rFonts w:hint="eastAsia" w:ascii="方正黑体_GBK" w:hAnsi="方正黑体_GBK" w:eastAsia="方正黑体_GBK" w:cs="方正黑体_GBK"/>
          <w:sz w:val="32"/>
          <w:szCs w:val="32"/>
        </w:rPr>
        <w:t>二、玉溪市花卉产业发展优势</w:t>
      </w:r>
      <w:bookmarkEnd w:id="21"/>
      <w:bookmarkEnd w:id="23"/>
      <w:bookmarkStart w:id="24" w:name="_Toc17728"/>
      <w:bookmarkStart w:id="25" w:name="_Toc503121319"/>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方正楷体_GBK" w:hAnsi="方正楷体_GBK" w:eastAsia="方正楷体_GBK" w:cs="方正楷体_GBK"/>
          <w:sz w:val="32"/>
          <w:szCs w:val="32"/>
        </w:rPr>
      </w:pPr>
      <w:bookmarkStart w:id="26" w:name="_Toc12681"/>
      <w:r>
        <w:rPr>
          <w:rFonts w:hint="eastAsia" w:ascii="方正楷体_GBK" w:hAnsi="方正楷体_GBK" w:eastAsia="方正楷体_GBK" w:cs="方正楷体_GBK"/>
          <w:sz w:val="32"/>
          <w:szCs w:val="32"/>
        </w:rPr>
        <w:t>（一）区位优势</w:t>
      </w:r>
      <w:bookmarkEnd w:id="24"/>
      <w:bookmarkEnd w:id="25"/>
      <w:bookmarkEnd w:id="2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sz w:val="32"/>
          <w:szCs w:val="32"/>
        </w:rPr>
        <w:t>玉溪是</w:t>
      </w:r>
      <w:r>
        <w:rPr>
          <w:rFonts w:hint="eastAsia" w:ascii="Times New Roman" w:hAnsi="Times New Roman" w:eastAsia="方正仿宋_GBK" w:cs="Times New Roman"/>
          <w:sz w:val="32"/>
          <w:szCs w:val="32"/>
        </w:rPr>
        <w:t>云南省</w:t>
      </w:r>
      <w:r>
        <w:rPr>
          <w:rFonts w:ascii="Times New Roman" w:hAnsi="Times New Roman" w:eastAsia="方正仿宋_GBK" w:cs="Times New Roman"/>
          <w:sz w:val="32"/>
          <w:szCs w:val="32"/>
        </w:rPr>
        <w:t>距昆明最近的城市，玉溪市作为滇中城市经济圈中四大城市之一，属于滇中城市经济圈的一小时经济圈的带动圈层，</w:t>
      </w:r>
      <w:r>
        <w:rPr>
          <w:rFonts w:hint="eastAsia" w:ascii="Times New Roman" w:hAnsi="Times New Roman" w:eastAsia="方正仿宋_GBK" w:cs="Times New Roman"/>
          <w:sz w:val="32"/>
          <w:szCs w:val="32"/>
          <w:lang w:eastAsia="zh-CN"/>
        </w:rPr>
        <w:t>我市</w:t>
      </w:r>
      <w:r>
        <w:rPr>
          <w:rFonts w:ascii="Times New Roman" w:hAnsi="Times New Roman" w:eastAsia="方正仿宋_GBK" w:cs="Times New Roman"/>
          <w:sz w:val="32"/>
          <w:szCs w:val="32"/>
        </w:rPr>
        <w:t>处于昆曼、昆河两大经济带的重要连接部，具有上承省会中心城市、下连滇南、辐射东南亚的集散功能，实</w:t>
      </w:r>
      <w:r>
        <w:rPr>
          <w:rFonts w:hint="eastAsia" w:ascii="方正仿宋_GBK" w:hAnsi="方正仿宋_GBK" w:eastAsia="方正仿宋_GBK" w:cs="方正仿宋_GBK"/>
          <w:sz w:val="32"/>
          <w:szCs w:val="32"/>
        </w:rPr>
        <w:t>施“走出去”战略的集散、加工“腹地”。</w:t>
      </w:r>
      <w:r>
        <w:rPr>
          <w:rFonts w:hint="eastAsia" w:ascii="方正仿宋_GBK" w:hAnsi="方正仿宋_GBK" w:eastAsia="方正仿宋_GBK" w:cs="方正仿宋_GBK"/>
          <w:sz w:val="32"/>
          <w:szCs w:val="32"/>
          <w:lang w:eastAsia="zh-CN"/>
        </w:rPr>
        <w:t>玉溪</w:t>
      </w:r>
      <w:r>
        <w:rPr>
          <w:rFonts w:hint="eastAsia" w:ascii="方正仿宋_GBK" w:hAnsi="方正仿宋_GBK" w:eastAsia="方正仿宋_GBK" w:cs="方正仿宋_GBK"/>
          <w:sz w:val="32"/>
          <w:szCs w:val="32"/>
        </w:rPr>
        <w:t>是构建世界级的烟</w:t>
      </w:r>
      <w:r>
        <w:rPr>
          <w:rFonts w:ascii="Times New Roman" w:hAnsi="Times New Roman" w:eastAsia="方正仿宋_GBK" w:cs="Times New Roman"/>
          <w:sz w:val="32"/>
          <w:szCs w:val="32"/>
        </w:rPr>
        <w:t>草产业基地、花卉水果基地、科技创新基地、康体休闲旅游基地以及最适宜居住地</w:t>
      </w:r>
      <w:r>
        <w:rPr>
          <w:rFonts w:hint="eastAsia" w:ascii="Times New Roman" w:hAnsi="Times New Roman" w:eastAsia="方正仿宋_GBK" w:cs="Times New Roman"/>
          <w:color w:val="000000" w:themeColor="text1"/>
          <w:sz w:val="32"/>
          <w:szCs w:val="32"/>
        </w:rPr>
        <w:t>的重要区域</w:t>
      </w:r>
      <w:r>
        <w:rPr>
          <w:rFonts w:ascii="Times New Roman" w:hAnsi="Times New Roman" w:eastAsia="方正仿宋_GBK" w:cs="Times New Roman"/>
          <w:color w:val="000000" w:themeColor="text1"/>
          <w:sz w:val="32"/>
          <w:szCs w:val="32"/>
        </w:rPr>
        <w:t>。</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玉溪交通条件便捷，作为滇中产业聚集区</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距离昆明国际花卉拍卖交易中心是全省最近的州市，与昆明南部晋宁花卉片区相连，处于滇中温带鲜切花生产区。</w:t>
      </w:r>
      <w:r>
        <w:rPr>
          <w:rFonts w:ascii="Times New Roman" w:hAnsi="Times New Roman" w:eastAsia="方正仿宋_GBK" w:cs="Times New Roman"/>
          <w:sz w:val="32"/>
          <w:szCs w:val="32"/>
        </w:rPr>
        <w:t>国家实施</w:t>
      </w:r>
      <w:r>
        <w:rPr>
          <w:rFonts w:hint="eastAsia" w:ascii="方正仿宋_GBK" w:hAnsi="方正仿宋_GBK" w:eastAsia="方正仿宋_GBK" w:cs="方正仿宋_GBK"/>
          <w:kern w:val="2"/>
          <w:sz w:val="32"/>
          <w:szCs w:val="32"/>
          <w:lang w:val="en-US" w:eastAsia="zh-CN" w:bidi="ar-SA"/>
        </w:rPr>
        <w:t>“一带一路”、</w:t>
      </w:r>
      <w:r>
        <w:rPr>
          <w:rFonts w:ascii="Times New Roman" w:hAnsi="Times New Roman" w:eastAsia="方正仿宋_GBK" w:cs="Times New Roman"/>
          <w:sz w:val="32"/>
          <w:szCs w:val="32"/>
        </w:rPr>
        <w:t>长江经济带等多个重大战略在云南叠加，为玉溪现代花卉产业发展和扩大对外开放创造了广阔的空间</w:t>
      </w:r>
      <w:r>
        <w:rPr>
          <w:rFonts w:hint="eastAsia" w:ascii="Times New Roman" w:hAnsi="Times New Roman" w:eastAsia="方正仿宋_GBK" w:cs="Times New Roman"/>
          <w:sz w:val="32"/>
          <w:szCs w:val="32"/>
        </w:rPr>
        <w:t>，</w:t>
      </w:r>
      <w:r>
        <w:rPr>
          <w:rFonts w:ascii="Times New Roman" w:hAnsi="Times New Roman" w:eastAsia="方正仿宋_GBK" w:cs="Times New Roman"/>
          <w:kern w:val="0"/>
          <w:sz w:val="32"/>
          <w:szCs w:val="32"/>
          <w:shd w:val="clear" w:color="auto" w:fill="FFFFFF"/>
        </w:rPr>
        <w:t>玉溪的区位优势造就花卉产业的市场前景。</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27" w:name="_Toc4885"/>
      <w:bookmarkStart w:id="28" w:name="_Toc503121320"/>
      <w:bookmarkStart w:id="29" w:name="_Toc15714"/>
      <w:r>
        <w:rPr>
          <w:rFonts w:hint="eastAsia" w:ascii="方正楷体_GBK" w:hAnsi="方正楷体_GBK" w:eastAsia="方正楷体_GBK" w:cs="方正楷体_GBK"/>
          <w:b w:val="0"/>
          <w:bCs w:val="0"/>
        </w:rPr>
        <w:t>（二）气候优势</w:t>
      </w:r>
      <w:bookmarkEnd w:id="27"/>
      <w:bookmarkEnd w:id="28"/>
      <w:bookmarkEnd w:id="29"/>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sz w:val="32"/>
          <w:szCs w:val="32"/>
        </w:rPr>
        <w:t>玉溪市处于低纬度高原区，属于亚热带季风气候。玉溪农业资源禀赋独特，土壤肥沃，光照充足，湖泊众多，物候早，立体气候明显，适宜种植各类花卉。年平均气温</w:t>
      </w:r>
      <w:r>
        <w:rPr>
          <w:rFonts w:hint="eastAsia" w:ascii="Times New Roman" w:hAnsi="Times New Roman" w:eastAsia="方正仿宋_GBK" w:cs="Times New Roman"/>
          <w:color w:val="000000" w:themeColor="text1"/>
          <w:sz w:val="32"/>
          <w:szCs w:val="32"/>
          <w:lang w:eastAsia="zh-CN"/>
        </w:rPr>
        <w:t>在</w:t>
      </w:r>
      <w:r>
        <w:rPr>
          <w:rFonts w:hint="default" w:ascii="Times New Roman" w:hAnsi="Times New Roman" w:eastAsia="方正仿宋_GBK" w:cs="Times New Roman"/>
          <w:color w:val="000000" w:themeColor="text1"/>
          <w:kern w:val="0"/>
          <w:sz w:val="32"/>
          <w:szCs w:val="32"/>
          <w:lang w:val="en-US" w:eastAsia="zh-CN"/>
        </w:rPr>
        <w:t>17.4</w:t>
      </w:r>
      <w:r>
        <w:rPr>
          <w:rFonts w:hint="default" w:ascii="Times New Roman" w:hAnsi="Times New Roman" w:eastAsia="方正仿宋_GBK" w:cs="Times New Roman"/>
          <w:color w:val="000000" w:themeColor="text1"/>
          <w:kern w:val="0"/>
          <w:sz w:val="32"/>
          <w:szCs w:val="32"/>
        </w:rPr>
        <w:t>℃</w:t>
      </w:r>
      <w:r>
        <w:rPr>
          <w:rFonts w:hint="default" w:ascii="Arial" w:hAnsi="Arial" w:eastAsia="方正仿宋_GBK" w:cs="Arial"/>
          <w:color w:val="000000" w:themeColor="text1"/>
          <w:sz w:val="32"/>
          <w:szCs w:val="32"/>
        </w:rPr>
        <w:t>－</w:t>
      </w:r>
      <w:r>
        <w:rPr>
          <w:rFonts w:ascii="Times New Roman" w:hAnsi="Times New Roman" w:eastAsia="方正仿宋_GBK" w:cs="Times New Roman"/>
          <w:color w:val="000000" w:themeColor="text1"/>
          <w:sz w:val="32"/>
          <w:szCs w:val="32"/>
        </w:rPr>
        <w:t>23.8℃，全市无霜期244</w:t>
      </w:r>
      <w:r>
        <w:rPr>
          <w:rFonts w:hint="default" w:ascii="Arial" w:hAnsi="Arial" w:eastAsia="方正仿宋_GBK" w:cs="Arial"/>
          <w:color w:val="000000" w:themeColor="text1"/>
          <w:sz w:val="32"/>
          <w:szCs w:val="32"/>
        </w:rPr>
        <w:t>－</w:t>
      </w:r>
      <w:r>
        <w:rPr>
          <w:rFonts w:ascii="Times New Roman" w:hAnsi="Times New Roman" w:eastAsia="方正仿宋_GBK" w:cs="Times New Roman"/>
          <w:color w:val="000000" w:themeColor="text1"/>
          <w:sz w:val="32"/>
          <w:szCs w:val="32"/>
        </w:rPr>
        <w:t>365天，年平均日照2115</w:t>
      </w:r>
      <w:r>
        <w:rPr>
          <w:rFonts w:hint="default" w:ascii="Arial" w:hAnsi="Arial" w:eastAsia="方正仿宋_GBK" w:cs="Arial"/>
          <w:color w:val="000000" w:themeColor="text1"/>
          <w:sz w:val="32"/>
          <w:szCs w:val="32"/>
        </w:rPr>
        <w:t>－</w:t>
      </w:r>
      <w:r>
        <w:rPr>
          <w:rFonts w:ascii="Times New Roman" w:hAnsi="Times New Roman" w:eastAsia="方正仿宋_GBK" w:cs="Times New Roman"/>
          <w:color w:val="000000" w:themeColor="text1"/>
          <w:sz w:val="32"/>
          <w:szCs w:val="32"/>
        </w:rPr>
        <w:t>2285.4小时，年平均降雨量</w:t>
      </w:r>
      <w:r>
        <w:rPr>
          <w:rFonts w:hint="default" w:ascii="Times New Roman" w:hAnsi="Times New Roman" w:eastAsia="方正仿宋_GBK" w:cs="Times New Roman"/>
          <w:color w:val="000000" w:themeColor="text1"/>
          <w:kern w:val="0"/>
          <w:sz w:val="32"/>
          <w:szCs w:val="32"/>
          <w:lang w:eastAsia="zh-CN"/>
        </w:rPr>
        <w:t>6</w:t>
      </w:r>
      <w:r>
        <w:rPr>
          <w:rFonts w:hint="default" w:ascii="Times New Roman" w:hAnsi="Times New Roman" w:eastAsia="方正仿宋_GBK" w:cs="Times New Roman"/>
          <w:color w:val="000000" w:themeColor="text1"/>
          <w:kern w:val="0"/>
          <w:sz w:val="32"/>
          <w:szCs w:val="32"/>
          <w:lang w:val="en-US" w:eastAsia="zh-CN"/>
        </w:rPr>
        <w:t>83</w:t>
      </w:r>
      <w:r>
        <w:rPr>
          <w:rFonts w:hint="default" w:ascii="Arial" w:hAnsi="Arial" w:eastAsia="方正仿宋_GBK" w:cs="Arial"/>
          <w:color w:val="000000" w:themeColor="text1"/>
          <w:sz w:val="32"/>
          <w:szCs w:val="32"/>
        </w:rPr>
        <w:t>－</w:t>
      </w:r>
      <w:r>
        <w:rPr>
          <w:rFonts w:hint="default" w:ascii="Times New Roman" w:hAnsi="Times New Roman" w:eastAsia="方正仿宋_GBK" w:cs="Times New Roman"/>
          <w:color w:val="000000" w:themeColor="text1"/>
          <w:kern w:val="0"/>
          <w:sz w:val="32"/>
          <w:szCs w:val="32"/>
          <w:lang w:eastAsia="zh-CN"/>
        </w:rPr>
        <w:t>1</w:t>
      </w:r>
      <w:r>
        <w:rPr>
          <w:rFonts w:hint="default" w:ascii="Times New Roman" w:hAnsi="Times New Roman" w:eastAsia="方正仿宋_GBK" w:cs="Times New Roman"/>
          <w:color w:val="000000" w:themeColor="text1"/>
          <w:kern w:val="0"/>
          <w:sz w:val="32"/>
          <w:szCs w:val="32"/>
          <w:lang w:val="en-US" w:eastAsia="zh-CN"/>
        </w:rPr>
        <w:t>000</w:t>
      </w:r>
      <w:r>
        <w:rPr>
          <w:rFonts w:ascii="Times New Roman" w:hAnsi="Times New Roman" w:eastAsia="方正仿宋_GBK" w:cs="Times New Roman"/>
          <w:color w:val="000000" w:themeColor="text1"/>
          <w:sz w:val="32"/>
          <w:szCs w:val="32"/>
        </w:rPr>
        <w:t>毫米，雨日130</w:t>
      </w:r>
      <w:r>
        <w:rPr>
          <w:rFonts w:hint="default" w:ascii="Arial" w:hAnsi="Arial" w:eastAsia="方正仿宋_GBK" w:cs="Arial"/>
          <w:color w:val="000000" w:themeColor="text1"/>
          <w:sz w:val="32"/>
          <w:szCs w:val="32"/>
        </w:rPr>
        <w:t>－</w:t>
      </w:r>
      <w:r>
        <w:rPr>
          <w:rFonts w:ascii="Times New Roman" w:hAnsi="Times New Roman" w:eastAsia="方正仿宋_GBK" w:cs="Times New Roman"/>
          <w:color w:val="000000" w:themeColor="text1"/>
          <w:sz w:val="32"/>
          <w:szCs w:val="32"/>
        </w:rPr>
        <w:t>150天，年平均相对</w:t>
      </w:r>
      <w:r>
        <w:rPr>
          <w:rFonts w:hint="eastAsia" w:ascii="Times New Roman" w:hAnsi="Times New Roman" w:eastAsia="方正仿宋_GBK" w:cs="Times New Roman"/>
          <w:color w:val="000000" w:themeColor="text1"/>
          <w:sz w:val="32"/>
          <w:szCs w:val="32"/>
          <w:lang w:eastAsia="zh-CN"/>
        </w:rPr>
        <w:t>湿</w:t>
      </w:r>
      <w:r>
        <w:rPr>
          <w:rFonts w:ascii="Times New Roman" w:hAnsi="Times New Roman" w:eastAsia="方正仿宋_GBK" w:cs="Times New Roman"/>
          <w:color w:val="000000" w:themeColor="text1"/>
          <w:sz w:val="32"/>
          <w:szCs w:val="32"/>
        </w:rPr>
        <w:t>度</w:t>
      </w:r>
      <w:r>
        <w:rPr>
          <w:rFonts w:ascii="Times New Roman" w:hAnsi="Times New Roman" w:eastAsia="方正仿宋_GBK" w:cs="Times New Roman"/>
          <w:sz w:val="32"/>
          <w:szCs w:val="32"/>
        </w:rPr>
        <w:t>68</w:t>
      </w:r>
      <w:r>
        <w:rPr>
          <w:rFonts w:hint="default" w:ascii="Arial" w:hAnsi="Arial" w:eastAsia="方正仿宋_GBK" w:cs="Arial"/>
          <w:color w:val="000000" w:themeColor="text1"/>
          <w:sz w:val="32"/>
          <w:szCs w:val="32"/>
        </w:rPr>
        <w:t>－</w:t>
      </w:r>
      <w:r>
        <w:rPr>
          <w:rFonts w:ascii="Times New Roman" w:hAnsi="Times New Roman" w:eastAsia="方正仿宋_GBK" w:cs="Times New Roman"/>
          <w:sz w:val="32"/>
          <w:szCs w:val="32"/>
        </w:rPr>
        <w:t>79％，大部分区域气候温和、冬无严寒，夏无酷暑，且日照充足，雨量充沛，无大的灾害性极端气候，十分有利于鲜切花周年种植和均衡生产，是鲜切花生产的最适宜区，与南美洲的哥伦比亚、厄瓜多尔及非洲的肯尼亚并称</w:t>
      </w:r>
      <w:r>
        <w:rPr>
          <w:rFonts w:hint="eastAsia" w:ascii="方正仿宋_GBK" w:hAnsi="方正仿宋_GBK" w:eastAsia="方正仿宋_GBK" w:cs="方正仿宋_GBK"/>
          <w:sz w:val="32"/>
          <w:szCs w:val="32"/>
        </w:rPr>
        <w:t>“世界三大花卉产区”，</w:t>
      </w:r>
      <w:r>
        <w:rPr>
          <w:rFonts w:ascii="Times New Roman" w:hAnsi="Times New Roman" w:eastAsia="方正仿宋_GBK" w:cs="Times New Roman"/>
          <w:sz w:val="32"/>
          <w:szCs w:val="32"/>
        </w:rPr>
        <w:t>花卉生产中用于调温和调光的成本远低国内其他地区，冬季日照长，紫外线强的特殊气候，使花卉着色艳丽，茎杆挺直，品质较优。另外，由于光热条件好，花卉植株生长快、投资回报快，而且花卉丰产性好，单产产量高，比较效益相对较高。</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30" w:name="_Toc797"/>
      <w:bookmarkStart w:id="31" w:name="_Toc503121321"/>
      <w:bookmarkStart w:id="32" w:name="_Toc5834"/>
      <w:r>
        <w:rPr>
          <w:rFonts w:hint="eastAsia" w:ascii="方正楷体_GBK" w:hAnsi="方正楷体_GBK" w:eastAsia="方正楷体_GBK" w:cs="方正楷体_GBK"/>
          <w:b w:val="0"/>
          <w:bCs w:val="0"/>
        </w:rPr>
        <w:t>（三）品牌市场优势</w:t>
      </w:r>
      <w:bookmarkEnd w:id="30"/>
      <w:bookmarkEnd w:id="31"/>
      <w:bookmarkEnd w:id="32"/>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kern w:val="0"/>
          <w:sz w:val="32"/>
          <w:szCs w:val="32"/>
          <w:shd w:val="clear" w:color="auto" w:fill="FFFFFF"/>
          <w:lang w:eastAsia="zh-CN"/>
        </w:rPr>
      </w:pPr>
      <w:r>
        <w:rPr>
          <w:rFonts w:ascii="Times New Roman" w:hAnsi="Times New Roman" w:eastAsia="方正仿宋_GBK" w:cs="Times New Roman"/>
          <w:kern w:val="0"/>
          <w:sz w:val="32"/>
          <w:szCs w:val="32"/>
          <w:shd w:val="clear" w:color="auto" w:fill="FFFFFF"/>
        </w:rPr>
        <w:t>玉溪花卉曾经打造云南花卉在玉溪良好局面，</w:t>
      </w:r>
      <w:r>
        <w:rPr>
          <w:rFonts w:hint="eastAsia" w:ascii="Times New Roman" w:hAnsi="Times New Roman" w:eastAsia="方正仿宋_GBK" w:cs="Times New Roman"/>
          <w:kern w:val="0"/>
          <w:sz w:val="32"/>
          <w:szCs w:val="32"/>
          <w:shd w:val="clear" w:color="auto" w:fill="FFFFFF"/>
        </w:rPr>
        <w:t>依托由云南省农业科学院与玉溪市政府联合共建的云南农业科技园，全力建设亚洲花卉科创谷。建</w:t>
      </w:r>
      <w:r>
        <w:rPr>
          <w:rFonts w:hint="eastAsia" w:ascii="Times New Roman" w:hAnsi="Times New Roman" w:eastAsia="方正仿宋_GBK" w:cs="Times New Roman"/>
          <w:kern w:val="0"/>
          <w:sz w:val="32"/>
          <w:szCs w:val="32"/>
          <w:shd w:val="clear" w:color="auto" w:fill="FFFFFF"/>
          <w:lang w:eastAsia="zh-CN"/>
        </w:rPr>
        <w:t>成</w:t>
      </w:r>
      <w:r>
        <w:rPr>
          <w:rFonts w:hint="eastAsia" w:ascii="Times New Roman" w:hAnsi="Times New Roman" w:eastAsia="方正仿宋_GBK" w:cs="Times New Roman"/>
          <w:kern w:val="0"/>
          <w:sz w:val="32"/>
          <w:szCs w:val="32"/>
          <w:shd w:val="clear" w:color="auto" w:fill="FFFFFF"/>
        </w:rPr>
        <w:t>国家观赏园艺工程技术研究中心良种高效繁育技术平台、</w:t>
      </w:r>
      <w:r>
        <w:rPr>
          <w:rFonts w:hint="eastAsia" w:ascii="Times New Roman" w:hAnsi="Times New Roman" w:eastAsia="方正仿宋_GBK" w:cs="Times New Roman"/>
          <w:color w:val="000000" w:themeColor="text1"/>
          <w:kern w:val="0"/>
          <w:sz w:val="32"/>
          <w:szCs w:val="32"/>
          <w:shd w:val="clear" w:color="auto" w:fill="FFFFFF"/>
        </w:rPr>
        <w:t>中国航天育种高原特色作物物种中心（云南省太空花卉创新示范基地）、首批园艺类国家级众创空间——爱园艺众创空间，</w:t>
      </w:r>
      <w:r>
        <w:rPr>
          <w:rFonts w:hint="eastAsia" w:ascii="Times New Roman" w:hAnsi="Times New Roman" w:eastAsia="方正仿宋_GBK" w:cs="Times New Roman"/>
          <w:kern w:val="0"/>
          <w:sz w:val="32"/>
          <w:szCs w:val="32"/>
          <w:shd w:val="clear" w:color="auto" w:fill="FFFFFF"/>
        </w:rPr>
        <w:t>打造国内领先、亚洲一流的良种繁育创新中心、种业成果孵化中心和技术辐射中心，提</w:t>
      </w:r>
      <w:r>
        <w:rPr>
          <w:rFonts w:hint="eastAsia" w:ascii="方正仿宋_GBK" w:hAnsi="方正仿宋_GBK" w:eastAsia="方正仿宋_GBK" w:cs="方正仿宋_GBK"/>
          <w:kern w:val="0"/>
          <w:sz w:val="32"/>
          <w:szCs w:val="32"/>
          <w:shd w:val="clear" w:color="auto" w:fill="FFFFFF"/>
        </w:rPr>
        <w:t>升“玉花”综合竞争力，助推“云花”提高国际影响力。辐射</w:t>
      </w:r>
      <w:r>
        <w:rPr>
          <w:rFonts w:hint="eastAsia" w:ascii="Times New Roman" w:hAnsi="Times New Roman" w:eastAsia="方正仿宋_GBK" w:cs="Times New Roman"/>
          <w:kern w:val="0"/>
          <w:sz w:val="32"/>
          <w:szCs w:val="32"/>
          <w:shd w:val="clear" w:color="auto" w:fill="FFFFFF"/>
        </w:rPr>
        <w:t>带动种苗推广覆盖20多个省市及部分东南亚国家，推动全省新增花卉种植超过6万亩。</w:t>
      </w:r>
      <w:r>
        <w:rPr>
          <w:rFonts w:hint="eastAsia" w:ascii="Times New Roman" w:hAnsi="Times New Roman" w:eastAsia="方正仿宋_GBK" w:cs="Times New Roman"/>
          <w:kern w:val="0"/>
          <w:sz w:val="32"/>
          <w:szCs w:val="32"/>
          <w:shd w:val="clear" w:color="auto" w:fill="FFFFFF"/>
          <w:lang w:eastAsia="zh-CN"/>
        </w:rPr>
        <w:t>打</w:t>
      </w:r>
      <w:r>
        <w:rPr>
          <w:rFonts w:hint="eastAsia" w:ascii="方正仿宋_GBK" w:hAnsi="方正仿宋_GBK" w:eastAsia="方正仿宋_GBK" w:cs="方正仿宋_GBK"/>
          <w:kern w:val="0"/>
          <w:sz w:val="32"/>
          <w:szCs w:val="32"/>
          <w:shd w:val="clear" w:color="auto" w:fill="FFFFFF"/>
          <w:lang w:eastAsia="zh-CN"/>
        </w:rPr>
        <w:t>造</w:t>
      </w:r>
      <w:r>
        <w:rPr>
          <w:rFonts w:hint="eastAsia" w:ascii="方正仿宋_GBK" w:hAnsi="方正仿宋_GBK" w:eastAsia="方正仿宋_GBK" w:cs="方正仿宋_GBK"/>
          <w:strike w:val="0"/>
          <w:dstrike w:val="0"/>
          <w:sz w:val="32"/>
          <w:szCs w:val="32"/>
        </w:rPr>
        <w:t>“明珠百合”</w:t>
      </w:r>
      <w:r>
        <w:rPr>
          <w:rFonts w:hint="eastAsia" w:ascii="方正仿宋_GBK" w:hAnsi="方正仿宋_GBK" w:eastAsia="方正仿宋_GBK" w:cs="方正仿宋_GBK"/>
          <w:strike w:val="0"/>
          <w:dstrike w:val="0"/>
          <w:sz w:val="32"/>
          <w:szCs w:val="32"/>
          <w:lang w:eastAsia="zh-CN"/>
        </w:rPr>
        <w:t>、</w:t>
      </w:r>
      <w:r>
        <w:rPr>
          <w:rFonts w:hint="eastAsia" w:ascii="方正仿宋_GBK" w:hAnsi="方正仿宋_GBK" w:eastAsia="方正仿宋_GBK" w:cs="方正仿宋_GBK"/>
          <w:sz w:val="32"/>
          <w:szCs w:val="32"/>
        </w:rPr>
        <w:t>“爱必达盆花玫瑰”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“紫玉盆花”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“岁兰花卉”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“云秀花卉”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“锦海玫瑰”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“江川英茂康乃馨”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“瑞园洋桔梗”等已成为全国知名品牌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shd w:val="clear" w:color="auto" w:fill="FFFFFF"/>
        </w:rPr>
        <w:t>“中国红”玫</w:t>
      </w:r>
      <w:r>
        <w:rPr>
          <w:rFonts w:ascii="Times New Roman" w:hAnsi="Times New Roman" w:eastAsia="方正仿宋_GBK" w:cs="Times New Roman"/>
          <w:kern w:val="0"/>
          <w:sz w:val="32"/>
          <w:szCs w:val="32"/>
          <w:shd w:val="clear" w:color="auto" w:fill="FFFFFF"/>
        </w:rPr>
        <w:t>瑰为2008年北京奥运会颁奖用花，迪瑞特、明珠、锦海等7家</w:t>
      </w:r>
      <w:r>
        <w:rPr>
          <w:rFonts w:hint="eastAsia" w:ascii="方正仿宋_GBK" w:hAnsi="方正仿宋_GBK" w:eastAsia="方正仿宋_GBK" w:cs="方正仿宋_GBK"/>
          <w:kern w:val="0"/>
          <w:sz w:val="32"/>
          <w:szCs w:val="32"/>
          <w:shd w:val="clear" w:color="auto" w:fill="FFFFFF"/>
        </w:rPr>
        <w:t>为“云南省优质种苗生产基地”</w:t>
      </w:r>
      <w:r>
        <w:rPr>
          <w:rFonts w:hint="eastAsia" w:ascii="方正仿宋_GBK" w:hAnsi="方正仿宋_GBK" w:eastAsia="方正仿宋_GBK" w:cs="方正仿宋_GBK"/>
          <w:kern w:val="0"/>
          <w:sz w:val="32"/>
          <w:szCs w:val="32"/>
          <w:shd w:val="clear" w:color="auto" w:fill="FFFFFF"/>
          <w:lang w:eastAsia="zh-CN"/>
        </w:rPr>
        <w:t>，</w:t>
      </w:r>
      <w:r>
        <w:rPr>
          <w:rFonts w:hint="eastAsia" w:ascii="Times New Roman" w:hAnsi="Times New Roman" w:eastAsia="方正仿宋_GBK" w:cs="Times New Roman"/>
          <w:kern w:val="0"/>
          <w:sz w:val="32"/>
          <w:szCs w:val="32"/>
          <w:shd w:val="clear" w:color="auto" w:fill="FFFFFF"/>
          <w:lang w:eastAsia="zh-CN"/>
        </w:rPr>
        <w:t>极大地提高了玉溪花卉的市场竞争力。</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33" w:name="_Toc503121322"/>
      <w:bookmarkStart w:id="34" w:name="_Toc820"/>
      <w:bookmarkStart w:id="35" w:name="_Toc7311"/>
      <w:r>
        <w:rPr>
          <w:rFonts w:hint="eastAsia" w:ascii="方正楷体_GBK" w:hAnsi="方正楷体_GBK" w:eastAsia="方正楷体_GBK" w:cs="方正楷体_GBK"/>
          <w:b w:val="0"/>
          <w:bCs w:val="0"/>
        </w:rPr>
        <w:t>（四）专业化生产优势</w:t>
      </w:r>
      <w:bookmarkEnd w:id="33"/>
      <w:bookmarkEnd w:id="34"/>
      <w:bookmarkEnd w:id="35"/>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z w:val="32"/>
          <w:szCs w:val="32"/>
        </w:rPr>
      </w:pPr>
      <w:bookmarkStart w:id="36" w:name="_Toc15370"/>
      <w:r>
        <w:rPr>
          <w:rFonts w:hint="default" w:ascii="Times New Roman" w:hAnsi="Times New Roman" w:eastAsia="方正仿宋_GBK" w:cs="Times New Roman"/>
          <w:color w:val="000000" w:themeColor="text1"/>
          <w:sz w:val="32"/>
          <w:szCs w:val="32"/>
        </w:rPr>
        <w:t>全市有从事花卉生产、加工、营销的企业和合作社196个，其中省级龙头企业13家，市级龙头企业8家，花卉生产合作社77个，规模种植大户544户。无论是公司还是合作社、种植户，大多都只种植一个花卉种类，采用</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公司+基地+合作社+农户</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的模式，提供产前、产中、产后的指导和服务，体现花卉生产专业化运作，专一的生产使得公司、合作社和种植户的种植统一、规范和积累了丰富的经验，所生产的花卉无论产量还是品质都要高于全省水平。</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37" w:name="_Toc31430"/>
      <w:r>
        <w:rPr>
          <w:rFonts w:hint="eastAsia" w:ascii="方正楷体_GBK" w:hAnsi="方正楷体_GBK" w:eastAsia="方正楷体_GBK" w:cs="方正楷体_GBK"/>
          <w:b w:val="0"/>
          <w:bCs w:val="0"/>
        </w:rPr>
        <w:t>（五）政策优势</w:t>
      </w:r>
      <w:bookmarkEnd w:id="36"/>
      <w:bookmarkEnd w:id="37"/>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玉溪市委市政府非常重视高原特色农业发展，2016年出台《玉溪市加快开放型高原特色农业发展的实施意见》，提出增加财政投入，支持高原特色产业发展壮大，明确提出要积极发展花卉水果生产基地。2017年市政府和省农科院共同合作，聚合创新资源，合力规划建设亚洲花卉科创谷。花卉作为国家农业科技园区</w:t>
      </w:r>
      <w:r>
        <w:rPr>
          <w:rFonts w:ascii="Times New Roman" w:hAnsi="Times New Roman" w:eastAsia="方正仿宋_GBK" w:cs="Times New Roman"/>
          <w:color w:val="000000" w:themeColor="text1"/>
          <w:kern w:val="0"/>
          <w:sz w:val="32"/>
          <w:szCs w:val="32"/>
          <w:shd w:val="clear" w:color="auto" w:fill="FFFFFF"/>
        </w:rPr>
        <w:t>建设</w:t>
      </w:r>
      <w:r>
        <w:rPr>
          <w:rFonts w:ascii="Times New Roman" w:hAnsi="Times New Roman" w:eastAsia="方正仿宋_GBK" w:cs="Times New Roman"/>
          <w:kern w:val="0"/>
          <w:sz w:val="32"/>
          <w:szCs w:val="32"/>
          <w:shd w:val="clear" w:color="auto" w:fill="FFFFFF"/>
        </w:rPr>
        <w:t>重点内容。为推进花卉产业发展，近年市财政安排高原特色农业专项资金用于花卉新品种、新技术研发，花卉主产大县红塔区也安排区级财政支持花卉产业发展。</w:t>
      </w:r>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2019年红塔区</w:t>
      </w:r>
      <w:r>
        <w:rPr>
          <w:rFonts w:hint="eastAsia" w:ascii="Times New Roman" w:hAnsi="Times New Roman" w:eastAsia="方正仿宋_GBK" w:cs="Times New Roman"/>
          <w:kern w:val="0"/>
          <w:sz w:val="32"/>
          <w:szCs w:val="32"/>
          <w:shd w:val="clear" w:color="auto" w:fill="FFFFFF"/>
        </w:rPr>
        <w:t>争创云南省花卉产业“一县一业”示范县成功，每年获得省级资金3000万元的政策支持，2020年获得国家优势特色产业集群（花卉）项目资金1000万元支持。</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38" w:name="_Toc27387"/>
      <w:bookmarkStart w:id="39" w:name="_Toc8036"/>
      <w:r>
        <w:rPr>
          <w:rFonts w:hint="eastAsia" w:ascii="方正楷体_GBK" w:hAnsi="方正楷体_GBK" w:eastAsia="方正楷体_GBK" w:cs="方正楷体_GBK"/>
          <w:b w:val="0"/>
          <w:bCs w:val="0"/>
        </w:rPr>
        <w:t>（六）</w:t>
      </w:r>
      <w:bookmarkStart w:id="40" w:name="_Toc482865564"/>
      <w:r>
        <w:rPr>
          <w:rFonts w:hint="eastAsia" w:ascii="方正楷体_GBK" w:hAnsi="方正楷体_GBK" w:eastAsia="方正楷体_GBK" w:cs="方正楷体_GBK"/>
          <w:b w:val="0"/>
          <w:bCs w:val="0"/>
        </w:rPr>
        <w:t>花卉市场稳定持续增长</w:t>
      </w:r>
      <w:bookmarkEnd w:id="38"/>
      <w:bookmarkEnd w:id="39"/>
      <w:bookmarkEnd w:id="40"/>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color w:val="000000" w:themeColor="text1"/>
          <w:sz w:val="32"/>
          <w:szCs w:val="32"/>
        </w:rPr>
        <w:t>花卉种类及品种结构均为优势品类，经过多年发展，以鲜切花、盆花、种用花卉、地方特色花卉、绿化观赏苗木和加工用花卉为主的多元化产业发展格局基本形成，产品质量、单产均有较大提升。</w:t>
      </w:r>
      <w:r>
        <w:rPr>
          <w:rFonts w:ascii="Times New Roman" w:hAnsi="Times New Roman" w:eastAsia="方正仿宋_GBK" w:cs="Times New Roman"/>
          <w:sz w:val="32"/>
          <w:szCs w:val="32"/>
        </w:rPr>
        <w:t>从国内看，随着居民人均生活水平的不断提高，我国花卉消费市场日渐崛起，年均市场需求增长20%以上，家庭日常消费逐渐成为花卉消费的主体，大众消费需求更加多元化，需求稳定增长，已成为全球花卉消费增长最快的地区。</w:t>
      </w:r>
      <w:bookmarkStart w:id="41" w:name="_Toc2463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仿宋" w:hAnsi="仿宋" w:eastAsia="仿宋" w:cs="仿宋"/>
        </w:rPr>
      </w:pPr>
      <w:bookmarkStart w:id="42" w:name="_Toc11648"/>
      <w:r>
        <w:rPr>
          <w:rFonts w:hint="eastAsia" w:ascii="方正黑体_GBK" w:hAnsi="方正黑体_GBK" w:eastAsia="方正黑体_GBK" w:cs="方正黑体_GBK"/>
          <w:sz w:val="32"/>
          <w:szCs w:val="32"/>
        </w:rPr>
        <w:t>三、玉溪市花卉产业发展面临的挑战与机遇分析</w:t>
      </w:r>
      <w:bookmarkEnd w:id="41"/>
      <w:bookmarkEnd w:id="42"/>
      <w:bookmarkStart w:id="43" w:name="_Toc2452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方正楷体_GBK" w:hAnsi="方正楷体_GBK" w:eastAsia="方正楷体_GBK" w:cs="方正楷体_GBK"/>
          <w:sz w:val="32"/>
          <w:szCs w:val="32"/>
        </w:rPr>
      </w:pPr>
      <w:bookmarkStart w:id="44" w:name="_Toc20852"/>
      <w:r>
        <w:rPr>
          <w:rFonts w:hint="eastAsia" w:ascii="方正楷体_GBK" w:hAnsi="方正楷体_GBK" w:eastAsia="方正楷体_GBK" w:cs="方正楷体_GBK"/>
          <w:sz w:val="32"/>
          <w:szCs w:val="32"/>
        </w:rPr>
        <w:t>（一）严峻挑战</w:t>
      </w:r>
      <w:bookmarkEnd w:id="44"/>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一是市场竞争加大。</w:t>
      </w:r>
      <w:r>
        <w:rPr>
          <w:rFonts w:hint="eastAsia" w:ascii="方正仿宋_GBK" w:hAnsi="方正仿宋_GBK" w:eastAsia="方正仿宋_GBK" w:cs="方正仿宋_GBK"/>
          <w:sz w:val="32"/>
          <w:szCs w:val="32"/>
        </w:rPr>
        <w:t>省内红河、楚雄等新区规模、政策吸引发展较快，现代化设施起点高，产量、质量提升；国内四川、江苏、山东等省充分发挥区域条件，发展盆花，建立种苗、电商销售市场；</w:t>
      </w:r>
      <w:r>
        <w:rPr>
          <w:rFonts w:ascii="Times New Roman" w:hAnsi="Times New Roman" w:eastAsia="方正仿宋_GBK" w:cs="Times New Roman"/>
          <w:sz w:val="32"/>
          <w:szCs w:val="32"/>
        </w:rPr>
        <w:t>国际上，肯尼亚、拉美等新兴花卉产业区发挥低成本优势，挤占国内市场，导致竞争日益激烈。</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二是相关配套政策措施有待改善。一方面没有完善配套吸引社会资金的政策措施，形不成各部门支持建设花卉产业的合力。另一方面土地流转难度大。红塔区、</w:t>
      </w:r>
      <w:r>
        <w:rPr>
          <w:rFonts w:hint="eastAsia" w:ascii="Times New Roman" w:hAnsi="Times New Roman" w:eastAsia="方正仿宋_GBK" w:cs="Times New Roman"/>
          <w:sz w:val="32"/>
          <w:szCs w:val="32"/>
        </w:rPr>
        <w:t>江川区</w:t>
      </w:r>
      <w:r>
        <w:rPr>
          <w:rFonts w:ascii="Times New Roman" w:hAnsi="Times New Roman" w:eastAsia="方正仿宋_GBK" w:cs="Times New Roman"/>
          <w:sz w:val="32"/>
          <w:szCs w:val="32"/>
        </w:rPr>
        <w:t>、澄江</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、通海县、元江县是我市花卉生产的最佳区域，但该区域同时也是蔬菜、水果等高效农业的主产区，土地流转成本高、难度大</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000000" w:themeColor="text1"/>
          <w:sz w:val="32"/>
          <w:szCs w:val="32"/>
        </w:rPr>
        <w:t>难于形成规模化花卉园区和吸引企业入驻发展。</w:t>
      </w:r>
      <w:r>
        <w:rPr>
          <w:rFonts w:ascii="Times New Roman" w:hAnsi="Times New Roman" w:eastAsia="方正仿宋_GBK" w:cs="Times New Roman"/>
          <w:sz w:val="32"/>
          <w:szCs w:val="32"/>
        </w:rPr>
        <w:t>加之基层土地流转中介服务不完善，供求信息不对称，造成土地流转不畅。</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三是</w:t>
      </w:r>
      <w:r>
        <w:rPr>
          <w:rFonts w:hint="eastAsia" w:ascii="Times New Roman" w:hAnsi="Times New Roman" w:eastAsia="方正仿宋_GBK" w:cs="Times New Roman"/>
          <w:sz w:val="32"/>
          <w:szCs w:val="32"/>
          <w:lang w:eastAsia="zh-CN"/>
        </w:rPr>
        <w:t>现代化设施水平不高，</w:t>
      </w:r>
      <w:r>
        <w:rPr>
          <w:rFonts w:ascii="Times New Roman" w:hAnsi="Times New Roman" w:eastAsia="方正仿宋_GBK" w:cs="Times New Roman"/>
          <w:sz w:val="32"/>
          <w:szCs w:val="32"/>
        </w:rPr>
        <w:t>科技创新扶持不够。</w:t>
      </w:r>
      <w:r>
        <w:rPr>
          <w:rFonts w:ascii="Times New Roman" w:hAnsi="Times New Roman" w:eastAsia="方正仿宋_GBK" w:cs="Times New Roman"/>
          <w:color w:val="000000" w:themeColor="text1"/>
          <w:sz w:val="32"/>
          <w:szCs w:val="32"/>
        </w:rPr>
        <w:t>很多企业</w:t>
      </w:r>
      <w:r>
        <w:rPr>
          <w:rFonts w:hint="eastAsia" w:ascii="Times New Roman" w:hAnsi="Times New Roman" w:eastAsia="方正仿宋_GBK" w:cs="Times New Roman"/>
          <w:color w:val="000000" w:themeColor="text1"/>
          <w:sz w:val="32"/>
          <w:szCs w:val="32"/>
        </w:rPr>
        <w:t>和农户从业较早，</w:t>
      </w:r>
      <w:r>
        <w:rPr>
          <w:rFonts w:ascii="Times New Roman" w:hAnsi="Times New Roman" w:eastAsia="方正仿宋_GBK" w:cs="Times New Roman"/>
          <w:color w:val="000000" w:themeColor="text1"/>
          <w:sz w:val="32"/>
          <w:szCs w:val="32"/>
        </w:rPr>
        <w:t>缺乏机械化、自动化设备，已有的设施也是档次较低、设施设备不配套</w:t>
      </w:r>
      <w:r>
        <w:rPr>
          <w:rFonts w:hint="eastAsia" w:ascii="Times New Roman" w:hAnsi="Times New Roman" w:eastAsia="方正仿宋_GBK" w:cs="Times New Roman"/>
          <w:color w:val="000000" w:themeColor="text1"/>
          <w:sz w:val="32"/>
          <w:szCs w:val="32"/>
          <w:lang w:eastAsia="zh-CN"/>
        </w:rPr>
        <w:t>，</w:t>
      </w:r>
      <w:r>
        <w:rPr>
          <w:rFonts w:ascii="Times New Roman" w:hAnsi="Times New Roman" w:eastAsia="方正仿宋_GBK" w:cs="Times New Roman"/>
          <w:color w:val="000000" w:themeColor="text1"/>
          <w:sz w:val="32"/>
          <w:szCs w:val="32"/>
        </w:rPr>
        <w:t>使得全市</w:t>
      </w:r>
      <w:r>
        <w:rPr>
          <w:rFonts w:hint="eastAsia" w:ascii="Times New Roman" w:hAnsi="Times New Roman" w:eastAsia="方正仿宋_GBK" w:cs="Times New Roman"/>
          <w:color w:val="000000" w:themeColor="text1"/>
          <w:sz w:val="32"/>
          <w:szCs w:val="32"/>
          <w:lang w:eastAsia="zh-CN"/>
        </w:rPr>
        <w:t>鲜切花的</w:t>
      </w:r>
      <w:r>
        <w:rPr>
          <w:rFonts w:hint="eastAsia" w:ascii="Times New Roman" w:hAnsi="Times New Roman" w:eastAsia="方正仿宋_GBK" w:cs="Times New Roman"/>
          <w:color w:val="000000" w:themeColor="text1"/>
          <w:sz w:val="32"/>
          <w:szCs w:val="32"/>
        </w:rPr>
        <w:t>产量和</w:t>
      </w:r>
      <w:r>
        <w:rPr>
          <w:rFonts w:ascii="Times New Roman" w:hAnsi="Times New Roman" w:eastAsia="方正仿宋_GBK" w:cs="Times New Roman"/>
          <w:color w:val="000000" w:themeColor="text1"/>
          <w:sz w:val="32"/>
          <w:szCs w:val="32"/>
        </w:rPr>
        <w:t>质量较低。</w:t>
      </w:r>
      <w:r>
        <w:rPr>
          <w:rFonts w:hint="eastAsia" w:ascii="方正仿宋_GBK" w:hAnsi="方正仿宋_GBK" w:eastAsia="方正仿宋_GBK" w:cs="方正仿宋_GBK"/>
          <w:color w:val="000000" w:themeColor="text1"/>
          <w:sz w:val="32"/>
          <w:szCs w:val="32"/>
        </w:rPr>
        <w:t>缺乏核心竞争力品种研发的企业，仍停留在现有设施条件下的设施设备研发、栽培技术完善，现代化设施和采后处理技术创新</w:t>
      </w:r>
      <w:r>
        <w:rPr>
          <w:rFonts w:hint="eastAsia" w:ascii="方正仿宋_GBK" w:hAnsi="方正仿宋_GBK" w:eastAsia="方正仿宋_GBK" w:cs="方正仿宋_GBK"/>
          <w:color w:val="000000" w:themeColor="text1"/>
          <w:sz w:val="32"/>
          <w:szCs w:val="32"/>
          <w:lang w:eastAsia="zh-CN"/>
        </w:rPr>
        <w:t>不足，</w:t>
      </w:r>
      <w:r>
        <w:rPr>
          <w:rFonts w:ascii="Times New Roman" w:hAnsi="Times New Roman" w:eastAsia="方正仿宋_GBK" w:cs="Times New Roman"/>
          <w:sz w:val="32"/>
          <w:szCs w:val="32"/>
        </w:rPr>
        <w:t>对新技术、新品种引进，风险性科技创新项目扶持资金不足。</w:t>
      </w:r>
      <w:bookmarkStart w:id="45" w:name="_Toc48286557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四是金融支持限制因素多</w:t>
      </w:r>
      <w:bookmarkEnd w:id="45"/>
      <w:r>
        <w:rPr>
          <w:rFonts w:ascii="Times New Roman" w:hAnsi="Times New Roman" w:eastAsia="方正仿宋_GBK" w:cs="Times New Roman"/>
          <w:sz w:val="32"/>
          <w:szCs w:val="32"/>
        </w:rPr>
        <w:t>，花卉企业融资难。花卉产业是典型的高投入高效益产业，生产中气候、质量、市场不可预见的因素多，加之大部分花卉企业有效的担保抵押资产不足，受金融市场贷款风险评估机制制约，花卉企业获得金融贷款支持的难度大。</w:t>
      </w:r>
      <w:bookmarkEnd w:id="43"/>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rPr>
      </w:pPr>
      <w:r>
        <w:rPr>
          <w:rFonts w:ascii="Times New Roman" w:hAnsi="Times New Roman" w:eastAsia="方正仿宋_GBK" w:cs="Times New Roman"/>
          <w:sz w:val="32"/>
          <w:szCs w:val="32"/>
        </w:rPr>
        <w:t>五是受2020年以来全球新冠疫情影响，花卉产业遭到重大打击，面积有所下降，发展的步伐放慢</w:t>
      </w:r>
      <w:r>
        <w:rPr>
          <w:rFonts w:hint="eastAsia" w:ascii="Times New Roman" w:hAnsi="Times New Roman" w:eastAsia="方正仿宋_GBK" w:cs="Times New Roman"/>
          <w:sz w:val="32"/>
          <w:szCs w:val="32"/>
          <w:lang w:eastAsia="zh-CN"/>
        </w:rPr>
        <w:t>。</w:t>
      </w:r>
      <w:bookmarkStart w:id="46" w:name="_Toc21215"/>
      <w:r>
        <w:rPr>
          <w:rFonts w:hint="eastAsia" w:ascii="Times New Roman" w:hAnsi="Times New Roman" w:eastAsia="方正仿宋_GBK" w:cs="Times New Roman"/>
          <w:color w:val="000000" w:themeColor="text1"/>
          <w:sz w:val="32"/>
          <w:szCs w:val="32"/>
          <w:lang w:val="en-US" w:eastAsia="zh-CN"/>
        </w:rPr>
        <w:t>2021年逐步恢复生产，形势有所好转。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方正楷体_GBK" w:hAnsi="方正楷体_GBK" w:eastAsia="方正楷体_GBK" w:cs="方正楷体_GBK"/>
          <w:sz w:val="32"/>
          <w:szCs w:val="32"/>
        </w:rPr>
      </w:pPr>
      <w:bookmarkStart w:id="47" w:name="_Toc29762"/>
      <w:r>
        <w:rPr>
          <w:rFonts w:hint="eastAsia" w:ascii="方正楷体_GBK" w:hAnsi="方正楷体_GBK" w:eastAsia="方正楷体_GBK" w:cs="方正楷体_GBK"/>
          <w:sz w:val="32"/>
          <w:szCs w:val="32"/>
        </w:rPr>
        <w:t>（二）发展机遇</w:t>
      </w:r>
      <w:bookmarkEnd w:id="47"/>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一是重大战略机遇。国家实施</w:t>
      </w:r>
      <w:r>
        <w:rPr>
          <w:rFonts w:hint="eastAsia" w:ascii="方正仿宋_GBK" w:hAnsi="方正仿宋_GBK" w:eastAsia="方正仿宋_GBK" w:cs="方正仿宋_GBK"/>
          <w:sz w:val="32"/>
          <w:szCs w:val="32"/>
        </w:rPr>
        <w:t>“一带一路”</w:t>
      </w:r>
      <w:r>
        <w:rPr>
          <w:rFonts w:hint="eastAsia" w:ascii="Times New Roman" w:hAnsi="Times New Roman" w:eastAsia="方正仿宋_GBK" w:cs="Times New Roman"/>
          <w:sz w:val="32"/>
          <w:szCs w:val="32"/>
          <w:lang w:eastAsia="zh-CN"/>
        </w:rPr>
        <w:t>倡议</w:t>
      </w:r>
      <w:r>
        <w:rPr>
          <w:rFonts w:ascii="Times New Roman" w:hAnsi="Times New Roman" w:eastAsia="方正仿宋_GBK" w:cs="Times New Roman"/>
          <w:sz w:val="32"/>
          <w:szCs w:val="32"/>
        </w:rPr>
        <w:t>中，云南承担着建设成为面向南亚、东南亚辐射中心的历时使命，为云南花卉发展包括云花产品、技术、资金</w:t>
      </w:r>
      <w:r>
        <w:rPr>
          <w:rFonts w:hint="eastAsia" w:ascii="方正仿宋_GBK" w:hAnsi="方正仿宋_GBK" w:eastAsia="方正仿宋_GBK" w:cs="方正仿宋_GBK"/>
          <w:sz w:val="32"/>
          <w:szCs w:val="32"/>
        </w:rPr>
        <w:t>“走出去”</w:t>
      </w:r>
      <w:r>
        <w:rPr>
          <w:rFonts w:ascii="Times New Roman" w:hAnsi="Times New Roman" w:eastAsia="方正仿宋_GBK" w:cs="Times New Roman"/>
          <w:sz w:val="32"/>
          <w:szCs w:val="32"/>
        </w:rPr>
        <w:t>拓展了空间，提供了重要契机。省委省政府将高原特色现代农业产业作为今后云南着力推进的八大重点产业之一，云花产业是其重要的组成部分，</w:t>
      </w:r>
      <w:r>
        <w:rPr>
          <w:rFonts w:hint="eastAsia" w:ascii="方正仿宋_GBK" w:hAnsi="方正仿宋_GBK" w:eastAsia="方正仿宋_GBK" w:cs="方正仿宋_GBK"/>
          <w:sz w:val="32"/>
          <w:szCs w:val="32"/>
        </w:rPr>
        <w:t>“千亿云花产业”</w:t>
      </w:r>
      <w:r>
        <w:rPr>
          <w:rFonts w:ascii="Times New Roman" w:hAnsi="Times New Roman" w:eastAsia="方正仿宋_GBK" w:cs="Times New Roman"/>
          <w:sz w:val="32"/>
          <w:szCs w:val="32"/>
        </w:rPr>
        <w:t>将成为云南农业农村经济发展的重要内容。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二是结构调整机遇。随着国家供给侧结构性改革加速推进和东中部产业要素向西部转移，将对我市大力发展对外开放型和市场导向性花卉产业提供更广阔的空间。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是消费需求的机遇。随着国内消费能力的不断增强和小康社会的全面建成，居民对花卉产品的种类、特色等方面的要求日益提高。这就要求我市花卉产业要不断提高自身科研创新能力，促进科研与市场的前后期对接，大力促进优质花卉产量，提高改造传统花卉产区生产设施及技术。</w:t>
      </w:r>
      <w:r>
        <w:rPr>
          <w:rFonts w:hint="eastAsia" w:ascii="Times New Roman" w:hAnsi="Times New Roman" w:eastAsia="方正仿宋_GBK" w:cs="Times New Roman"/>
          <w:sz w:val="32"/>
          <w:szCs w:val="32"/>
          <w:lang w:eastAsia="zh-CN"/>
        </w:rPr>
        <w:t>受新冠肺炎疫情影响，</w:t>
      </w:r>
      <w:r>
        <w:rPr>
          <w:rFonts w:ascii="Times New Roman" w:hAnsi="Times New Roman" w:eastAsia="方正仿宋_GBK" w:cs="Times New Roman"/>
          <w:sz w:val="32"/>
          <w:szCs w:val="32"/>
        </w:rPr>
        <w:t>由于进口花卉进不来，国内对高品质花卉的需求也给玉溪带来了新的机遇。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是社会资本进入的机遇。随着产业的转型升级，资源要素的重新配置，金融资本关注度的提高，房地产、钢铁建材、矿产能源等行业深度调整，云南花卉产业以其高投入高产出高增速的特质，将吸引大量金融资本、社会资本专项进入花卉产业，有利推动云花转型升级做大做强。</w:t>
      </w:r>
      <w:bookmarkEnd w:id="46"/>
      <w:bookmarkStart w:id="48" w:name="_Toc11343"/>
      <w:bookmarkStart w:id="49" w:name="_Toc15473"/>
      <w:bookmarkStart w:id="50" w:name="_Toc482865574"/>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br w:type="page"/>
      </w:r>
    </w:p>
    <w:p>
      <w:pPr>
        <w:keepNext w:val="0"/>
        <w:keepLines w:val="0"/>
        <w:pageBreakBefore w:val="0"/>
        <w:widowControl w:val="0"/>
        <w:kinsoku/>
        <w:wordWrap/>
        <w:overflowPunct/>
        <w:topLinePunct w:val="0"/>
        <w:autoSpaceDE/>
        <w:autoSpaceDN/>
        <w:bidi w:val="0"/>
        <w:adjustRightInd/>
        <w:jc w:val="center"/>
        <w:textAlignment w:val="auto"/>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第二章  花卉产业发展战略目标与路径</w:t>
      </w:r>
      <w:bookmarkEnd w:id="48"/>
      <w:bookmarkEnd w:id="49"/>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outlineLvl w:val="9"/>
        <w:rPr>
          <w:rFonts w:ascii="方正黑体_GBK" w:hAnsi="方正黑体_GBK" w:eastAsia="方正黑体_GBK" w:cs="方正黑体_GBK"/>
          <w:b w:val="0"/>
          <w:bCs w:val="0"/>
        </w:rPr>
      </w:pPr>
      <w:bookmarkStart w:id="51" w:name="_Toc11943"/>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52" w:name="_Toc32115"/>
      <w:r>
        <w:rPr>
          <w:rFonts w:hint="eastAsia" w:ascii="方正黑体_GBK" w:hAnsi="方正黑体_GBK" w:eastAsia="方正黑体_GBK" w:cs="方正黑体_GBK"/>
          <w:b w:val="0"/>
          <w:bCs w:val="0"/>
        </w:rPr>
        <w:t>一、发展思路</w:t>
      </w:r>
      <w:bookmarkEnd w:id="50"/>
      <w:bookmarkEnd w:id="51"/>
      <w:bookmarkEnd w:id="5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sz w:val="32"/>
          <w:szCs w:val="32"/>
        </w:rPr>
        <w:t>以</w:t>
      </w:r>
      <w:r>
        <w:rPr>
          <w:rFonts w:hint="eastAsia" w:ascii="Times New Roman" w:hAnsi="Times New Roman" w:eastAsia="方正仿宋_GBK" w:cs="Times New Roman"/>
          <w:kern w:val="0"/>
          <w:sz w:val="32"/>
          <w:szCs w:val="32"/>
        </w:rPr>
        <w:t>习近平新时代中国特色社会主义思想为指导，</w:t>
      </w:r>
      <w:r>
        <w:rPr>
          <w:rFonts w:ascii="Times New Roman" w:hAnsi="Times New Roman" w:eastAsia="方正仿宋_GBK" w:cs="Times New Roman"/>
          <w:sz w:val="32"/>
          <w:szCs w:val="32"/>
        </w:rPr>
        <w:t>全面贯彻党的十九大和十九届二中、三中、四中、五中全会精神，</w:t>
      </w:r>
      <w:r>
        <w:rPr>
          <w:rFonts w:ascii="Times New Roman" w:hAnsi="Times New Roman" w:eastAsia="方正仿宋_GBK" w:cs="Times New Roman"/>
          <w:kern w:val="0"/>
          <w:sz w:val="32"/>
          <w:szCs w:val="32"/>
        </w:rPr>
        <w:t>认真贯彻中央</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省</w:t>
      </w:r>
      <w:r>
        <w:rPr>
          <w:rFonts w:hint="eastAsia" w:ascii="Times New Roman" w:hAnsi="Times New Roman" w:eastAsia="方正仿宋_GBK" w:cs="Times New Roman"/>
          <w:kern w:val="0"/>
          <w:sz w:val="32"/>
          <w:szCs w:val="32"/>
        </w:rPr>
        <w:t>、市关于农业</w:t>
      </w:r>
      <w:r>
        <w:rPr>
          <w:rFonts w:ascii="Times New Roman" w:hAnsi="Times New Roman" w:eastAsia="方正仿宋_GBK" w:cs="Times New Roman"/>
          <w:kern w:val="0"/>
          <w:sz w:val="32"/>
          <w:szCs w:val="32"/>
        </w:rPr>
        <w:t>农村工作</w:t>
      </w:r>
      <w:r>
        <w:rPr>
          <w:rFonts w:hint="eastAsia" w:ascii="Times New Roman" w:hAnsi="Times New Roman" w:eastAsia="方正仿宋_GBK" w:cs="Times New Roman"/>
          <w:kern w:val="0"/>
          <w:sz w:val="32"/>
          <w:szCs w:val="32"/>
        </w:rPr>
        <w:t>的重大决策</w:t>
      </w:r>
      <w:r>
        <w:rPr>
          <w:rFonts w:ascii="Times New Roman" w:hAnsi="Times New Roman" w:eastAsia="方正仿宋_GBK" w:cs="Times New Roman"/>
          <w:kern w:val="0"/>
          <w:sz w:val="32"/>
          <w:szCs w:val="32"/>
        </w:rPr>
        <w:t>部署，坚持稳中求进工作总基调，立足新发展阶段，贯彻新发展理念，构建新发展格局</w:t>
      </w:r>
      <w:r>
        <w:rPr>
          <w:rFonts w:hint="eastAsia" w:ascii="Times New Roman" w:hAnsi="Times New Roman" w:eastAsia="方正仿宋_GBK" w:cs="Times New Roman"/>
          <w:kern w:val="0"/>
          <w:sz w:val="32"/>
          <w:szCs w:val="32"/>
        </w:rPr>
        <w:t>。围绕打造世界一流的</w:t>
      </w:r>
      <w:r>
        <w:rPr>
          <w:rFonts w:hint="eastAsia" w:ascii="方正仿宋_GBK" w:hAnsi="方正仿宋_GBK" w:eastAsia="方正仿宋_GBK" w:cs="方正仿宋_GBK"/>
          <w:kern w:val="0"/>
          <w:sz w:val="32"/>
          <w:szCs w:val="32"/>
        </w:rPr>
        <w:t>“绿色食品牌”，进一步转变发展方式，以提升产品质量和增加经济效益为主线，以“特”立产业，以“优”促升级，以“品牌”谋发展，走“专业化、规模化、集约化、标准化、工业化、国际化”的发</w:t>
      </w:r>
      <w:r>
        <w:rPr>
          <w:rFonts w:ascii="Times New Roman" w:hAnsi="Times New Roman" w:eastAsia="方正仿宋_GBK" w:cs="Times New Roman"/>
          <w:kern w:val="0"/>
          <w:sz w:val="32"/>
          <w:szCs w:val="32"/>
        </w:rPr>
        <w:t>展路子，坚持以产业化思路谋划发展、以品牌化的战略抓市场、以生态化的道路促技术，全面建立健全营销网络体系、技术开发体系、质量监管体系、社会服务体系，充分利用玉溪气候资源优势，发展适销对路的优质花卉产品，通过提升设施、品种</w:t>
      </w:r>
      <w:r>
        <w:rPr>
          <w:rFonts w:hint="eastAsia" w:ascii="方正仿宋_GBK" w:hAnsi="方正仿宋_GBK" w:eastAsia="方正仿宋_GBK" w:cs="方正仿宋_GBK"/>
          <w:kern w:val="0"/>
          <w:sz w:val="32"/>
          <w:szCs w:val="32"/>
        </w:rPr>
        <w:t>更新、扩展销售空间，全面提升玉溪花卉产业的竞争力，</w:t>
      </w:r>
      <w:r>
        <w:rPr>
          <w:rFonts w:hint="eastAsia" w:ascii="方正仿宋_GBK" w:hAnsi="方正仿宋_GBK" w:eastAsia="方正仿宋_GBK" w:cs="方正仿宋_GBK"/>
          <w:kern w:val="0"/>
          <w:sz w:val="32"/>
          <w:szCs w:val="32"/>
          <w:lang w:eastAsia="zh-CN"/>
        </w:rPr>
        <w:t>打造精品“云花”产区，</w:t>
      </w:r>
      <w:r>
        <w:rPr>
          <w:rFonts w:hint="eastAsia" w:ascii="方正仿宋_GBK" w:hAnsi="方正仿宋_GBK" w:eastAsia="方正仿宋_GBK" w:cs="方正仿宋_GBK"/>
          <w:kern w:val="0"/>
          <w:sz w:val="32"/>
          <w:szCs w:val="32"/>
        </w:rPr>
        <w:t>把玉溪市花卉产业建成云南辐射全国乃至东南亚的高品质花</w:t>
      </w:r>
      <w:r>
        <w:rPr>
          <w:rFonts w:ascii="Times New Roman" w:hAnsi="Times New Roman" w:eastAsia="方正仿宋_GBK" w:cs="Times New Roman"/>
          <w:kern w:val="0"/>
          <w:sz w:val="32"/>
          <w:szCs w:val="32"/>
        </w:rPr>
        <w:t>卉生产区和优质种苗供应基地，为推动实现市委市政府提出的率先在云南实现农业</w:t>
      </w:r>
      <w:r>
        <w:rPr>
          <w:rFonts w:hint="eastAsia" w:ascii="Times New Roman" w:hAnsi="Times New Roman" w:eastAsia="方正仿宋_GBK" w:cs="Times New Roman"/>
          <w:kern w:val="0"/>
          <w:sz w:val="32"/>
          <w:szCs w:val="32"/>
        </w:rPr>
        <w:t>农村</w:t>
      </w:r>
      <w:r>
        <w:rPr>
          <w:rFonts w:ascii="Times New Roman" w:hAnsi="Times New Roman" w:eastAsia="方正仿宋_GBK" w:cs="Times New Roman"/>
          <w:kern w:val="0"/>
          <w:sz w:val="32"/>
          <w:szCs w:val="32"/>
        </w:rPr>
        <w:t>现代化的宏伟目标，做出新的更大</w:t>
      </w:r>
      <w:r>
        <w:rPr>
          <w:rFonts w:hint="eastAsia" w:ascii="Times New Roman" w:hAnsi="Times New Roman" w:eastAsia="方正仿宋_GBK" w:cs="Times New Roman"/>
          <w:kern w:val="0"/>
          <w:sz w:val="32"/>
          <w:szCs w:val="32"/>
          <w:lang w:eastAsia="zh-CN"/>
        </w:rPr>
        <w:t>地</w:t>
      </w:r>
      <w:r>
        <w:rPr>
          <w:rFonts w:ascii="Times New Roman" w:hAnsi="Times New Roman" w:eastAsia="方正仿宋_GBK" w:cs="Times New Roman"/>
          <w:kern w:val="0"/>
          <w:sz w:val="32"/>
          <w:szCs w:val="32"/>
        </w:rPr>
        <w:t>贡献。</w:t>
      </w:r>
      <w:bookmarkStart w:id="53" w:name="_Toc5886"/>
      <w:bookmarkStart w:id="54" w:name="_Toc482865579"/>
      <w:bookmarkStart w:id="55" w:name="_Toc9461"/>
      <w:bookmarkStart w:id="56" w:name="_Toc482865575"/>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方正黑体_GBK" w:hAnsi="方正黑体_GBK" w:eastAsia="方正黑体_GBK" w:cs="方正黑体_GBK"/>
          <w:sz w:val="32"/>
          <w:szCs w:val="32"/>
        </w:rPr>
      </w:pPr>
      <w:bookmarkStart w:id="57" w:name="_Toc19988"/>
      <w:r>
        <w:rPr>
          <w:rFonts w:hint="eastAsia" w:ascii="方正黑体_GBK" w:hAnsi="方正黑体_GBK" w:eastAsia="方正黑体_GBK" w:cs="方正黑体_GBK"/>
          <w:sz w:val="32"/>
          <w:szCs w:val="32"/>
        </w:rPr>
        <w:t>二、发展原则</w:t>
      </w:r>
      <w:bookmarkEnd w:id="53"/>
      <w:bookmarkEnd w:id="54"/>
      <w:bookmarkEnd w:id="57"/>
      <w:bookmarkStart w:id="58" w:name="_Toc25969"/>
      <w:bookmarkStart w:id="59" w:name="_Toc482865580"/>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坚持生态高效发展原则</w:t>
      </w:r>
      <w:bookmarkEnd w:id="58"/>
      <w:bookmarkEnd w:id="59"/>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以科学发展观为统领，以资源高效利用和生态环境改善为主线，以市场需求为导向，按照高效、生态、创新的原则和发展现代产业化农业的要求，着力优化玉溪花卉产业结构，完善产业基础设施，优化发展模式，实现开发与保护、资源与环境、经济与生态的有机统一。大力推行农业节水，合理推行水肥一体循环设施，建立绿色、低碳、循环发展长效机制，在</w:t>
      </w:r>
      <w:r>
        <w:rPr>
          <w:rFonts w:hint="eastAsia" w:ascii="方正仿宋_GBK" w:hAnsi="方正仿宋_GBK" w:eastAsia="方正仿宋_GBK" w:cs="方正仿宋_GBK"/>
          <w:sz w:val="32"/>
          <w:szCs w:val="32"/>
        </w:rPr>
        <w:t>“一控两减”</w:t>
      </w:r>
      <w:r>
        <w:rPr>
          <w:rFonts w:ascii="Times New Roman" w:hAnsi="Times New Roman" w:eastAsia="方正仿宋_GBK" w:cs="Times New Roman"/>
          <w:sz w:val="32"/>
          <w:szCs w:val="32"/>
        </w:rPr>
        <w:t>方面取得成效，污水、废气排放达标，对种植产生的垃圾进行有效处理。</w:t>
      </w:r>
      <w:bookmarkStart w:id="60" w:name="_Toc482865581"/>
      <w:bookmarkStart w:id="61" w:name="_Toc13982"/>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坚持创新驱动</w:t>
      </w:r>
      <w:bookmarkEnd w:id="60"/>
      <w:r>
        <w:rPr>
          <w:rFonts w:ascii="Times New Roman" w:hAnsi="Times New Roman" w:eastAsia="方正仿宋_GBK" w:cs="Times New Roman"/>
          <w:b/>
          <w:bCs/>
          <w:sz w:val="32"/>
          <w:szCs w:val="32"/>
        </w:rPr>
        <w:t>，质效并举原则</w:t>
      </w:r>
      <w:bookmarkEnd w:id="61"/>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生产者为主体、市场为导向、技术为核心，产学研相结合，组织联合攻关、重点突破花卉良种繁育、自主知识产权品种培育、花卉优质丰产栽培关键技术；通过产业链的延伸，实现花卉资源及产品的深度开发和综合利用，不断提升玉溪花卉产业的整体水平和综合竞争力。</w:t>
      </w:r>
      <w:bookmarkStart w:id="62" w:name="_Toc482865582"/>
      <w:bookmarkStart w:id="63" w:name="_Toc6907"/>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坚持开放合作发展原则</w:t>
      </w:r>
      <w:bookmarkEnd w:id="62"/>
      <w:bookmarkEnd w:id="63"/>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积极借鉴国内外</w:t>
      </w:r>
      <w:r>
        <w:rPr>
          <w:rFonts w:hint="eastAsia"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省内外花卉产业发展的成功经验，从花卉品种创新、种子种苗生产、生产技术设备引进、管理营销模式等多方面进行探索、借鉴及消化学习，全面提高我市花卉的竞争力，同时也要大胆地走出去，将我省优质的花卉各类产品向消费市场进行推介，特别是花卉种苗及深加工产品等正处于发展中期的产业。</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bookmarkStart w:id="64" w:name="_Toc32237"/>
      <w:bookmarkStart w:id="65" w:name="_Toc482865583"/>
      <w:r>
        <w:rPr>
          <w:rFonts w:ascii="Times New Roman" w:hAnsi="Times New Roman" w:eastAsia="方正仿宋_GBK" w:cs="Times New Roman"/>
          <w:b/>
          <w:bCs/>
          <w:sz w:val="32"/>
          <w:szCs w:val="32"/>
        </w:rPr>
        <w:t>坚持市场导向，政府引导原则</w:t>
      </w:r>
      <w:bookmarkEnd w:id="64"/>
      <w:bookmarkEnd w:id="65"/>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以市场需求为导向，充分发挥市场在配置资源中的决定性作用，不盲目扩大花卉种植面积，适度规模发展花卉种植和深加工产业；积极发挥政府的规划先行、合理引导、政策鼓励及协调组织的作用；尊重生产者如企业、合作组织、种植大户等生产经营主体在玉溪花卉产业发展中的自主地位。强化政府在制定和实施茶产业发展战略、规划、政策、标准、公共服务等方面的职责，加强市场活动监管，建立公平竞争的市场环境。</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坚持标准先行、科技支撑原则</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加大生产、加工、产品等地方标准、行业标准、企业标准的编制、推广和执行，通过标准先行，促进产业发展。以技术创新为根本，人才队伍建设为支撑，全面提升云花产品品质，强化企业及科研单位的花卉研发力度，着重引导产业前端科研投入，增强推广基质栽培、水肥一体、循环水利用等科学环保种植手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坚持龙头带动、品牌引领原则</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坚持扶优扶强，重点支持市场带动力前个、发展规模大、发展前景好、效益突出的龙头企业，积极引导先进科技和管理经营人才，着力培育花卉产业小巨人和企业集群；坚持市场指导、企业主体、政府支持、专业运作，大力实施品牌战略，全面提升云花品牌知名度、影响力和带动力。</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66" w:name="_Toc16437"/>
      <w:r>
        <w:rPr>
          <w:rFonts w:hint="eastAsia" w:ascii="方正黑体_GBK" w:hAnsi="方正黑体_GBK" w:eastAsia="方正黑体_GBK" w:cs="方正黑体_GBK"/>
          <w:b w:val="0"/>
          <w:bCs w:val="0"/>
        </w:rPr>
        <w:t>三、发展目标</w:t>
      </w:r>
      <w:bookmarkEnd w:id="55"/>
      <w:bookmarkEnd w:id="56"/>
      <w:bookmarkEnd w:id="66"/>
      <w:r>
        <w:rPr>
          <w:rFonts w:hint="eastAsia" w:ascii="方正黑体_GBK" w:hAnsi="方正黑体_GBK" w:eastAsia="方正黑体_GBK" w:cs="方正黑体_GBK"/>
          <w:b w:val="0"/>
          <w:bCs w:val="0"/>
        </w:rPr>
        <w:tab/>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kern w:val="0"/>
          <w:sz w:val="32"/>
          <w:szCs w:val="32"/>
        </w:rPr>
        <w:t>以市场为导向，以经济效益为核心，以鲜切花和盆花生产为重点，加强龙头企业和专业合作社的培育，增强科技研发体系建设，</w:t>
      </w:r>
      <w:r>
        <w:rPr>
          <w:rFonts w:hint="eastAsia" w:ascii="Times New Roman" w:hAnsi="Times New Roman" w:eastAsia="方正仿宋_GBK" w:cs="Times New Roman"/>
          <w:kern w:val="0"/>
          <w:sz w:val="32"/>
          <w:szCs w:val="32"/>
          <w:lang w:eastAsia="zh-CN"/>
        </w:rPr>
        <w:t>培育拥有自主知识产权核心竞争力的</w:t>
      </w:r>
      <w:r>
        <w:rPr>
          <w:rFonts w:ascii="Times New Roman" w:hAnsi="Times New Roman" w:eastAsia="方正仿宋_GBK" w:cs="Times New Roman"/>
          <w:kern w:val="0"/>
          <w:sz w:val="32"/>
          <w:szCs w:val="32"/>
        </w:rPr>
        <w:t>新品种，形</w:t>
      </w:r>
      <w:r>
        <w:rPr>
          <w:rFonts w:hint="eastAsia" w:ascii="方正仿宋_GBK" w:hAnsi="方正仿宋_GBK" w:eastAsia="方正仿宋_GBK" w:cs="方正仿宋_GBK"/>
          <w:kern w:val="0"/>
          <w:sz w:val="32"/>
          <w:szCs w:val="32"/>
        </w:rPr>
        <w:t>成“政府引导、企业主导、合作并带动、科技支撑、市场拉动”的发</w:t>
      </w:r>
      <w:r>
        <w:rPr>
          <w:rFonts w:ascii="Times New Roman" w:hAnsi="Times New Roman" w:eastAsia="方正仿宋_GBK" w:cs="Times New Roman"/>
          <w:kern w:val="0"/>
          <w:sz w:val="32"/>
          <w:szCs w:val="32"/>
        </w:rPr>
        <w:t>展格局。到2025年，</w:t>
      </w:r>
      <w:bookmarkStart w:id="67" w:name="_Toc482865576"/>
      <w:r>
        <w:rPr>
          <w:rFonts w:hint="eastAsia" w:ascii="Times New Roman" w:hAnsi="Times New Roman" w:eastAsia="方正仿宋_GBK" w:cs="Times New Roman"/>
          <w:kern w:val="0"/>
          <w:sz w:val="32"/>
          <w:szCs w:val="32"/>
        </w:rPr>
        <w:t>全市花卉</w:t>
      </w:r>
      <w:r>
        <w:rPr>
          <w:rFonts w:ascii="Times New Roman" w:hAnsi="Times New Roman" w:eastAsia="方正仿宋_GBK" w:cs="Times New Roman"/>
          <w:sz w:val="32"/>
          <w:szCs w:val="32"/>
        </w:rPr>
        <w:t>总面积1</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万亩，</w:t>
      </w:r>
      <w:r>
        <w:rPr>
          <w:rFonts w:hint="eastAsia" w:ascii="Times New Roman" w:hAnsi="Times New Roman" w:eastAsia="方正仿宋_GBK" w:cs="Times New Roman"/>
          <w:sz w:val="32"/>
          <w:szCs w:val="32"/>
          <w:lang w:eastAsia="zh-CN"/>
        </w:rPr>
        <w:t>以扩大</w:t>
      </w:r>
      <w:r>
        <w:rPr>
          <w:rFonts w:ascii="Times New Roman" w:hAnsi="Times New Roman" w:eastAsia="方正仿宋_GBK" w:cs="Times New Roman"/>
          <w:sz w:val="32"/>
          <w:szCs w:val="32"/>
        </w:rPr>
        <w:t>鲜切花</w:t>
      </w:r>
      <w:r>
        <w:rPr>
          <w:rFonts w:hint="eastAsia" w:ascii="Times New Roman" w:hAnsi="Times New Roman" w:eastAsia="方正仿宋_GBK" w:cs="Times New Roman"/>
          <w:sz w:val="32"/>
          <w:szCs w:val="32"/>
          <w:lang w:eastAsia="zh-CN"/>
        </w:rPr>
        <w:t>面积</w:t>
      </w:r>
      <w:r>
        <w:rPr>
          <w:rFonts w:hint="eastAsia" w:ascii="Times New Roman" w:hAnsi="Times New Roman" w:eastAsia="方正仿宋_GBK" w:cs="Times New Roman"/>
          <w:color w:val="000000" w:themeColor="text1"/>
          <w:sz w:val="32"/>
          <w:szCs w:val="32"/>
          <w:lang w:eastAsia="zh-CN"/>
        </w:rPr>
        <w:t>为主</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sz w:val="32"/>
          <w:szCs w:val="32"/>
          <w:lang w:val="en-US" w:eastAsia="zh-CN"/>
        </w:rPr>
        <w:t>花卉产业</w:t>
      </w:r>
      <w:r>
        <w:rPr>
          <w:rFonts w:hint="eastAsia" w:ascii="Times New Roman" w:hAnsi="Times New Roman" w:eastAsia="方正仿宋_GBK" w:cs="Times New Roman"/>
          <w:color w:val="000000" w:themeColor="text1"/>
          <w:kern w:val="0"/>
          <w:sz w:val="32"/>
          <w:szCs w:val="32"/>
          <w:lang w:val="en-US" w:eastAsia="zh-CN"/>
        </w:rPr>
        <w:t>一产</w:t>
      </w:r>
      <w:r>
        <w:rPr>
          <w:rFonts w:hint="default" w:ascii="Times New Roman" w:hAnsi="Times New Roman" w:eastAsia="方正仿宋_GBK" w:cs="Times New Roman"/>
          <w:color w:val="000000" w:themeColor="text1"/>
          <w:kern w:val="0"/>
          <w:sz w:val="32"/>
          <w:szCs w:val="32"/>
          <w:lang w:val="en-US" w:eastAsia="zh-CN"/>
        </w:rPr>
        <w:t>产值</w:t>
      </w:r>
      <w:r>
        <w:rPr>
          <w:rFonts w:hint="eastAsia" w:ascii="Times New Roman" w:hAnsi="Times New Roman" w:eastAsia="方正仿宋_GBK" w:cs="Times New Roman"/>
          <w:color w:val="000000" w:themeColor="text1"/>
          <w:kern w:val="0"/>
          <w:sz w:val="32"/>
          <w:szCs w:val="32"/>
          <w:lang w:val="en-US" w:eastAsia="zh-CN"/>
        </w:rPr>
        <w:t>40亿元，综合产值100</w:t>
      </w:r>
      <w:r>
        <w:rPr>
          <w:rFonts w:hint="default" w:ascii="Times New Roman" w:hAnsi="Times New Roman" w:eastAsia="方正仿宋_GBK" w:cs="Times New Roman"/>
          <w:color w:val="000000" w:themeColor="text1"/>
          <w:kern w:val="0"/>
          <w:sz w:val="32"/>
          <w:szCs w:val="32"/>
          <w:lang w:val="en-US" w:eastAsia="zh-CN"/>
        </w:rPr>
        <w:t>亿元</w:t>
      </w:r>
      <w:r>
        <w:rPr>
          <w:rFonts w:hint="eastAsia" w:ascii="Times New Roman" w:hAnsi="Times New Roman" w:eastAsia="方正仿宋_GBK" w:cs="Times New Roman"/>
          <w:color w:val="000000" w:themeColor="text1"/>
          <w:sz w:val="32"/>
          <w:szCs w:val="32"/>
        </w:rPr>
        <w:t>。</w:t>
      </w:r>
    </w:p>
    <w:bookmarkEnd w:id="67"/>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Times New Roman" w:hAnsi="Times New Roman" w:eastAsia="方正仿宋_GBK"/>
        </w:rPr>
      </w:pPr>
      <w:bookmarkStart w:id="68" w:name="_Toc27957"/>
      <w:bookmarkStart w:id="69" w:name="_Toc482865584"/>
      <w:bookmarkStart w:id="70" w:name="_Toc7658"/>
      <w:r>
        <w:rPr>
          <w:rFonts w:hint="eastAsia" w:ascii="方正黑体_GBK" w:hAnsi="方正黑体_GBK" w:eastAsia="方正黑体_GBK" w:cs="方正黑体_GBK"/>
          <w:b w:val="0"/>
          <w:bCs w:val="0"/>
        </w:rPr>
        <w:t>四、优化产业布局</w:t>
      </w:r>
      <w:bookmarkEnd w:id="68"/>
      <w:bookmarkEnd w:id="69"/>
      <w:bookmarkEnd w:id="70"/>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sz w:val="32"/>
          <w:szCs w:val="32"/>
        </w:rPr>
        <w:t>适应市场需求优化一、二、三产结构，促进一、二、三产融合发展；调整产品结构，以传统优势切花产业与盆花产业为重点，促进加工花卉、药用花卉等的发展，结合旅游、文化挖掘第三产业发展潜力。按照比较优势原则，优化基地、加工和市场布局配置，布局的原则应远离城镇公路主干道沿线、城郊结合部、三湖沿岸，由环境脆弱的区域向环境富裕地区转移。</w:t>
      </w:r>
      <w:r>
        <w:rPr>
          <w:rFonts w:hint="eastAsia" w:ascii="方正仿宋_GBK" w:hAnsi="方正仿宋_GBK" w:eastAsia="方正仿宋_GBK" w:cs="方正仿宋_GBK"/>
          <w:b/>
          <w:bCs/>
          <w:color w:val="000000" w:themeColor="text1"/>
          <w:kern w:val="0"/>
          <w:sz w:val="32"/>
          <w:szCs w:val="32"/>
          <w:lang w:val="en-US" w:eastAsia="zh-CN" w:bidi="ar-SA"/>
        </w:rPr>
        <w:t>打造精品</w:t>
      </w:r>
      <w:r>
        <w:rPr>
          <w:rFonts w:hint="eastAsia" w:ascii="方正仿宋_GBK" w:hAnsi="方正仿宋_GBK" w:eastAsia="方正仿宋_GBK" w:cs="方正仿宋_GBK"/>
          <w:b/>
          <w:bCs/>
          <w:color w:val="000000" w:themeColor="text1"/>
          <w:kern w:val="0"/>
          <w:sz w:val="32"/>
          <w:szCs w:val="32"/>
          <w:lang w:eastAsia="zh-CN"/>
        </w:rPr>
        <w:t>“</w:t>
      </w:r>
      <w:r>
        <w:rPr>
          <w:rFonts w:hint="eastAsia" w:ascii="方正仿宋_GBK" w:hAnsi="方正仿宋_GBK" w:eastAsia="方正仿宋_GBK" w:cs="方正仿宋_GBK"/>
          <w:b/>
          <w:bCs/>
          <w:color w:val="000000" w:themeColor="text1"/>
          <w:kern w:val="0"/>
          <w:sz w:val="32"/>
          <w:szCs w:val="32"/>
          <w:lang w:val="en-US" w:eastAsia="zh-CN" w:bidi="ar-SA"/>
        </w:rPr>
        <w:t>云花</w:t>
      </w:r>
      <w:r>
        <w:rPr>
          <w:rFonts w:hint="eastAsia" w:ascii="方正仿宋_GBK" w:hAnsi="方正仿宋_GBK" w:eastAsia="方正仿宋_GBK" w:cs="方正仿宋_GBK"/>
          <w:b/>
          <w:bCs/>
          <w:color w:val="000000" w:themeColor="text1"/>
          <w:kern w:val="0"/>
          <w:sz w:val="32"/>
          <w:szCs w:val="32"/>
          <w:lang w:eastAsia="zh-CN"/>
        </w:rPr>
        <w:t>”</w:t>
      </w:r>
      <w:r>
        <w:rPr>
          <w:rFonts w:hint="eastAsia" w:ascii="方正仿宋_GBK" w:hAnsi="方正仿宋_GBK" w:eastAsia="方正仿宋_GBK" w:cs="方正仿宋_GBK"/>
          <w:b/>
          <w:bCs/>
          <w:color w:val="000000" w:themeColor="text1"/>
          <w:kern w:val="0"/>
          <w:sz w:val="32"/>
          <w:szCs w:val="32"/>
          <w:lang w:val="en-US" w:eastAsia="zh-CN" w:bidi="ar-SA"/>
        </w:rPr>
        <w:t>产区。</w:t>
      </w:r>
      <w:r>
        <w:rPr>
          <w:rFonts w:hint="eastAsia" w:ascii="Times New Roman" w:hAnsi="Times New Roman" w:eastAsia="方正仿宋_GBK" w:cs="Times New Roman"/>
          <w:b w:val="0"/>
          <w:bCs w:val="0"/>
          <w:color w:val="000000" w:themeColor="text1"/>
          <w:spacing w:val="0"/>
          <w:sz w:val="32"/>
          <w:szCs w:val="32"/>
          <w:lang w:val="en-US" w:eastAsia="zh-CN"/>
        </w:rPr>
        <w:t>规划建设以红塔区、通海、江川为核心的玫瑰、百合、菊花、洋桔梗等鲜切花主产区，以江川区为重点的盆栽花卉和多肉植物主产区，以峨山县、易门县为重点的食用及加工花卉主产区，力争基地化率达到40%以上。种苗基地建设：</w:t>
      </w:r>
      <w:r>
        <w:rPr>
          <w:rFonts w:hint="default" w:ascii="Times New Roman" w:hAnsi="Times New Roman" w:eastAsia="方正仿宋_GBK" w:cs="Times New Roman"/>
          <w:color w:val="000000" w:themeColor="text1"/>
          <w:sz w:val="32"/>
          <w:szCs w:val="32"/>
        </w:rPr>
        <w:t>云南省农科院花卉所专家团队已入驻</w:t>
      </w:r>
      <w:r>
        <w:rPr>
          <w:rFonts w:hint="eastAsia" w:ascii="Times New Roman" w:hAnsi="Times New Roman" w:eastAsia="方正仿宋_GBK" w:cs="Times New Roman"/>
          <w:color w:val="000000" w:themeColor="text1"/>
          <w:sz w:val="32"/>
          <w:szCs w:val="32"/>
          <w:lang w:eastAsia="zh-CN"/>
        </w:rPr>
        <w:t>九溪亚洲花卉科创谷</w:t>
      </w:r>
      <w:r>
        <w:rPr>
          <w:rFonts w:hint="default" w:ascii="Times New Roman" w:hAnsi="Times New Roman" w:eastAsia="方正仿宋_GBK" w:cs="Times New Roman"/>
          <w:color w:val="000000" w:themeColor="text1"/>
          <w:sz w:val="32"/>
          <w:szCs w:val="32"/>
        </w:rPr>
        <w:t>园区，建成国家观赏园艺工程技术研究中心良种高效繁育技术平台，打造国内领先和亚洲一流的良种繁育创新中心、种业成果孵化中心、技术辐射中心</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kern w:val="2"/>
          <w:sz w:val="32"/>
          <w:szCs w:val="32"/>
          <w:lang w:eastAsia="zh-CN"/>
        </w:rPr>
        <w:t>并且</w:t>
      </w:r>
      <w:r>
        <w:rPr>
          <w:rFonts w:hint="default" w:ascii="Times New Roman" w:hAnsi="Times New Roman" w:eastAsia="方正仿宋_GBK" w:cs="Times New Roman"/>
          <w:color w:val="000000" w:themeColor="text1"/>
          <w:kern w:val="2"/>
          <w:sz w:val="32"/>
          <w:szCs w:val="32"/>
        </w:rPr>
        <w:t>根据开展观赏园艺品种选育、示范栽培、种苗生产、资源收集与保存科研需求，</w:t>
      </w:r>
      <w:r>
        <w:rPr>
          <w:rFonts w:hint="default" w:ascii="Times New Roman" w:hAnsi="Times New Roman" w:eastAsia="方正仿宋_GBK" w:cs="Times New Roman"/>
          <w:color w:val="000000" w:themeColor="text1"/>
          <w:kern w:val="2"/>
          <w:sz w:val="32"/>
          <w:szCs w:val="32"/>
          <w:lang w:eastAsia="zh-CN"/>
        </w:rPr>
        <w:t>在园区内</w:t>
      </w:r>
      <w:r>
        <w:rPr>
          <w:rFonts w:hint="default" w:ascii="Times New Roman" w:hAnsi="Times New Roman" w:eastAsia="方正仿宋_GBK" w:cs="Times New Roman"/>
          <w:color w:val="000000" w:themeColor="text1"/>
          <w:kern w:val="2"/>
          <w:sz w:val="32"/>
          <w:szCs w:val="32"/>
        </w:rPr>
        <w:t>按照AGP标准设计建成3200平方米智能组培工厂，形成年产5000万株苗木的生产规模。花卉园艺植物种质离体保存中心目前离体保存17种花卉园艺植物基因1500份，保存种类和数量居全国首位。建成</w:t>
      </w:r>
      <w:r>
        <w:rPr>
          <w:rFonts w:hint="default" w:ascii="Times New Roman" w:hAnsi="Times New Roman" w:eastAsia="方正仿宋_GBK" w:cs="Times New Roman"/>
          <w:color w:val="000000" w:themeColor="text1"/>
          <w:kern w:val="2"/>
          <w:sz w:val="32"/>
          <w:szCs w:val="32"/>
          <w:lang w:val="en-US" w:eastAsia="zh-CN"/>
        </w:rPr>
        <w:t>10</w:t>
      </w:r>
      <w:r>
        <w:rPr>
          <w:rFonts w:hint="default" w:ascii="Times New Roman" w:hAnsi="Times New Roman" w:eastAsia="方正仿宋_GBK" w:cs="Times New Roman"/>
          <w:color w:val="000000" w:themeColor="text1"/>
          <w:kern w:val="2"/>
          <w:sz w:val="32"/>
          <w:szCs w:val="32"/>
        </w:rPr>
        <w:t>万平方米中试标准化塑料温棚，形成年产优质种苗2500余万株规模。</w:t>
      </w:r>
      <w:r>
        <w:rPr>
          <w:rFonts w:hint="default" w:ascii="Times New Roman" w:hAnsi="Times New Roman" w:eastAsia="方正仿宋_GBK" w:cs="Times New Roman"/>
          <w:color w:val="000000" w:themeColor="text1"/>
          <w:sz w:val="32"/>
          <w:szCs w:val="32"/>
        </w:rPr>
        <w:t>与省农科院花卉所共同引进</w:t>
      </w:r>
      <w:r>
        <w:rPr>
          <w:rFonts w:hint="default" w:ascii="Times New Roman" w:hAnsi="Times New Roman" w:eastAsia="方正仿宋_GBK" w:cs="Times New Roman"/>
          <w:color w:val="000000" w:themeColor="text1"/>
          <w:sz w:val="32"/>
          <w:szCs w:val="32"/>
          <w:lang w:val="en-US" w:eastAsia="zh-CN"/>
        </w:rPr>
        <w:t>8</w:t>
      </w:r>
      <w:r>
        <w:rPr>
          <w:rFonts w:hint="default" w:ascii="Times New Roman" w:hAnsi="Times New Roman" w:eastAsia="方正仿宋_GBK" w:cs="Times New Roman"/>
          <w:color w:val="000000" w:themeColor="text1"/>
          <w:sz w:val="32"/>
          <w:szCs w:val="32"/>
        </w:rPr>
        <w:t>家科创型花卉企业</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eastAsia="zh-CN"/>
        </w:rPr>
        <w:t>从事蝴蝶兰</w:t>
      </w:r>
      <w:r>
        <w:rPr>
          <w:rFonts w:hint="eastAsia" w:ascii="Times New Roman" w:hAnsi="Times New Roman" w:eastAsia="方正仿宋_GBK" w:cs="Times New Roman"/>
          <w:color w:val="000000" w:themeColor="text1"/>
          <w:sz w:val="32"/>
          <w:szCs w:val="32"/>
          <w:lang w:eastAsia="zh-CN"/>
        </w:rPr>
        <w:t>、大花蕙兰、洋桔梗、非洲菊等花卉</w:t>
      </w:r>
      <w:r>
        <w:rPr>
          <w:rFonts w:hint="default" w:ascii="Times New Roman" w:hAnsi="Times New Roman" w:eastAsia="方正仿宋_GBK" w:cs="Times New Roman"/>
          <w:color w:val="000000" w:themeColor="text1"/>
          <w:sz w:val="32"/>
          <w:szCs w:val="32"/>
          <w:lang w:eastAsia="zh-CN"/>
        </w:rPr>
        <w:t>新品种引入、繁育、研发</w:t>
      </w:r>
      <w:r>
        <w:rPr>
          <w:rFonts w:hint="eastAsia" w:ascii="Times New Roman" w:hAnsi="Times New Roman" w:eastAsia="方正仿宋_GBK" w:cs="Times New Roman"/>
          <w:color w:val="000000" w:themeColor="text1"/>
          <w:sz w:val="32"/>
          <w:szCs w:val="32"/>
          <w:lang w:eastAsia="zh-CN"/>
        </w:rPr>
        <w:t>，打造玉溪花卉的种苗生产重要基地。</w:t>
      </w:r>
      <w:r>
        <w:rPr>
          <w:rFonts w:hint="eastAsia" w:ascii="Times New Roman" w:hAnsi="Times New Roman" w:eastAsia="方正仿宋_GBK" w:cs="Times New Roman"/>
          <w:b/>
          <w:bCs/>
          <w:color w:val="000000" w:themeColor="text1"/>
          <w:spacing w:val="0"/>
          <w:sz w:val="32"/>
          <w:szCs w:val="32"/>
          <w:lang w:val="en-US" w:eastAsia="zh-CN"/>
        </w:rPr>
        <w:t>推进设施化发展。</w:t>
      </w:r>
      <w:r>
        <w:rPr>
          <w:rFonts w:hint="eastAsia" w:ascii="Times New Roman" w:hAnsi="Times New Roman" w:eastAsia="方正仿宋_GBK" w:cs="Times New Roman"/>
          <w:b w:val="0"/>
          <w:bCs w:val="0"/>
          <w:color w:val="000000" w:themeColor="text1"/>
          <w:spacing w:val="0"/>
          <w:sz w:val="32"/>
          <w:szCs w:val="32"/>
          <w:lang w:val="en-US" w:eastAsia="zh-CN"/>
        </w:rPr>
        <w:t>大力推行水肥循环无土栽培、自动化喷灌等设施，水肥一体化无土栽培面积达到50%以上，A、B级花达到70%以上。</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sz w:val="32"/>
          <w:szCs w:val="32"/>
        </w:rPr>
      </w:pPr>
      <w:bookmarkStart w:id="71" w:name="_Toc482865585"/>
      <w:bookmarkStart w:id="72" w:name="_Toc3522"/>
      <w:bookmarkStart w:id="73" w:name="_Toc14504"/>
      <w:r>
        <w:rPr>
          <w:rStyle w:val="26"/>
          <w:rFonts w:ascii="Times New Roman" w:hAnsi="Times New Roman" w:eastAsia="方正仿宋_GBK"/>
        </w:rPr>
        <w:t>鲜切花、盆花。</w:t>
      </w:r>
      <w:bookmarkEnd w:id="71"/>
      <w:bookmarkEnd w:id="72"/>
      <w:bookmarkEnd w:id="73"/>
      <w:r>
        <w:rPr>
          <w:rFonts w:ascii="Times New Roman" w:hAnsi="Times New Roman" w:eastAsia="方正仿宋_GBK" w:cs="Times New Roman"/>
          <w:sz w:val="32"/>
          <w:szCs w:val="32"/>
        </w:rPr>
        <w:t>重点布局在气候、土壤、水资源、交通条件较好的红塔区、通海、江川。</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sz w:val="32"/>
          <w:szCs w:val="32"/>
        </w:rPr>
      </w:pPr>
      <w:bookmarkStart w:id="74" w:name="_Toc14526"/>
      <w:bookmarkStart w:id="75" w:name="_Toc482865586"/>
      <w:bookmarkStart w:id="76" w:name="_Toc24672"/>
      <w:r>
        <w:rPr>
          <w:rStyle w:val="26"/>
          <w:rFonts w:ascii="Times New Roman" w:hAnsi="Times New Roman" w:eastAsia="方正仿宋_GBK"/>
        </w:rPr>
        <w:t>食用加工花卉。</w:t>
      </w:r>
      <w:bookmarkEnd w:id="74"/>
      <w:bookmarkEnd w:id="75"/>
      <w:bookmarkEnd w:id="76"/>
      <w:r>
        <w:rPr>
          <w:rFonts w:ascii="Times New Roman" w:hAnsi="Times New Roman" w:eastAsia="方正仿宋_GBK" w:cs="Times New Roman"/>
          <w:sz w:val="32"/>
          <w:szCs w:val="32"/>
        </w:rPr>
        <w:t>重点布局种植基础和加工条件较好的红塔区、江川、新平、峨山、</w:t>
      </w:r>
      <w:r>
        <w:rPr>
          <w:rFonts w:hint="eastAsia" w:ascii="Times New Roman" w:hAnsi="Times New Roman" w:eastAsia="方正仿宋_GBK" w:cs="Times New Roman"/>
          <w:color w:val="auto"/>
          <w:sz w:val="32"/>
          <w:szCs w:val="32"/>
          <w:lang w:val="en-US" w:eastAsia="zh-CN"/>
        </w:rPr>
        <w:t>易门、</w:t>
      </w:r>
      <w:r>
        <w:rPr>
          <w:rFonts w:ascii="Times New Roman" w:hAnsi="Times New Roman" w:eastAsia="方正仿宋_GBK" w:cs="Times New Roman"/>
          <w:sz w:val="32"/>
          <w:szCs w:val="32"/>
        </w:rPr>
        <w:t>元江。</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sz w:val="32"/>
          <w:szCs w:val="32"/>
        </w:rPr>
      </w:pPr>
      <w:bookmarkStart w:id="77" w:name="_Toc2788"/>
      <w:bookmarkStart w:id="78" w:name="_Toc17981"/>
      <w:bookmarkStart w:id="79" w:name="_Toc482865587"/>
      <w:r>
        <w:rPr>
          <w:rStyle w:val="26"/>
          <w:rFonts w:ascii="Times New Roman" w:hAnsi="Times New Roman" w:eastAsia="方正仿宋_GBK"/>
        </w:rPr>
        <w:t>药用加工花卉。</w:t>
      </w:r>
      <w:bookmarkEnd w:id="77"/>
      <w:bookmarkEnd w:id="78"/>
      <w:bookmarkEnd w:id="79"/>
      <w:r>
        <w:rPr>
          <w:rFonts w:ascii="Times New Roman" w:hAnsi="Times New Roman" w:eastAsia="方正仿宋_GBK" w:cs="Times New Roman"/>
          <w:sz w:val="32"/>
          <w:szCs w:val="32"/>
        </w:rPr>
        <w:t>重点布局在红塔区、华宁、易门、峨山、新平等山区、半山区。</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sz w:val="32"/>
          <w:szCs w:val="32"/>
        </w:rPr>
      </w:pPr>
      <w:bookmarkStart w:id="80" w:name="_Toc9902"/>
      <w:bookmarkStart w:id="81" w:name="_Toc482865588"/>
      <w:bookmarkStart w:id="82" w:name="_Toc14446"/>
      <w:r>
        <w:rPr>
          <w:rStyle w:val="26"/>
          <w:rFonts w:ascii="Times New Roman" w:hAnsi="Times New Roman" w:eastAsia="方正仿宋_GBK"/>
        </w:rPr>
        <w:t>绿化苗木。</w:t>
      </w:r>
      <w:bookmarkEnd w:id="80"/>
      <w:bookmarkEnd w:id="81"/>
      <w:bookmarkEnd w:id="82"/>
      <w:r>
        <w:rPr>
          <w:rFonts w:ascii="Times New Roman" w:hAnsi="Times New Roman" w:eastAsia="方正仿宋_GBK" w:cs="Times New Roman"/>
          <w:sz w:val="32"/>
          <w:szCs w:val="32"/>
        </w:rPr>
        <w:t>重点布局在自然环境、生态环境、城市建设、美化乡村建设绿化较好的红塔区、通海、澄江、元江。</w:t>
      </w:r>
    </w:p>
    <w:p>
      <w:pPr>
        <w:keepNext w:val="0"/>
        <w:keepLines w:val="0"/>
        <w:pageBreakBefore w:val="0"/>
        <w:widowControl w:val="0"/>
        <w:kinsoku/>
        <w:wordWrap/>
        <w:overflowPunct/>
        <w:topLinePunct w:val="0"/>
        <w:autoSpaceDE/>
        <w:autoSpaceDN/>
        <w:bidi w:val="0"/>
        <w:adjustRightInd/>
        <w:spacing w:line="560" w:lineRule="exact"/>
        <w:ind w:firstLine="629"/>
        <w:textAlignment w:val="auto"/>
        <w:rPr>
          <w:rFonts w:ascii="仿宋" w:hAnsi="仿宋" w:eastAsia="仿宋"/>
          <w:sz w:val="32"/>
          <w:szCs w:val="32"/>
        </w:rPr>
      </w:pPr>
      <w:bookmarkStart w:id="83" w:name="_Toc1533"/>
      <w:bookmarkStart w:id="84" w:name="_Toc482865589"/>
      <w:bookmarkStart w:id="85" w:name="_Toc14845"/>
      <w:r>
        <w:rPr>
          <w:rStyle w:val="26"/>
          <w:rFonts w:hint="eastAsia" w:ascii="方正仿宋_GBK" w:hAnsi="方正仿宋_GBK" w:eastAsia="方正仿宋_GBK" w:cs="方正仿宋_GBK"/>
        </w:rPr>
        <w:t>花卉旅游文化产业。</w:t>
      </w:r>
      <w:bookmarkEnd w:id="83"/>
      <w:bookmarkEnd w:id="84"/>
      <w:bookmarkEnd w:id="85"/>
      <w:r>
        <w:rPr>
          <w:rFonts w:hint="eastAsia" w:ascii="方正仿宋_GBK" w:hAnsi="方正仿宋_GBK" w:eastAsia="方正仿宋_GBK" w:cs="方正仿宋_GBK"/>
          <w:sz w:val="32"/>
          <w:szCs w:val="32"/>
        </w:rPr>
        <w:t>重点布局在市区及</w:t>
      </w:r>
      <w:bookmarkStart w:id="151" w:name="_GoBack"/>
      <w:bookmarkEnd w:id="151"/>
      <w:r>
        <w:rPr>
          <w:rFonts w:hint="eastAsia" w:ascii="方正仿宋_GBK" w:hAnsi="方正仿宋_GBK" w:eastAsia="方正仿宋_GBK" w:cs="方正仿宋_GBK"/>
          <w:sz w:val="32"/>
          <w:szCs w:val="32"/>
        </w:rPr>
        <w:t>周边已有一定人气的公园及产业园区内，抚仙湖、星云湖、杞麓湖风景区。</w:t>
      </w:r>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sz w:val="32"/>
          <w:szCs w:val="32"/>
        </w:rPr>
      </w:pPr>
      <w:bookmarkStart w:id="86" w:name="_Toc25082"/>
      <w:r>
        <w:rPr>
          <w:rFonts w:hint="eastAsia" w:ascii="方正小标宋_GBK" w:hAnsi="方正小标宋_GBK" w:eastAsia="方正小标宋_GBK" w:cs="方正小标宋_GBK"/>
          <w:sz w:val="32"/>
          <w:szCs w:val="32"/>
        </w:rPr>
        <w:br w:type="page"/>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第三章  主要任务</w:t>
      </w:r>
      <w:bookmarkEnd w:id="86"/>
      <w:bookmarkStart w:id="87" w:name="_Toc12107"/>
      <w:bookmarkStart w:id="88" w:name="_Toc456075036"/>
      <w:bookmarkStart w:id="89" w:name="_Toc482865600"/>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outlineLvl w:val="9"/>
        <w:rPr>
          <w:rFonts w:ascii="方正黑体_GBK" w:hAnsi="方正黑体_GBK" w:eastAsia="方正黑体_GBK" w:cs="方正黑体_GBK"/>
          <w:b w:val="0"/>
          <w:bCs w:val="0"/>
        </w:rPr>
      </w:pP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90" w:name="_Toc17014"/>
      <w:r>
        <w:rPr>
          <w:rFonts w:hint="eastAsia" w:ascii="方正黑体_GBK" w:hAnsi="方正黑体_GBK" w:eastAsia="方正黑体_GBK" w:cs="方正黑体_GBK"/>
          <w:b w:val="0"/>
          <w:bCs w:val="0"/>
        </w:rPr>
        <w:t>一</w:t>
      </w:r>
      <w:r>
        <w:rPr>
          <w:rFonts w:hint="eastAsia" w:ascii="方正黑体_GBK" w:hAnsi="方正黑体_GBK" w:eastAsia="方正黑体_GBK" w:cs="方正黑体_GBK"/>
          <w:b w:val="0"/>
          <w:bCs w:val="0"/>
          <w:color w:val="auto"/>
        </w:rPr>
        <w:t>、</w:t>
      </w:r>
      <w:bookmarkEnd w:id="87"/>
      <w:bookmarkEnd w:id="88"/>
      <w:bookmarkEnd w:id="89"/>
      <w:r>
        <w:rPr>
          <w:rFonts w:hint="eastAsia" w:ascii="方正黑体_GBK" w:hAnsi="方正黑体_GBK" w:eastAsia="方正黑体_GBK" w:cs="方正黑体_GBK"/>
          <w:b w:val="0"/>
          <w:bCs w:val="0"/>
        </w:rPr>
        <w:t>强化基础设施建设</w:t>
      </w:r>
      <w:bookmarkEnd w:id="9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重点加强对日光温室和节水灌溉等生产设施的改造提升，推广智能化管理基质栽培、水肥一体化循环利用等生态高效的生产方式，促进产业健康可持续发展；二是通过在主产地和重点销售市场建立物流集散中心，提高采后处理和物流运输服务质量和效率，降低花卉物流运输环节的质量损耗，提高产品市场竞争力；三是提升花卉精深加工装备技术水平，延长产业链，提升产品附加值；四是大力推进</w:t>
      </w:r>
      <w:r>
        <w:rPr>
          <w:rFonts w:hint="eastAsia" w:ascii="方正仿宋_GBK" w:hAnsi="方正仿宋_GBK" w:eastAsia="方正仿宋_GBK" w:cs="方正仿宋_GBK"/>
          <w:sz w:val="32"/>
          <w:szCs w:val="32"/>
        </w:rPr>
        <w:t>“互联网+”</w:t>
      </w:r>
      <w:r>
        <w:rPr>
          <w:rFonts w:ascii="Times New Roman" w:hAnsi="Times New Roman" w:eastAsia="方正仿宋_GBK" w:cs="Times New Roman"/>
          <w:sz w:val="32"/>
          <w:szCs w:val="32"/>
        </w:rPr>
        <w:t>现代花卉，应用物联网、云计算、大数据、移动互联网等现代信息技术，推动社会生产要素的网络化共享、集约化整合、协作化开发和高效化利用，推动花卉业全产业链改造升级。</w:t>
      </w:r>
      <w:bookmarkStart w:id="91" w:name="_Toc456075037"/>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92" w:name="_Toc2232"/>
      <w:bookmarkStart w:id="93" w:name="_Toc482865601"/>
      <w:bookmarkStart w:id="94" w:name="_Toc23834"/>
      <w:r>
        <w:rPr>
          <w:rFonts w:hint="eastAsia" w:ascii="方正黑体_GBK" w:hAnsi="方正黑体_GBK" w:eastAsia="方正黑体_GBK" w:cs="方正黑体_GBK"/>
          <w:b w:val="0"/>
          <w:bCs w:val="0"/>
        </w:rPr>
        <w:t>二、加快良种繁育及推广力度</w:t>
      </w:r>
      <w:bookmarkEnd w:id="92"/>
      <w:bookmarkEnd w:id="93"/>
      <w:bookmarkEnd w:id="94"/>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鼓励支持院企合作、院地合作，重视花种品种的培育，开发本土品种，培育具有自主知识产权品种，夯实花卉产业发展的根基。</w:t>
      </w:r>
      <w:r>
        <w:rPr>
          <w:rFonts w:hint="eastAsia" w:ascii="Times New Roman" w:hAnsi="Times New Roman" w:eastAsia="方正仿宋_GBK" w:cs="Times New Roman"/>
          <w:b w:val="0"/>
          <w:bCs w:val="0"/>
          <w:color w:val="auto"/>
          <w:spacing w:val="0"/>
          <w:sz w:val="32"/>
          <w:szCs w:val="32"/>
          <w:lang w:val="en-US" w:eastAsia="zh-CN"/>
        </w:rPr>
        <w:t>抓好种业科技创新，加快推动花卉基因库、种质资源圃建设，高标准建设鲜切花、盆花等特色花卉种业基地，提高花卉种源自给率。</w:t>
      </w:r>
      <w:r>
        <w:rPr>
          <w:rFonts w:ascii="Times New Roman" w:hAnsi="Times New Roman" w:eastAsia="方正仿宋_GBK" w:cs="Times New Roman"/>
          <w:kern w:val="0"/>
          <w:sz w:val="32"/>
          <w:szCs w:val="32"/>
        </w:rPr>
        <w:t>到2025年，全市引进国外专利花卉新品种50个以上，新培育自主知识产权花卉新品种10个以上。</w:t>
      </w:r>
      <w:r>
        <w:rPr>
          <w:rFonts w:ascii="Times New Roman" w:hAnsi="Times New Roman" w:eastAsia="方正仿宋_GBK" w:cs="Times New Roman"/>
          <w:sz w:val="32"/>
          <w:szCs w:val="32"/>
        </w:rPr>
        <w:t>通过对外借鉴、引进、培养应用，对内鼓励自主创新的模式，探索出一套适合玉溪土壤、气候条件下优质高产栽培的花卉种植技术，提高花农种植效益。</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95" w:name="_Toc18581"/>
      <w:bookmarkStart w:id="96" w:name="_Toc482865602"/>
      <w:bookmarkStart w:id="97" w:name="_Toc22438"/>
      <w:r>
        <w:rPr>
          <w:rFonts w:hint="eastAsia" w:ascii="方正黑体_GBK" w:hAnsi="方正黑体_GBK" w:eastAsia="方正黑体_GBK" w:cs="方正黑体_GBK"/>
          <w:b w:val="0"/>
          <w:bCs w:val="0"/>
        </w:rPr>
        <w:t>三、加快产业提质增效步伐</w:t>
      </w:r>
      <w:bookmarkEnd w:id="91"/>
      <w:bookmarkEnd w:id="95"/>
      <w:bookmarkEnd w:id="96"/>
      <w:bookmarkEnd w:id="97"/>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通过项目引导，对优势资源进行整合，扶优扶强，建设集品种选育与推广、种苗繁育、关键技术突破、技术集成与示范推广等功能于一体的花卉核心生产示范基地5个。在红塔区、</w:t>
      </w:r>
      <w:r>
        <w:rPr>
          <w:rFonts w:hint="eastAsia" w:ascii="Times New Roman" w:hAnsi="Times New Roman" w:eastAsia="方正仿宋_GBK" w:cs="Times New Roman"/>
          <w:sz w:val="32"/>
          <w:szCs w:val="32"/>
        </w:rPr>
        <w:t>江川区</w:t>
      </w:r>
      <w:r>
        <w:rPr>
          <w:rFonts w:ascii="Times New Roman" w:hAnsi="Times New Roman" w:eastAsia="方正仿宋_GBK" w:cs="Times New Roman"/>
          <w:sz w:val="32"/>
          <w:szCs w:val="32"/>
        </w:rPr>
        <w:t>、峨山县等花卉主产区，新建和改造提升一批规模化、标准化、生态高效的优质花卉生产园区，2025年新建面积1000亩以上的现代花卉产业园区2个，改造提升现有园区1个。</w:t>
      </w:r>
      <w:bookmarkStart w:id="98" w:name="_Toc456075038"/>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99" w:name="_Toc17631"/>
      <w:bookmarkStart w:id="100" w:name="_Toc482865603"/>
      <w:bookmarkStart w:id="101" w:name="_Toc10545"/>
      <w:r>
        <w:rPr>
          <w:rFonts w:hint="eastAsia" w:ascii="方正黑体_GBK" w:hAnsi="方正黑体_GBK" w:eastAsia="方正黑体_GBK" w:cs="方正黑体_GBK"/>
          <w:b w:val="0"/>
          <w:bCs w:val="0"/>
        </w:rPr>
        <w:t>四、培育龙头骨干企业</w:t>
      </w:r>
      <w:bookmarkEnd w:id="98"/>
      <w:bookmarkEnd w:id="99"/>
      <w:bookmarkEnd w:id="100"/>
      <w:bookmarkEnd w:id="101"/>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筛选一批经济效益高、辐射带动能力强、发展势头和产品市场前景好的龙头企业，从政策争取、财政资金、金融服务、品牌宣传等方面扶持其发展壮大；二是整合龙头企业和科研单位各自的资源优势，组建集研发、生产、交易为一体的产业集团公司；三是根据我市花卉重点区在促进花卉产业发展方面的基础条件、政策保障和招商条件，制定年度招商计划和方案，吸引国内外企业来我市发展花卉产业；四是通过产业发展基金和搭建众创平台，不断孵化培育一批创新型企业。到2025年，我市培育年销售收入过5千万的花卉企业5家、过千万的花卉企业10家、300万元以上的企业20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创新型企业5家。</w:t>
      </w:r>
      <w:bookmarkStart w:id="102" w:name="_Toc456075039"/>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03" w:name="_Toc259"/>
      <w:bookmarkStart w:id="104" w:name="_Toc482865604"/>
      <w:bookmarkStart w:id="105" w:name="_Toc18875"/>
      <w:r>
        <w:rPr>
          <w:rFonts w:hint="eastAsia" w:ascii="方正黑体_GBK" w:hAnsi="方正黑体_GBK" w:eastAsia="方正黑体_GBK" w:cs="方正黑体_GBK"/>
          <w:b w:val="0"/>
          <w:bCs w:val="0"/>
        </w:rPr>
        <w:t>五、加快发展花卉产品加工</w:t>
      </w:r>
      <w:bookmarkEnd w:id="102"/>
      <w:bookmarkEnd w:id="103"/>
      <w:bookmarkEnd w:id="104"/>
      <w:bookmarkEnd w:id="105"/>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充分发掘花卉的食用、药用、香料、色素、生化等功能，拓展产品应用领域，延长产业链；二是完善花卉加工产品标准化体系建设，建立从原材料种植、中间产品加工到终端产品加工和安全检测的一系列标准体系，提升优质原料生态环保种植和加工技术水平，实现从原料到终端产品各环节的全过程标准化质量控制；三是推进花卉加工产品全产业链可追溯体系认证，保障产品质量安全，创建在全国乃至全球花卉品牌形象。到2025年，新建花卉深加工生产线5条以上，提高我市花卉加工产值</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20%以上。</w:t>
      </w:r>
      <w:bookmarkStart w:id="106" w:name="_Toc456075040"/>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07" w:name="_Toc482865605"/>
      <w:bookmarkStart w:id="108" w:name="_Toc12796"/>
      <w:bookmarkStart w:id="109" w:name="_Toc30727"/>
      <w:r>
        <w:rPr>
          <w:rFonts w:hint="eastAsia" w:ascii="方正黑体_GBK" w:hAnsi="方正黑体_GBK" w:eastAsia="方正黑体_GBK" w:cs="方正黑体_GBK"/>
          <w:b w:val="0"/>
          <w:bCs w:val="0"/>
        </w:rPr>
        <w:t>六、加快花卉服务业发展</w:t>
      </w:r>
      <w:bookmarkEnd w:id="106"/>
      <w:bookmarkEnd w:id="107"/>
      <w:bookmarkEnd w:id="108"/>
      <w:bookmarkEnd w:id="109"/>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w:t>
      </w:r>
      <w:r>
        <w:rPr>
          <w:rFonts w:hint="eastAsia" w:ascii="Times New Roman" w:hAnsi="Times New Roman" w:eastAsia="方正仿宋_GBK" w:cs="Times New Roman"/>
          <w:sz w:val="32"/>
          <w:szCs w:val="32"/>
        </w:rPr>
        <w:t>依托京东集团</w:t>
      </w:r>
      <w:r>
        <w:rPr>
          <w:rFonts w:ascii="Times New Roman" w:hAnsi="Times New Roman" w:eastAsia="方正仿宋_GBK" w:cs="Times New Roman"/>
          <w:sz w:val="32"/>
          <w:szCs w:val="32"/>
        </w:rPr>
        <w:t>构建玉溪市花卉大数据中心，以种质资源、品种、生产、流通等方面为重点，提升大数据资源采集、分析和综合利用能力</w:t>
      </w:r>
      <w:r>
        <w:rPr>
          <w:rFonts w:hint="eastAsia" w:ascii="Times New Roman" w:hAnsi="Times New Roman" w:eastAsia="方正仿宋_GBK" w:cs="Times New Roman"/>
          <w:sz w:val="32"/>
          <w:szCs w:val="32"/>
        </w:rPr>
        <w:t>。联合京东冷链、京东智联云共同打造“电商冷链物流一体化”扶持建设合作京东将发挥平台数亿级流量资源、供应链和直播优势，对鲜花产业商家在绿色入驻、运营培养、营销资源、资金补贴、电商直播能力建设等全链路的精准扶持，帮助培养孵化当地电商人才、直播人才，助力商家拓展电商销售通路，链接十亿新兴市场用户人群</w:t>
      </w:r>
      <w:r>
        <w:rPr>
          <w:rFonts w:ascii="Times New Roman" w:hAnsi="Times New Roman" w:eastAsia="方正仿宋_GBK" w:cs="Times New Roman"/>
          <w:sz w:val="32"/>
          <w:szCs w:val="32"/>
        </w:rPr>
        <w:t>；二是创新资金投入方式，建立多元化金融服务体系；三是完善花卉市场营销和物流运输体系；四是构建覆盖全市的花卉科技推广服务体系。</w:t>
      </w:r>
      <w:bookmarkStart w:id="110" w:name="_Toc456075041"/>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11" w:name="_Toc482865606"/>
      <w:bookmarkStart w:id="112" w:name="_Toc3866"/>
      <w:bookmarkStart w:id="113" w:name="_Toc17808"/>
      <w:r>
        <w:rPr>
          <w:rFonts w:hint="eastAsia" w:ascii="方正黑体_GBK" w:hAnsi="方正黑体_GBK" w:eastAsia="方正黑体_GBK" w:cs="方正黑体_GBK"/>
          <w:b w:val="0"/>
          <w:bCs w:val="0"/>
        </w:rPr>
        <w:t>七、推动产业融合发展</w:t>
      </w:r>
      <w:bookmarkEnd w:id="110"/>
      <w:bookmarkEnd w:id="111"/>
      <w:bookmarkEnd w:id="112"/>
      <w:bookmarkEnd w:id="113"/>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ascii="Times New Roman" w:hAnsi="Times New Roman" w:eastAsia="方正仿宋_GBK" w:cs="Times New Roman"/>
          <w:sz w:val="32"/>
          <w:szCs w:val="32"/>
        </w:rPr>
        <w:t>重点推进花卉与旅游、文化等产业的融合发展，通过产业的强强联合，创造多元、丰富、独具特色的系列产品，实现花卉种植业与加工业和服务业融合发展。到202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年，引导发展花卉融合发展示范项目5个以上。</w:t>
      </w:r>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b w:val="0"/>
          <w:bCs w:val="0"/>
          <w:sz w:val="32"/>
          <w:szCs w:val="32"/>
        </w:rPr>
      </w:pPr>
      <w:bookmarkStart w:id="114" w:name="_Toc21321"/>
      <w:bookmarkStart w:id="115" w:name="_Toc5210"/>
      <w:bookmarkStart w:id="116" w:name="_Toc482865590"/>
      <w:r>
        <w:rPr>
          <w:rFonts w:hint="eastAsia" w:ascii="方正小标宋_GBK" w:hAnsi="方正小标宋_GBK" w:eastAsia="方正小标宋_GBK" w:cs="方正小标宋_GBK"/>
          <w:b w:val="0"/>
          <w:bCs w:val="0"/>
          <w:sz w:val="32"/>
          <w:szCs w:val="32"/>
        </w:rPr>
        <w:br w:type="page"/>
      </w:r>
    </w:p>
    <w:p>
      <w:pPr>
        <w:pStyle w:val="3"/>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ascii="Times New Roman" w:hAnsi="Times New Roman" w:eastAsia="方正仿宋_GBK" w:cs="Times New Roman"/>
          <w:sz w:val="36"/>
          <w:szCs w:val="36"/>
        </w:rPr>
      </w:pPr>
      <w:r>
        <w:rPr>
          <w:rFonts w:hint="eastAsia" w:ascii="方正小标宋_GBK" w:hAnsi="方正小标宋_GBK" w:eastAsia="方正小标宋_GBK" w:cs="方正小标宋_GBK"/>
          <w:b w:val="0"/>
          <w:bCs w:val="0"/>
          <w:sz w:val="36"/>
          <w:szCs w:val="36"/>
        </w:rPr>
        <w:t>第四章</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重点建设</w:t>
      </w:r>
      <w:r>
        <w:rPr>
          <w:rFonts w:hint="eastAsia" w:ascii="方正小标宋_GBK" w:hAnsi="方正小标宋_GBK" w:eastAsia="方正小标宋_GBK" w:cs="方正小标宋_GBK"/>
          <w:b w:val="0"/>
          <w:bCs w:val="0"/>
          <w:color w:val="000000" w:themeColor="text1"/>
          <w:sz w:val="36"/>
          <w:szCs w:val="36"/>
          <w:lang w:eastAsia="zh-CN"/>
        </w:rPr>
        <w:t>工程</w:t>
      </w:r>
      <w:r>
        <w:rPr>
          <w:rFonts w:hint="eastAsia" w:ascii="方正小标宋_GBK" w:hAnsi="方正小标宋_GBK" w:eastAsia="方正小标宋_GBK" w:cs="方正小标宋_GBK"/>
          <w:b w:val="0"/>
          <w:bCs w:val="0"/>
          <w:color w:val="000000" w:themeColor="text1"/>
          <w:sz w:val="36"/>
          <w:szCs w:val="36"/>
        </w:rPr>
        <w:t>项</w:t>
      </w:r>
      <w:r>
        <w:rPr>
          <w:rFonts w:hint="eastAsia" w:ascii="方正小标宋_GBK" w:hAnsi="方正小标宋_GBK" w:eastAsia="方正小标宋_GBK" w:cs="方正小标宋_GBK"/>
          <w:b w:val="0"/>
          <w:bCs w:val="0"/>
          <w:sz w:val="36"/>
          <w:szCs w:val="36"/>
        </w:rPr>
        <w:t>目</w:t>
      </w:r>
      <w:bookmarkEnd w:id="114"/>
      <w:bookmarkEnd w:id="115"/>
      <w:bookmarkEnd w:id="11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重点实施</w:t>
      </w:r>
      <w:r>
        <w:rPr>
          <w:rFonts w:hint="eastAsia" w:ascii="Times New Roman" w:hAnsi="Times New Roman" w:eastAsia="方正仿宋_GBK" w:cs="Times New Roman"/>
          <w:sz w:val="32"/>
          <w:szCs w:val="32"/>
          <w:lang w:eastAsia="zh-CN"/>
        </w:rPr>
        <w:t>六</w:t>
      </w:r>
      <w:r>
        <w:rPr>
          <w:rFonts w:ascii="Times New Roman" w:hAnsi="Times New Roman" w:eastAsia="方正仿宋_GBK" w:cs="Times New Roman"/>
          <w:sz w:val="32"/>
          <w:szCs w:val="32"/>
        </w:rPr>
        <w:t>大</w:t>
      </w:r>
      <w:r>
        <w:rPr>
          <w:rFonts w:hint="eastAsia" w:ascii="Times New Roman" w:hAnsi="Times New Roman" w:eastAsia="方正仿宋_GBK" w:cs="Times New Roman"/>
          <w:color w:val="000000" w:themeColor="text1"/>
          <w:sz w:val="32"/>
          <w:szCs w:val="32"/>
          <w:lang w:eastAsia="zh-CN"/>
        </w:rPr>
        <w:t>类工程</w:t>
      </w:r>
      <w:r>
        <w:rPr>
          <w:rFonts w:ascii="Times New Roman" w:hAnsi="Times New Roman" w:eastAsia="方正仿宋_GBK" w:cs="Times New Roman"/>
          <w:sz w:val="32"/>
          <w:szCs w:val="32"/>
        </w:rPr>
        <w:t>项目，全面推进我市花卉产业升级做大做强。</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方正仿宋_GBK" w:cs="Times New Roman"/>
          <w:sz w:val="32"/>
          <w:szCs w:val="32"/>
        </w:rPr>
      </w:pPr>
      <w:bookmarkStart w:id="117" w:name="_Toc23791"/>
      <w:r>
        <w:rPr>
          <w:rFonts w:hint="eastAsia" w:ascii="方正黑体_GBK" w:hAnsi="方正黑体_GBK" w:eastAsia="方正黑体_GBK" w:cs="方正黑体_GBK"/>
          <w:sz w:val="32"/>
          <w:szCs w:val="32"/>
        </w:rPr>
        <w:t>一、种质资源保护利用和品种研发建设项目</w:t>
      </w:r>
      <w:bookmarkEnd w:id="117"/>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我市种植花卉种类多，品种资源丰富，</w:t>
      </w:r>
      <w:r>
        <w:rPr>
          <w:rFonts w:hint="eastAsia" w:ascii="Times New Roman" w:hAnsi="Times New Roman" w:eastAsia="方正仿宋_GBK" w:cs="Times New Roman"/>
          <w:sz w:val="32"/>
          <w:szCs w:val="32"/>
          <w:lang w:eastAsia="zh-CN"/>
        </w:rPr>
        <w:t>力争</w:t>
      </w:r>
      <w:r>
        <w:rPr>
          <w:rFonts w:hint="default" w:ascii="Times New Roman" w:hAnsi="Times New Roman" w:eastAsia="方正仿宋_GBK" w:cs="Times New Roman"/>
          <w:sz w:val="32"/>
          <w:szCs w:val="32"/>
        </w:rPr>
        <w:t>到2025年在红塔区、江川区、通海县建设3个种质资源保存圃，保存花卉种质资源500份；依托花卉龙头企业，走企业院所合作的路子进行花卉新品种的培育，到2025年，新培育10个以上花卉自主知识产权品种。</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方正黑体_GBK" w:hAnsi="方正黑体_GBK" w:eastAsia="方正黑体_GBK" w:cs="方正黑体_GBK"/>
          <w:sz w:val="32"/>
          <w:szCs w:val="32"/>
        </w:rPr>
      </w:pPr>
      <w:bookmarkStart w:id="118" w:name="_Toc17150"/>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花卉种苗研发生产基地建设项目</w:t>
      </w:r>
      <w:bookmarkEnd w:id="118"/>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w:t>
      </w:r>
      <w:r>
        <w:rPr>
          <w:rFonts w:hint="eastAsia" w:ascii="Times New Roman" w:hAnsi="Times New Roman" w:eastAsia="方正仿宋_GBK" w:cs="Times New Roman"/>
          <w:color w:val="000000" w:themeColor="text1"/>
          <w:sz w:val="32"/>
          <w:szCs w:val="32"/>
          <w:lang w:eastAsia="zh-CN"/>
        </w:rPr>
        <w:t>绿聚隆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锦海、明珠、云星、云秀、佳海、紫玉、迪瑞特等</w:t>
      </w:r>
      <w:r>
        <w:rPr>
          <w:rFonts w:hint="eastAsia" w:ascii="Times New Roman" w:hAnsi="Times New Roman" w:eastAsia="方正仿宋_GBK" w:cs="Times New Roman"/>
          <w:sz w:val="32"/>
          <w:szCs w:val="32"/>
          <w:lang w:eastAsia="zh-CN"/>
        </w:rPr>
        <w:t>花卉龙头企业</w:t>
      </w:r>
      <w:r>
        <w:rPr>
          <w:rFonts w:hint="default" w:ascii="Times New Roman" w:hAnsi="Times New Roman" w:eastAsia="方正仿宋_GBK" w:cs="Times New Roman"/>
          <w:sz w:val="32"/>
          <w:szCs w:val="32"/>
        </w:rPr>
        <w:t>，建设高效、标准的优质种苗研发繁育基地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到2025年生产各类</w:t>
      </w:r>
      <w:r>
        <w:rPr>
          <w:rFonts w:hint="eastAsia" w:ascii="Times New Roman" w:hAnsi="Times New Roman" w:eastAsia="方正仿宋_GBK" w:cs="Times New Roman"/>
          <w:sz w:val="32"/>
          <w:szCs w:val="32"/>
          <w:lang w:eastAsia="zh-CN"/>
        </w:rPr>
        <w:t>优质花卉</w:t>
      </w:r>
      <w:r>
        <w:rPr>
          <w:rFonts w:hint="default" w:ascii="Times New Roman" w:hAnsi="Times New Roman" w:eastAsia="方正仿宋_GBK" w:cs="Times New Roman"/>
          <w:sz w:val="32"/>
          <w:szCs w:val="32"/>
        </w:rPr>
        <w:t>种苗1亿株、种球5000万头。</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方正黑体_GBK" w:hAnsi="方正黑体_GBK" w:eastAsia="方正黑体_GBK" w:cs="方正黑体_GBK"/>
          <w:sz w:val="32"/>
          <w:szCs w:val="32"/>
        </w:rPr>
      </w:pPr>
      <w:bookmarkStart w:id="119" w:name="_Toc30081"/>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现代花卉绿色高效示范园建设项目</w:t>
      </w:r>
      <w:bookmarkEnd w:id="119"/>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依托云秀、锦海、紫玉、瑞珀等企业打造世界一流</w:t>
      </w:r>
      <w:r>
        <w:rPr>
          <w:rFonts w:hint="eastAsia" w:ascii="方正仿宋_GBK" w:hAnsi="方正仿宋_GBK" w:eastAsia="方正仿宋_GBK" w:cs="方正仿宋_GBK"/>
          <w:sz w:val="32"/>
          <w:szCs w:val="32"/>
        </w:rPr>
        <w:t>“绿色食品牌”省级产业</w:t>
      </w:r>
      <w:r>
        <w:rPr>
          <w:rFonts w:hint="default" w:ascii="Times New Roman" w:hAnsi="Times New Roman" w:eastAsia="方正仿宋_GBK" w:cs="Times New Roman"/>
          <w:sz w:val="32"/>
          <w:szCs w:val="32"/>
        </w:rPr>
        <w:t>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到2025年在红塔区</w:t>
      </w:r>
      <w:r>
        <w:rPr>
          <w:rFonts w:hint="eastAsia" w:ascii="Times New Roman" w:hAnsi="Times New Roman" w:eastAsia="方正仿宋_GBK" w:cs="Times New Roman"/>
          <w:color w:val="000000" w:themeColor="text1"/>
          <w:sz w:val="32"/>
          <w:szCs w:val="32"/>
          <w:lang w:eastAsia="zh-CN"/>
        </w:rPr>
        <w:t>累计建成</w:t>
      </w:r>
      <w:r>
        <w:rPr>
          <w:rFonts w:hint="default" w:ascii="Times New Roman" w:hAnsi="Times New Roman" w:eastAsia="方正仿宋_GBK" w:cs="Times New Roman"/>
          <w:sz w:val="32"/>
          <w:szCs w:val="32"/>
        </w:rPr>
        <w:t>13600亩鲜切花、盆花示范园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江川区建设10000亩兰花、鲜切花和多肉示范园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峨山县建设2000亩食用玫瑰示范基地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元江县建设5000亩茉莉花绿色示范园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华宁县1000亩特色花卉示范园。</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Times New Roman" w:hAnsi="Times New Roman" w:eastAsia="方正仿宋_GBK"/>
        </w:rPr>
      </w:pPr>
      <w:bookmarkStart w:id="120" w:name="_Toc9940"/>
      <w:bookmarkStart w:id="121" w:name="_Toc6615"/>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rPr>
        <w:t>亚洲花卉科创谷建设项目</w:t>
      </w:r>
      <w:bookmarkEnd w:id="120"/>
      <w:bookmarkEnd w:id="121"/>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玉溪市人民政府和云南农业科学院共同构建合作机制，聚合创新资源，合力规划建设</w:t>
      </w:r>
      <w:r>
        <w:rPr>
          <w:rFonts w:hint="eastAsia" w:ascii="方正仿宋_GBK" w:hAnsi="方正仿宋_GBK" w:eastAsia="方正仿宋_GBK" w:cs="方正仿宋_GBK"/>
          <w:sz w:val="32"/>
          <w:szCs w:val="32"/>
        </w:rPr>
        <w:t>“亚洲花卉科创谷”</w:t>
      </w:r>
      <w:r>
        <w:rPr>
          <w:rFonts w:ascii="Times New Roman" w:hAnsi="Times New Roman" w:eastAsia="方正仿宋_GBK" w:cs="Times New Roman"/>
          <w:sz w:val="32"/>
          <w:szCs w:val="32"/>
        </w:rPr>
        <w:t>，</w:t>
      </w:r>
      <w:r>
        <w:rPr>
          <w:rFonts w:ascii="Times New Roman" w:hAnsi="Times New Roman" w:eastAsia="方正仿宋_GBK" w:cs="Times New Roman"/>
          <w:color w:val="000000" w:themeColor="text1"/>
          <w:sz w:val="32"/>
          <w:szCs w:val="32"/>
        </w:rPr>
        <w:t>把玉溪建成国际花卉育种中心、技术研发中心、</w:t>
      </w:r>
      <w:r>
        <w:rPr>
          <w:rFonts w:ascii="Times New Roman" w:hAnsi="Times New Roman" w:eastAsia="方正仿宋_GBK" w:cs="Times New Roman"/>
          <w:sz w:val="32"/>
          <w:szCs w:val="32"/>
        </w:rPr>
        <w:t>花卉产业人才培养基地、花卉品牌交易平台和面向东南亚、南亚重要</w:t>
      </w:r>
      <w:r>
        <w:rPr>
          <w:rFonts w:hint="eastAsia" w:ascii="Times New Roman" w:hAnsi="Times New Roman" w:eastAsia="方正仿宋_GBK" w:cs="Times New Roman"/>
          <w:sz w:val="32"/>
          <w:szCs w:val="32"/>
        </w:rPr>
        <w:t>花卉</w:t>
      </w:r>
      <w:r>
        <w:rPr>
          <w:rFonts w:ascii="Times New Roman" w:hAnsi="Times New Roman" w:eastAsia="方正仿宋_GBK" w:cs="Times New Roman"/>
          <w:sz w:val="32"/>
          <w:szCs w:val="32"/>
        </w:rPr>
        <w:t>生产基地打造江川区九溪花卉特色小镇和玉溪花卉一二三产业融合发展示范区。</w:t>
      </w:r>
      <w:r>
        <w:rPr>
          <w:rFonts w:hint="eastAsia" w:ascii="Times New Roman" w:hAnsi="Times New Roman" w:eastAsia="方正仿宋_GBK" w:cs="Times New Roman"/>
          <w:sz w:val="32"/>
          <w:szCs w:val="32"/>
        </w:rPr>
        <w:t>结合“科技入滇”战略，</w:t>
      </w:r>
      <w:r>
        <w:rPr>
          <w:rFonts w:hint="eastAsia" w:ascii="Times New Roman" w:hAnsi="Times New Roman" w:eastAsia="方正仿宋_GBK" w:cs="Times New Roman"/>
          <w:color w:val="000000" w:themeColor="text1"/>
          <w:sz w:val="32"/>
          <w:szCs w:val="32"/>
          <w:lang w:eastAsia="zh-CN"/>
        </w:rPr>
        <w:t>充分利用</w:t>
      </w:r>
      <w:r>
        <w:rPr>
          <w:rFonts w:hint="eastAsia" w:ascii="Times New Roman" w:hAnsi="Times New Roman" w:eastAsia="方正仿宋_GBK" w:cs="Times New Roman"/>
          <w:sz w:val="32"/>
          <w:szCs w:val="32"/>
        </w:rPr>
        <w:t>九溪地区的天然优势，加强花卉品种研发、育种育苗、科技种植、肥料土壤、采后处理、加工技术等方面技术创新，推动产品质量提升，实现专业化、标准化生产，增强市场竞争力和附加值。依托花卉科研、创意花卉景观、小镇特色风貌，延伸拓展花卉美食、花艺生活、特色购物等，发展花卉主题特色旅游产业。依托花卉科研创新集群优势发展花卉科研与种植技术培训，花艺培训等，为花卉产业的发展提供专业服务平台，培养专业技术人才。</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方正黑体_GBK" w:hAnsi="方正黑体_GBK" w:eastAsia="方正黑体_GBK" w:cs="方正黑体_GBK"/>
          <w:sz w:val="32"/>
          <w:szCs w:val="32"/>
        </w:rPr>
      </w:pPr>
      <w:bookmarkStart w:id="122" w:name="_Toc4982"/>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乡村振兴产业融合发展建设项目</w:t>
      </w:r>
      <w:bookmarkEnd w:id="122"/>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依托红塔区现代花卉产业融城发展示范园建设项目，建设600亩超高标准花卉种植温室大棚，配套花卉智慧化数据管控系统、采后处理设施设备，搭建电子商务平台。在大营街街道建设以花卉、蔬菜、水果为主的乡村振兴示范园3000亩，其中建设1500亩花卉自动温控大棚，开展田间排灌沟渠、游憩步道、游客接待中心及会议中心改造、室内外花卉参观交易中心、农事体验中心、垂钓休闲娱乐中心、电子商务营销系统等建设。江川区流转土地1万亩，建设九溪花卉产业园、前卫兰花产业园、雄关农业科技园、安化多肉产业园4个集产业基地、种植示范、冷链物流、农产品展销、电商平台、农民专业合作社带动、品种研发为一体的产业示范园区，提升园区周边农村人居环境，打造美丽乡村，发展农家乐、民宿、露营等乡村旅游，打造乡村振兴示范样板。创建玉溪田园综合体项目——春和景明·九龙呈祥，以“农业+文旅+康养”为发展模式，打造“百亩水域·千亩花卉·万亩园林”的田园综合体。</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lang w:eastAsia="zh-CN"/>
        </w:rPr>
        <w:t>在澄江、通海、江川三湖流域区域和新平元江哀牢山风景区，结合种植结构调整和湿地公园、风景区的建设和开发，继续打造好抚仙湖樱花节、澄江荷花节、菊花花海、磨盘山樱花节等一批优质花卉和休闲旅游、乡村产业发展结合的示范区，新增一些新的花卉综合示范区。</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23" w:name="_Toc482865598"/>
      <w:bookmarkStart w:id="124" w:name="_Toc32016"/>
      <w:bookmarkStart w:id="125" w:name="_Toc31285"/>
      <w:r>
        <w:rPr>
          <w:rFonts w:hint="eastAsia" w:ascii="方正黑体_GBK" w:hAnsi="方正黑体_GBK" w:eastAsia="方正黑体_GBK" w:cs="方正黑体_GBK"/>
          <w:b w:val="0"/>
          <w:bCs w:val="0"/>
          <w:lang w:eastAsia="zh-CN"/>
        </w:rPr>
        <w:t>六</w:t>
      </w:r>
      <w:r>
        <w:rPr>
          <w:rFonts w:hint="eastAsia" w:ascii="方正黑体_GBK" w:hAnsi="方正黑体_GBK" w:eastAsia="方正黑体_GBK" w:cs="方正黑体_GBK"/>
          <w:b w:val="0"/>
          <w:bCs w:val="0"/>
        </w:rPr>
        <w:t>、互联网+平台建设</w:t>
      </w:r>
      <w:bookmarkEnd w:id="123"/>
      <w:r>
        <w:rPr>
          <w:rFonts w:hint="eastAsia" w:ascii="方正黑体_GBK" w:hAnsi="方正黑体_GBK" w:eastAsia="方正黑体_GBK" w:cs="方正黑体_GBK"/>
          <w:b w:val="0"/>
          <w:bCs w:val="0"/>
        </w:rPr>
        <w:t>项目</w:t>
      </w:r>
      <w:bookmarkEnd w:id="124"/>
      <w:bookmarkEnd w:id="125"/>
    </w:p>
    <w:p>
      <w:pPr>
        <w:keepNext w:val="0"/>
        <w:keepLines w:val="0"/>
        <w:pageBreakBefore w:val="0"/>
        <w:widowControl w:val="0"/>
        <w:kinsoku/>
        <w:wordWrap/>
        <w:overflowPunct/>
        <w:topLinePunct w:val="0"/>
        <w:autoSpaceDE/>
        <w:autoSpaceDN/>
        <w:bidi w:val="0"/>
        <w:adjustRightInd/>
        <w:spacing w:line="560" w:lineRule="exact"/>
        <w:ind w:firstLine="629"/>
        <w:textAlignment w:val="auto"/>
        <w:rPr>
          <w:rFonts w:hint="eastAsia" w:ascii="Times New Roman" w:hAnsi="Times New Roman" w:eastAsia="方正仿宋_GBK" w:cs="Times New Roman"/>
          <w:color w:val="000000" w:themeColor="text1"/>
          <w:sz w:val="32"/>
          <w:szCs w:val="32"/>
          <w:lang w:eastAsia="zh-CN"/>
        </w:rPr>
      </w:pPr>
      <w:r>
        <w:rPr>
          <w:rFonts w:ascii="Times New Roman" w:hAnsi="Times New Roman" w:eastAsia="方正仿宋_GBK" w:cs="Times New Roman"/>
          <w:sz w:val="32"/>
          <w:szCs w:val="32"/>
        </w:rPr>
        <w:t>推广</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互联网+花卉产业+金融+现代物</w:t>
      </w:r>
      <w:r>
        <w:rPr>
          <w:rFonts w:hint="eastAsia" w:ascii="方正仿宋_GBK" w:hAnsi="方正仿宋_GBK" w:eastAsia="方正仿宋_GBK" w:cs="方正仿宋_GBK"/>
          <w:sz w:val="32"/>
          <w:szCs w:val="32"/>
        </w:rPr>
        <w:t>流”创</w:t>
      </w:r>
      <w:r>
        <w:rPr>
          <w:rFonts w:ascii="Times New Roman" w:hAnsi="Times New Roman" w:eastAsia="方正仿宋_GBK" w:cs="Times New Roman"/>
          <w:sz w:val="32"/>
          <w:szCs w:val="32"/>
        </w:rPr>
        <w:t>新运营模式，推动花卉产品直供直销、电子商务等</w:t>
      </w:r>
      <w:r>
        <w:rPr>
          <w:rFonts w:hint="eastAsia" w:ascii="Times New Roman" w:hAnsi="Times New Roman" w:eastAsia="方正仿宋_GBK" w:cs="Times New Roman"/>
          <w:color w:val="000000" w:themeColor="text1"/>
          <w:sz w:val="32"/>
          <w:szCs w:val="32"/>
          <w:lang w:eastAsia="zh-CN"/>
        </w:rPr>
        <w:t>新型</w:t>
      </w:r>
      <w:r>
        <w:rPr>
          <w:rFonts w:ascii="Times New Roman" w:hAnsi="Times New Roman" w:eastAsia="方正仿宋_GBK" w:cs="Times New Roman"/>
          <w:sz w:val="32"/>
          <w:szCs w:val="32"/>
        </w:rPr>
        <w:t>流通业态和现代交易方式，引导我市花卉经营主体利用现代网络手段创新花卉商品批发零售方式，开展电子商务进产区综合示范，在全市建设一个花卉产业电商产业园，提高电商覆盖范围。依托花卉重点龙头企业，引入花家、宜花等花卉电子商务平台，结合基地建设，扩大花卉产品的销售渠道，促进花卉产品的畅销。</w:t>
      </w:r>
      <w:bookmarkStart w:id="126" w:name="_Toc18842"/>
      <w:bookmarkStart w:id="127" w:name="_Toc482865599"/>
      <w:r>
        <w:rPr>
          <w:rFonts w:hint="eastAsia" w:ascii="Times New Roman" w:hAnsi="Times New Roman" w:eastAsia="方正仿宋_GBK" w:cs="Times New Roman"/>
          <w:color w:val="000000" w:themeColor="text1"/>
          <w:sz w:val="32"/>
          <w:szCs w:val="32"/>
          <w:lang w:eastAsia="zh-CN"/>
        </w:rPr>
        <w:t>拟在红塔区春和建设玉溪市花卉拍卖中心。</w:t>
      </w:r>
    </w:p>
    <w:bookmarkEnd w:id="126"/>
    <w:bookmarkEnd w:id="127"/>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b w:val="0"/>
          <w:bCs w:val="0"/>
          <w:sz w:val="32"/>
          <w:szCs w:val="32"/>
        </w:rPr>
      </w:pPr>
      <w:bookmarkStart w:id="128" w:name="_Toc29880"/>
      <w:bookmarkStart w:id="129" w:name="_Toc482865607"/>
      <w:bookmarkStart w:id="130" w:name="_Toc12015"/>
      <w:r>
        <w:rPr>
          <w:rFonts w:hint="eastAsia" w:ascii="方正小标宋_GBK" w:hAnsi="方正小标宋_GBK" w:eastAsia="方正小标宋_GBK" w:cs="方正小标宋_GBK"/>
          <w:b w:val="0"/>
          <w:bCs w:val="0"/>
          <w:sz w:val="32"/>
          <w:szCs w:val="32"/>
        </w:rPr>
        <w:br w:type="page"/>
      </w:r>
    </w:p>
    <w:p>
      <w:pPr>
        <w:pStyle w:val="3"/>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第五章  保障措施</w:t>
      </w:r>
      <w:bookmarkEnd w:id="128"/>
      <w:bookmarkEnd w:id="129"/>
      <w:bookmarkEnd w:id="130"/>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outlineLvl w:val="9"/>
        <w:rPr>
          <w:rFonts w:ascii="方正黑体_GBK" w:hAnsi="方正黑体_GBK" w:eastAsia="方正黑体_GBK" w:cs="方正黑体_GBK"/>
          <w:b w:val="0"/>
          <w:bCs w:val="0"/>
        </w:rPr>
      </w:pPr>
      <w:bookmarkStart w:id="131" w:name="_Toc482865608"/>
      <w:bookmarkStart w:id="132" w:name="_Toc456075049"/>
      <w:bookmarkStart w:id="133" w:name="_Toc453058428"/>
      <w:bookmarkStart w:id="134" w:name="_Toc32629"/>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35" w:name="_Toc6879"/>
      <w:r>
        <w:rPr>
          <w:rFonts w:hint="eastAsia" w:ascii="方正黑体_GBK" w:hAnsi="方正黑体_GBK" w:eastAsia="方正黑体_GBK" w:cs="方正黑体_GBK"/>
          <w:b w:val="0"/>
          <w:bCs w:val="0"/>
        </w:rPr>
        <w:t>一、加强组织领导，构建强有力的组织保障</w:t>
      </w:r>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确保我市花卉产业健康发展，促进花卉产业转型升级，成立玉溪市加快花卉产业发展及转型升级领导小组，负责花卉产业发展的组织领导、综合协调和督促检查工作。加强各部门间的沟通协调，明确各部门的责任分工，加强队伍建设，协作发展，加大支持力度，共同为产业营造良好的发展环境；各花卉重点县、区要切实强化花卉产业发展推进责任制，成立由县、区政府主要领导担任组长的产业推进小组，将目标任务落实到具体的部门和责任人；指导行业协会、产业联盟等组织发挥好桥梁纽带和行业服务、自律和协调作用，切实做好产业调查研究、政策建议、市场规范、人才培训、信息服务与技术咨询等服务工作。</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36" w:name="_Toc8257"/>
      <w:bookmarkStart w:id="137" w:name="_Toc456075050"/>
      <w:bookmarkStart w:id="138" w:name="_Toc16775"/>
      <w:bookmarkStart w:id="139" w:name="_Toc453058429"/>
      <w:bookmarkStart w:id="140" w:name="_Toc482865609"/>
      <w:r>
        <w:rPr>
          <w:rFonts w:hint="eastAsia" w:ascii="方正黑体_GBK" w:hAnsi="方正黑体_GBK" w:eastAsia="方正黑体_GBK" w:cs="方正黑体_GBK"/>
          <w:b w:val="0"/>
          <w:bCs w:val="0"/>
        </w:rPr>
        <w:t>二、强化政策保障，营造良好的发展环境</w:t>
      </w:r>
      <w:bookmarkEnd w:id="136"/>
      <w:bookmarkEnd w:id="137"/>
      <w:bookmarkEnd w:id="138"/>
      <w:bookmarkEnd w:id="139"/>
      <w:bookmarkEnd w:id="14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Cs/>
          <w:sz w:val="32"/>
          <w:szCs w:val="32"/>
        </w:rPr>
        <w:t>一是</w:t>
      </w:r>
      <w:r>
        <w:rPr>
          <w:rFonts w:ascii="Times New Roman" w:hAnsi="Times New Roman" w:eastAsia="方正仿宋_GBK" w:cs="Times New Roman"/>
          <w:sz w:val="32"/>
          <w:szCs w:val="32"/>
        </w:rPr>
        <w:t>尽快研究出台新时期促进玉溪现代花卉产业发展的指导性意见，为产业发展营造良好的政策发展环境，提振发展信心和推进产业长期稳定可持续发展；</w:t>
      </w:r>
      <w:r>
        <w:rPr>
          <w:rFonts w:ascii="Times New Roman" w:hAnsi="Times New Roman" w:eastAsia="方正仿宋_GBK" w:cs="Times New Roman"/>
          <w:bCs/>
          <w:sz w:val="32"/>
          <w:szCs w:val="32"/>
        </w:rPr>
        <w:t>二是</w:t>
      </w:r>
      <w:r>
        <w:rPr>
          <w:rFonts w:ascii="Times New Roman" w:hAnsi="Times New Roman" w:eastAsia="方正仿宋_GBK" w:cs="Times New Roman"/>
          <w:sz w:val="32"/>
          <w:szCs w:val="32"/>
        </w:rPr>
        <w:t>加大财政金融扶持力度。玉溪花卉产业的发展得益于政府的扶持和引导，在今后玉溪花卉产业的发展过程中，要加大对花卉产业的扶持和引导力度，建议市级财政每年预算安排</w:t>
      </w:r>
      <w:r>
        <w:rPr>
          <w:rFonts w:hint="eastAsia" w:ascii="Times New Roman" w:hAnsi="Times New Roman" w:eastAsia="方正仿宋_GBK" w:cs="Times New Roman"/>
          <w:sz w:val="32"/>
          <w:szCs w:val="32"/>
          <w:lang w:eastAsia="zh-CN"/>
        </w:rPr>
        <w:t>一定的</w:t>
      </w:r>
      <w:r>
        <w:rPr>
          <w:rFonts w:ascii="Times New Roman" w:hAnsi="Times New Roman" w:eastAsia="方正仿宋_GBK" w:cs="Times New Roman"/>
          <w:sz w:val="32"/>
          <w:szCs w:val="32"/>
        </w:rPr>
        <w:t>花卉专项扶持资金，在花卉新品种、新技术的引进和研发、园区建设、设施建设、市场开拓、采后处理、包装运输、组织化建设和交易平台建设上给予资金扶持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bCs/>
          <w:sz w:val="32"/>
          <w:szCs w:val="32"/>
        </w:rPr>
        <w:t>三是</w:t>
      </w:r>
      <w:r>
        <w:rPr>
          <w:rFonts w:ascii="Times New Roman" w:hAnsi="Times New Roman" w:eastAsia="方正仿宋_GBK" w:cs="Times New Roman"/>
          <w:sz w:val="32"/>
          <w:szCs w:val="32"/>
        </w:rPr>
        <w:t>在土地使用政策、水利建设等方面给予支持，鼓励投资者发展花卉产业，加大荒坡、山地等非农田用地开发力度，确保花卉基地设施建设用地。花卉生产基地建设、园区建设需要配套水池、采后处理车间、保鲜冷库、生产资料贮藏房、管理用房、停车场等附属设施，要严格执行</w:t>
      </w:r>
      <w:r>
        <w:rPr>
          <w:rFonts w:ascii="Times New Roman" w:hAnsi="Times New Roman" w:eastAsia="方正仿宋_GBK" w:cs="Times New Roman"/>
          <w:sz w:val="32"/>
          <w:szCs w:val="32"/>
          <w:shd w:val="clear" w:color="auto" w:fill="FFFFFF"/>
        </w:rPr>
        <w:t>国土资源部、农业部《关于进一步支持设施农业健康发展的通知》（国土资发〔2014〕127号）精神，</w:t>
      </w:r>
      <w:r>
        <w:rPr>
          <w:rFonts w:ascii="Times New Roman" w:hAnsi="Times New Roman" w:eastAsia="方正仿宋_GBK" w:cs="Times New Roman"/>
          <w:sz w:val="32"/>
          <w:szCs w:val="32"/>
        </w:rPr>
        <w:t>优先安排设施农用地的审批，确保现代花卉生产基地建设、园区建设功能齐备和完善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bCs/>
          <w:sz w:val="32"/>
          <w:szCs w:val="32"/>
        </w:rPr>
        <w:t>四是</w:t>
      </w:r>
      <w:r>
        <w:rPr>
          <w:rFonts w:ascii="Times New Roman" w:hAnsi="Times New Roman" w:eastAsia="方正仿宋_GBK" w:cs="Times New Roman"/>
          <w:sz w:val="32"/>
          <w:szCs w:val="32"/>
          <w:shd w:val="clear" w:color="auto" w:fill="FFFFFF"/>
        </w:rPr>
        <w:t>提高花卉产业的组织化程度。</w:t>
      </w:r>
      <w:r>
        <w:rPr>
          <w:rFonts w:ascii="Times New Roman" w:hAnsi="Times New Roman" w:eastAsia="方正仿宋_GBK" w:cs="Times New Roman"/>
          <w:sz w:val="32"/>
          <w:szCs w:val="32"/>
        </w:rPr>
        <w:t>为充分发挥花卉专业合作社在我市花卉产业中的作用，每年支持新发展3</w:t>
      </w:r>
      <w:r>
        <w:rPr>
          <w:rFonts w:hint="default" w:ascii="Arial" w:hAnsi="Arial" w:eastAsia="方正仿宋_GBK" w:cs="Arial"/>
          <w:sz w:val="32"/>
          <w:szCs w:val="32"/>
        </w:rPr>
        <w:t>－</w:t>
      </w:r>
      <w:r>
        <w:rPr>
          <w:rFonts w:ascii="Times New Roman" w:hAnsi="Times New Roman" w:eastAsia="方正仿宋_GBK" w:cs="Times New Roman"/>
          <w:sz w:val="32"/>
          <w:szCs w:val="32"/>
        </w:rPr>
        <w:t>5个花卉专业合作社</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shd w:val="clear" w:color="auto" w:fill="FFFFFF"/>
        </w:rPr>
        <w:t>五</w:t>
      </w:r>
      <w:r>
        <w:rPr>
          <w:rFonts w:ascii="Times New Roman" w:hAnsi="Times New Roman" w:eastAsia="方正仿宋_GBK" w:cs="Times New Roman"/>
          <w:bCs/>
          <w:sz w:val="32"/>
          <w:szCs w:val="32"/>
          <w:shd w:val="clear" w:color="auto" w:fill="FFFFFF"/>
        </w:rPr>
        <w:t>是</w:t>
      </w:r>
      <w:r>
        <w:rPr>
          <w:rFonts w:ascii="Times New Roman" w:hAnsi="Times New Roman" w:eastAsia="方正仿宋_GBK" w:cs="Times New Roman"/>
          <w:sz w:val="32"/>
          <w:szCs w:val="32"/>
          <w:shd w:val="clear" w:color="auto" w:fill="FFFFFF"/>
        </w:rPr>
        <w:t>推进标准化生产。</w:t>
      </w:r>
      <w:r>
        <w:rPr>
          <w:rFonts w:ascii="Times New Roman" w:hAnsi="Times New Roman" w:eastAsia="方正仿宋_GBK" w:cs="Times New Roman"/>
          <w:sz w:val="32"/>
          <w:szCs w:val="32"/>
        </w:rPr>
        <w:t>积极推进制定玉溪种球、种苗、切花生产地方标准，使玉溪花卉产业发展逐步走上标准化的轨道，实行标准化生产、规范化栽培、产业化经营，全面提高花卉生产水平，提升产品质量，扩大出口规模，提高经济效益。以公司为主体，部门配合，积极推进玫瑰、百合、康乃馨、非洲菊、洋桔梗等花卉主栽品种生产、采后处理、包装运输、标准化制定。</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41" w:name="_Toc456075051"/>
      <w:bookmarkStart w:id="142" w:name="_Toc482865610"/>
      <w:bookmarkStart w:id="143" w:name="_Toc453058430"/>
      <w:bookmarkStart w:id="144" w:name="_Toc24435"/>
      <w:bookmarkStart w:id="145" w:name="_Toc13221"/>
      <w:r>
        <w:rPr>
          <w:rFonts w:hint="eastAsia" w:ascii="方正黑体_GBK" w:hAnsi="方正黑体_GBK" w:eastAsia="方正黑体_GBK" w:cs="方正黑体_GBK"/>
          <w:b w:val="0"/>
          <w:bCs w:val="0"/>
        </w:rPr>
        <w:t>三、拓宽投融资渠道，保障项目持续投入</w:t>
      </w:r>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创新资金投入和扶持方式，协调金融部门探索开展林权、土地承包经营权、农房和宅基地使用权等产权抵押融资业务，加大金融部门支持花卉产业资金投放力度，缓解花卉产业融资困难。建立由财政资金、金融资本和社会资本共同参与的股权投资新模式，扩大融资规模，并通过股权置换、培育上市等方式，建立财政资金适时退出和滚动发展机制；二是统筹协调，整合财政、发改、农业、科技、商务、工信等相关部门资源优势，围绕花卉产业发展的重点和关键环节，分工协作，共同促推产业整体发展；三是积极争取国家和省级项目支持，支持科研机构和企业申报国家级花卉发展项目，并对获得国家和省级经费支持的，给予市级财政优先配套支持。鼓励支持院企合作、院地合作，重视花种品种的培育，开发本土品种，培育具有自主知识产权品种，夯实花卉产业发展的根基，探索出一套适合玉溪土壤、气候条件下优质高产栽培的花卉种植技术，提高花农种植效益</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bCs/>
          <w:sz w:val="32"/>
          <w:szCs w:val="32"/>
        </w:rPr>
        <w:t>四是</w:t>
      </w:r>
      <w:r>
        <w:rPr>
          <w:rFonts w:ascii="Times New Roman" w:hAnsi="Times New Roman" w:eastAsia="方正仿宋_GBK" w:cs="Times New Roman"/>
          <w:sz w:val="32"/>
          <w:szCs w:val="32"/>
          <w:shd w:val="clear" w:color="auto" w:fill="FFFFFF"/>
        </w:rPr>
        <w:t>拓展销售市场和渠道。</w:t>
      </w:r>
      <w:r>
        <w:rPr>
          <w:rFonts w:ascii="Times New Roman" w:hAnsi="Times New Roman" w:eastAsia="方正仿宋_GBK" w:cs="Times New Roman"/>
          <w:sz w:val="32"/>
          <w:szCs w:val="32"/>
        </w:rPr>
        <w:t>在加强和完善原有花卉产品销售渠道的同时，积极开展电子商务，鼓励支持企业与一些大型电子商务集团合作，利用网络电子商务平台开展花卉产品网上销售，拓宽销售渠道</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bCs/>
          <w:sz w:val="32"/>
          <w:szCs w:val="32"/>
        </w:rPr>
        <w:t>五是</w:t>
      </w:r>
      <w:r>
        <w:rPr>
          <w:rFonts w:ascii="Times New Roman" w:hAnsi="Times New Roman" w:eastAsia="方正仿宋_GBK" w:cs="Times New Roman"/>
          <w:sz w:val="32"/>
          <w:szCs w:val="32"/>
          <w:shd w:val="clear" w:color="auto" w:fill="FFFFFF"/>
        </w:rPr>
        <w:t>加大招商引资力度。</w:t>
      </w:r>
      <w:r>
        <w:rPr>
          <w:rFonts w:ascii="Times New Roman" w:hAnsi="Times New Roman" w:eastAsia="方正仿宋_GBK" w:cs="Times New Roman"/>
          <w:sz w:val="32"/>
          <w:szCs w:val="32"/>
        </w:rPr>
        <w:t>加大玉溪投资融资环境的宣传力度，搭建招商引资平台有针对性地策划、包装一批项目，重点招引实力强的省内外企业入驻玉溪，借用外力推动花卉产业的发展。</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46" w:name="_Toc29454"/>
      <w:bookmarkStart w:id="147" w:name="_Toc456075052"/>
      <w:bookmarkStart w:id="148" w:name="_Toc22198"/>
      <w:bookmarkStart w:id="149" w:name="_Toc453058431"/>
      <w:bookmarkStart w:id="150" w:name="_Toc482865611"/>
      <w:r>
        <w:rPr>
          <w:rFonts w:hint="eastAsia" w:ascii="方正黑体_GBK" w:hAnsi="方正黑体_GBK" w:eastAsia="方正黑体_GBK" w:cs="方正黑体_GBK"/>
          <w:b w:val="0"/>
          <w:bCs w:val="0"/>
        </w:rPr>
        <w:t>四、强化责任落实，推进总体目标实现</w:t>
      </w:r>
      <w:bookmarkEnd w:id="146"/>
      <w:bookmarkEnd w:id="147"/>
      <w:bookmarkEnd w:id="148"/>
      <w:bookmarkEnd w:id="149"/>
      <w:bookmarkEnd w:id="15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围绕花卉产业总体发展目标和重点项目的推进，构建市、县两级政府联动体系，强化责任落实和信息沟通协调。围绕云南省花卉产业</w:t>
      </w: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五”总</w:t>
      </w:r>
      <w:r>
        <w:rPr>
          <w:rFonts w:ascii="Times New Roman" w:hAnsi="Times New Roman" w:eastAsia="方正仿宋_GBK" w:cs="Times New Roman"/>
          <w:sz w:val="32"/>
          <w:szCs w:val="32"/>
        </w:rPr>
        <w:t>体发展目标，制定玉溪市产业推进计划表，将目标任务分解到各个花卉重点县、区，建立相应的目标任务绩效考核与激励机制，强化督促检查，确保目标任务实现；以重点项目为抓手，健全项目推进机制，加强项目跟踪与效能监督，以目标倒逼进度、以督查倒逼落实，形成项目建设滚动发展的良好局面。</w:t>
      </w:r>
    </w:p>
    <w:sectPr>
      <w:footerReference r:id="rId6" w:type="default"/>
      <w:footerReference r:id="rId7" w:type="even"/>
      <w:type w:val="oddPage"/>
      <w:pgSz w:w="11906" w:h="16838"/>
      <w:pgMar w:top="2041" w:right="1474" w:bottom="1304" w:left="1587" w:header="851" w:footer="567" w:gutter="113"/>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103" o:spid="_x0000_s410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104" o:spid="_x0000_s410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099" o:spid="_x0000_s4099" o:spt="202" type="#_x0000_t202" style="position:absolute;left:0pt;margin-left:373.2pt;margin-top:-6.85pt;height:144pt;width:144p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0" o:spid="_x0000_s4100" o:spt="202" type="#_x0000_t202" style="position:absolute;left:0pt;margin-left:10.7pt;margin-top:-17.8pt;height:144pt;width:144p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7BF0"/>
    <w:rsid w:val="000257E8"/>
    <w:rsid w:val="00032B62"/>
    <w:rsid w:val="00060433"/>
    <w:rsid w:val="00063224"/>
    <w:rsid w:val="000B7BF0"/>
    <w:rsid w:val="000D55D6"/>
    <w:rsid w:val="001121FF"/>
    <w:rsid w:val="00161B01"/>
    <w:rsid w:val="00181B3C"/>
    <w:rsid w:val="00186D2B"/>
    <w:rsid w:val="001B3D7A"/>
    <w:rsid w:val="001F4175"/>
    <w:rsid w:val="001F6F5C"/>
    <w:rsid w:val="002011E1"/>
    <w:rsid w:val="00275AA2"/>
    <w:rsid w:val="002A43C7"/>
    <w:rsid w:val="002A4509"/>
    <w:rsid w:val="002B2DB8"/>
    <w:rsid w:val="002C59AD"/>
    <w:rsid w:val="002E1514"/>
    <w:rsid w:val="0030481A"/>
    <w:rsid w:val="00321AA5"/>
    <w:rsid w:val="00343047"/>
    <w:rsid w:val="00362E2F"/>
    <w:rsid w:val="0037213D"/>
    <w:rsid w:val="0038166D"/>
    <w:rsid w:val="0039726F"/>
    <w:rsid w:val="00397A98"/>
    <w:rsid w:val="003B0050"/>
    <w:rsid w:val="003C6316"/>
    <w:rsid w:val="003E2135"/>
    <w:rsid w:val="003F595D"/>
    <w:rsid w:val="003F63E0"/>
    <w:rsid w:val="00411BFB"/>
    <w:rsid w:val="004311D5"/>
    <w:rsid w:val="00431CC1"/>
    <w:rsid w:val="00443C17"/>
    <w:rsid w:val="004445F0"/>
    <w:rsid w:val="00446D8F"/>
    <w:rsid w:val="004A0B80"/>
    <w:rsid w:val="004B223E"/>
    <w:rsid w:val="004B443D"/>
    <w:rsid w:val="005256CC"/>
    <w:rsid w:val="0055514D"/>
    <w:rsid w:val="00557895"/>
    <w:rsid w:val="00557B36"/>
    <w:rsid w:val="005961C2"/>
    <w:rsid w:val="005B1823"/>
    <w:rsid w:val="005C3F69"/>
    <w:rsid w:val="005C6A55"/>
    <w:rsid w:val="005E6FC1"/>
    <w:rsid w:val="005E7971"/>
    <w:rsid w:val="005F17DB"/>
    <w:rsid w:val="00600EAE"/>
    <w:rsid w:val="00630FD8"/>
    <w:rsid w:val="00633996"/>
    <w:rsid w:val="00636409"/>
    <w:rsid w:val="006471EB"/>
    <w:rsid w:val="006529BC"/>
    <w:rsid w:val="00654558"/>
    <w:rsid w:val="006602EE"/>
    <w:rsid w:val="00662974"/>
    <w:rsid w:val="006716C7"/>
    <w:rsid w:val="00671DA7"/>
    <w:rsid w:val="00677435"/>
    <w:rsid w:val="00686E42"/>
    <w:rsid w:val="00694FDD"/>
    <w:rsid w:val="006A00D0"/>
    <w:rsid w:val="006A75C8"/>
    <w:rsid w:val="006B1FFD"/>
    <w:rsid w:val="006B7305"/>
    <w:rsid w:val="0073049B"/>
    <w:rsid w:val="007633D4"/>
    <w:rsid w:val="0077075A"/>
    <w:rsid w:val="00776996"/>
    <w:rsid w:val="007A7B13"/>
    <w:rsid w:val="007C5DBC"/>
    <w:rsid w:val="007D572A"/>
    <w:rsid w:val="007E1B2F"/>
    <w:rsid w:val="00815A46"/>
    <w:rsid w:val="008359E8"/>
    <w:rsid w:val="00865A65"/>
    <w:rsid w:val="008822D3"/>
    <w:rsid w:val="008839DD"/>
    <w:rsid w:val="00892A3C"/>
    <w:rsid w:val="00897BB5"/>
    <w:rsid w:val="0097227E"/>
    <w:rsid w:val="00977B41"/>
    <w:rsid w:val="0098400D"/>
    <w:rsid w:val="00997B8A"/>
    <w:rsid w:val="009C573F"/>
    <w:rsid w:val="00A23D09"/>
    <w:rsid w:val="00A4208B"/>
    <w:rsid w:val="00A425B8"/>
    <w:rsid w:val="00A46BF8"/>
    <w:rsid w:val="00A54101"/>
    <w:rsid w:val="00A66125"/>
    <w:rsid w:val="00A85572"/>
    <w:rsid w:val="00A961DD"/>
    <w:rsid w:val="00AA618D"/>
    <w:rsid w:val="00AD21FD"/>
    <w:rsid w:val="00AE1842"/>
    <w:rsid w:val="00AE43B1"/>
    <w:rsid w:val="00B0513D"/>
    <w:rsid w:val="00B64107"/>
    <w:rsid w:val="00B718BD"/>
    <w:rsid w:val="00BC28F4"/>
    <w:rsid w:val="00BC7F2E"/>
    <w:rsid w:val="00BD2F8B"/>
    <w:rsid w:val="00BD4A54"/>
    <w:rsid w:val="00C235F9"/>
    <w:rsid w:val="00C3169A"/>
    <w:rsid w:val="00C57A1C"/>
    <w:rsid w:val="00C608BD"/>
    <w:rsid w:val="00C956E6"/>
    <w:rsid w:val="00CB2EDE"/>
    <w:rsid w:val="00CC4571"/>
    <w:rsid w:val="00CE52E1"/>
    <w:rsid w:val="00CF7297"/>
    <w:rsid w:val="00CF7B0B"/>
    <w:rsid w:val="00D04FA1"/>
    <w:rsid w:val="00D81C63"/>
    <w:rsid w:val="00DC0AE5"/>
    <w:rsid w:val="00DD43A7"/>
    <w:rsid w:val="00DE7D06"/>
    <w:rsid w:val="00E0040B"/>
    <w:rsid w:val="00E127FA"/>
    <w:rsid w:val="00E310F3"/>
    <w:rsid w:val="00E32705"/>
    <w:rsid w:val="00E37FD3"/>
    <w:rsid w:val="00E40A5F"/>
    <w:rsid w:val="00E46B45"/>
    <w:rsid w:val="00E64106"/>
    <w:rsid w:val="00E6594A"/>
    <w:rsid w:val="00E65BFE"/>
    <w:rsid w:val="00EA3593"/>
    <w:rsid w:val="00EE0E6E"/>
    <w:rsid w:val="00EF74FC"/>
    <w:rsid w:val="00F303DD"/>
    <w:rsid w:val="00F468BC"/>
    <w:rsid w:val="00F94FAE"/>
    <w:rsid w:val="00FA4D7B"/>
    <w:rsid w:val="00FC6537"/>
    <w:rsid w:val="00FF0D8A"/>
    <w:rsid w:val="01E35800"/>
    <w:rsid w:val="01EA7B01"/>
    <w:rsid w:val="028014F2"/>
    <w:rsid w:val="02887702"/>
    <w:rsid w:val="03783C58"/>
    <w:rsid w:val="04193F17"/>
    <w:rsid w:val="042A5AE0"/>
    <w:rsid w:val="045F2EFC"/>
    <w:rsid w:val="04B53D1B"/>
    <w:rsid w:val="050720BA"/>
    <w:rsid w:val="06EB65FF"/>
    <w:rsid w:val="073318FE"/>
    <w:rsid w:val="079D2418"/>
    <w:rsid w:val="07C961D9"/>
    <w:rsid w:val="07E76177"/>
    <w:rsid w:val="087D6BD2"/>
    <w:rsid w:val="08A6607D"/>
    <w:rsid w:val="090A5DAA"/>
    <w:rsid w:val="095B3F47"/>
    <w:rsid w:val="09AD2381"/>
    <w:rsid w:val="0A481DF4"/>
    <w:rsid w:val="0A7449AC"/>
    <w:rsid w:val="0C351C70"/>
    <w:rsid w:val="0C446771"/>
    <w:rsid w:val="0CBE69FC"/>
    <w:rsid w:val="0D362A5C"/>
    <w:rsid w:val="0D854333"/>
    <w:rsid w:val="0ED600BF"/>
    <w:rsid w:val="0F0E10E7"/>
    <w:rsid w:val="0F2847D0"/>
    <w:rsid w:val="105F146D"/>
    <w:rsid w:val="106828D0"/>
    <w:rsid w:val="106E5C6E"/>
    <w:rsid w:val="107F30C1"/>
    <w:rsid w:val="10A74CF5"/>
    <w:rsid w:val="10D149C9"/>
    <w:rsid w:val="10DA39D8"/>
    <w:rsid w:val="10DD433E"/>
    <w:rsid w:val="10E80961"/>
    <w:rsid w:val="11515F7D"/>
    <w:rsid w:val="11566063"/>
    <w:rsid w:val="11E666E0"/>
    <w:rsid w:val="11F220CC"/>
    <w:rsid w:val="12426E4C"/>
    <w:rsid w:val="1249220D"/>
    <w:rsid w:val="12CB71B3"/>
    <w:rsid w:val="13094122"/>
    <w:rsid w:val="13122A9C"/>
    <w:rsid w:val="134B08F3"/>
    <w:rsid w:val="139C36A3"/>
    <w:rsid w:val="142D2F43"/>
    <w:rsid w:val="14610384"/>
    <w:rsid w:val="147042F2"/>
    <w:rsid w:val="14E10DEA"/>
    <w:rsid w:val="14E67DDB"/>
    <w:rsid w:val="14ED0714"/>
    <w:rsid w:val="15084624"/>
    <w:rsid w:val="15435EDC"/>
    <w:rsid w:val="1558654C"/>
    <w:rsid w:val="164841C8"/>
    <w:rsid w:val="16635D76"/>
    <w:rsid w:val="172761D2"/>
    <w:rsid w:val="17B342F7"/>
    <w:rsid w:val="18DA17A0"/>
    <w:rsid w:val="19DA23F1"/>
    <w:rsid w:val="19F8483C"/>
    <w:rsid w:val="1A4930DA"/>
    <w:rsid w:val="1B3A7FF4"/>
    <w:rsid w:val="1BCE1B8D"/>
    <w:rsid w:val="1CCE2335"/>
    <w:rsid w:val="1D993226"/>
    <w:rsid w:val="1DFA444D"/>
    <w:rsid w:val="1E534C4F"/>
    <w:rsid w:val="1E647190"/>
    <w:rsid w:val="1EDD1513"/>
    <w:rsid w:val="1EF868E8"/>
    <w:rsid w:val="1FC91AE4"/>
    <w:rsid w:val="206A3E01"/>
    <w:rsid w:val="209657AB"/>
    <w:rsid w:val="20975F86"/>
    <w:rsid w:val="209C2341"/>
    <w:rsid w:val="20DB6777"/>
    <w:rsid w:val="21691457"/>
    <w:rsid w:val="21735161"/>
    <w:rsid w:val="21764114"/>
    <w:rsid w:val="21A54C9A"/>
    <w:rsid w:val="21C373A3"/>
    <w:rsid w:val="21FA7CAE"/>
    <w:rsid w:val="226F2E42"/>
    <w:rsid w:val="229520E9"/>
    <w:rsid w:val="2325517F"/>
    <w:rsid w:val="23424A24"/>
    <w:rsid w:val="235F08B5"/>
    <w:rsid w:val="23AC047C"/>
    <w:rsid w:val="23C66A84"/>
    <w:rsid w:val="23CE5981"/>
    <w:rsid w:val="24292545"/>
    <w:rsid w:val="24561F49"/>
    <w:rsid w:val="24B07B0C"/>
    <w:rsid w:val="24EC3198"/>
    <w:rsid w:val="25365C0F"/>
    <w:rsid w:val="25903BCC"/>
    <w:rsid w:val="2636074A"/>
    <w:rsid w:val="267F38CB"/>
    <w:rsid w:val="26CF4C09"/>
    <w:rsid w:val="27102777"/>
    <w:rsid w:val="2735517A"/>
    <w:rsid w:val="276D63AB"/>
    <w:rsid w:val="27F07492"/>
    <w:rsid w:val="28030D93"/>
    <w:rsid w:val="28655957"/>
    <w:rsid w:val="293529EC"/>
    <w:rsid w:val="298F3674"/>
    <w:rsid w:val="2A015E81"/>
    <w:rsid w:val="2B225691"/>
    <w:rsid w:val="2B9060FE"/>
    <w:rsid w:val="2BC5559A"/>
    <w:rsid w:val="2BDB1974"/>
    <w:rsid w:val="2C0D5F9A"/>
    <w:rsid w:val="2C1C5B1A"/>
    <w:rsid w:val="2C6022D7"/>
    <w:rsid w:val="2CB27F33"/>
    <w:rsid w:val="2CEE0F3A"/>
    <w:rsid w:val="2CF314E4"/>
    <w:rsid w:val="2CF920BA"/>
    <w:rsid w:val="2D021886"/>
    <w:rsid w:val="2D673113"/>
    <w:rsid w:val="2E1D61AA"/>
    <w:rsid w:val="2E540F25"/>
    <w:rsid w:val="2E5A3360"/>
    <w:rsid w:val="2E5E6D4C"/>
    <w:rsid w:val="2F0667B0"/>
    <w:rsid w:val="2F6B74CB"/>
    <w:rsid w:val="2F926951"/>
    <w:rsid w:val="2FC25755"/>
    <w:rsid w:val="30353B4F"/>
    <w:rsid w:val="30835F9C"/>
    <w:rsid w:val="309A40F2"/>
    <w:rsid w:val="32561D21"/>
    <w:rsid w:val="327D7DB5"/>
    <w:rsid w:val="334F2DD7"/>
    <w:rsid w:val="33767494"/>
    <w:rsid w:val="33BE4916"/>
    <w:rsid w:val="33D7176A"/>
    <w:rsid w:val="340110F2"/>
    <w:rsid w:val="34C967ED"/>
    <w:rsid w:val="35ED3044"/>
    <w:rsid w:val="36110D46"/>
    <w:rsid w:val="361B3F9F"/>
    <w:rsid w:val="361D5155"/>
    <w:rsid w:val="3673531D"/>
    <w:rsid w:val="36995AFA"/>
    <w:rsid w:val="36C03173"/>
    <w:rsid w:val="37C2675A"/>
    <w:rsid w:val="38475B63"/>
    <w:rsid w:val="386C3752"/>
    <w:rsid w:val="38D77709"/>
    <w:rsid w:val="394C476E"/>
    <w:rsid w:val="399F6EFA"/>
    <w:rsid w:val="3A1B6499"/>
    <w:rsid w:val="3A4414A8"/>
    <w:rsid w:val="3AA50943"/>
    <w:rsid w:val="3ABA7802"/>
    <w:rsid w:val="3ABD3A04"/>
    <w:rsid w:val="3B621028"/>
    <w:rsid w:val="3B643919"/>
    <w:rsid w:val="3B7341B3"/>
    <w:rsid w:val="3BBB1ED2"/>
    <w:rsid w:val="3C0201B8"/>
    <w:rsid w:val="3C9A29A3"/>
    <w:rsid w:val="3D7050DA"/>
    <w:rsid w:val="3DD877E0"/>
    <w:rsid w:val="3DE5640B"/>
    <w:rsid w:val="3DEA03D9"/>
    <w:rsid w:val="3E651472"/>
    <w:rsid w:val="3E781F96"/>
    <w:rsid w:val="3E9C5006"/>
    <w:rsid w:val="3ECB3121"/>
    <w:rsid w:val="3EE355F8"/>
    <w:rsid w:val="3F117996"/>
    <w:rsid w:val="3FFE5C0C"/>
    <w:rsid w:val="404124FB"/>
    <w:rsid w:val="40593B9B"/>
    <w:rsid w:val="40EB2C81"/>
    <w:rsid w:val="413D3778"/>
    <w:rsid w:val="417B1539"/>
    <w:rsid w:val="422513BD"/>
    <w:rsid w:val="42516E5A"/>
    <w:rsid w:val="42A877F8"/>
    <w:rsid w:val="42AC0CB2"/>
    <w:rsid w:val="430118BA"/>
    <w:rsid w:val="437D72AB"/>
    <w:rsid w:val="43D30A9B"/>
    <w:rsid w:val="43D62060"/>
    <w:rsid w:val="44827946"/>
    <w:rsid w:val="44947EA5"/>
    <w:rsid w:val="44BC4924"/>
    <w:rsid w:val="450B3051"/>
    <w:rsid w:val="456D5DD6"/>
    <w:rsid w:val="46024210"/>
    <w:rsid w:val="462D5493"/>
    <w:rsid w:val="464D383B"/>
    <w:rsid w:val="46632A08"/>
    <w:rsid w:val="46DC4DB9"/>
    <w:rsid w:val="46E71B21"/>
    <w:rsid w:val="46EF50DE"/>
    <w:rsid w:val="471E1592"/>
    <w:rsid w:val="4720017A"/>
    <w:rsid w:val="47970920"/>
    <w:rsid w:val="480161F1"/>
    <w:rsid w:val="48676D38"/>
    <w:rsid w:val="495B4DAE"/>
    <w:rsid w:val="49792E16"/>
    <w:rsid w:val="49BD2A3F"/>
    <w:rsid w:val="4A0F5DE5"/>
    <w:rsid w:val="4A116E5B"/>
    <w:rsid w:val="4A9C4F22"/>
    <w:rsid w:val="4B781562"/>
    <w:rsid w:val="4BA33A27"/>
    <w:rsid w:val="4BA5186F"/>
    <w:rsid w:val="4BF92978"/>
    <w:rsid w:val="4C4F6D65"/>
    <w:rsid w:val="4C54527D"/>
    <w:rsid w:val="4C7409E8"/>
    <w:rsid w:val="4CE544BD"/>
    <w:rsid w:val="4DFEEDB0"/>
    <w:rsid w:val="4E6E7CB2"/>
    <w:rsid w:val="4EC45B3B"/>
    <w:rsid w:val="4EE44394"/>
    <w:rsid w:val="4EF20544"/>
    <w:rsid w:val="4EFD2275"/>
    <w:rsid w:val="4F0E1FC8"/>
    <w:rsid w:val="51212C1B"/>
    <w:rsid w:val="52BE6D66"/>
    <w:rsid w:val="52C97E19"/>
    <w:rsid w:val="53010143"/>
    <w:rsid w:val="53616211"/>
    <w:rsid w:val="542B2C97"/>
    <w:rsid w:val="544C2F66"/>
    <w:rsid w:val="544E55F5"/>
    <w:rsid w:val="546F07C7"/>
    <w:rsid w:val="54A658C9"/>
    <w:rsid w:val="54C35269"/>
    <w:rsid w:val="54C937E3"/>
    <w:rsid w:val="553640DD"/>
    <w:rsid w:val="55533841"/>
    <w:rsid w:val="5596466A"/>
    <w:rsid w:val="56332148"/>
    <w:rsid w:val="568B7373"/>
    <w:rsid w:val="56A3122D"/>
    <w:rsid w:val="56EC7A42"/>
    <w:rsid w:val="578B4B18"/>
    <w:rsid w:val="579966A6"/>
    <w:rsid w:val="58034B52"/>
    <w:rsid w:val="580871F1"/>
    <w:rsid w:val="581235A7"/>
    <w:rsid w:val="59070CCC"/>
    <w:rsid w:val="59680438"/>
    <w:rsid w:val="59E85102"/>
    <w:rsid w:val="5A2C6C75"/>
    <w:rsid w:val="5A9E60AC"/>
    <w:rsid w:val="5B344A0B"/>
    <w:rsid w:val="5B410339"/>
    <w:rsid w:val="5BDB1EC1"/>
    <w:rsid w:val="5DCA7FF2"/>
    <w:rsid w:val="5E0F039B"/>
    <w:rsid w:val="5E642083"/>
    <w:rsid w:val="5EBB1C31"/>
    <w:rsid w:val="5EF91F5C"/>
    <w:rsid w:val="5F64733F"/>
    <w:rsid w:val="61254A96"/>
    <w:rsid w:val="61721DA1"/>
    <w:rsid w:val="61CE0230"/>
    <w:rsid w:val="61FE54E4"/>
    <w:rsid w:val="62036FAB"/>
    <w:rsid w:val="62A062D1"/>
    <w:rsid w:val="62FC01D5"/>
    <w:rsid w:val="634418DC"/>
    <w:rsid w:val="63C931FA"/>
    <w:rsid w:val="63F640D8"/>
    <w:rsid w:val="64294117"/>
    <w:rsid w:val="642F3781"/>
    <w:rsid w:val="647924CD"/>
    <w:rsid w:val="64D330E5"/>
    <w:rsid w:val="65EA7570"/>
    <w:rsid w:val="661A33D5"/>
    <w:rsid w:val="66B404E2"/>
    <w:rsid w:val="66FB7464"/>
    <w:rsid w:val="679555BE"/>
    <w:rsid w:val="67A85CB6"/>
    <w:rsid w:val="681C14A0"/>
    <w:rsid w:val="68551DD0"/>
    <w:rsid w:val="68F550F7"/>
    <w:rsid w:val="6912147A"/>
    <w:rsid w:val="692C7691"/>
    <w:rsid w:val="696424CE"/>
    <w:rsid w:val="6AAA43D5"/>
    <w:rsid w:val="6B2673D9"/>
    <w:rsid w:val="6B273C93"/>
    <w:rsid w:val="6B2C5C30"/>
    <w:rsid w:val="6B82724D"/>
    <w:rsid w:val="6BBA5AE2"/>
    <w:rsid w:val="6BDE1106"/>
    <w:rsid w:val="6C7709F0"/>
    <w:rsid w:val="6C875B25"/>
    <w:rsid w:val="6E3B5F07"/>
    <w:rsid w:val="6EE26A4C"/>
    <w:rsid w:val="6F1E2C2F"/>
    <w:rsid w:val="6F2E0F16"/>
    <w:rsid w:val="702D0C6C"/>
    <w:rsid w:val="705929AC"/>
    <w:rsid w:val="705F6267"/>
    <w:rsid w:val="707D4EBD"/>
    <w:rsid w:val="71AB3FF2"/>
    <w:rsid w:val="71D96BD5"/>
    <w:rsid w:val="729653FE"/>
    <w:rsid w:val="72B812EF"/>
    <w:rsid w:val="72D64E49"/>
    <w:rsid w:val="72F4087E"/>
    <w:rsid w:val="73134067"/>
    <w:rsid w:val="73DA7684"/>
    <w:rsid w:val="744A76E1"/>
    <w:rsid w:val="748E2497"/>
    <w:rsid w:val="756C3A45"/>
    <w:rsid w:val="75A30C3F"/>
    <w:rsid w:val="75D63252"/>
    <w:rsid w:val="76D030B0"/>
    <w:rsid w:val="76FF5434"/>
    <w:rsid w:val="7792064A"/>
    <w:rsid w:val="79032547"/>
    <w:rsid w:val="794C42BE"/>
    <w:rsid w:val="797E6786"/>
    <w:rsid w:val="79D313FE"/>
    <w:rsid w:val="79D54DB8"/>
    <w:rsid w:val="79EB0FD6"/>
    <w:rsid w:val="7A827D57"/>
    <w:rsid w:val="7AA60F05"/>
    <w:rsid w:val="7AED33DF"/>
    <w:rsid w:val="7B2B228C"/>
    <w:rsid w:val="7B796872"/>
    <w:rsid w:val="7BB1459C"/>
    <w:rsid w:val="7BDF11D6"/>
    <w:rsid w:val="7C755C10"/>
    <w:rsid w:val="7D40510D"/>
    <w:rsid w:val="7DDB26FF"/>
    <w:rsid w:val="7E7545B5"/>
    <w:rsid w:val="7EE61142"/>
    <w:rsid w:val="7EF06019"/>
    <w:rsid w:val="7EFC0247"/>
    <w:rsid w:val="7FA5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9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6"/>
    <w:qFormat/>
    <w:uiPriority w:val="0"/>
    <w:pPr>
      <w:keepNext/>
      <w:keepLines/>
      <w:spacing w:before="260" w:after="260" w:line="412" w:lineRule="auto"/>
      <w:outlineLvl w:val="2"/>
    </w:pPr>
    <w:rPr>
      <w:rFonts w:ascii="Calibri" w:hAnsi="Calibri" w:eastAsia="宋体" w:cs="Times New Roman"/>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ind w:firstLine="0" w:firstLineChars="0"/>
    </w:pPr>
    <w:rPr>
      <w:rFonts w:ascii="Times New Roman" w:hAnsi="Times New Roman"/>
    </w:rPr>
  </w:style>
  <w:style w:type="paragraph" w:styleId="6">
    <w:name w:val="annotation text"/>
    <w:basedOn w:val="1"/>
    <w:link w:val="37"/>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30"/>
    <w:unhideWhenUsed/>
    <w:qFormat/>
    <w:uiPriority w:val="99"/>
    <w:pPr>
      <w:ind w:left="100" w:leftChars="2500"/>
    </w:pPr>
  </w:style>
  <w:style w:type="paragraph" w:styleId="9">
    <w:name w:val="Balloon Text"/>
    <w:basedOn w:val="1"/>
    <w:link w:val="33"/>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5">
    <w:name w:val="Title"/>
    <w:basedOn w:val="1"/>
    <w:next w:val="1"/>
    <w:link w:val="27"/>
    <w:qFormat/>
    <w:uiPriority w:val="0"/>
    <w:pPr>
      <w:spacing w:before="240" w:after="60"/>
      <w:jc w:val="center"/>
      <w:outlineLvl w:val="0"/>
    </w:pPr>
    <w:rPr>
      <w:rFonts w:ascii="Arial" w:hAnsi="Arial" w:eastAsia="宋体" w:cs="Times New Roman"/>
      <w:b/>
      <w:bCs/>
      <w:sz w:val="32"/>
      <w:szCs w:val="32"/>
    </w:rPr>
  </w:style>
  <w:style w:type="paragraph" w:styleId="16">
    <w:name w:val="annotation subject"/>
    <w:basedOn w:val="6"/>
    <w:next w:val="6"/>
    <w:link w:val="38"/>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Strong"/>
    <w:basedOn w:val="19"/>
    <w:qFormat/>
    <w:uiPriority w:val="22"/>
    <w:rPr>
      <w:b/>
    </w:rPr>
  </w:style>
  <w:style w:type="character" w:styleId="21">
    <w:name w:val="Hyperlink"/>
    <w:basedOn w:val="19"/>
    <w:unhideWhenUsed/>
    <w:qFormat/>
    <w:uiPriority w:val="99"/>
    <w:rPr>
      <w:color w:val="0000FF" w:themeColor="hyperlink"/>
      <w:u w:val="single"/>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1"/>
    <w:semiHidden/>
    <w:qFormat/>
    <w:uiPriority w:val="99"/>
    <w:rPr>
      <w:sz w:val="18"/>
      <w:szCs w:val="18"/>
    </w:rPr>
  </w:style>
  <w:style w:type="character" w:customStyle="1" w:styleId="24">
    <w:name w:val="页脚 Char"/>
    <w:basedOn w:val="19"/>
    <w:link w:val="10"/>
    <w:qFormat/>
    <w:uiPriority w:val="99"/>
    <w:rPr>
      <w:sz w:val="18"/>
      <w:szCs w:val="18"/>
    </w:rPr>
  </w:style>
  <w:style w:type="character" w:customStyle="1" w:styleId="25">
    <w:name w:val="标题 2 Char"/>
    <w:basedOn w:val="19"/>
    <w:link w:val="4"/>
    <w:qFormat/>
    <w:uiPriority w:val="99"/>
    <w:rPr>
      <w:rFonts w:ascii="Arial" w:hAnsi="Arial" w:eastAsia="黑体" w:cs="Times New Roman"/>
      <w:b/>
      <w:bCs/>
      <w:sz w:val="32"/>
      <w:szCs w:val="32"/>
    </w:rPr>
  </w:style>
  <w:style w:type="character" w:customStyle="1" w:styleId="26">
    <w:name w:val="标题 3 Char"/>
    <w:basedOn w:val="19"/>
    <w:link w:val="5"/>
    <w:qFormat/>
    <w:uiPriority w:val="0"/>
    <w:rPr>
      <w:rFonts w:ascii="Calibri" w:hAnsi="Calibri" w:eastAsia="宋体" w:cs="Times New Roman"/>
      <w:b/>
      <w:bCs/>
      <w:sz w:val="32"/>
      <w:szCs w:val="32"/>
    </w:rPr>
  </w:style>
  <w:style w:type="character" w:customStyle="1" w:styleId="27">
    <w:name w:val="标题 Char"/>
    <w:basedOn w:val="19"/>
    <w:link w:val="15"/>
    <w:qFormat/>
    <w:uiPriority w:val="0"/>
    <w:rPr>
      <w:rFonts w:ascii="Arial" w:hAnsi="Arial" w:eastAsia="宋体" w:cs="Times New Roman"/>
      <w:b/>
      <w:bCs/>
      <w:sz w:val="32"/>
      <w:szCs w:val="32"/>
    </w:rPr>
  </w:style>
  <w:style w:type="paragraph" w:styleId="28">
    <w:name w:val="List Paragraph"/>
    <w:basedOn w:val="1"/>
    <w:qFormat/>
    <w:uiPriority w:val="34"/>
    <w:pPr>
      <w:ind w:firstLine="420" w:firstLineChars="200"/>
    </w:pPr>
  </w:style>
  <w:style w:type="paragraph" w:customStyle="1" w:styleId="29">
    <w:name w:val="p0"/>
    <w:basedOn w:val="1"/>
    <w:qFormat/>
    <w:uiPriority w:val="0"/>
    <w:pPr>
      <w:widowControl/>
    </w:pPr>
    <w:rPr>
      <w:rFonts w:hint="eastAsia" w:ascii="Calibri" w:hAnsi="Calibri" w:eastAsia="宋体" w:cs="宋体"/>
      <w:kern w:val="0"/>
      <w:szCs w:val="21"/>
    </w:rPr>
  </w:style>
  <w:style w:type="character" w:customStyle="1" w:styleId="30">
    <w:name w:val="日期 Char"/>
    <w:basedOn w:val="19"/>
    <w:link w:val="8"/>
    <w:semiHidden/>
    <w:qFormat/>
    <w:uiPriority w:val="99"/>
  </w:style>
  <w:style w:type="character" w:customStyle="1" w:styleId="31">
    <w:name w:val="标题 1 Char"/>
    <w:basedOn w:val="19"/>
    <w:link w:val="3"/>
    <w:qFormat/>
    <w:uiPriority w:val="9"/>
    <w:rPr>
      <w:b/>
      <w:bCs/>
      <w:kern w:val="44"/>
      <w:sz w:val="44"/>
      <w:szCs w:val="44"/>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9"/>
    <w:link w:val="9"/>
    <w:semiHidden/>
    <w:qFormat/>
    <w:uiPriority w:val="99"/>
    <w:rPr>
      <w:sz w:val="18"/>
      <w:szCs w:val="18"/>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7">
    <w:name w:val="批注文字 Char"/>
    <w:basedOn w:val="19"/>
    <w:link w:val="6"/>
    <w:semiHidden/>
    <w:qFormat/>
    <w:uiPriority w:val="99"/>
    <w:rPr>
      <w:rFonts w:asciiTheme="minorHAnsi" w:hAnsiTheme="minorHAnsi" w:eastAsiaTheme="minorEastAsia" w:cstheme="minorBidi"/>
      <w:kern w:val="2"/>
      <w:sz w:val="21"/>
      <w:szCs w:val="22"/>
    </w:rPr>
  </w:style>
  <w:style w:type="character" w:customStyle="1" w:styleId="38">
    <w:name w:val="批注主题 Char"/>
    <w:basedOn w:val="37"/>
    <w:link w:val="1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3" textRotate="1"/>
    <customShpInfo spid="_x0000_s4104" textRotate="1"/>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2319</Words>
  <Characters>13219</Characters>
  <Lines>110</Lines>
  <Paragraphs>31</Paragraphs>
  <TotalTime>1</TotalTime>
  <ScaleCrop>false</ScaleCrop>
  <LinksUpToDate>false</LinksUpToDate>
  <CharactersWithSpaces>15507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2018-03-12T10:21:00Z</dcterms:created>
  <dc:creator>PC</dc:creator>
  <cp:lastModifiedBy>Administrator</cp:lastModifiedBy>
  <cp:lastPrinted>2021-12-16T02:53:00Z</cp:lastPrinted>
  <dcterms:modified xsi:type="dcterms:W3CDTF">2023-07-19T02:36:06Z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438201607_btnclosed</vt:lpwstr>
  </property>
  <property fmtid="{D5CDD505-2E9C-101B-9397-08002B2CF9AE}" pid="4" name="ICV">
    <vt:lpwstr>1FE0B0F7CD4D4106967D310229ABD2D4</vt:lpwstr>
  </property>
</Properties>
</file>