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玉</w:t>
      </w:r>
      <w:r>
        <w:rPr>
          <w:rFonts w:hint="default" w:ascii="Times New Roman" w:hAnsi="Times New Roman" w:eastAsia="方正仿宋_GBK" w:cs="Times New Roman"/>
          <w:sz w:val="32"/>
        </w:rPr>
        <w:t>环审〔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default" w:eastAsia="方正仿宋_GBK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lang w:val="en-US" w:eastAsia="zh-CN"/>
        </w:rPr>
        <w:t>-</w:t>
      </w:r>
      <w:r>
        <w:rPr>
          <w:rFonts w:hint="default" w:eastAsia="方正仿宋_GBK" w:cs="Times New Roman"/>
          <w:sz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eastAsia="zh-CN"/>
        </w:rPr>
        <w:t>玉溪市生态环境局</w:t>
      </w: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华宁康宏球团工贸有限责任公司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提铁降硅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项目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zh-CN" w:eastAsia="zh-CN"/>
        </w:rPr>
        <w:t>环境影响报告书的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eastAsia="zh-CN"/>
        </w:rPr>
        <w:t>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华宁康宏球团工贸有限责任公司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申请报批的《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华宁康宏球团工贸有限责任公司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提铁降硅项目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环境影响报告书》（以下简称《报告书》）收悉。经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研究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一、项目基本情况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该项目位于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华宁康宏球团工贸有限责任公司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现有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1#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原料堆场内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，不新增占地，项目代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码：2107-530424-04-02-646410。项目投资900万元（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其中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环保投资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29.8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），建设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年产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万吨铁精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粉生产线，主要建设内容为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建设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</w:rPr>
        <w:t>磨矿工段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</w:rPr>
        <w:t>磁选工段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</w:rPr>
        <w:t>精矿过滤脱水工段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</w:rPr>
        <w:t>尾矿脱水浓缩工段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相应的公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辅设施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和环保工程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生活污水处理设施、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危废暂存间、供水供电及办公生活区等依托现有设施。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对外购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的品位达不到要求的铁精粉进行提铁降硅，产生的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尾矿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给云南宝宁民族陶业有限公司和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华宁凯烽陶业有限公司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该项目不设置尾矿库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在全面落实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报告书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》和本批复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提出的各项生态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环境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保护措施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，项目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产生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的不利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生态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环境影响可以得到减缓和控制，我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局原则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同意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报告书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》评价结论和拟采取的生态环境保护措施。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项目建设和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生产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过程中应重点做好的工作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加强施工期环境管理，严格落实施工期各项环保措施。施工废水沉淀处理后循环使用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施工弃渣及时清运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处理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，散装物料密闭运输，施工场地和运输道路须采取洒水抑尘等措施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合理安排施工作业时间，防止扬尘污染和噪声扰民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）进一步规范设置厂区“雨污分流”、“清污分流”系统。严格落实各项废水收集、处理和综合利用措施，设置足够规模和容积的污水收集、处理设施，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确保满足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项目生产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废水处理、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回用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的要求；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规范设置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选厂车间、原料堆场、精矿堆场及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尾矿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临时堆场的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截排水系统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和回水设施；产生的选矿废水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收集沉淀处理后，全部回用于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生产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，严禁外排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产生的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生活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污水经现有的生活污水处理站处理达到《城市污水再生利用城市杂用水水质》（GB/T18920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—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2020）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相应标准限值后，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回用于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厂区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绿化和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道路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洒水降尘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严禁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外排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项目须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设置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1个容积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不低于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立方米的事故水池（正常情况下必须处于空置状态）。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）加强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生产过程中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废气污染防治，确保大气污染物达标排放。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对原料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堆场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val="en-US" w:eastAsia="zh-CN"/>
        </w:rPr>
        <w:t>装卸平台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设置顶棚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三面围挡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喷淋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设施，对精矿堆场、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尾矿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临时堆场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设置顶棚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三面围挡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对物料输送廊道进行封闭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，加强厂区绿化，对厂区道路、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地面采取洒水抑尘措施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减少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厂区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无组织粉尘排放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，确保项目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粉尘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无组织排放浓度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满足《铁矿采选工业污染物排放标准》（GB28661—2012）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规定的标准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加强运营期噪声污染防治。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选用低噪声设备，合理布置高噪声设备，通过采取减振、消声、隔声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、加强绿化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等措施，确保项目厂界噪声达到《工业企业厂界环境噪声排放标准》（GB12348—2008）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（五）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落实源头控制和分区防渗，严格按照《报告书》提出的分区防渗措施和要求，对项目一般防渗区和简单防渗区进行防渗处理，防止地下水污染，防渗工程施工须在监理部门的监理下进行并形成监理报告，防渗工程结束自行组织验收并建立健全相关工作台账记录，存档备查；规范设置地下水监测井，加强周边地下水环境的跟踪监测，根据监测情况制定、完善相应的污染防治措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 xml:space="preserve">避免对周边水环境造成污染。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（六）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加强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运营期固体废物污染防治。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固体废物分类收集、贮存、运输和处置，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尽量提高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综合利用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率，规范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固体废物处置台账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严格按国家危险废物管理的有关要求和规定对危险废物进行收集、暂存和管理，厂内转移应建立管理台账，做好记录，存档备查；危险废物暂存场所严格按照《危险废物贮存污染控制标准》（GB18597—2001）的要求进行建设和管理，产生的危险废物必须委托有资质的单位处置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一般工业固体废物的贮存和处置须符合《一般工业固体废物贮存和填埋污染控制标准》（GB18599—2020）的要求；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项目产生的尾矿若无合法合规的处置途径，严禁乱堆乱倒</w:t>
      </w:r>
      <w:r>
        <w:rPr>
          <w:rFonts w:hint="default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项目须立即停止生产。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（七）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严格落实《报告书》提出的各项“以新带老”措施，针对原有项目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存在的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环境问题，制定、实施环境治理方案并认真组织实施，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各项整改措施在项目投入运营前完成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）加强环境管理，严格落实环境风险防范措施。根据《关于印发〈突发环境事件应急预案管理暂行办法〉的通知》（环发〔2015〕4号）要求，制定环境风险防范应急预案并报玉溪市生态环境局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华宁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分局备案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加强应急演练，建立完善应急报告制度，落实应急物资和经费。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）切实做好环保设施的日常维护和管理，落实环境风险防范措施，确保污染物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长期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稳定达标排放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杜绝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事故性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排放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pStyle w:val="6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三、按照《排污许可管理条例》规定，及时申请办理排污许可证；按照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排污许可证规定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的环境监测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以及相关标准和技术规范要求，制定自行监测方案，并认真组织实施，发现异常情况报告当地政府及相关部门并采取有效措施；同时，按照信息公开相关规定，主动向社会公开污染源监测等相关信息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、进一步加强管理，提高清洁生产水平。该项目环境影响报告书经批准后，若发生重大变动，须另行开展环境影响评价并重新报批。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严格执行环境保护设施与主体工程同时设计、同时施工、同时投入使用的环保“三同时”制度；</w:t>
      </w:r>
      <w:r>
        <w:rPr>
          <w:rFonts w:hint="eastAsia" w:asciiTheme="minorEastAsia" w:hAnsiTheme="minorEastAsia" w:eastAsiaTheme="minorEastAsia" w:cstheme="minorEastAsia"/>
          <w:smallCaps w:val="0"/>
          <w:color w:val="auto"/>
          <w:sz w:val="32"/>
          <w:szCs w:val="32"/>
        </w:rPr>
        <w:t>项目正式投运前，应当按照规定的标准和程序，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自行组织开展竣工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环境保护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验收，经验收合格后方可正式投入生产。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玉溪市生态环境保护综合行政执法支队、玉溪市生态环境局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华宁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分局要切实承担事中事后监管主要责任，履行属地监管职责，按照相关法律法规及《关于进一步完善建设项目环境保护“三同时”及竣工环境保护自主验收监管工作机制的意见》（环执法〔2021〕70号）要求，加强对该项目环境保护“三同时”及自主验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1239" w:leftChars="133" w:hanging="960" w:hangingChars="3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65pt;height:0pt;width:441pt;z-index:251663360;mso-width-relative:page;mso-height-relative:page;" filled="f" stroked="t" coordsize="21600,21600" o:gfxdata="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GV+YdEAAAAEAQAA&#10;DwAAAAAAAAABACAAAAAiAAAAZHJzL2Rvd25yZXYueG1sUEsBAhQAFAAAAAgAh07iQN+Ak7jnAQAA&#10;twMAAA4AAAAAAAAAAQAgAAAAIA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抄送：玉溪市生态环境保护综合行政执法支队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玉溪市生态环境局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华宁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分局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，云南绿点环境科技有限公司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320" w:firstLineChars="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8.6pt;height:0pt;width:441pt;z-index:251662336;mso-width-relative:page;mso-height-relative:page;" filled="f" stroked="t" coordsize="21600,21600" o:gfxdata="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QthH1AAAAAcBAAAPAAAAAAAAAAEAIAAAACIAAABk&#10;cnMvZG93bnJldi54bWxQSwECFAAUAAAACACHTuJAu2Ft7NEBAACKAwAADgAAAAAAAAABACAAAAAj&#10;AQAAZHJzL2Uyb0RvYy54bWxQSwUGAAAAAAYABgBZAQAAZ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5pt;height:0pt;width:441pt;z-index:251661312;mso-width-relative:page;mso-height-relative:page;" filled="f" stroked="t" coordsize="21600,21600" o:gfxdata="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KB4r90wAAAAQBAAAPAAAAAAAAAAEAIAAAACIAAABk&#10;cnMvZG93bnJldi54bWxQSwECFAAUAAAACACHTuJATtzBLtIBAACKAwAADgAAAAAAAAABACAAAAAi&#10;AQAAZHJzL2Uyb0RvYy54bWxQSwUGAAAAAAYABgBZAQAAZ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玉溪市生态环境局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376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37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95pt;mso-position-horizontal:outside;mso-position-horizontal-relative:margin;z-index:251659264;mso-width-relative:page;mso-height-relative:page;" filled="f" stroked="f" coordsize="21600,21600" o:gfxdata="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g6vttQAAAAFAQAA&#10;DwAAAAAAAAABACAAAAAiAAAAZHJzL2Rvd25yZXYueG1sUEsBAhQAFAAAAAgAh07iQPQJsPYdAgAA&#10;FAQAAA4AAAAAAAAAAQAgAAAAI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7260" cy="2641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26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73.8pt;mso-position-horizontal:outside;mso-position-horizontal-relative:margin;z-index:251660288;mso-width-relative:page;mso-height-relative:page;" filled="f" stroked="f" coordsize="21600,21600" o:gfxdata="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OtNf1AAAAAQBAAAPAAAA&#10;AAAAAAEAIAAAACIAAABkcnMvZG93bnJldi54bWxQSwECFAAUAAAACACHTuJAYUGcUxkCAAAT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3E26E6"/>
    <w:multiLevelType w:val="singleLevel"/>
    <w:tmpl w:val="9D3E26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mUwMmNlOWYzNTEwNGU1YjRjM2E3OThkOTIxOTcifQ=="/>
  </w:docVars>
  <w:rsids>
    <w:rsidRoot w:val="2AAF282F"/>
    <w:rsid w:val="0005249D"/>
    <w:rsid w:val="00251335"/>
    <w:rsid w:val="002E39CB"/>
    <w:rsid w:val="00354601"/>
    <w:rsid w:val="00621CDB"/>
    <w:rsid w:val="007216D3"/>
    <w:rsid w:val="009E4FAC"/>
    <w:rsid w:val="00DE2824"/>
    <w:rsid w:val="00E32A7B"/>
    <w:rsid w:val="00E779F3"/>
    <w:rsid w:val="00F138BA"/>
    <w:rsid w:val="017B43B2"/>
    <w:rsid w:val="022E6AD9"/>
    <w:rsid w:val="02C92423"/>
    <w:rsid w:val="02D359C2"/>
    <w:rsid w:val="03405326"/>
    <w:rsid w:val="039E6FA1"/>
    <w:rsid w:val="03DF7990"/>
    <w:rsid w:val="047A7F12"/>
    <w:rsid w:val="06214956"/>
    <w:rsid w:val="06D849E3"/>
    <w:rsid w:val="075F1CAC"/>
    <w:rsid w:val="0765726C"/>
    <w:rsid w:val="07CE7264"/>
    <w:rsid w:val="085B58CB"/>
    <w:rsid w:val="09294E4C"/>
    <w:rsid w:val="0A955323"/>
    <w:rsid w:val="0C11428E"/>
    <w:rsid w:val="0C1D705A"/>
    <w:rsid w:val="0CD1482E"/>
    <w:rsid w:val="0CE82EB7"/>
    <w:rsid w:val="0D625FF1"/>
    <w:rsid w:val="0DF93715"/>
    <w:rsid w:val="0E100F06"/>
    <w:rsid w:val="0EE81C04"/>
    <w:rsid w:val="0F046CBD"/>
    <w:rsid w:val="0FE76F0B"/>
    <w:rsid w:val="10085FCB"/>
    <w:rsid w:val="10600A97"/>
    <w:rsid w:val="11851A07"/>
    <w:rsid w:val="11C660E2"/>
    <w:rsid w:val="11DC6270"/>
    <w:rsid w:val="12080F2A"/>
    <w:rsid w:val="121C3EF8"/>
    <w:rsid w:val="12C62CCA"/>
    <w:rsid w:val="139A2D58"/>
    <w:rsid w:val="13DD3E12"/>
    <w:rsid w:val="14325F56"/>
    <w:rsid w:val="143A6D20"/>
    <w:rsid w:val="147D33EC"/>
    <w:rsid w:val="14EE1E3B"/>
    <w:rsid w:val="14F53A51"/>
    <w:rsid w:val="15B44512"/>
    <w:rsid w:val="16297009"/>
    <w:rsid w:val="16D33FA6"/>
    <w:rsid w:val="175B5421"/>
    <w:rsid w:val="17951DDA"/>
    <w:rsid w:val="184A130E"/>
    <w:rsid w:val="18CE063C"/>
    <w:rsid w:val="19C438F1"/>
    <w:rsid w:val="19D07CE3"/>
    <w:rsid w:val="1A3C7BBE"/>
    <w:rsid w:val="1A5F6E8E"/>
    <w:rsid w:val="1A8C320C"/>
    <w:rsid w:val="1B5961B8"/>
    <w:rsid w:val="1D22560D"/>
    <w:rsid w:val="1D36222A"/>
    <w:rsid w:val="1E8D2A07"/>
    <w:rsid w:val="1EE0592A"/>
    <w:rsid w:val="20875902"/>
    <w:rsid w:val="20AA77ED"/>
    <w:rsid w:val="21081CDE"/>
    <w:rsid w:val="221338AA"/>
    <w:rsid w:val="24404051"/>
    <w:rsid w:val="25203CA3"/>
    <w:rsid w:val="252B1D4D"/>
    <w:rsid w:val="25397CAF"/>
    <w:rsid w:val="25B310C3"/>
    <w:rsid w:val="25B61F3B"/>
    <w:rsid w:val="25EC30C6"/>
    <w:rsid w:val="26E52AD8"/>
    <w:rsid w:val="26F33055"/>
    <w:rsid w:val="27081763"/>
    <w:rsid w:val="270A1F02"/>
    <w:rsid w:val="272844C9"/>
    <w:rsid w:val="2750082C"/>
    <w:rsid w:val="27D902BE"/>
    <w:rsid w:val="27E028FD"/>
    <w:rsid w:val="286E622A"/>
    <w:rsid w:val="28EE35BD"/>
    <w:rsid w:val="299138DF"/>
    <w:rsid w:val="29A70CCF"/>
    <w:rsid w:val="2AAF282F"/>
    <w:rsid w:val="2B1B38E0"/>
    <w:rsid w:val="2B5D1FBE"/>
    <w:rsid w:val="2B7C248E"/>
    <w:rsid w:val="2BA80578"/>
    <w:rsid w:val="2C4B3AF0"/>
    <w:rsid w:val="2C5107A0"/>
    <w:rsid w:val="2CE31097"/>
    <w:rsid w:val="2D2A0DD4"/>
    <w:rsid w:val="2D45752B"/>
    <w:rsid w:val="2D9B5CF7"/>
    <w:rsid w:val="2DBD7D3C"/>
    <w:rsid w:val="2E8D30CF"/>
    <w:rsid w:val="2FAE1C18"/>
    <w:rsid w:val="30AB341D"/>
    <w:rsid w:val="30BA0CF3"/>
    <w:rsid w:val="30E34D34"/>
    <w:rsid w:val="33364881"/>
    <w:rsid w:val="334A0CFF"/>
    <w:rsid w:val="341E1D9A"/>
    <w:rsid w:val="35692B73"/>
    <w:rsid w:val="363475D8"/>
    <w:rsid w:val="370D5223"/>
    <w:rsid w:val="38403B90"/>
    <w:rsid w:val="38AC02C2"/>
    <w:rsid w:val="38B41D0D"/>
    <w:rsid w:val="3A0F6778"/>
    <w:rsid w:val="3B056342"/>
    <w:rsid w:val="3BA00084"/>
    <w:rsid w:val="3C090BC1"/>
    <w:rsid w:val="3C7F7E1B"/>
    <w:rsid w:val="3EF1250A"/>
    <w:rsid w:val="3F155B26"/>
    <w:rsid w:val="401641A9"/>
    <w:rsid w:val="41332E43"/>
    <w:rsid w:val="416A0536"/>
    <w:rsid w:val="41B213B9"/>
    <w:rsid w:val="41D86F7B"/>
    <w:rsid w:val="41F1637D"/>
    <w:rsid w:val="423A11FD"/>
    <w:rsid w:val="42DB359E"/>
    <w:rsid w:val="43341062"/>
    <w:rsid w:val="43AE36B3"/>
    <w:rsid w:val="447F45D2"/>
    <w:rsid w:val="449823AC"/>
    <w:rsid w:val="44A14CE2"/>
    <w:rsid w:val="4580253E"/>
    <w:rsid w:val="4586478D"/>
    <w:rsid w:val="45A5300C"/>
    <w:rsid w:val="45B72F61"/>
    <w:rsid w:val="46396A00"/>
    <w:rsid w:val="46D524F5"/>
    <w:rsid w:val="46D82F52"/>
    <w:rsid w:val="481B4AAA"/>
    <w:rsid w:val="48E376BD"/>
    <w:rsid w:val="49600971"/>
    <w:rsid w:val="4A51456E"/>
    <w:rsid w:val="4A975BD2"/>
    <w:rsid w:val="4A9D76EF"/>
    <w:rsid w:val="4AAC3CC0"/>
    <w:rsid w:val="4AEF13B7"/>
    <w:rsid w:val="4B0E06C8"/>
    <w:rsid w:val="4C2226B4"/>
    <w:rsid w:val="4D83575F"/>
    <w:rsid w:val="4DD53083"/>
    <w:rsid w:val="4FBF2EF4"/>
    <w:rsid w:val="4FC24B2F"/>
    <w:rsid w:val="501F6C42"/>
    <w:rsid w:val="51C9023B"/>
    <w:rsid w:val="52601BDC"/>
    <w:rsid w:val="52D2446B"/>
    <w:rsid w:val="534A1F20"/>
    <w:rsid w:val="54ED6695"/>
    <w:rsid w:val="54FD6EDC"/>
    <w:rsid w:val="55C01586"/>
    <w:rsid w:val="55C5056F"/>
    <w:rsid w:val="56685559"/>
    <w:rsid w:val="56BD2497"/>
    <w:rsid w:val="570502E5"/>
    <w:rsid w:val="591816AF"/>
    <w:rsid w:val="5A4822A0"/>
    <w:rsid w:val="5A7D0E49"/>
    <w:rsid w:val="5B0F5D9A"/>
    <w:rsid w:val="5B530E0D"/>
    <w:rsid w:val="5BBB79D4"/>
    <w:rsid w:val="5BEC4998"/>
    <w:rsid w:val="5C590380"/>
    <w:rsid w:val="5E04242A"/>
    <w:rsid w:val="5E9B6186"/>
    <w:rsid w:val="5EE571AE"/>
    <w:rsid w:val="5F402FCF"/>
    <w:rsid w:val="5F4A3E48"/>
    <w:rsid w:val="5FA40E41"/>
    <w:rsid w:val="603B69DB"/>
    <w:rsid w:val="61F915CB"/>
    <w:rsid w:val="620D3AB9"/>
    <w:rsid w:val="62197AC8"/>
    <w:rsid w:val="63161C90"/>
    <w:rsid w:val="63732C3E"/>
    <w:rsid w:val="641E4A0B"/>
    <w:rsid w:val="644F7208"/>
    <w:rsid w:val="65C33A84"/>
    <w:rsid w:val="65D43D57"/>
    <w:rsid w:val="661C059B"/>
    <w:rsid w:val="664C74D8"/>
    <w:rsid w:val="66F6704A"/>
    <w:rsid w:val="670F1B12"/>
    <w:rsid w:val="6783156C"/>
    <w:rsid w:val="67E051FD"/>
    <w:rsid w:val="67E67E6E"/>
    <w:rsid w:val="69126A56"/>
    <w:rsid w:val="69624277"/>
    <w:rsid w:val="6A065065"/>
    <w:rsid w:val="6A970CFF"/>
    <w:rsid w:val="6B24315D"/>
    <w:rsid w:val="6B57133D"/>
    <w:rsid w:val="6C196406"/>
    <w:rsid w:val="6CC816B1"/>
    <w:rsid w:val="6D861288"/>
    <w:rsid w:val="6DC4470E"/>
    <w:rsid w:val="6E582005"/>
    <w:rsid w:val="6F4C5C4D"/>
    <w:rsid w:val="709D12FB"/>
    <w:rsid w:val="71B51BA1"/>
    <w:rsid w:val="72814495"/>
    <w:rsid w:val="72B73CFC"/>
    <w:rsid w:val="737547B1"/>
    <w:rsid w:val="73A33523"/>
    <w:rsid w:val="7417602D"/>
    <w:rsid w:val="757753B7"/>
    <w:rsid w:val="76606981"/>
    <w:rsid w:val="76862181"/>
    <w:rsid w:val="76D91E95"/>
    <w:rsid w:val="76EB5318"/>
    <w:rsid w:val="7773408B"/>
    <w:rsid w:val="783F1C54"/>
    <w:rsid w:val="789718A7"/>
    <w:rsid w:val="7A2E13A1"/>
    <w:rsid w:val="7AA60FD4"/>
    <w:rsid w:val="7AC12DF7"/>
    <w:rsid w:val="7ADA625F"/>
    <w:rsid w:val="7B7E0F63"/>
    <w:rsid w:val="7CA3021F"/>
    <w:rsid w:val="7CCE20D6"/>
    <w:rsid w:val="7D2257CD"/>
    <w:rsid w:val="7D3E0B68"/>
    <w:rsid w:val="7E8004BE"/>
    <w:rsid w:val="7F0D259B"/>
    <w:rsid w:val="7FCB2CDB"/>
    <w:rsid w:val="7FEB01D3"/>
    <w:rsid w:val="BBA5F45B"/>
    <w:rsid w:val="D5FEB219"/>
    <w:rsid w:val="EB6FB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1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10">
    <w:name w:val="Body Text First Indent"/>
    <w:basedOn w:val="5"/>
    <w:next w:val="1"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1">
    <w:name w:val="Body Text First Indent 2"/>
    <w:basedOn w:val="1"/>
    <w:next w:val="10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纯文本1"/>
    <w:basedOn w:val="1"/>
    <w:qFormat/>
    <w:uiPriority w:val="0"/>
    <w:rPr>
      <w:rFonts w:ascii="宋体" w:hAnsi="Courier New"/>
    </w:rPr>
  </w:style>
  <w:style w:type="paragraph" w:customStyle="1" w:styleId="16">
    <w:name w:val="Default"/>
    <w:basedOn w:val="15"/>
    <w:next w:val="1"/>
    <w:unhideWhenUsed/>
    <w:qFormat/>
    <w:uiPriority w:val="0"/>
    <w:pPr>
      <w:autoSpaceDE w:val="0"/>
      <w:autoSpaceDN w:val="0"/>
    </w:pPr>
    <w:rPr>
      <w:rFonts w:hAnsi="宋体"/>
      <w:color w:val="000000"/>
    </w:rPr>
  </w:style>
  <w:style w:type="paragraph" w:customStyle="1" w:styleId="17">
    <w:name w:val="Plain Text1"/>
    <w:basedOn w:val="1"/>
    <w:qFormat/>
    <w:uiPriority w:val="0"/>
    <w:rPr>
      <w:rFonts w:ascii="宋体" w:hAnsi="Courier New"/>
    </w:rPr>
  </w:style>
  <w:style w:type="paragraph" w:customStyle="1" w:styleId="18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6</Pages>
  <Words>2213</Words>
  <Characters>2407</Characters>
  <Lines>17</Lines>
  <Paragraphs>4</Paragraphs>
  <TotalTime>2</TotalTime>
  <ScaleCrop>false</ScaleCrop>
  <LinksUpToDate>false</LinksUpToDate>
  <CharactersWithSpaces>2459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2020-08-05T14:42:00Z</dcterms:created>
  <dc:creator>马腾</dc:creator>
  <cp:lastModifiedBy>王振华</cp:lastModifiedBy>
  <cp:lastPrinted>2022-08-03T14:52:00Z</cp:lastPrinted>
  <dcterms:modified xsi:type="dcterms:W3CDTF">2023-07-17T02:56:27Z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3A7152BE27BF464794995EB8230D0682</vt:lpwstr>
  </property>
</Properties>
</file>