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粮食加工品和罐头，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罐头食品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GB 7098-2015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铅、食品添加剂、商业无菌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2BC196E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AE2BD4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683455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2021-12-01T02:09:47Z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