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w w:val="100"/>
          <w:sz w:val="44"/>
          <w:szCs w:val="44"/>
        </w:rPr>
      </w:pPr>
      <w:r>
        <w:rPr>
          <w:rFonts w:hint="eastAsia" w:ascii="方正小标宋_GBK" w:hAnsi="方正小标宋_GBK" w:eastAsia="方正小标宋_GBK" w:cs="方正小标宋_GBK"/>
          <w:w w:val="100"/>
          <w:sz w:val="44"/>
          <w:szCs w:val="44"/>
          <w:lang w:eastAsia="zh-CN"/>
        </w:rPr>
        <w:t>玉溪</w:t>
      </w:r>
      <w:r>
        <w:rPr>
          <w:rFonts w:hint="eastAsia" w:ascii="方正小标宋_GBK" w:hAnsi="方正小标宋_GBK" w:eastAsia="方正小标宋_GBK" w:cs="方正小标宋_GBK"/>
          <w:w w:val="100"/>
          <w:sz w:val="44"/>
          <w:szCs w:val="44"/>
        </w:rPr>
        <w:t>市司法局</w:t>
      </w:r>
      <w:r>
        <w:rPr>
          <w:rFonts w:hint="eastAsia" w:ascii="方正小标宋_GBK" w:hAnsi="方正小标宋_GBK" w:eastAsia="方正小标宋_GBK" w:cs="方正小标宋_GBK"/>
          <w:w w:val="100"/>
          <w:sz w:val="44"/>
          <w:szCs w:val="44"/>
          <w:lang w:eastAsia="zh-CN"/>
        </w:rPr>
        <w:t>关于</w:t>
      </w:r>
      <w:r>
        <w:rPr>
          <w:rFonts w:hint="eastAsia" w:ascii="方正小标宋_GBK" w:hAnsi="方正小标宋_GBK" w:eastAsia="方正小标宋_GBK" w:cs="方正小标宋_GBK"/>
          <w:w w:val="100"/>
          <w:sz w:val="44"/>
          <w:szCs w:val="44"/>
        </w:rPr>
        <w:t>贯彻落实玉溪市政务公开</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w w:val="100"/>
          <w:sz w:val="44"/>
          <w:szCs w:val="44"/>
        </w:rPr>
      </w:pPr>
      <w:r>
        <w:rPr>
          <w:rFonts w:hint="eastAsia" w:ascii="方正小标宋_GBK" w:hAnsi="方正小标宋_GBK" w:eastAsia="方正小标宋_GBK" w:cs="方正小标宋_GBK"/>
          <w:w w:val="100"/>
          <w:sz w:val="44"/>
          <w:szCs w:val="44"/>
        </w:rPr>
        <w:t>领导小组办公室2019年政务公开</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w w:val="100"/>
          <w:sz w:val="44"/>
          <w:szCs w:val="44"/>
        </w:rPr>
      </w:pPr>
      <w:r>
        <w:rPr>
          <w:rFonts w:hint="eastAsia" w:ascii="方正小标宋_GBK" w:hAnsi="方正小标宋_GBK" w:eastAsia="方正小标宋_GBK" w:cs="方正小标宋_GBK"/>
          <w:w w:val="100"/>
          <w:sz w:val="44"/>
          <w:szCs w:val="44"/>
        </w:rPr>
        <w:t>工作要点的通知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w w:val="10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局机关各科室：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为贯彻落实好玉溪市政务公开领导小组办公室2019年政务公开工作要点，认真做好我局2019年政务公开工作，现将</w:t>
      </w:r>
      <w:r>
        <w:rPr>
          <w:rFonts w:hint="eastAsia" w:ascii="Times New Roman" w:hAnsi="Times New Roman" w:cs="Times New Roman"/>
          <w:w w:val="100"/>
          <w:lang w:eastAsia="zh-CN"/>
        </w:rPr>
        <w:t>有关事项通知如下，</w:t>
      </w:r>
      <w:r>
        <w:rPr>
          <w:rFonts w:hint="default" w:ascii="Times New Roman" w:hAnsi="Times New Roman" w:eastAsia="方正仿宋_GBK" w:cs="Times New Roman"/>
          <w:w w:val="100"/>
        </w:rPr>
        <w:t>请认真抓好贯彻落实。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方正黑体_GBK" w:hAnsi="方正黑体_GBK" w:eastAsia="方正黑体_GBK" w:cs="方正黑体_GBK"/>
          <w:w w:val="100"/>
        </w:rPr>
      </w:pPr>
      <w:r>
        <w:rPr>
          <w:rFonts w:hint="eastAsia" w:ascii="方正黑体_GBK" w:hAnsi="方正黑体_GBK" w:eastAsia="方正黑体_GBK" w:cs="方正黑体_GBK"/>
          <w:w w:val="100"/>
        </w:rPr>
        <w:t>一、提高政治站位，高度重视政务公开工作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政务公开工作是各级政府为人民服务、对人民负责、接受人民监督的重要制度安排。各科室要坚持以习近平新时代中国特色社会主义思想为指导，贯彻落实党中央、国务院、省委、省政府和市委、市政府关于全面推进政务公开工作的系列安排部署，准确把握政务公开工作面临的新形势新任务新要求，上下联动推进决策、执行、管理、服务和结果全程公开，提高政务公开工作的“含金量”</w:t>
      </w:r>
      <w:r>
        <w:rPr>
          <w:rFonts w:hint="eastAsia" w:ascii="Times New Roman" w:hAnsi="Times New Roman" w:cs="Times New Roman"/>
          <w:w w:val="100"/>
          <w:lang w:eastAsia="zh-CN"/>
        </w:rPr>
        <w:t>；</w:t>
      </w:r>
      <w:r>
        <w:rPr>
          <w:rFonts w:hint="default" w:ascii="Times New Roman" w:hAnsi="Times New Roman" w:eastAsia="方正仿宋_GBK" w:cs="Times New Roman"/>
          <w:w w:val="100"/>
        </w:rPr>
        <w:t>要结合机构改革调整，全面加强对政务公开工作的组织领导，不断完善工作机制，加强工作力量配备，加大主动公开力度，加强重大政策深度解读，及时回应社会关切</w:t>
      </w:r>
      <w:r>
        <w:rPr>
          <w:rFonts w:hint="eastAsia" w:ascii="Times New Roman" w:hAnsi="Times New Roman" w:cs="Times New Roman"/>
          <w:w w:val="100"/>
          <w:lang w:eastAsia="zh-CN"/>
        </w:rPr>
        <w:t>；</w:t>
      </w:r>
      <w:r>
        <w:rPr>
          <w:rFonts w:hint="default" w:ascii="Times New Roman" w:hAnsi="Times New Roman" w:eastAsia="方正仿宋_GBK" w:cs="Times New Roman"/>
          <w:w w:val="100"/>
        </w:rPr>
        <w:t>在机构改革完成后，要在符合保密要求的前提下依法公开本单位新的“三定”规定或机构设置等信息，及时更新主动公开目录和范围；要抓好新修订的《中华人民共和国政府信息公开条例》的学习和落实，及时修订完善相关配套规定，进一步规范依申请公开程序，完善政府网站、政务新媒体等平台信息发布审核机制，大力</w:t>
      </w:r>
      <w:r>
        <w:rPr>
          <w:rFonts w:hint="eastAsia" w:ascii="Times New Roman" w:hAnsi="Times New Roman" w:cs="Times New Roman"/>
          <w:w w:val="100"/>
          <w:lang w:eastAsia="zh-CN"/>
        </w:rPr>
        <w:t>夯实</w:t>
      </w:r>
      <w:r>
        <w:rPr>
          <w:rFonts w:hint="default" w:ascii="Times New Roman" w:hAnsi="Times New Roman" w:eastAsia="方正仿宋_GBK" w:cs="Times New Roman"/>
          <w:w w:val="100"/>
        </w:rPr>
        <w:t>全局政务公开工作基础。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方正黑体_GBK" w:hAnsi="方正黑体_GBK" w:eastAsia="方正黑体_GBK" w:cs="方正黑体_GBK"/>
          <w:w w:val="100"/>
        </w:rPr>
      </w:pPr>
      <w:r>
        <w:rPr>
          <w:rFonts w:hint="eastAsia" w:ascii="方正黑体_GBK" w:hAnsi="方正黑体_GBK" w:eastAsia="方正黑体_GBK" w:cs="方正黑体_GBK"/>
          <w:w w:val="100"/>
        </w:rPr>
        <w:t>二、精心部署，聚焦问题抓好各项工作整改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eastAsia" w:ascii="方正楷体_GBK" w:hAnsi="方正楷体_GBK" w:eastAsia="方正楷体_GBK" w:cs="方正楷体_GBK"/>
          <w:w w:val="100"/>
        </w:rPr>
        <w:t>（一）专人负责，责任到岗到人。</w:t>
      </w:r>
      <w:r>
        <w:rPr>
          <w:rFonts w:hint="default" w:ascii="Times New Roman" w:hAnsi="Times New Roman" w:eastAsia="方正仿宋_GBK" w:cs="Times New Roman"/>
          <w:w w:val="100"/>
        </w:rPr>
        <w:t>局政务公开工作领导小组办公室要切实承担起本部门政务公开工作的组织推动、统筹协调、督促检查的主体责任，明确由刀彦伟副局长分管政务公开工作，领导小组下设办公室在局办公室，余坤任领导小组办公室主任，王丹同志负责日常工作；要严格对照《政府网站发展指引》（国办发〔2017〕47号）和《国务院办公厅秘书局关于印发政府网站与政务新媒体检查指标、监管工作年度考核指标的通知》（国办秘函〔2019〕19号）文件中政府网站与政务新媒体检查指标，办公室与普法与依法治理科安排专人，定岗定员定时查看部门网站栏目及政务新媒体更新情况，及时查缺补漏，发现问题24小时及时响应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default" w:ascii="方正楷体_GBK" w:hAnsi="方正楷体_GBK" w:eastAsia="方正楷体_GBK" w:cs="方正楷体_GBK"/>
          <w:w w:val="100"/>
        </w:rPr>
        <w:t>（二）做好市司法局政府信息公开网发布模块的发布更新和管理维护。</w:t>
      </w:r>
      <w:r>
        <w:rPr>
          <w:rFonts w:hint="default" w:ascii="Times New Roman" w:hAnsi="Times New Roman" w:eastAsia="方正仿宋_GBK" w:cs="Times New Roman"/>
          <w:w w:val="100"/>
        </w:rPr>
        <w:t>根据玉溪市政务公开领导小组办公室要求，信息公开模块须开设栏目包括：1.“机构职能”（主动公开机构职能、机构设置、办公地址、办公时间、联系方式、负责人姓名等信息）</w:t>
      </w:r>
      <w:r>
        <w:rPr>
          <w:rFonts w:hint="eastAsia" w:ascii="Times New Roman" w:hAnsi="Times New Roman" w:cs="Times New Roman"/>
          <w:w w:val="100"/>
          <w:lang w:eastAsia="zh-CN"/>
        </w:rPr>
        <w:t>；</w:t>
      </w:r>
      <w:r>
        <w:rPr>
          <w:rFonts w:hint="default" w:ascii="Times New Roman" w:hAnsi="Times New Roman" w:eastAsia="方正仿宋_GBK" w:cs="Times New Roman"/>
          <w:w w:val="100"/>
        </w:rPr>
        <w:t>2.“领导信息”（发布本单位的负责人信息，包括领导姓名、照片、简历、主管或者分管工作等）</w:t>
      </w:r>
      <w:r>
        <w:rPr>
          <w:rFonts w:hint="eastAsia" w:ascii="Times New Roman" w:hAnsi="Times New Roman" w:cs="Times New Roman"/>
          <w:w w:val="100"/>
          <w:lang w:eastAsia="zh-CN"/>
        </w:rPr>
        <w:t>；</w:t>
      </w:r>
      <w:r>
        <w:rPr>
          <w:rFonts w:hint="default" w:ascii="Times New Roman" w:hAnsi="Times New Roman" w:eastAsia="方正仿宋_GBK" w:cs="Times New Roman"/>
          <w:w w:val="100"/>
        </w:rPr>
        <w:t>3.“信息公开指南、制度、目录”（根据机构改革情况及时制定或更新发布政府信息公开指南、制度和政府信息主动公开目录等）</w:t>
      </w:r>
      <w:r>
        <w:rPr>
          <w:rFonts w:hint="eastAsia" w:ascii="Times New Roman" w:hAnsi="Times New Roman" w:cs="Times New Roman"/>
          <w:w w:val="100"/>
          <w:lang w:eastAsia="zh-CN"/>
        </w:rPr>
        <w:t>；</w:t>
      </w:r>
      <w:r>
        <w:rPr>
          <w:rFonts w:hint="default" w:ascii="Times New Roman" w:hAnsi="Times New Roman" w:eastAsia="方正仿宋_GBK" w:cs="Times New Roman"/>
          <w:w w:val="100"/>
        </w:rPr>
        <w:t>4.“政府信息公开年度报告”（按年度顺序发布政府信息公开年度报告）</w:t>
      </w:r>
      <w:r>
        <w:rPr>
          <w:rFonts w:hint="eastAsia" w:ascii="Times New Roman" w:hAnsi="Times New Roman" w:cs="Times New Roman"/>
          <w:w w:val="100"/>
          <w:lang w:eastAsia="zh-CN"/>
        </w:rPr>
        <w:t>；</w:t>
      </w:r>
      <w:r>
        <w:rPr>
          <w:rFonts w:hint="default" w:ascii="Times New Roman" w:hAnsi="Times New Roman" w:eastAsia="方正仿宋_GBK" w:cs="Times New Roman"/>
          <w:w w:val="100"/>
        </w:rPr>
        <w:t>5.“通知公告”（发布需要社会公众广泛知晓的信息）</w:t>
      </w:r>
      <w:r>
        <w:rPr>
          <w:rFonts w:hint="eastAsia" w:ascii="Times New Roman" w:hAnsi="Times New Roman" w:cs="Times New Roman"/>
          <w:w w:val="100"/>
          <w:lang w:eastAsia="zh-CN"/>
        </w:rPr>
        <w:t>；</w:t>
      </w:r>
      <w:r>
        <w:rPr>
          <w:rFonts w:hint="default" w:ascii="Times New Roman" w:hAnsi="Times New Roman" w:eastAsia="方正仿宋_GBK" w:cs="Times New Roman"/>
          <w:w w:val="100"/>
        </w:rPr>
        <w:t>6.“政府文件”（发布本单位出台的法规、规章、应主动公开的政府文件及相关法律法规、政策解读等）</w:t>
      </w:r>
      <w:r>
        <w:rPr>
          <w:rFonts w:hint="eastAsia" w:ascii="Times New Roman" w:hAnsi="Times New Roman" w:cs="Times New Roman"/>
          <w:w w:val="100"/>
          <w:lang w:eastAsia="zh-CN"/>
        </w:rPr>
        <w:t>；</w:t>
      </w:r>
      <w:r>
        <w:rPr>
          <w:rFonts w:hint="default" w:ascii="Times New Roman" w:hAnsi="Times New Roman" w:eastAsia="方正仿宋_GBK" w:cs="Times New Roman"/>
          <w:w w:val="100"/>
        </w:rPr>
        <w:t>7.“建议议案提案办理结果”（应公开的本单位建议议案办理情况）</w:t>
      </w:r>
      <w:r>
        <w:rPr>
          <w:rFonts w:hint="eastAsia" w:ascii="Times New Roman" w:hAnsi="Times New Roman" w:cs="Times New Roman"/>
          <w:w w:val="100"/>
          <w:lang w:eastAsia="zh-CN"/>
        </w:rPr>
        <w:t>；</w:t>
      </w:r>
      <w:r>
        <w:rPr>
          <w:rFonts w:hint="default" w:ascii="Times New Roman" w:hAnsi="Times New Roman" w:eastAsia="方正仿宋_GBK" w:cs="Times New Roman"/>
          <w:w w:val="100"/>
        </w:rPr>
        <w:t>8.“重点领域信息公开专栏”（根据玉政办函〔2017〕65号文件要求开设）。以上栏目的创建与维护由市局政务公开领导小组办公室负责，并按上级部门要求按时上报。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default" w:ascii="方正楷体_GBK" w:hAnsi="方正楷体_GBK" w:eastAsia="方正楷体_GBK" w:cs="方正楷体_GBK"/>
          <w:w w:val="100"/>
        </w:rPr>
        <w:t>（三）做好己调整整合公开模块对接工作。</w:t>
      </w:r>
      <w:r>
        <w:rPr>
          <w:rFonts w:hint="default" w:ascii="Times New Roman" w:hAnsi="Times New Roman" w:eastAsia="方正仿宋_GBK" w:cs="Times New Roman"/>
          <w:w w:val="100"/>
        </w:rPr>
        <w:t>市人民政府法制办公室模块整合至“市司法局”模块后，立即组织实施模块调整与维护，确保政务公开各项工作按时按质完成。按照市政府办公室“年布局、季统筹、月计划、周安排、日对照”的工作思路，坚持事前谋划、事中督导、事后总结，有力有序推进本部门政务公开各项工作。一是遵循合法、及时、准确和便民原则。局机关各科室要积极稳妥推进政府信息与政务公开，公开内容覆盖权力运行全流程、政务服务全过程，严格落实决策、执行、管理、服务、结果“五公开”要求，推进重点领域信息公开，按照市委、市政府的统一部署，稳步推进政府数据开放，公开工作制度化、标准化、信息化。二是严格落实“五公开”工作要求。根据省委、省政府及市委、市政府对政府信息与政务公开工作的新要求、法律法规、规章</w:t>
      </w:r>
      <w:r>
        <w:rPr>
          <w:rFonts w:hint="eastAsia" w:ascii="Times New Roman" w:hAnsi="Times New Roman" w:cs="Times New Roman"/>
          <w:w w:val="100"/>
          <w:lang w:eastAsia="zh-CN"/>
        </w:rPr>
        <w:t>制度</w:t>
      </w:r>
      <w:r>
        <w:rPr>
          <w:rFonts w:hint="default" w:ascii="Times New Roman" w:hAnsi="Times New Roman" w:eastAsia="方正仿宋_GBK" w:cs="Times New Roman"/>
          <w:w w:val="100"/>
        </w:rPr>
        <w:t>建设的新情况，严格审查</w:t>
      </w:r>
      <w:r>
        <w:rPr>
          <w:rFonts w:hint="eastAsia" w:ascii="Times New Roman" w:hAnsi="Times New Roman" w:cs="Times New Roman"/>
          <w:w w:val="100"/>
          <w:lang w:eastAsia="zh-CN"/>
        </w:rPr>
        <w:t>文件</w:t>
      </w:r>
      <w:r>
        <w:rPr>
          <w:rFonts w:hint="default" w:ascii="Times New Roman" w:hAnsi="Times New Roman" w:eastAsia="方正仿宋_GBK" w:cs="Times New Roman"/>
          <w:w w:val="100"/>
        </w:rPr>
        <w:t>公开属性、建立健全会议办理程序、完善主动公开目录，制定政务公开工作要点，不断拓展“五公开”范围，细化公开内容。三是建立健全政府信息发布保密审查机制。规范保密审查程序，并依照《中华人民共和国保守国家秘密法》及其实施办法等有关规定，对拟公开的政府信息进行保密审查，执行“谁审核谁负责”“谁承办谁负责”原则，完善审批责任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eastAsia" w:ascii="方正黑体_GBK" w:hAnsi="方正黑体_GBK" w:eastAsia="方正黑体_GBK" w:cs="方正黑体_GBK"/>
          <w:w w:val="100"/>
        </w:rPr>
        <w:t>三、强化自检自查，确保工作部署落实到位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将信息公开、政策解读、回应关切、媒体参与等方面情况作为政务公开的重要内容纳入绩效考核体系，不断更新完善考核办法，将政府信息公开、重要政策解读、政府新闻发布</w:t>
      </w:r>
      <w:r>
        <w:rPr>
          <w:rFonts w:hint="eastAsia" w:ascii="Times New Roman" w:hAnsi="Times New Roman" w:cs="Times New Roman"/>
          <w:w w:val="100"/>
          <w:lang w:eastAsia="zh-CN"/>
        </w:rPr>
        <w:t>、回应</w:t>
      </w:r>
      <w:r>
        <w:rPr>
          <w:rFonts w:hint="default" w:ascii="Times New Roman" w:hAnsi="Times New Roman" w:eastAsia="方正仿宋_GBK" w:cs="Times New Roman"/>
          <w:w w:val="100"/>
        </w:rPr>
        <w:t>公众关切</w:t>
      </w:r>
      <w:r>
        <w:rPr>
          <w:rFonts w:hint="eastAsia" w:ascii="Times New Roman" w:hAnsi="Times New Roman" w:cs="Times New Roman"/>
          <w:w w:val="100"/>
          <w:lang w:eastAsia="zh-CN"/>
        </w:rPr>
        <w:t>、</w:t>
      </w:r>
      <w:r>
        <w:rPr>
          <w:rFonts w:hint="default" w:ascii="Times New Roman" w:hAnsi="Times New Roman" w:eastAsia="方正仿宋_GBK" w:cs="Times New Roman"/>
          <w:w w:val="100"/>
        </w:rPr>
        <w:t>扩大公众参与、平台渠道建设管理等公开业务推进情况作为政务公开核心内容，加强定期检查和动态督办，务求事事有着落、件件有回音、项项有结果。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要定期开展自检自查。局机关各科室要对照“五公开”要求，定期对本部门不宜公开的信息以及依申请公开较为集中的信息进行全面自查，发现应公开未公开的信息应及时公开，应主动公开但作为依申请公开的应主动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p>
    <w:p>
      <w:pPr>
        <w:keepNext w:val="0"/>
        <w:keepLines w:val="0"/>
        <w:pageBreakBefore w:val="0"/>
        <w:widowControl w:val="0"/>
        <w:kinsoku/>
        <w:wordWrap/>
        <w:overflowPunct/>
        <w:topLinePunct w:val="0"/>
        <w:autoSpaceDE/>
        <w:autoSpaceDN/>
        <w:bidi w:val="0"/>
        <w:adjustRightInd/>
        <w:snapToGrid/>
        <w:spacing w:line="580" w:lineRule="exact"/>
        <w:ind w:left="1580" w:leftChars="200" w:right="0" w:rightChars="0" w:hanging="948" w:hangingChars="300"/>
        <w:jc w:val="left"/>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附件：玉溪市司法局贯彻落实玉溪市政务公开领导小组</w:t>
      </w:r>
      <w:r>
        <w:rPr>
          <w:rFonts w:hint="eastAsia" w:ascii="Times New Roman" w:hAnsi="Times New Roman" w:cs="Times New Roman"/>
          <w:w w:val="100"/>
          <w:lang w:eastAsia="zh-CN"/>
        </w:rPr>
        <w:t>办公室</w:t>
      </w:r>
      <w:r>
        <w:rPr>
          <w:rFonts w:hint="default" w:ascii="Times New Roman" w:hAnsi="Times New Roman" w:eastAsia="方正仿宋_GBK" w:cs="Times New Roman"/>
          <w:w w:val="100"/>
        </w:rPr>
        <w:t>2019年政务公开工作要点</w:t>
      </w:r>
      <w:r>
        <w:rPr>
          <w:rFonts w:hint="eastAsia" w:ascii="Times New Roman" w:hAnsi="Times New Roman" w:cs="Times New Roman"/>
          <w:w w:val="100"/>
          <w:lang w:eastAsia="zh-CN"/>
        </w:rPr>
        <w:t>责任清单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（此件公开</w:t>
      </w:r>
      <w:r>
        <w:rPr>
          <w:rFonts w:hint="eastAsia" w:ascii="Times New Roman" w:hAnsi="Times New Roman" w:cs="Times New Roman"/>
          <w:w w:val="100"/>
          <w:lang w:eastAsia="zh-CN"/>
        </w:rPr>
        <w:t>发布</w:t>
      </w:r>
      <w:r>
        <w:rPr>
          <w:rFonts w:hint="default" w:ascii="Times New Roman" w:hAnsi="Times New Roman" w:eastAsia="方正仿宋_GBK" w:cs="Times New Roman"/>
          <w:w w:val="100"/>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32" w:firstLineChars="200"/>
        <w:jc w:val="right"/>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玉溪市司法局办公室</w:t>
      </w:r>
      <w:r>
        <w:rPr>
          <w:rFonts w:hint="eastAsia" w:ascii="Times New Roman" w:hAnsi="Times New Roman" w:cs="Times New Roman"/>
          <w:w w:val="10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32" w:firstLineChars="200"/>
        <w:jc w:val="right"/>
        <w:textAlignment w:val="auto"/>
        <w:outlineLvl w:val="9"/>
        <w:rPr>
          <w:rFonts w:hint="default" w:ascii="Times New Roman" w:hAnsi="Times New Roman" w:eastAsia="方正仿宋_GBK" w:cs="Times New Roman"/>
          <w:w w:val="100"/>
        </w:rPr>
      </w:pPr>
      <w:r>
        <w:rPr>
          <w:rFonts w:hint="default" w:ascii="Times New Roman" w:hAnsi="Times New Roman" w:eastAsia="方正仿宋_GBK" w:cs="Times New Roman"/>
          <w:w w:val="100"/>
        </w:rPr>
        <w:t>2019年</w:t>
      </w:r>
      <w:r>
        <w:rPr>
          <w:rFonts w:hint="eastAsia" w:cs="Times New Roman"/>
          <w:w w:val="100"/>
          <w:lang w:val="en-US" w:eastAsia="zh-CN"/>
        </w:rPr>
        <w:t>9</w:t>
      </w:r>
      <w:r>
        <w:rPr>
          <w:rFonts w:hint="default" w:ascii="Times New Roman" w:hAnsi="Times New Roman" w:eastAsia="方正仿宋_GBK" w:cs="Times New Roman"/>
          <w:w w:val="100"/>
        </w:rPr>
        <w:t>月</w:t>
      </w:r>
      <w:r>
        <w:rPr>
          <w:rFonts w:hint="eastAsia" w:cs="Times New Roman"/>
          <w:w w:val="100"/>
          <w:lang w:val="en-US" w:eastAsia="zh-CN"/>
        </w:rPr>
        <w:t>27</w:t>
      </w:r>
      <w:r>
        <w:rPr>
          <w:rFonts w:hint="default" w:ascii="Times New Roman" w:hAnsi="Times New Roman" w:eastAsia="方正仿宋_GBK" w:cs="Times New Roman"/>
          <w:w w:val="100"/>
        </w:rPr>
        <w:t>日</w:t>
      </w:r>
      <w:r>
        <w:rPr>
          <w:rFonts w:hint="eastAsia" w:ascii="Times New Roman" w:hAnsi="Times New Roman" w:cs="Times New Roman"/>
          <w:w w:val="100"/>
          <w:lang w:val="en-US" w:eastAsia="zh-CN"/>
        </w:rPr>
        <w:t xml:space="preserve">     </w:t>
      </w:r>
    </w:p>
    <w:p>
      <w:pPr>
        <w:rPr>
          <w:rFonts w:hint="eastAsia" w:ascii="仿宋_GB2312"/>
          <w:szCs w:val="32"/>
        </w:rPr>
      </w:pPr>
    </w:p>
    <w:p>
      <w:pPr>
        <w:rPr>
          <w:rFonts w:hint="eastAsia" w:ascii="仿宋_GB2312"/>
          <w:szCs w:val="32"/>
        </w:rPr>
      </w:pPr>
    </w:p>
    <w:p>
      <w:pPr>
        <w:rPr>
          <w:rFonts w:hint="eastAsia" w:ascii="仿宋_GB231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134" w:left="1588" w:header="851" w:footer="992" w:gutter="0"/>
          <w:pgNumType w:fmt="numberInDash"/>
          <w:cols w:space="720" w:num="1"/>
          <w:docGrid w:type="linesAndChars" w:linePitch="641" w:charSpace="-849"/>
        </w:sectPr>
      </w:pPr>
    </w:p>
    <w:p>
      <w:pPr>
        <w:ind w:left="0" w:leftChars="0" w:firstLine="0" w:firstLineChars="0"/>
        <w:rPr>
          <w:rFonts w:hint="eastAsia" w:ascii="方正黑体_GBK" w:hAnsi="方正黑体_GBK" w:eastAsia="方正黑体_GBK" w:cs="方正黑体_GBK"/>
        </w:rPr>
      </w:pPr>
      <w:r>
        <w:rPr>
          <w:rFonts w:hint="eastAsia" w:ascii="方正黑体_GBK" w:hAnsi="方正黑体_GBK" w:eastAsia="方正黑体_GBK" w:cs="方正黑体_GBK"/>
        </w:rPr>
        <w:t>附件</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玉溪市司法局贯彻落实玉溪市政务公开领导小组办公室</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2019年政务公开工作要点</w:t>
      </w:r>
      <w:r>
        <w:rPr>
          <w:rFonts w:hint="eastAsia" w:ascii="方正小标宋_GBK" w:hAnsi="方正小标宋_GBK" w:eastAsia="方正小标宋_GBK" w:cs="方正小标宋_GBK"/>
          <w:sz w:val="44"/>
          <w:szCs w:val="44"/>
          <w:lang w:eastAsia="zh-CN"/>
        </w:rPr>
        <w:t>责任清单</w:t>
      </w:r>
    </w:p>
    <w:tbl>
      <w:tblPr>
        <w:tblStyle w:val="6"/>
        <w:tblpPr w:leftFromText="180" w:rightFromText="180" w:vertAnchor="text" w:horzAnchor="page" w:tblpX="1548" w:tblpY="553"/>
        <w:tblOverlap w:val="never"/>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57"/>
        <w:gridCol w:w="1224"/>
        <w:gridCol w:w="7787"/>
        <w:gridCol w:w="1374"/>
        <w:gridCol w:w="96"/>
        <w:gridCol w:w="1524"/>
        <w:gridCol w:w="2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25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工作任务</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color w:val="1C1C23"/>
                <w:w w:val="110"/>
                <w:sz w:val="28"/>
                <w:szCs w:val="28"/>
              </w:rPr>
              <w:t>具体要求</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牵头落实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rPr>
              <w:t>科</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t>室</w:t>
            </w:r>
          </w:p>
        </w:tc>
        <w:tc>
          <w:tcPr>
            <w:tcW w:w="1560"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color w:val="2D2D31"/>
                <w:w w:val="95"/>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vertAlign w:val="baseline"/>
                <w:lang w:eastAsia="zh-CN"/>
              </w:rPr>
            </w:pPr>
            <w:r>
              <w:rPr>
                <w:rFonts w:hint="default"/>
                <w:sz w:val="28"/>
                <w:szCs w:val="28"/>
              </w:rPr>
              <w:t>着眼稳定预期，</w:t>
            </w:r>
            <w:r>
              <w:rPr>
                <w:rFonts w:hint="eastAsia"/>
                <w:sz w:val="28"/>
                <w:szCs w:val="28"/>
                <w:lang w:eastAsia="zh-CN"/>
              </w:rPr>
              <w:t>加</w:t>
            </w:r>
            <w:r>
              <w:rPr>
                <w:rFonts w:hint="default"/>
                <w:sz w:val="28"/>
                <w:szCs w:val="28"/>
              </w:rPr>
              <w:t>强政策解读和回应关切</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vertAlign w:val="baseline"/>
                <w:lang w:eastAsia="zh-CN"/>
              </w:rPr>
            </w:pPr>
            <w:r>
              <w:rPr>
                <w:rFonts w:hint="default"/>
                <w:w w:val="100"/>
                <w:sz w:val="28"/>
                <w:szCs w:val="28"/>
              </w:rPr>
              <w:t>深入解读重</w:t>
            </w:r>
            <w:r>
              <w:rPr>
                <w:rFonts w:hint="eastAsia"/>
                <w:w w:val="100"/>
                <w:sz w:val="28"/>
                <w:szCs w:val="28"/>
                <w:lang w:eastAsia="zh-CN"/>
              </w:rPr>
              <w:t>要</w:t>
            </w:r>
            <w:r>
              <w:rPr>
                <w:rFonts w:hint="default"/>
                <w:w w:val="100"/>
                <w:sz w:val="28"/>
                <w:szCs w:val="28"/>
              </w:rPr>
              <w:t>政策措施</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4"/>
                <w:szCs w:val="24"/>
                <w:lang w:eastAsia="zh-CN"/>
              </w:rPr>
            </w:pPr>
            <w:r>
              <w:rPr>
                <w:rFonts w:hint="default"/>
                <w:sz w:val="24"/>
                <w:szCs w:val="24"/>
              </w:rPr>
              <w:t>围绕2019年全市经济社会发展总体要求和主要预期目标，打好“三大攻坚战”、加快基础设施建设、保障和改善民生、优化营商环境等工作任务为重点，全面公开、精准解读政策措施，确保政策内涵透明、信号清晰，稳定社会预期，提振市场信心</w:t>
            </w:r>
          </w:p>
        </w:tc>
        <w:tc>
          <w:tcPr>
            <w:tcW w:w="147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宋体" w:hAnsi="宋体" w:eastAsia="宋体" w:cs="宋体"/>
                <w:color w:val="2D2D31"/>
                <w:spacing w:val="10"/>
                <w:sz w:val="28"/>
                <w:szCs w:val="28"/>
              </w:rPr>
            </w:pPr>
            <w:r>
              <w:rPr>
                <w:rFonts w:hint="default" w:ascii="宋体" w:hAnsi="宋体" w:eastAsia="宋体" w:cs="宋体"/>
                <w:color w:val="2D2D31"/>
                <w:spacing w:val="10"/>
                <w:sz w:val="28"/>
                <w:szCs w:val="28"/>
              </w:rPr>
              <w:t>各</w:t>
            </w:r>
            <w:r>
              <w:rPr>
                <w:rFonts w:hint="eastAsia" w:ascii="宋体" w:hAnsi="宋体" w:eastAsia="宋体" w:cs="宋体"/>
                <w:color w:val="2D2D31"/>
                <w:spacing w:val="10"/>
                <w:sz w:val="28"/>
                <w:szCs w:val="28"/>
                <w:lang w:eastAsia="zh-CN"/>
              </w:rPr>
              <w:t>承办</w:t>
            </w:r>
            <w:r>
              <w:rPr>
                <w:rFonts w:hint="default" w:ascii="宋体" w:hAnsi="宋体" w:eastAsia="宋体" w:cs="宋体"/>
                <w:color w:val="2D2D31"/>
                <w:spacing w:val="10"/>
                <w:sz w:val="28"/>
                <w:szCs w:val="28"/>
              </w:rPr>
              <w:t>科室</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c>
          <w:tcPr>
            <w:tcW w:w="1560"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r>
              <w:rPr>
                <w:rFonts w:hint="eastAsia" w:ascii="宋体" w:hAnsi="宋体" w:eastAsia="宋体" w:cs="宋体"/>
                <w:color w:val="2D2D31"/>
                <w:spacing w:val="10"/>
                <w:sz w:val="28"/>
                <w:szCs w:val="28"/>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严格执行《玉溪市人民政府办公室关于做好重要政策解读工作的通知》（玉政办发〔2017〕60号），按照“谁起草、谁解读”原则切实做到政策性文件与解读方案、解读材料同步组织、同步审签、同步部署，确保解读材料于政策文件公开后3个工作日在政府网站政策解读专栏发布，并做好政策文件的相互链接</w:t>
            </w:r>
          </w:p>
        </w:tc>
        <w:tc>
          <w:tcPr>
            <w:tcW w:w="147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c>
          <w:tcPr>
            <w:tcW w:w="156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3</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c>
          <w:tcPr>
            <w:tcW w:w="7787" w:type="dxa"/>
            <w:vAlign w:val="center"/>
          </w:tcPr>
          <w:p>
            <w:pPr>
              <w:pStyle w:val="8"/>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rPr>
                <w:rFonts w:hint="eastAsia"/>
                <w:sz w:val="24"/>
                <w:szCs w:val="24"/>
                <w:vertAlign w:val="baseline"/>
                <w:lang w:eastAsia="zh-CN"/>
              </w:rPr>
            </w:pPr>
            <w:r>
              <w:rPr>
                <w:rFonts w:hint="default" w:ascii="Calibri" w:hAnsi="Calibri" w:eastAsia="方正仿宋_GBK" w:cs="Times New Roman"/>
                <w:kern w:val="2"/>
                <w:sz w:val="24"/>
                <w:szCs w:val="24"/>
                <w:lang w:val="en-US" w:eastAsia="zh-CN" w:bidi="ar-SA"/>
              </w:rPr>
              <w:t>向政府常务会议提交的公开议题，原则上要通过新闻发布会、政策吹风会等进行解读，对人民群众和媒体关注度高的内容跟进解读</w:t>
            </w:r>
          </w:p>
        </w:tc>
        <w:tc>
          <w:tcPr>
            <w:tcW w:w="147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c>
          <w:tcPr>
            <w:tcW w:w="156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12"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8"/>
                <w:szCs w:val="28"/>
                <w:vertAlign w:val="baseline"/>
                <w:lang w:val="en-US" w:eastAsia="zh-CN"/>
              </w:rPr>
            </w:pPr>
            <w:r>
              <w:rPr>
                <w:rFonts w:hint="eastAsia" w:ascii="方正黑体_GBK" w:hAnsi="方正黑体_GBK" w:eastAsia="方正黑体_GBK" w:cs="方正黑体_GBK"/>
                <w:sz w:val="28"/>
                <w:szCs w:val="28"/>
                <w:vertAlign w:val="baseline"/>
                <w:lang w:eastAsia="zh-CN"/>
              </w:rPr>
              <w:t>序号</w:t>
            </w:r>
          </w:p>
        </w:tc>
        <w:tc>
          <w:tcPr>
            <w:tcW w:w="25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r>
              <w:rPr>
                <w:rFonts w:hint="eastAsia" w:ascii="方正黑体_GBK" w:hAnsi="方正黑体_GBK" w:eastAsia="方正黑体_GBK" w:cs="方正黑体_GBK"/>
                <w:sz w:val="28"/>
                <w:szCs w:val="28"/>
                <w:vertAlign w:val="baseline"/>
                <w:lang w:eastAsia="zh-CN"/>
              </w:rPr>
              <w:t>工作任务</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Calibri" w:hAnsi="Calibri" w:eastAsia="方正仿宋_GBK" w:cs="Times New Roman"/>
                <w:kern w:val="2"/>
                <w:sz w:val="28"/>
                <w:szCs w:val="28"/>
                <w:lang w:val="en-US" w:eastAsia="zh-CN" w:bidi="ar-SA"/>
              </w:rPr>
            </w:pPr>
            <w:r>
              <w:rPr>
                <w:rFonts w:hint="eastAsia" w:ascii="方正黑体_GBK" w:hAnsi="方正黑体_GBK" w:eastAsia="方正黑体_GBK" w:cs="方正黑体_GBK"/>
                <w:color w:val="1C1C23"/>
                <w:w w:val="110"/>
                <w:sz w:val="28"/>
                <w:szCs w:val="28"/>
              </w:rPr>
              <w:t>具体要求</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牵头落实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宋体" w:hAnsi="宋体" w:eastAsia="宋体" w:cs="宋体"/>
                <w:color w:val="2D2D31"/>
                <w:spacing w:val="10"/>
                <w:sz w:val="28"/>
                <w:szCs w:val="28"/>
              </w:rPr>
            </w:pPr>
            <w:r>
              <w:rPr>
                <w:rFonts w:hint="eastAsia" w:ascii="方正黑体_GBK" w:hAnsi="方正黑体_GBK" w:eastAsia="方正黑体_GBK" w:cs="方正黑体_GBK"/>
                <w:sz w:val="28"/>
                <w:szCs w:val="28"/>
              </w:rPr>
              <w:t>科</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t>室</w:t>
            </w:r>
          </w:p>
        </w:tc>
        <w:tc>
          <w:tcPr>
            <w:tcW w:w="164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r>
              <w:rPr>
                <w:rFonts w:hint="eastAsia" w:ascii="方正黑体_GBK" w:hAnsi="方正黑体_GBK" w:eastAsia="方正黑体_GBK" w:cs="方正黑体_GBK"/>
                <w:color w:val="2D2D31"/>
                <w:w w:val="95"/>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2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4</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vertAlign w:val="baseline"/>
                <w:lang w:eastAsia="zh-CN"/>
              </w:rPr>
            </w:pPr>
            <w:r>
              <w:rPr>
                <w:rFonts w:hint="default"/>
                <w:sz w:val="28"/>
                <w:szCs w:val="28"/>
              </w:rPr>
              <w:t>着眼稳定预期，</w:t>
            </w:r>
            <w:r>
              <w:rPr>
                <w:rFonts w:hint="eastAsia"/>
                <w:sz w:val="28"/>
                <w:szCs w:val="28"/>
                <w:lang w:eastAsia="zh-CN"/>
              </w:rPr>
              <w:t>加</w:t>
            </w:r>
            <w:r>
              <w:rPr>
                <w:rFonts w:hint="default"/>
                <w:sz w:val="28"/>
                <w:szCs w:val="28"/>
              </w:rPr>
              <w:t>强政策解读和回应关切</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8"/>
                <w:vertAlign w:val="baseline"/>
                <w:lang w:eastAsia="zh-CN"/>
              </w:rPr>
            </w:pPr>
            <w:r>
              <w:rPr>
                <w:rFonts w:hint="eastAsia"/>
                <w:sz w:val="24"/>
                <w:szCs w:val="24"/>
                <w:lang w:eastAsia="zh-CN"/>
              </w:rPr>
              <w:t>深入解读主要政策措施</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sz w:val="24"/>
                <w:szCs w:val="24"/>
                <w:lang w:val="en-US" w:eastAsia="zh-CN"/>
              </w:rPr>
            </w:pPr>
            <w:r>
              <w:rPr>
                <w:rFonts w:hint="default"/>
                <w:sz w:val="24"/>
                <w:szCs w:val="24"/>
                <w:lang w:eastAsia="zh-CN"/>
              </w:rPr>
              <w:t>在重要政策</w:t>
            </w:r>
            <w:r>
              <w:rPr>
                <w:rFonts w:hint="eastAsia"/>
                <w:sz w:val="24"/>
                <w:szCs w:val="24"/>
                <w:lang w:eastAsia="zh-CN"/>
              </w:rPr>
              <w:t>出台、重</w:t>
            </w:r>
            <w:r>
              <w:rPr>
                <w:rFonts w:hint="default"/>
                <w:sz w:val="24"/>
                <w:szCs w:val="24"/>
                <w:lang w:eastAsia="zh-CN"/>
              </w:rPr>
              <w:t>点工作推进、重大事件发生时，有关</w:t>
            </w:r>
            <w:r>
              <w:rPr>
                <w:rFonts w:hint="eastAsia"/>
                <w:sz w:val="24"/>
                <w:szCs w:val="24"/>
                <w:lang w:eastAsia="zh-CN"/>
              </w:rPr>
              <w:t>科室</w:t>
            </w:r>
            <w:r>
              <w:rPr>
                <w:rFonts w:hint="default"/>
                <w:sz w:val="24"/>
                <w:szCs w:val="24"/>
                <w:lang w:eastAsia="zh-CN"/>
              </w:rPr>
              <w:t>负责</w:t>
            </w:r>
            <w:r>
              <w:rPr>
                <w:rFonts w:hint="eastAsia"/>
                <w:sz w:val="24"/>
                <w:szCs w:val="24"/>
                <w:lang w:eastAsia="zh-CN"/>
              </w:rPr>
              <w:t>人</w:t>
            </w:r>
            <w:r>
              <w:rPr>
                <w:rFonts w:hint="default"/>
                <w:sz w:val="24"/>
                <w:szCs w:val="24"/>
                <w:lang w:eastAsia="zh-CN"/>
              </w:rPr>
              <w:t>要切实履行好信息发布、权威定调、自觉把关等职责</w:t>
            </w:r>
            <w:r>
              <w:rPr>
                <w:rFonts w:hint="eastAsia"/>
                <w:sz w:val="24"/>
                <w:szCs w:val="24"/>
                <w:lang w:eastAsia="zh-CN"/>
              </w:rPr>
              <w:t>，</w:t>
            </w:r>
            <w:r>
              <w:rPr>
                <w:rFonts w:hint="default"/>
                <w:sz w:val="24"/>
                <w:szCs w:val="24"/>
                <w:lang w:eastAsia="zh-CN"/>
              </w:rPr>
              <w:t>带头解读政策</w:t>
            </w:r>
          </w:p>
        </w:tc>
        <w:tc>
          <w:tcPr>
            <w:tcW w:w="137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r>
              <w:rPr>
                <w:rFonts w:hint="default" w:ascii="宋体" w:hAnsi="宋体" w:eastAsia="宋体" w:cs="宋体"/>
                <w:color w:val="2D2D31"/>
                <w:spacing w:val="10"/>
                <w:sz w:val="28"/>
                <w:szCs w:val="28"/>
              </w:rPr>
              <w:t>各</w:t>
            </w:r>
            <w:r>
              <w:rPr>
                <w:rFonts w:hint="eastAsia" w:ascii="宋体" w:hAnsi="宋体" w:eastAsia="宋体" w:cs="宋体"/>
                <w:color w:val="2D2D31"/>
                <w:spacing w:val="10"/>
                <w:sz w:val="28"/>
                <w:szCs w:val="28"/>
                <w:lang w:eastAsia="zh-CN"/>
              </w:rPr>
              <w:t>承办</w:t>
            </w:r>
            <w:r>
              <w:rPr>
                <w:rFonts w:hint="default" w:ascii="宋体" w:hAnsi="宋体" w:eastAsia="宋体" w:cs="宋体"/>
                <w:color w:val="2D2D31"/>
                <w:spacing w:val="10"/>
                <w:sz w:val="28"/>
                <w:szCs w:val="28"/>
              </w:rPr>
              <w:t>科室</w:t>
            </w:r>
          </w:p>
        </w:tc>
        <w:tc>
          <w:tcPr>
            <w:tcW w:w="164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98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5</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rPr>
                <w:rFonts w:hint="eastAsia"/>
                <w:lang w:eastAsia="zh-CN"/>
              </w:rPr>
            </w:pPr>
            <w:r>
              <w:rPr>
                <w:rFonts w:hint="eastAsia"/>
                <w:sz w:val="28"/>
                <w:szCs w:val="28"/>
                <w:vertAlign w:val="baseline"/>
                <w:lang w:eastAsia="zh-CN"/>
              </w:rPr>
              <w:t>积极回应社会关切</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sz w:val="24"/>
                <w:szCs w:val="24"/>
                <w:lang w:eastAsia="zh-CN"/>
              </w:rPr>
            </w:pPr>
            <w:r>
              <w:rPr>
                <w:rFonts w:hint="default"/>
                <w:sz w:val="24"/>
                <w:szCs w:val="24"/>
                <w:lang w:eastAsia="zh-CN"/>
              </w:rPr>
              <w:t>对出台的重要改革措施和涉及群众切身利益、容易引起社会关注的政策文件，牵头起草</w:t>
            </w:r>
            <w:r>
              <w:rPr>
                <w:rFonts w:hint="eastAsia"/>
                <w:sz w:val="24"/>
                <w:szCs w:val="24"/>
                <w:lang w:eastAsia="zh-CN"/>
              </w:rPr>
              <w:t>科室</w:t>
            </w:r>
            <w:r>
              <w:rPr>
                <w:rFonts w:hint="default"/>
                <w:sz w:val="24"/>
                <w:szCs w:val="24"/>
                <w:lang w:eastAsia="zh-CN"/>
              </w:rPr>
              <w:t>要采取舆情跟踪、抽样调查重点走访、会商分析等方式，科学预测、综合研判可能引发的各种舆情风险，制定相应处置预案和整改措施。对可能出现的重大敏感政务舆情，及时形成舆情分析报告，对事件的性质、舆情走势、可能出现的风险等进行认真评估，提出预控处置意见</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76"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6</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sz w:val="28"/>
                <w:szCs w:val="28"/>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sz w:val="24"/>
                <w:szCs w:val="24"/>
                <w:lang w:eastAsia="zh-CN"/>
              </w:rPr>
            </w:pPr>
            <w:r>
              <w:rPr>
                <w:rFonts w:hint="eastAsia"/>
                <w:sz w:val="24"/>
                <w:szCs w:val="24"/>
                <w:lang w:eastAsia="zh-CN"/>
              </w:rPr>
              <w:t>加强对各年度规范性文件梳理及公开工作，在门户网站公开规范性文件目录，及时发布废止、失效的政策性文件相关信息</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行政执法协调与监督科</w:t>
            </w: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74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7</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sz w:val="24"/>
                <w:szCs w:val="24"/>
                <w:lang w:eastAsia="zh-CN"/>
              </w:rPr>
            </w:pPr>
            <w:r>
              <w:rPr>
                <w:rFonts w:hint="default"/>
                <w:sz w:val="24"/>
                <w:szCs w:val="24"/>
                <w:lang w:eastAsia="zh-CN"/>
              </w:rPr>
              <w:t>进一步强化舆情回应意识，坚持将政务舆情回应作为网络舆情处置工作的重要环节，落实政务舆情回应的主体责任；加强重大突发事件舆情风险源头研判，增强回应的针对性</w:t>
            </w:r>
          </w:p>
        </w:tc>
        <w:tc>
          <w:tcPr>
            <w:tcW w:w="137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sz w:val="24"/>
                <w:szCs w:val="24"/>
                <w:lang w:eastAsia="zh-CN"/>
              </w:rPr>
            </w:pPr>
            <w:r>
              <w:rPr>
                <w:rFonts w:hint="eastAsia"/>
                <w:sz w:val="28"/>
                <w:szCs w:val="28"/>
                <w:vertAlign w:val="baseline"/>
                <w:lang w:eastAsia="zh-CN"/>
              </w:rPr>
              <w:t>普法与依法治理科</w:t>
            </w: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8</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加强与新闻办、网信（互联网信息监管）、应急管理、公安（网安）等部门的快速反应和协调联动机制，完善重大政务舆情信息共享、协同联动、快速反应机制；对涉及特别重大、重大突发事件的政务舆情快速反应、及时发声，最迟在24小时内举行新闻发布会，对其他政务舆情应在48小时内予以回应，并根据工作进展，持续发布权威信息</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vertAlign w:val="baseline"/>
                <w:lang w:val="en-US" w:eastAsia="zh-CN"/>
              </w:rPr>
            </w:pPr>
            <w:r>
              <w:rPr>
                <w:rFonts w:hint="eastAsia" w:ascii="方正黑体_GBK" w:hAnsi="方正黑体_GBK" w:eastAsia="方正黑体_GBK" w:cs="方正黑体_GBK"/>
                <w:sz w:val="28"/>
                <w:szCs w:val="28"/>
                <w:vertAlign w:val="baseline"/>
                <w:lang w:eastAsia="zh-CN"/>
              </w:rPr>
              <w:t>序号</w:t>
            </w:r>
          </w:p>
        </w:tc>
        <w:tc>
          <w:tcPr>
            <w:tcW w:w="25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vertAlign w:val="baseline"/>
                <w:lang w:eastAsia="zh-CN"/>
              </w:rPr>
              <w:t>工作任务</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color w:val="1C1C23"/>
                <w:w w:val="110"/>
                <w:sz w:val="28"/>
                <w:szCs w:val="28"/>
              </w:rPr>
              <w:t>具体要求</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牵头落实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rPr>
              <w:t>科</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t>室</w:t>
            </w:r>
          </w:p>
        </w:tc>
        <w:tc>
          <w:tcPr>
            <w:tcW w:w="164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color w:val="2D2D31"/>
                <w:w w:val="95"/>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9</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r>
              <w:rPr>
                <w:rFonts w:hint="default"/>
                <w:sz w:val="28"/>
                <w:szCs w:val="28"/>
              </w:rPr>
              <w:t>着眼稳定预期，</w:t>
            </w:r>
            <w:r>
              <w:rPr>
                <w:rFonts w:hint="eastAsia"/>
                <w:sz w:val="28"/>
                <w:szCs w:val="28"/>
                <w:lang w:eastAsia="zh-CN"/>
              </w:rPr>
              <w:t>加</w:t>
            </w:r>
            <w:r>
              <w:rPr>
                <w:rFonts w:hint="default"/>
                <w:sz w:val="28"/>
                <w:szCs w:val="28"/>
              </w:rPr>
              <w:t>强政策解读和回应关切</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r>
              <w:rPr>
                <w:rFonts w:hint="eastAsia"/>
                <w:sz w:val="28"/>
                <w:szCs w:val="22"/>
                <w:vertAlign w:val="baseline"/>
                <w:lang w:eastAsia="zh-CN"/>
              </w:rPr>
              <w:t>积极回应社会关切</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积极加强网民留言办理，严格按照责任分工、办理程序和时限要求，做好网民留言办理工作；适时建立完善公众参与和政民互动工作制度</w:t>
            </w:r>
            <w:r>
              <w:rPr>
                <w:rFonts w:hint="eastAsia"/>
                <w:sz w:val="24"/>
                <w:szCs w:val="24"/>
                <w:lang w:eastAsia="zh-CN"/>
              </w:rPr>
              <w:tab/>
            </w:r>
            <w:r>
              <w:rPr>
                <w:rFonts w:hint="eastAsia"/>
                <w:sz w:val="24"/>
                <w:szCs w:val="24"/>
                <w:lang w:eastAsia="zh-CN"/>
              </w:rPr>
              <w:tab/>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办公室</w:t>
            </w:r>
          </w:p>
        </w:tc>
        <w:tc>
          <w:tcPr>
            <w:tcW w:w="164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10</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r>
              <w:rPr>
                <w:rFonts w:hint="eastAsia"/>
                <w:vertAlign w:val="baseline"/>
                <w:lang w:eastAsia="zh-CN"/>
              </w:rPr>
              <w:t>增强解读回应效果</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开展形象化、通俗化、多元化解读，聚焦政策的背景依据、目标任务、主要内容、涉及范围、执行标准等要素，综合运用数字化、图片图表、音频视频、卡通动漫等群众喜闻乐见的方式，开展立体式、多方位解读</w:t>
            </w:r>
          </w:p>
        </w:tc>
        <w:tc>
          <w:tcPr>
            <w:tcW w:w="137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default" w:ascii="宋体" w:hAnsi="宋体" w:eastAsia="宋体" w:cs="宋体"/>
                <w:color w:val="2D2D31"/>
                <w:spacing w:val="10"/>
                <w:sz w:val="28"/>
                <w:szCs w:val="28"/>
              </w:rPr>
              <w:t>各</w:t>
            </w:r>
            <w:r>
              <w:rPr>
                <w:rFonts w:hint="eastAsia" w:ascii="宋体" w:hAnsi="宋体" w:eastAsia="宋体" w:cs="宋体"/>
                <w:color w:val="2D2D31"/>
                <w:spacing w:val="10"/>
                <w:sz w:val="28"/>
                <w:szCs w:val="28"/>
                <w:lang w:eastAsia="zh-CN"/>
              </w:rPr>
              <w:t>承办</w:t>
            </w:r>
            <w:r>
              <w:rPr>
                <w:rFonts w:hint="default" w:ascii="宋体" w:hAnsi="宋体" w:eastAsia="宋体" w:cs="宋体"/>
                <w:color w:val="2D2D31"/>
                <w:spacing w:val="10"/>
                <w:sz w:val="28"/>
                <w:szCs w:val="28"/>
              </w:rPr>
              <w:t>科室</w:t>
            </w: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11</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default"/>
                <w:sz w:val="24"/>
                <w:szCs w:val="24"/>
                <w:lang w:eastAsia="zh-CN"/>
              </w:rPr>
              <w:t>对专业性较强的政策，注重发挥专家学者和文件起草牵头负责同志的作用，提升解读的准确性、权威性、贴近性</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12</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对群众关切和社会热点，主动快速引导、释放权威信号、正面效果回应疑虑，推动解决实际问题，赢得群众理解和支持</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13</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鼓励引进第三方力量组织参与制作政策解读专题图片图表、网络问政、音频视频、卡通动漫、简明问答手册等解读材料</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28"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14</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r>
              <w:rPr>
                <w:rFonts w:hint="eastAsia"/>
                <w:sz w:val="28"/>
                <w:szCs w:val="22"/>
                <w:vertAlign w:val="baseline"/>
                <w:lang w:eastAsia="zh-CN"/>
              </w:rPr>
              <w:t>聚焦政策落实，深化重点领域信息公开</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r>
              <w:rPr>
                <w:rFonts w:hint="eastAsia"/>
                <w:vertAlign w:val="baseline"/>
                <w:lang w:eastAsia="zh-CN"/>
              </w:rPr>
              <w:t>推进重要决策公开</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主动向有代表性的企业和行业协会、商会以及律师协会问计求策，使各项政策符合客观实际，更接地气、合民意</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15</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按照《玉溪市人民政府办公室关于认真贯彻落实云南省重大行政决策程序规定的通知》（玉政办发〔2016〕114号），严格落实重大行政决策公众参与、专家论证、风险评估、合法性审查、集体讨论决定的程序。进一步推进重大决策预公开，涉及公共利益和公众权益的重大事项，除依法应当保密外均要主动向社会公布决策草案、决策依据等，通过听证座谈、网络征集、咨询协商、媒体沟通等多种形式，广泛听取意见</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36"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黑体_GBK" w:hAnsi="方正黑体_GBK" w:eastAsia="方正黑体_GBK" w:cs="方正黑体_GBK"/>
                <w:sz w:val="28"/>
                <w:szCs w:val="28"/>
                <w:vertAlign w:val="baseline"/>
                <w:lang w:eastAsia="zh-CN"/>
              </w:rPr>
              <w:t>序号</w:t>
            </w:r>
          </w:p>
        </w:tc>
        <w:tc>
          <w:tcPr>
            <w:tcW w:w="25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vertAlign w:val="baseline"/>
                <w:lang w:eastAsia="zh-CN"/>
              </w:rPr>
              <w:t>工作任务</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sz w:val="24"/>
                <w:szCs w:val="24"/>
                <w:lang w:eastAsia="zh-CN"/>
              </w:rPr>
            </w:pPr>
            <w:r>
              <w:rPr>
                <w:rFonts w:hint="eastAsia" w:ascii="方正黑体_GBK" w:hAnsi="方正黑体_GBK" w:eastAsia="方正黑体_GBK" w:cs="方正黑体_GBK"/>
                <w:color w:val="1C1C23"/>
                <w:w w:val="110"/>
                <w:sz w:val="28"/>
                <w:szCs w:val="28"/>
              </w:rPr>
              <w:t>具体要求</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牵头落实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rPr>
              <w:t>科</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t>室</w:t>
            </w:r>
          </w:p>
        </w:tc>
        <w:tc>
          <w:tcPr>
            <w:tcW w:w="164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color w:val="2D2D31"/>
                <w:w w:val="95"/>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37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16</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聚焦政策落实，深化重点领域信息公开</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推进重要部署执行公开</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围绕2019年我市《政府工作报告》重点工作任务的贯彻落实，系列政策措施的执行和落实情况公开</w:t>
            </w:r>
          </w:p>
        </w:tc>
        <w:tc>
          <w:tcPr>
            <w:tcW w:w="137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default" w:ascii="宋体" w:hAnsi="宋体" w:eastAsia="宋体" w:cs="宋体"/>
                <w:color w:val="2D2D31"/>
                <w:spacing w:val="10"/>
                <w:sz w:val="28"/>
                <w:szCs w:val="28"/>
              </w:rPr>
              <w:t>各</w:t>
            </w:r>
            <w:r>
              <w:rPr>
                <w:rFonts w:hint="eastAsia" w:ascii="宋体" w:hAnsi="宋体" w:eastAsia="宋体" w:cs="宋体"/>
                <w:color w:val="2D2D31"/>
                <w:spacing w:val="10"/>
                <w:sz w:val="28"/>
                <w:szCs w:val="28"/>
                <w:lang w:eastAsia="zh-CN"/>
              </w:rPr>
              <w:t>承办</w:t>
            </w:r>
            <w:r>
              <w:rPr>
                <w:rFonts w:hint="default" w:ascii="宋体" w:hAnsi="宋体" w:eastAsia="宋体" w:cs="宋体"/>
                <w:color w:val="2D2D31"/>
                <w:spacing w:val="10"/>
                <w:sz w:val="28"/>
                <w:szCs w:val="28"/>
              </w:rPr>
              <w:t>科室</w:t>
            </w:r>
          </w:p>
        </w:tc>
        <w:tc>
          <w:tcPr>
            <w:tcW w:w="164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8"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17</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围绕我局重要改革方案、年度重点工作、惠民实事项目等明确的工作，将主要措施、实施步骤、职责分工、监督渠道以及工作进度、存在问题、后续举措等信息向社会公开，重点公开各类改革任务、民生举措等落实情况</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14"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18</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在重大行政决策执行过程中，跟踪决策的实施情况，了解利益相关方和公众对决策实施的意见和建议，积极开展决策执行效果评估，及时调整完善，并将相关情况向社会公开</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9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19</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加大人大代表建议、政协提案办理结果公开力度，除公开年度建议提案总体办理情况外，对涉及公共利益、公众权益、社会关切以及需要社会广泛知晓的办理复文，依法、及时、全面、准确、具体地向社会公开</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各承办科室</w:t>
            </w: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78"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20</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推动行政执法信息公开</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利用政府网站，集中向社会依法公开我局行政执法职责、执法依据、执法程序、监督途径和执法结果等信息，接受社会监督</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行政执法协调监督科</w:t>
            </w:r>
          </w:p>
        </w:tc>
        <w:tc>
          <w:tcPr>
            <w:tcW w:w="164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黑体_GBK" w:hAnsi="方正黑体_GBK" w:eastAsia="方正黑体_GBK" w:cs="方正黑体_GBK"/>
                <w:sz w:val="28"/>
                <w:szCs w:val="28"/>
                <w:vertAlign w:val="baseline"/>
                <w:lang w:eastAsia="zh-CN"/>
              </w:rPr>
              <w:t>序号</w:t>
            </w:r>
          </w:p>
        </w:tc>
        <w:tc>
          <w:tcPr>
            <w:tcW w:w="25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vertAlign w:val="baseline"/>
                <w:lang w:eastAsia="zh-CN"/>
              </w:rPr>
              <w:t>工作任务</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color w:val="1C1C23"/>
                <w:w w:val="110"/>
                <w:sz w:val="28"/>
                <w:szCs w:val="28"/>
              </w:rPr>
              <w:t>具体要求</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牵头落实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rPr>
              <w:t>科</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t>室</w:t>
            </w:r>
          </w:p>
        </w:tc>
        <w:tc>
          <w:tcPr>
            <w:tcW w:w="164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color w:val="2D2D31"/>
                <w:w w:val="95"/>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21</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聚焦政策落实，深化重点领域信息公开</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细化财政信息公开</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加强财政项目的公开数量，全面公开项目立项依据、实施主体、完成时限、预算安排、绩效目标、绩效自评结果、绩效评价报告等情况，按时公布三公经费使用情况及年度财政预决算</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装备财务科</w:t>
            </w:r>
          </w:p>
        </w:tc>
        <w:tc>
          <w:tcPr>
            <w:tcW w:w="164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22</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优化服务功能，加强公开平台建设</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推进政府网站优质规范化发展</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严格</w:t>
            </w:r>
            <w:r>
              <w:rPr>
                <w:rFonts w:hint="default"/>
                <w:sz w:val="24"/>
                <w:szCs w:val="24"/>
                <w:lang w:eastAsia="zh-CN"/>
              </w:rPr>
              <w:t>落实网络意识形态</w:t>
            </w:r>
            <w:r>
              <w:rPr>
                <w:rFonts w:hint="eastAsia"/>
                <w:sz w:val="24"/>
                <w:szCs w:val="24"/>
                <w:lang w:eastAsia="zh-CN"/>
              </w:rPr>
              <w:t>责任制，</w:t>
            </w:r>
            <w:r>
              <w:rPr>
                <w:rFonts w:hint="default"/>
                <w:sz w:val="24"/>
                <w:szCs w:val="24"/>
                <w:lang w:eastAsia="zh-CN"/>
              </w:rPr>
              <w:t>加强政府网站内容建设和信息发布审核，把好政治关、政策关、文字关</w:t>
            </w:r>
          </w:p>
        </w:tc>
        <w:tc>
          <w:tcPr>
            <w:tcW w:w="137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办公室</w:t>
            </w: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6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23</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平稳做好机构改革后政府网站新建、整合、改版、迁移等工作，强化板块建设，充分体现“五公开”要求</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24</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24"/>
                <w:szCs w:val="24"/>
                <w:lang w:eastAsia="zh-CN"/>
              </w:rPr>
            </w:pPr>
            <w:r>
              <w:rPr>
                <w:rFonts w:hint="eastAsia"/>
                <w:sz w:val="24"/>
                <w:szCs w:val="24"/>
                <w:lang w:eastAsia="zh-CN"/>
              </w:rPr>
              <w:t>及时处理国务院办公厅、省政府办公厅、市政府办公室转来网民给我局有关政府网站的纠错意见，对国务院、省人民政府、市人民政府发布的重要政策信息即时转载</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办公室</w:t>
            </w:r>
          </w:p>
        </w:tc>
        <w:tc>
          <w:tcPr>
            <w:tcW w:w="1644"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25</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推进政务新媒体健康有序发展</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32"/>
                <w:szCs w:val="24"/>
                <w:vertAlign w:val="baseline"/>
                <w:lang w:eastAsia="zh-CN"/>
              </w:rPr>
            </w:pPr>
            <w:r>
              <w:rPr>
                <w:rFonts w:hint="default"/>
                <w:sz w:val="24"/>
                <w:szCs w:val="24"/>
                <w:lang w:eastAsia="zh-CN"/>
              </w:rPr>
              <w:t>理顺政务新媒体管理机制，清理规范政务新媒体平台，建立健全相关工作制度，做好开设整合内容保障、安全防护、监督管理等工作</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普法与依法治理科</w:t>
            </w:r>
          </w:p>
        </w:tc>
        <w:tc>
          <w:tcPr>
            <w:tcW w:w="164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6" w:type="dxa"/>
          <w:trHeight w:val="79"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黑体_GBK" w:hAnsi="方正黑体_GBK" w:eastAsia="方正黑体_GBK" w:cs="方正黑体_GBK"/>
                <w:sz w:val="28"/>
                <w:szCs w:val="28"/>
                <w:vertAlign w:val="baseline"/>
                <w:lang w:eastAsia="zh-CN"/>
              </w:rPr>
              <w:t>序号</w:t>
            </w:r>
          </w:p>
        </w:tc>
        <w:tc>
          <w:tcPr>
            <w:tcW w:w="25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vertAlign w:val="baseline"/>
                <w:lang w:eastAsia="zh-CN"/>
              </w:rPr>
              <w:t>工作任务</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color w:val="1C1C23"/>
                <w:w w:val="110"/>
                <w:sz w:val="28"/>
                <w:szCs w:val="28"/>
              </w:rPr>
              <w:t>具体要求</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牵头落实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sz w:val="28"/>
                <w:szCs w:val="28"/>
              </w:rPr>
              <w:t>科</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t>室</w:t>
            </w: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ascii="方正黑体_GBK" w:hAnsi="方正黑体_GBK" w:eastAsia="方正黑体_GBK" w:cs="方正黑体_GBK"/>
                <w:color w:val="2D2D31"/>
                <w:w w:val="95"/>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6" w:type="dxa"/>
          <w:trHeight w:val="1126"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26</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default"/>
                <w:sz w:val="28"/>
                <w:szCs w:val="22"/>
                <w:vertAlign w:val="baseline"/>
                <w:lang w:eastAsia="zh-CN"/>
              </w:rPr>
              <w:t>提升工作质量，完善公开制度</w:t>
            </w:r>
            <w:r>
              <w:rPr>
                <w:rFonts w:hint="eastAsia"/>
                <w:sz w:val="28"/>
                <w:szCs w:val="22"/>
                <w:vertAlign w:val="baseline"/>
                <w:lang w:eastAsia="zh-CN"/>
              </w:rPr>
              <w:t>规范</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eastAsia"/>
                <w:sz w:val="28"/>
                <w:szCs w:val="22"/>
                <w:vertAlign w:val="baseline"/>
                <w:lang w:eastAsia="zh-CN"/>
              </w:rPr>
              <w:t>强化组织领导</w:t>
            </w:r>
          </w:p>
        </w:tc>
        <w:tc>
          <w:tcPr>
            <w:tcW w:w="7787"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24"/>
                <w:szCs w:val="24"/>
                <w:lang w:eastAsia="zh-CN"/>
              </w:rPr>
            </w:pPr>
            <w:r>
              <w:rPr>
                <w:rFonts w:hint="default"/>
                <w:sz w:val="24"/>
                <w:szCs w:val="24"/>
                <w:lang w:eastAsia="zh-CN"/>
              </w:rPr>
              <w:t>进一步理顺和完善领导体制和工作机制，推进政务公开与政府运行、业务管理的有机融合</w:t>
            </w:r>
            <w:r>
              <w:rPr>
                <w:rFonts w:hint="eastAsia"/>
                <w:sz w:val="24"/>
                <w:szCs w:val="24"/>
                <w:lang w:eastAsia="zh-CN"/>
              </w:rPr>
              <w:t>，</w:t>
            </w:r>
            <w:r>
              <w:rPr>
                <w:rFonts w:hint="default"/>
                <w:sz w:val="24"/>
                <w:szCs w:val="24"/>
                <w:lang w:eastAsia="zh-CN"/>
              </w:rPr>
              <w:t>把政务公开要求贯穿于办文办会、办事等日常工作</w:t>
            </w:r>
          </w:p>
        </w:tc>
        <w:tc>
          <w:tcPr>
            <w:tcW w:w="137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办公室</w:t>
            </w:r>
          </w:p>
        </w:tc>
        <w:tc>
          <w:tcPr>
            <w:tcW w:w="162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6" w:type="dxa"/>
          <w:trHeight w:val="69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27</w:t>
            </w:r>
          </w:p>
        </w:tc>
        <w:tc>
          <w:tcPr>
            <w:tcW w:w="1357" w:type="dxa"/>
            <w:vMerge w:val="continue"/>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24"/>
                <w:szCs w:val="24"/>
                <w:lang w:eastAsia="zh-CN"/>
              </w:rPr>
            </w:pPr>
            <w:r>
              <w:rPr>
                <w:rFonts w:hint="default"/>
                <w:sz w:val="24"/>
                <w:szCs w:val="24"/>
                <w:lang w:eastAsia="zh-CN"/>
              </w:rPr>
              <w:t>将政务公开纳入年度综合考评内容</w:t>
            </w:r>
            <w:r>
              <w:rPr>
                <w:rFonts w:hint="eastAsia"/>
                <w:sz w:val="24"/>
                <w:szCs w:val="24"/>
                <w:lang w:eastAsia="zh-CN"/>
              </w:rPr>
              <w:t>，</w:t>
            </w:r>
            <w:r>
              <w:rPr>
                <w:rFonts w:hint="default"/>
                <w:sz w:val="24"/>
                <w:szCs w:val="24"/>
                <w:lang w:eastAsia="zh-CN"/>
              </w:rPr>
              <w:t>分值权重不低于总分值的4%</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2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6" w:type="dxa"/>
          <w:trHeight w:val="1920"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28</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sz w:val="24"/>
                <w:szCs w:val="24"/>
                <w:lang w:eastAsia="zh-CN"/>
              </w:rPr>
            </w:pPr>
            <w:r>
              <w:rPr>
                <w:rFonts w:hint="default"/>
                <w:sz w:val="24"/>
                <w:szCs w:val="24"/>
                <w:lang w:eastAsia="zh-CN"/>
              </w:rPr>
              <w:t>按照政务公开新任务新要求新职责，结合政府机构改革和职能优化，调整完善政务公开领导小</w:t>
            </w:r>
            <w:bookmarkStart w:id="0" w:name="_GoBack"/>
            <w:bookmarkEnd w:id="0"/>
            <w:r>
              <w:rPr>
                <w:rFonts w:hint="default"/>
                <w:sz w:val="24"/>
                <w:szCs w:val="24"/>
                <w:lang w:eastAsia="zh-CN"/>
              </w:rPr>
              <w:t>组成员，充分发挥政务公开领导小组</w:t>
            </w:r>
            <w:r>
              <w:rPr>
                <w:rFonts w:hint="eastAsia"/>
                <w:sz w:val="24"/>
                <w:szCs w:val="24"/>
                <w:lang w:eastAsia="zh-CN"/>
              </w:rPr>
              <w:t>统筹</w:t>
            </w:r>
            <w:r>
              <w:rPr>
                <w:rFonts w:hint="default"/>
                <w:sz w:val="24"/>
                <w:szCs w:val="24"/>
                <w:lang w:eastAsia="zh-CN"/>
              </w:rPr>
              <w:t>协调作用。健全政务公开工作机构，配备工作人员</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2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6" w:type="dxa"/>
          <w:trHeight w:val="1323"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29</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sz w:val="28"/>
                <w:szCs w:val="22"/>
                <w:vertAlign w:val="baseline"/>
                <w:lang w:eastAsia="zh-CN"/>
              </w:rPr>
            </w:pPr>
            <w:r>
              <w:rPr>
                <w:rFonts w:hint="default"/>
                <w:sz w:val="28"/>
                <w:szCs w:val="22"/>
                <w:vertAlign w:val="baseline"/>
                <w:lang w:eastAsia="zh-CN"/>
              </w:rPr>
              <w:t>抓好政府信息公开条例的贯彻落实</w:t>
            </w: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sz w:val="24"/>
                <w:szCs w:val="24"/>
                <w:lang w:eastAsia="zh-CN"/>
              </w:rPr>
            </w:pPr>
            <w:r>
              <w:rPr>
                <w:rFonts w:hint="default"/>
                <w:sz w:val="24"/>
                <w:szCs w:val="24"/>
                <w:lang w:eastAsia="zh-CN"/>
              </w:rPr>
              <w:t>组织开展对国家新修订的《中华人民共和国政府信息公开条例》的</w:t>
            </w:r>
            <w:r>
              <w:rPr>
                <w:rFonts w:hint="eastAsia"/>
                <w:sz w:val="24"/>
                <w:szCs w:val="24"/>
                <w:lang w:eastAsia="zh-CN"/>
              </w:rPr>
              <w:t>宣传</w:t>
            </w:r>
            <w:r>
              <w:rPr>
                <w:rFonts w:hint="default"/>
                <w:sz w:val="24"/>
                <w:szCs w:val="24"/>
                <w:lang w:eastAsia="zh-CN"/>
              </w:rPr>
              <w:t>解读，引导社会公众有序参与，为新条例的落实营造良好氛围</w:t>
            </w:r>
          </w:p>
        </w:tc>
        <w:tc>
          <w:tcPr>
            <w:tcW w:w="137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r>
              <w:rPr>
                <w:rFonts w:hint="eastAsia"/>
                <w:vertAlign w:val="baseline"/>
                <w:lang w:eastAsia="zh-CN"/>
              </w:rPr>
              <w:t>办公室</w:t>
            </w: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val="en-US" w:eastAsia="zh-CN"/>
              </w:rPr>
            </w:pPr>
            <w:r>
              <w:rPr>
                <w:rFonts w:hint="eastAsia"/>
                <w:vertAlign w:val="baseline"/>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6" w:type="dxa"/>
          <w:trHeight w:val="1607" w:hRule="atLeast"/>
        </w:trPr>
        <w:tc>
          <w:tcPr>
            <w:tcW w:w="59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方正仿宋_GBK" w:cs="方正仿宋_GBK"/>
                <w:sz w:val="21"/>
                <w:szCs w:val="21"/>
                <w:vertAlign w:val="baseline"/>
                <w:lang w:val="en-US" w:eastAsia="zh-CN"/>
              </w:rPr>
            </w:pPr>
            <w:r>
              <w:rPr>
                <w:rFonts w:hint="eastAsia" w:ascii="方正仿宋_GBK" w:hAnsi="方正仿宋_GBK" w:cs="方正仿宋_GBK"/>
                <w:sz w:val="21"/>
                <w:szCs w:val="21"/>
                <w:vertAlign w:val="baseline"/>
                <w:lang w:val="en-US" w:eastAsia="zh-CN"/>
              </w:rPr>
              <w:t>30</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77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sz w:val="24"/>
                <w:szCs w:val="24"/>
                <w:lang w:eastAsia="zh-CN"/>
              </w:rPr>
            </w:pPr>
            <w:r>
              <w:rPr>
                <w:rFonts w:hint="default"/>
                <w:sz w:val="24"/>
                <w:szCs w:val="24"/>
                <w:lang w:eastAsia="zh-CN"/>
              </w:rPr>
              <w:t>加强政务公开制度建设，抓紧补齐政务公开各项工作配套制度或操作办法；对已经施行的公开工作制度，按照“应上网尽上网”的原则，及时通过政府网站集中公开</w:t>
            </w:r>
          </w:p>
        </w:tc>
        <w:tc>
          <w:tcPr>
            <w:tcW w:w="137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eastAsia="zh-CN"/>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vertAlign w:val="baseline"/>
                <w:lang w:val="en-US" w:eastAsia="zh-CN"/>
              </w:rPr>
            </w:pPr>
            <w:r>
              <w:rPr>
                <w:rFonts w:hint="eastAsia"/>
                <w:vertAlign w:val="baseline"/>
                <w:lang w:val="en-US" w:eastAsia="zh-CN"/>
              </w:rPr>
              <w:t>11月底前</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rPr>
          <w:rFonts w:hint="eastAsia" w:ascii="仿宋_GB2312"/>
          <w:szCs w:val="32"/>
        </w:rPr>
      </w:pPr>
    </w:p>
    <w:sectPr>
      <w:footerReference r:id="rId9" w:type="default"/>
      <w:pgSz w:w="16838" w:h="11906" w:orient="landscape"/>
      <w:pgMar w:top="1587" w:right="1531" w:bottom="1474" w:left="1134" w:header="851" w:footer="992" w:gutter="0"/>
      <w:pgNumType w:fmt="numberInDash" w:start="5"/>
      <w:cols w:space="0" w:num="1"/>
      <w:rtlGutter w:val="0"/>
      <w:docGrid w:type="linesAndChars" w:linePitch="6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1</w:t>
                </w:r>
                <w:r>
                  <w:rPr>
                    <w:rFonts w:hint="eastAsia" w:ascii="Batang" w:hAnsi="Batang" w:eastAsia="Batang" w:cs="Batang"/>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1</w:t>
                </w:r>
                <w:r>
                  <w:rPr>
                    <w:rFonts w:hint="eastAsia" w:ascii="Batang" w:hAnsi="Batang" w:eastAsia="Batang" w:cs="Batang"/>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nforcement="0"/>
  <w:defaultTabStop w:val="420"/>
  <w:hyphenationZone w:val="360"/>
  <w:drawingGridHorizontalSpacing w:val="158"/>
  <w:drawingGridVerticalSpacing w:val="34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96B0057"/>
    <w:rsid w:val="00084157"/>
    <w:rsid w:val="0009157D"/>
    <w:rsid w:val="000A3B57"/>
    <w:rsid w:val="000A71E5"/>
    <w:rsid w:val="000D44B3"/>
    <w:rsid w:val="000E0ED5"/>
    <w:rsid w:val="00126AB2"/>
    <w:rsid w:val="00141518"/>
    <w:rsid w:val="00197EE6"/>
    <w:rsid w:val="001A3E17"/>
    <w:rsid w:val="002724EA"/>
    <w:rsid w:val="003040F7"/>
    <w:rsid w:val="00346137"/>
    <w:rsid w:val="0035137F"/>
    <w:rsid w:val="0044391F"/>
    <w:rsid w:val="00480783"/>
    <w:rsid w:val="004B7E7F"/>
    <w:rsid w:val="004C4B81"/>
    <w:rsid w:val="005116DC"/>
    <w:rsid w:val="00593193"/>
    <w:rsid w:val="005C6DAD"/>
    <w:rsid w:val="005F52A6"/>
    <w:rsid w:val="005F62FE"/>
    <w:rsid w:val="006C2958"/>
    <w:rsid w:val="006E29E6"/>
    <w:rsid w:val="00725FD7"/>
    <w:rsid w:val="007676A6"/>
    <w:rsid w:val="007719C1"/>
    <w:rsid w:val="0077566F"/>
    <w:rsid w:val="00784503"/>
    <w:rsid w:val="007E629B"/>
    <w:rsid w:val="00811D2B"/>
    <w:rsid w:val="00870406"/>
    <w:rsid w:val="008A03CF"/>
    <w:rsid w:val="00952DF8"/>
    <w:rsid w:val="009C62E1"/>
    <w:rsid w:val="009D6371"/>
    <w:rsid w:val="00A448EC"/>
    <w:rsid w:val="00A44FEC"/>
    <w:rsid w:val="00A96629"/>
    <w:rsid w:val="00AB1E6D"/>
    <w:rsid w:val="00AB3AC7"/>
    <w:rsid w:val="00AE62CB"/>
    <w:rsid w:val="00B06BFF"/>
    <w:rsid w:val="00B129CA"/>
    <w:rsid w:val="00B33433"/>
    <w:rsid w:val="00B57DE9"/>
    <w:rsid w:val="00B673B6"/>
    <w:rsid w:val="00B81CBB"/>
    <w:rsid w:val="00BF7F05"/>
    <w:rsid w:val="00C17C65"/>
    <w:rsid w:val="00C2191F"/>
    <w:rsid w:val="00C24239"/>
    <w:rsid w:val="00C30342"/>
    <w:rsid w:val="00C4573E"/>
    <w:rsid w:val="00CA0B59"/>
    <w:rsid w:val="00D14316"/>
    <w:rsid w:val="00D423FB"/>
    <w:rsid w:val="00D4793A"/>
    <w:rsid w:val="00D541CF"/>
    <w:rsid w:val="00DA3B98"/>
    <w:rsid w:val="00DD7848"/>
    <w:rsid w:val="00DE4429"/>
    <w:rsid w:val="00DF58CF"/>
    <w:rsid w:val="00E22B5D"/>
    <w:rsid w:val="00E55CFC"/>
    <w:rsid w:val="00E918F6"/>
    <w:rsid w:val="00EB5F9A"/>
    <w:rsid w:val="00F063F7"/>
    <w:rsid w:val="00F21B20"/>
    <w:rsid w:val="00F2598F"/>
    <w:rsid w:val="00F303D6"/>
    <w:rsid w:val="00F65F5C"/>
    <w:rsid w:val="00F91979"/>
    <w:rsid w:val="00FA3757"/>
    <w:rsid w:val="00FC6DA3"/>
    <w:rsid w:val="00FD4650"/>
    <w:rsid w:val="019F3EC1"/>
    <w:rsid w:val="03215EC8"/>
    <w:rsid w:val="12D62459"/>
    <w:rsid w:val="396B0057"/>
    <w:rsid w:val="62F82A8E"/>
    <w:rsid w:val="6D9642E8"/>
    <w:rsid w:val="F8A95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SL\AppData\Roaming\kingsoft\office6\templates\wps\zh_CN\&#21496;&#27861;&#23616;&#21150;&#20844;&#23460;&#20415;&#316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司法局办公室便签.dot</Template>
  <Company>玉溪市直属党政机关单位</Company>
  <Pages>1</Pages>
  <Words>0</Words>
  <Characters>0</Characters>
  <Lines>1</Lines>
  <Paragraphs>1</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2019-11-14T15:34:00Z</dcterms:created>
  <dc:creator>市司法局</dc:creator>
  <cp:lastModifiedBy>user</cp:lastModifiedBy>
  <cp:lastPrinted>2019-11-14T15:40:00Z</cp:lastPrinted>
  <dcterms:modified xsi:type="dcterms:W3CDTF">2023-04-18T09:31:32Z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