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D2" w:rsidRDefault="00555304">
      <w:pPr>
        <w:widowControl/>
        <w:shd w:val="clear" w:color="auto" w:fill="FFFFFF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国家税务总局玉溪市税务局</w:t>
      </w:r>
    </w:p>
    <w:p w:rsidR="006617D2" w:rsidRDefault="00555304">
      <w:pPr>
        <w:widowControl/>
        <w:shd w:val="clear" w:color="auto" w:fill="FFFFFF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年政府信息公开工作年度报告</w:t>
      </w:r>
    </w:p>
    <w:p w:rsidR="006617D2" w:rsidRDefault="006617D2">
      <w:pPr>
        <w:shd w:val="clear" w:color="auto" w:fill="FFFFFF"/>
        <w:adjustRightInd w:val="0"/>
        <w:snapToGri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根据《中华人民共和国政府信息公开条例》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规定，制作本报告。</w:t>
      </w: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一、总体情况</w:t>
      </w: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bookmarkStart w:id="0" w:name="OLE_LINK2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玉溪市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税务局在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云南省税务局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委、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政府的坚强领导下，以习近平新时代中国特色社会主义思想为指导，紧紧围绕税收中心工作及社会关切，“以公开为常态，不公开为例外”，细化落实《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年税务系统政务公开重点任务清单》，加大主动公开力度，强化政策解读宣传，加强公开平台建设，不断提升政务公开工作水平，切实以公开促落实、促规范、促服务。</w:t>
      </w:r>
      <w:bookmarkEnd w:id="0"/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（一）主动公开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度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国家税务总局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玉溪市税务局（以下简称市税务局）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通过玉溪市政府信息公开网站发布信息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103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条；通过云南省税务局网站发布信息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236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条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（其中：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公告栏公告相关事项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82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条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），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通过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“玉溪税务”</w:t>
      </w:r>
      <w:proofErr w:type="gramStart"/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微信公众号对外发布微信</w:t>
      </w:r>
      <w:proofErr w:type="gramEnd"/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474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条。</w:t>
      </w: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）依申请公开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年，玉溪市税务局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接到云南省税务局交办的政府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信息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依申请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公开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办件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件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已按规定程序、在规定时限内进行了答复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按照申请人提供的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通信地址及邮箱及时书面告知。</w:t>
      </w: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="64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）平台建设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一是网站管理和维护。按要求开设了“通知公告”“机构职能”“领导信息”“联系方式”“重点领域信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息公开专栏”“政府信息公开指南”“政府信息公开目录”“政府信息公开工作年度报告”“政策解读”、“政府文件”栏目。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各栏目均按要求进行更新和管理维护。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二是推进新媒体建设。全市税务系统新媒体目前仅保留“玉溪税务”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个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并建立了相应的管理办法。</w:t>
      </w:r>
    </w:p>
    <w:p w:rsidR="006617D2" w:rsidRDefault="00555304">
      <w:pPr>
        <w:shd w:val="clear" w:color="auto" w:fill="FFFFFF"/>
        <w:adjustRightInd w:val="0"/>
        <w:snapToGrid w:val="0"/>
        <w:spacing w:line="600" w:lineRule="exact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）监督保障情况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进一步建立和完善规章制度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把政务公开纳入绩效考核，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严格执行信息发布保密审查制度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不断强化政务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监督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保障工作。</w:t>
      </w:r>
    </w:p>
    <w:p w:rsidR="006617D2" w:rsidRDefault="00555304">
      <w:pPr>
        <w:widowControl/>
        <w:shd w:val="clear" w:color="auto" w:fill="FFFFFF"/>
        <w:snapToGrid w:val="0"/>
        <w:spacing w:line="600" w:lineRule="atLeast"/>
        <w:ind w:firstLine="645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14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1275"/>
        <w:gridCol w:w="1875"/>
      </w:tblGrid>
      <w:tr w:rsidR="006617D2">
        <w:trPr>
          <w:trHeight w:val="432"/>
          <w:jc w:val="center"/>
        </w:trPr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617D2">
        <w:trPr>
          <w:trHeight w:val="504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6617D2">
        <w:trPr>
          <w:trHeight w:val="441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617D2">
        <w:trPr>
          <w:trHeight w:val="46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3F0ACF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bookmarkStart w:id="1" w:name="_GoBack"/>
            <w:bookmarkEnd w:id="1"/>
          </w:p>
        </w:tc>
      </w:tr>
      <w:tr w:rsidR="006617D2">
        <w:trPr>
          <w:trHeight w:val="360"/>
          <w:jc w:val="center"/>
        </w:trPr>
        <w:tc>
          <w:tcPr>
            <w:tcW w:w="8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617D2">
        <w:trPr>
          <w:trHeight w:val="450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617D2">
        <w:trPr>
          <w:trHeight w:val="453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+38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ind w:firstLine="195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6617D2">
        <w:trPr>
          <w:trHeight w:val="471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617D2">
        <w:trPr>
          <w:trHeight w:val="405"/>
          <w:jc w:val="center"/>
        </w:trPr>
        <w:tc>
          <w:tcPr>
            <w:tcW w:w="8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617D2">
        <w:trPr>
          <w:trHeight w:val="471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617D2">
        <w:trPr>
          <w:trHeight w:val="43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6617D2">
        <w:trPr>
          <w:trHeight w:val="405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617D2">
        <w:trPr>
          <w:trHeight w:val="396"/>
          <w:jc w:val="center"/>
        </w:trPr>
        <w:tc>
          <w:tcPr>
            <w:tcW w:w="8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617D2">
        <w:trPr>
          <w:trHeight w:val="414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6617D2">
        <w:trPr>
          <w:trHeight w:val="423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 w:rsidR="006617D2">
        <w:trPr>
          <w:trHeight w:val="480"/>
          <w:jc w:val="center"/>
        </w:trPr>
        <w:tc>
          <w:tcPr>
            <w:tcW w:w="8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6617D2">
        <w:trPr>
          <w:trHeight w:val="489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6617D2">
        <w:trPr>
          <w:trHeight w:val="507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1332558.00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6617D2" w:rsidRDefault="00555304">
      <w:pPr>
        <w:widowControl/>
        <w:shd w:val="clear" w:color="auto" w:fill="FFFFFF"/>
        <w:snapToGrid w:val="0"/>
        <w:spacing w:line="600" w:lineRule="atLeas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855"/>
        <w:gridCol w:w="2085"/>
        <w:gridCol w:w="810"/>
        <w:gridCol w:w="750"/>
        <w:gridCol w:w="750"/>
        <w:gridCol w:w="810"/>
        <w:gridCol w:w="975"/>
        <w:gridCol w:w="720"/>
        <w:gridCol w:w="705"/>
      </w:tblGrid>
      <w:tr w:rsidR="006617D2">
        <w:tc>
          <w:tcPr>
            <w:tcW w:w="35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（本列数据的勾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稽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申请人情况</w:t>
            </w:r>
          </w:p>
        </w:tc>
      </w:tr>
      <w:tr w:rsidR="006617D2">
        <w:tc>
          <w:tcPr>
            <w:tcW w:w="35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总计</w:t>
            </w:r>
          </w:p>
        </w:tc>
      </w:tr>
      <w:tr w:rsidR="006617D2">
        <w:tc>
          <w:tcPr>
            <w:tcW w:w="35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商业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科研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机构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其他</w:t>
            </w:r>
          </w:p>
        </w:tc>
        <w:tc>
          <w:tcPr>
            <w:tcW w:w="7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</w:tr>
      <w:tr w:rsidR="006617D2"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 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6617D2"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0 </w:t>
            </w:r>
          </w:p>
        </w:tc>
      </w:tr>
      <w:tr w:rsidR="006617D2"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危及“三安全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7.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8.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6617D2"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</w:tbl>
    <w:p w:rsidR="006617D2" w:rsidRDefault="00555304">
      <w:pPr>
        <w:widowControl/>
        <w:shd w:val="clear" w:color="auto" w:fill="FFFFFF"/>
        <w:snapToGrid w:val="0"/>
        <w:spacing w:line="600" w:lineRule="atLeas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90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6617D2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行政诉讼</w:t>
            </w:r>
          </w:p>
        </w:tc>
      </w:tr>
      <w:tr w:rsidR="006617D2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复议后起诉</w:t>
            </w:r>
          </w:p>
        </w:tc>
      </w:tr>
      <w:tr w:rsidR="006617D2"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7D2" w:rsidRDefault="006617D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6617D2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Calibri" w:eastAsia="微软雅黑" w:hAnsi="Calibri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Calibri" w:eastAsia="微软雅黑" w:hAnsi="Calibri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eastAsia="微软雅黑" w:hAnsi="Calibri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17D2" w:rsidRDefault="00555304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</w:tbl>
    <w:p w:rsidR="006617D2" w:rsidRDefault="006617D2">
      <w:pPr>
        <w:widowControl/>
        <w:shd w:val="clear" w:color="auto" w:fill="FFFFFF"/>
        <w:snapToGrid w:val="0"/>
        <w:spacing w:line="20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6617D2" w:rsidRDefault="00555304">
      <w:pPr>
        <w:shd w:val="clear" w:color="auto" w:fill="FFFFFF"/>
        <w:adjustRightInd w:val="0"/>
        <w:snapToGrid w:val="0"/>
        <w:spacing w:line="62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6617D2" w:rsidRDefault="00555304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（一）存在的主要问题。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一是政务公开质量仍需提升；二是信息公开内容不够丰富；三是政务公开业务学习不够深入。</w:t>
      </w:r>
    </w:p>
    <w:p w:rsidR="006617D2" w:rsidRDefault="00555304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（二）改进情况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一是进一步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提升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政务公开规范化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水平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；二是多渠道多维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度公开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政府信息；三是不断强化政府信息公开业务培训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6617D2" w:rsidRDefault="00555304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，市税务局制定下发了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玉溪市税务系统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政务公开重点任务清单落实方案》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，《方案》对政务公开重点任务明确了责任单位和完成时限。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紧扣依法治税推进用权公开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编写机构职能目录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编制公</w:t>
      </w:r>
      <w:r>
        <w:rPr>
          <w:rFonts w:ascii="仿宋_GB2312" w:eastAsia="仿宋_GB2312" w:hint="eastAsia"/>
          <w:sz w:val="32"/>
          <w:szCs w:val="32"/>
        </w:rPr>
        <w:t>布</w:t>
      </w:r>
      <w:r>
        <w:rPr>
          <w:rFonts w:ascii="仿宋_GB2312" w:eastAsia="仿宋_GB2312" w:hAnsi="Times New Roman" w:hint="eastAsia"/>
          <w:sz w:val="32"/>
          <w:szCs w:val="32"/>
        </w:rPr>
        <w:t>权责清单</w:t>
      </w:r>
      <w:r>
        <w:rPr>
          <w:rFonts w:ascii="仿宋_GB2312" w:eastAsia="仿宋_GB2312" w:hAnsi="Times New Roman" w:hint="eastAsia"/>
          <w:sz w:val="32"/>
          <w:szCs w:val="32"/>
        </w:rPr>
        <w:t>、整理</w:t>
      </w:r>
      <w:r>
        <w:rPr>
          <w:rFonts w:ascii="仿宋_GB2312" w:eastAsia="仿宋_GB2312" w:hint="eastAsia"/>
          <w:sz w:val="32"/>
          <w:szCs w:val="32"/>
        </w:rPr>
        <w:t>税费</w:t>
      </w:r>
      <w:proofErr w:type="gramStart"/>
      <w:r>
        <w:rPr>
          <w:rFonts w:ascii="仿宋_GB2312" w:eastAsia="仿宋_GB2312" w:hint="eastAsia"/>
          <w:sz w:val="32"/>
          <w:szCs w:val="32"/>
        </w:rPr>
        <w:t>政策库并动态</w:t>
      </w:r>
      <w:proofErr w:type="gramEnd"/>
      <w:r>
        <w:rPr>
          <w:rFonts w:ascii="仿宋_GB2312" w:eastAsia="仿宋_GB2312" w:hint="eastAsia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，方便群众</w:t>
      </w:r>
      <w:r>
        <w:rPr>
          <w:rFonts w:ascii="仿宋_GB2312" w:eastAsia="仿宋_GB2312" w:hint="eastAsia"/>
          <w:sz w:val="32"/>
          <w:szCs w:val="32"/>
        </w:rPr>
        <w:t>在线便捷查阅、检索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下载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（二）紧扣“六稳”“六保”推进税费政策发布解读和辅导。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以分会场的形式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省局牵头组织的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“减税费优服务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助复产促发展”新闻发布会，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积极回应社会关切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在政务公开平台及当地热门网站设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lastRenderedPageBreak/>
        <w:t>立</w:t>
      </w:r>
      <w:r>
        <w:rPr>
          <w:rFonts w:ascii="仿宋_GB2312" w:eastAsia="仿宋_GB2312" w:hint="eastAsia"/>
          <w:sz w:val="32"/>
          <w:szCs w:val="32"/>
        </w:rPr>
        <w:t>减税降费、</w:t>
      </w:r>
      <w:bookmarkStart w:id="2" w:name="OLE_LINK1"/>
      <w:r>
        <w:rPr>
          <w:rFonts w:ascii="仿宋_GB2312" w:eastAsia="仿宋_GB2312" w:hint="eastAsia"/>
          <w:sz w:val="32"/>
          <w:szCs w:val="32"/>
        </w:rPr>
        <w:t>疫情防控税费优惠</w:t>
      </w:r>
      <w:bookmarkEnd w:id="2"/>
      <w:r>
        <w:rPr>
          <w:rFonts w:ascii="仿宋_GB2312" w:eastAsia="仿宋_GB2312" w:hint="eastAsia"/>
          <w:sz w:val="32"/>
          <w:szCs w:val="32"/>
        </w:rPr>
        <w:t>政策等专栏，全面深入解读各项税费优惠政策，确保各项</w:t>
      </w:r>
      <w:proofErr w:type="gramStart"/>
      <w:r>
        <w:rPr>
          <w:rFonts w:ascii="仿宋_GB2312" w:eastAsia="仿宋_GB2312" w:hint="eastAsia"/>
          <w:sz w:val="32"/>
          <w:szCs w:val="32"/>
        </w:rPr>
        <w:t>纾</w:t>
      </w:r>
      <w:proofErr w:type="gramEnd"/>
      <w:r>
        <w:rPr>
          <w:rFonts w:ascii="仿宋_GB2312" w:eastAsia="仿宋_GB2312" w:hint="eastAsia"/>
          <w:sz w:val="32"/>
          <w:szCs w:val="32"/>
        </w:rPr>
        <w:t>困措施直达基层、直接惠及市场主体。</w:t>
      </w:r>
      <w:r>
        <w:rPr>
          <w:rFonts w:ascii="仿宋_GB2312" w:eastAsia="仿宋_GB2312" w:hint="eastAsia"/>
          <w:sz w:val="32"/>
          <w:szCs w:val="32"/>
        </w:rPr>
        <w:t>全年通过市税务局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推送减税降</w:t>
      </w:r>
      <w:proofErr w:type="gramStart"/>
      <w:r>
        <w:rPr>
          <w:rFonts w:ascii="仿宋_GB2312" w:eastAsia="仿宋_GB2312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int="eastAsia"/>
          <w:sz w:val="32"/>
          <w:szCs w:val="32"/>
        </w:rPr>
        <w:t>宣传稿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条。通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过地方热门网站“高古楼”“减税降费”专栏发布相关政策资讯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条，通过《玉溪日报》发布减税降费、</w:t>
      </w:r>
      <w:r>
        <w:rPr>
          <w:rFonts w:ascii="仿宋_GB2312" w:eastAsia="仿宋_GB2312" w:hint="eastAsia"/>
          <w:sz w:val="32"/>
          <w:szCs w:val="32"/>
        </w:rPr>
        <w:t>疫情防控税费优惠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相关政策资讯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玉溪市税务局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税收宣传稿件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共被中央、省、市、县级媒体报道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次。其中，被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《人民网》《学习强国》、国家税务总局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、网站等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以及部级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媒体报道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《云南日报》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《云南新闻联播》《玉溪新闻联播》《玉溪日报》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等省、市官方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主流媒体报道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次。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（三）紧扣优化税收营商环境推进税费服务公开。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大力推动</w:t>
      </w:r>
      <w:r>
        <w:rPr>
          <w:rFonts w:ascii="仿宋_GB2312" w:eastAsia="仿宋_GB2312" w:hint="eastAsia"/>
          <w:sz w:val="32"/>
          <w:szCs w:val="32"/>
        </w:rPr>
        <w:t>“非接触式”办税缴费方式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充分利用“好差评”系统，开展纳税人缴费人需求调查，做到积极回应、及时解答、有效解决。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，全市税务系统共免费向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万户（次）纳税人，免费配送发票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332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（四）紧扣执行《条例》推进政务公开制度化规范化。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建立健全政府信息公开协调机制、审查机制、发布机制和动态调整机制，确保法定主动公开内容及时公开、及时更新。</w:t>
      </w:r>
    </w:p>
    <w:p w:rsidR="006617D2" w:rsidRDefault="00555304">
      <w:pPr>
        <w:adjustRightInd w:val="0"/>
        <w:snapToGrid w:val="0"/>
        <w:spacing w:line="620" w:lineRule="exact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（五）紧扣责任落实推进政务公开提质增效。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市税务局党委</w:t>
      </w:r>
      <w:r>
        <w:rPr>
          <w:rFonts w:ascii="仿宋_GB2312" w:eastAsia="仿宋_GB2312" w:hint="eastAsia"/>
          <w:sz w:val="32"/>
          <w:szCs w:val="32"/>
        </w:rPr>
        <w:t>年内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听取政务公开</w:t>
      </w:r>
      <w:r>
        <w:rPr>
          <w:rFonts w:ascii="仿宋_GB2312" w:eastAsia="仿宋_GB2312" w:hint="eastAsia"/>
          <w:sz w:val="32"/>
          <w:szCs w:val="32"/>
        </w:rPr>
        <w:t>领导小组</w:t>
      </w:r>
      <w:r>
        <w:rPr>
          <w:rFonts w:ascii="仿宋_GB2312" w:eastAsia="仿宋_GB2312" w:hint="eastAsia"/>
          <w:sz w:val="32"/>
          <w:szCs w:val="32"/>
        </w:rPr>
        <w:t>工作汇报，</w:t>
      </w:r>
      <w:r>
        <w:rPr>
          <w:rFonts w:ascii="仿宋_GB2312" w:eastAsia="仿宋_GB2312" w:hint="eastAsia"/>
          <w:sz w:val="32"/>
          <w:szCs w:val="32"/>
        </w:rPr>
        <w:t>指导机关及基层开展好政务公开工作。同时，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把</w:t>
      </w:r>
      <w:r>
        <w:rPr>
          <w:rFonts w:ascii="仿宋_GB2312" w:eastAsia="仿宋_GB2312" w:hint="eastAsia"/>
          <w:sz w:val="32"/>
          <w:szCs w:val="32"/>
        </w:rPr>
        <w:t>《条例》</w:t>
      </w:r>
      <w:r>
        <w:rPr>
          <w:rFonts w:ascii="仿宋_GB2312" w:eastAsia="仿宋_GB2312" w:hint="eastAsia"/>
          <w:sz w:val="32"/>
          <w:szCs w:val="32"/>
        </w:rPr>
        <w:t>列</w:t>
      </w:r>
      <w:r>
        <w:rPr>
          <w:rFonts w:ascii="仿宋_GB2312" w:eastAsia="仿宋_GB2312" w:hint="eastAsia"/>
          <w:sz w:val="32"/>
          <w:szCs w:val="32"/>
        </w:rPr>
        <w:t>为落实领导干部学法制度的重要内容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明确分管办公室的局领导履行政务公开的领导职责，</w:t>
      </w:r>
      <w:r>
        <w:rPr>
          <w:rFonts w:ascii="仿宋_GB2312" w:eastAsia="仿宋_GB2312" w:hint="eastAsia"/>
          <w:sz w:val="32"/>
          <w:szCs w:val="32"/>
        </w:rPr>
        <w:lastRenderedPageBreak/>
        <w:t>领导班子其他成员抓好分管领域政务公开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办公室指定专人办理政务公开的具体业务，切实履行好政务公开工作职责。</w:t>
      </w:r>
    </w:p>
    <w:sectPr w:rsidR="006617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51" w:bottom="1440" w:left="1451" w:header="851" w:footer="116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04" w:rsidRDefault="00555304">
      <w:r>
        <w:separator/>
      </w:r>
    </w:p>
  </w:endnote>
  <w:endnote w:type="continuationSeparator" w:id="0">
    <w:p w:rsidR="00555304" w:rsidRDefault="0055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2" w:rsidRDefault="005553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7D2" w:rsidRDefault="00555304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0AC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17D2" w:rsidRDefault="00555304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F0AC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2" w:rsidRDefault="005553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4951095</wp:posOffset>
              </wp:positionH>
              <wp:positionV relativeFrom="paragraph">
                <wp:posOffset>0</wp:posOffset>
              </wp:positionV>
              <wp:extent cx="7664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7D2" w:rsidRDefault="00555304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0AC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89.85pt;margin-top:0;width:60.35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" filled="f" stroked="f" strokeweight=".5pt">
              <v:textbox style="mso-fit-shape-to-text:t" inset="0,0,0,0">
                <w:txbxContent>
                  <w:p w:rsidR="006617D2" w:rsidRDefault="00555304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F0AC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04" w:rsidRDefault="00555304">
      <w:r>
        <w:separator/>
      </w:r>
    </w:p>
  </w:footnote>
  <w:footnote w:type="continuationSeparator" w:id="0">
    <w:p w:rsidR="00555304" w:rsidRDefault="0055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2" w:rsidRDefault="006617D2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2" w:rsidRDefault="006617D2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E"/>
    <w:rsid w:val="000F1502"/>
    <w:rsid w:val="00336A86"/>
    <w:rsid w:val="003F0ACF"/>
    <w:rsid w:val="00443060"/>
    <w:rsid w:val="00504CE3"/>
    <w:rsid w:val="00555304"/>
    <w:rsid w:val="006617D2"/>
    <w:rsid w:val="007446DD"/>
    <w:rsid w:val="008B5666"/>
    <w:rsid w:val="009F69AE"/>
    <w:rsid w:val="00B32B03"/>
    <w:rsid w:val="00C234A2"/>
    <w:rsid w:val="00C51883"/>
    <w:rsid w:val="00D11097"/>
    <w:rsid w:val="00D8600B"/>
    <w:rsid w:val="00F37B5C"/>
    <w:rsid w:val="02496A6E"/>
    <w:rsid w:val="03FC5A84"/>
    <w:rsid w:val="055F492F"/>
    <w:rsid w:val="08FC22BF"/>
    <w:rsid w:val="0FAA5CE4"/>
    <w:rsid w:val="1012699B"/>
    <w:rsid w:val="12E91749"/>
    <w:rsid w:val="16DF119C"/>
    <w:rsid w:val="183256FC"/>
    <w:rsid w:val="23AF1279"/>
    <w:rsid w:val="258B18F7"/>
    <w:rsid w:val="28735168"/>
    <w:rsid w:val="2FD07A8D"/>
    <w:rsid w:val="302F23DF"/>
    <w:rsid w:val="37AF4D3B"/>
    <w:rsid w:val="37F1613F"/>
    <w:rsid w:val="3B613FC4"/>
    <w:rsid w:val="3F920DE3"/>
    <w:rsid w:val="42F9057B"/>
    <w:rsid w:val="483E5CA5"/>
    <w:rsid w:val="49C3274F"/>
    <w:rsid w:val="4B660353"/>
    <w:rsid w:val="4DB32727"/>
    <w:rsid w:val="4F477059"/>
    <w:rsid w:val="53782BA1"/>
    <w:rsid w:val="565320E5"/>
    <w:rsid w:val="59A52650"/>
    <w:rsid w:val="5DB5681B"/>
    <w:rsid w:val="66703465"/>
    <w:rsid w:val="67757286"/>
    <w:rsid w:val="6815388A"/>
    <w:rsid w:val="6A523DC9"/>
    <w:rsid w:val="729F396C"/>
    <w:rsid w:val="73072524"/>
    <w:rsid w:val="7C31040A"/>
    <w:rsid w:val="7D500862"/>
    <w:rsid w:val="7DE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Windows 用户</cp:lastModifiedBy>
  <cp:revision>5</cp:revision>
  <dcterms:created xsi:type="dcterms:W3CDTF">2020-01-23T02:51:00Z</dcterms:created>
  <dcterms:modified xsi:type="dcterms:W3CDTF">2023-03-31T01:38:00Z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