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B7" w:rsidRPr="00595B2F" w:rsidRDefault="002E2EB7">
      <w:pPr>
        <w:spacing w:line="460" w:lineRule="atLeast"/>
        <w:ind w:right="-231"/>
        <w:rPr>
          <w:rFonts w:ascii="方正仿宋简体" w:eastAsia="方正仿宋简体"/>
          <w:bCs/>
          <w:sz w:val="32"/>
        </w:rPr>
      </w:pPr>
    </w:p>
    <w:p w:rsidR="002E2EB7" w:rsidRPr="00595B2F" w:rsidRDefault="00565BC4">
      <w:pPr>
        <w:spacing w:line="520" w:lineRule="atLeast"/>
        <w:jc w:val="center"/>
        <w:rPr>
          <w:rFonts w:ascii="方正小标宋简体" w:eastAsia="方正小标宋简体"/>
          <w:bCs/>
          <w:color w:val="000000" w:themeColor="text1"/>
          <w:spacing w:val="-30"/>
          <w:sz w:val="84"/>
          <w:szCs w:val="72"/>
        </w:rPr>
      </w:pPr>
      <w:r w:rsidRPr="00595B2F">
        <w:rPr>
          <w:rFonts w:ascii="方正小标宋简体" w:eastAsia="方正小标宋简体" w:hint="eastAsia"/>
          <w:bCs/>
          <w:color w:val="000000" w:themeColor="text1"/>
          <w:spacing w:val="-30"/>
          <w:sz w:val="84"/>
          <w:szCs w:val="72"/>
        </w:rPr>
        <w:t>玉溪市地方税务局公告</w:t>
      </w:r>
    </w:p>
    <w:p w:rsidR="002E2EB7" w:rsidRDefault="002E2EB7">
      <w:pPr>
        <w:spacing w:line="360" w:lineRule="exact"/>
        <w:rPr>
          <w:rFonts w:ascii="仿宋_GB2312" w:eastAsia="仿宋_GB2312"/>
          <w:spacing w:val="20"/>
          <w:w w:val="90"/>
          <w:sz w:val="32"/>
        </w:rPr>
      </w:pPr>
    </w:p>
    <w:p w:rsidR="002E2EB7" w:rsidRDefault="002E2EB7">
      <w:pPr>
        <w:spacing w:line="360" w:lineRule="exact"/>
        <w:rPr>
          <w:rFonts w:ascii="仿宋_GB2312" w:eastAsia="仿宋_GB2312"/>
          <w:spacing w:val="20"/>
          <w:w w:val="90"/>
          <w:sz w:val="32"/>
        </w:rPr>
      </w:pPr>
    </w:p>
    <w:p w:rsidR="002E2EB7" w:rsidRDefault="00565BC4">
      <w:pPr>
        <w:spacing w:line="640" w:lineRule="atLeast"/>
        <w:jc w:val="center"/>
        <w:textAlignment w:val="auto"/>
        <w:rPr>
          <w:rFonts w:ascii="仿宋_GB2312" w:eastAsia="仿宋_GB2312"/>
          <w:sz w:val="32"/>
        </w:rPr>
      </w:pPr>
      <w:r>
        <w:rPr>
          <w:rFonts w:ascii="楷体_GB2312" w:eastAsia="楷体_GB2312" w:hint="eastAsia"/>
          <w:sz w:val="44"/>
        </w:rPr>
        <w:t>2011</w:t>
      </w:r>
      <w:r>
        <w:rPr>
          <w:rFonts w:ascii="楷体_GB2312" w:eastAsia="楷体_GB2312" w:hint="eastAsia"/>
          <w:sz w:val="44"/>
        </w:rPr>
        <w:t>年第</w:t>
      </w:r>
      <w:r>
        <w:rPr>
          <w:rFonts w:ascii="楷体_GB2312" w:eastAsia="楷体_GB2312"/>
          <w:sz w:val="44"/>
        </w:rPr>
        <w:t xml:space="preserve"> </w:t>
      </w:r>
      <w:r>
        <w:rPr>
          <w:rFonts w:ascii="楷体_GB2312" w:eastAsia="楷体_GB2312" w:hint="eastAsia"/>
          <w:sz w:val="44"/>
        </w:rPr>
        <w:t>5</w:t>
      </w:r>
      <w:r>
        <w:rPr>
          <w:rFonts w:ascii="楷体_GB2312" w:eastAsia="楷体_GB2312" w:hint="eastAsia"/>
          <w:sz w:val="44"/>
        </w:rPr>
        <w:t>号</w:t>
      </w:r>
      <w:r>
        <w:rPr>
          <w:rFonts w:ascii="仿宋_GB2312" w:eastAsia="仿宋_GB2312"/>
          <w:sz w:val="32"/>
        </w:rPr>
        <w:t xml:space="preserve"> </w:t>
      </w:r>
    </w:p>
    <w:p w:rsidR="002E2EB7" w:rsidRDefault="002E2EB7">
      <w:pPr>
        <w:spacing w:line="640" w:lineRule="atLeast"/>
        <w:jc w:val="center"/>
        <w:textAlignment w:val="auto"/>
        <w:rPr>
          <w:rFonts w:ascii="仿宋_GB2312" w:eastAsia="仿宋_GB2312"/>
          <w:sz w:val="32"/>
        </w:rPr>
      </w:pPr>
    </w:p>
    <w:p w:rsidR="002E2EB7" w:rsidRDefault="00565BC4">
      <w:pPr>
        <w:spacing w:line="800" w:lineRule="exact"/>
        <w:ind w:firstLineChars="200" w:firstLine="880"/>
        <w:rPr>
          <w:rFonts w:ascii="楷体_GB2312" w:eastAsia="楷体_GB2312"/>
          <w:sz w:val="44"/>
        </w:rPr>
      </w:pPr>
      <w:r>
        <w:rPr>
          <w:rFonts w:ascii="楷体_GB2312" w:eastAsia="楷体_GB2312" w:hint="eastAsia"/>
          <w:sz w:val="44"/>
        </w:rPr>
        <w:t>《玉溪市地方税务局关于转让旧房及建筑物土地增值税有关问题的规定》经玉溪市地方税务局</w:t>
      </w:r>
      <w:r>
        <w:rPr>
          <w:rFonts w:ascii="楷体_GB2312" w:eastAsia="楷体_GB2312" w:hint="eastAsia"/>
          <w:sz w:val="44"/>
        </w:rPr>
        <w:t>2011</w:t>
      </w:r>
      <w:r>
        <w:rPr>
          <w:rFonts w:ascii="楷体_GB2312" w:eastAsia="楷体_GB2312" w:hint="eastAsia"/>
          <w:sz w:val="44"/>
        </w:rPr>
        <w:t>年</w:t>
      </w:r>
      <w:r>
        <w:rPr>
          <w:rFonts w:ascii="楷体_GB2312" w:eastAsia="楷体_GB2312" w:hint="eastAsia"/>
          <w:sz w:val="44"/>
        </w:rPr>
        <w:t>10</w:t>
      </w:r>
      <w:r>
        <w:rPr>
          <w:rFonts w:ascii="楷体_GB2312" w:eastAsia="楷体_GB2312" w:hint="eastAsia"/>
          <w:sz w:val="44"/>
        </w:rPr>
        <w:t>月</w:t>
      </w:r>
      <w:r>
        <w:rPr>
          <w:rFonts w:ascii="楷体_GB2312" w:eastAsia="楷体_GB2312" w:hint="eastAsia"/>
          <w:sz w:val="44"/>
        </w:rPr>
        <w:t>9</w:t>
      </w:r>
      <w:r>
        <w:rPr>
          <w:rFonts w:ascii="楷体_GB2312" w:eastAsia="楷体_GB2312" w:hint="eastAsia"/>
          <w:sz w:val="44"/>
        </w:rPr>
        <w:t>日局务会审议通过，现予公布，自</w:t>
      </w:r>
      <w:r>
        <w:rPr>
          <w:rFonts w:ascii="楷体_GB2312" w:eastAsia="楷体_GB2312" w:hint="eastAsia"/>
          <w:sz w:val="44"/>
        </w:rPr>
        <w:t>2012</w:t>
      </w:r>
      <w:r>
        <w:rPr>
          <w:rFonts w:ascii="楷体_GB2312" w:eastAsia="楷体_GB2312" w:hint="eastAsia"/>
          <w:sz w:val="44"/>
        </w:rPr>
        <w:t>年</w:t>
      </w:r>
      <w:r>
        <w:rPr>
          <w:rFonts w:ascii="楷体_GB2312" w:eastAsia="楷体_GB2312" w:hint="eastAsia"/>
          <w:sz w:val="44"/>
        </w:rPr>
        <w:t>1</w:t>
      </w:r>
      <w:r>
        <w:rPr>
          <w:rFonts w:ascii="楷体_GB2312" w:eastAsia="楷体_GB2312" w:hint="eastAsia"/>
          <w:sz w:val="44"/>
        </w:rPr>
        <w:t>月</w:t>
      </w:r>
      <w:r>
        <w:rPr>
          <w:rFonts w:ascii="楷体_GB2312" w:eastAsia="楷体_GB2312" w:hint="eastAsia"/>
          <w:sz w:val="44"/>
        </w:rPr>
        <w:t>1</w:t>
      </w:r>
      <w:r>
        <w:rPr>
          <w:rFonts w:ascii="楷体_GB2312" w:eastAsia="楷体_GB2312" w:hint="eastAsia"/>
          <w:sz w:val="44"/>
        </w:rPr>
        <w:t>日起施行。</w:t>
      </w:r>
    </w:p>
    <w:p w:rsidR="002E2EB7" w:rsidRDefault="002E2EB7">
      <w:pPr>
        <w:spacing w:line="800" w:lineRule="exact"/>
        <w:ind w:firstLineChars="200" w:firstLine="640"/>
        <w:rPr>
          <w:rFonts w:ascii="仿宋_GB2312" w:eastAsia="仿宋_GB2312"/>
          <w:sz w:val="32"/>
        </w:rPr>
      </w:pPr>
    </w:p>
    <w:p w:rsidR="002E2EB7" w:rsidRDefault="002E2EB7">
      <w:pPr>
        <w:spacing w:line="800" w:lineRule="exact"/>
        <w:ind w:firstLineChars="200" w:firstLine="640"/>
        <w:rPr>
          <w:rFonts w:ascii="仿宋_GB2312" w:eastAsia="仿宋_GB2312"/>
          <w:sz w:val="32"/>
        </w:rPr>
      </w:pPr>
    </w:p>
    <w:p w:rsidR="002E2EB7" w:rsidRDefault="00565BC4">
      <w:pPr>
        <w:spacing w:line="800" w:lineRule="exact"/>
        <w:ind w:firstLineChars="700" w:firstLine="3080"/>
        <w:rPr>
          <w:rFonts w:ascii="楷体_GB2312" w:eastAsia="楷体_GB2312"/>
          <w:sz w:val="44"/>
        </w:rPr>
      </w:pPr>
      <w:r>
        <w:rPr>
          <w:rFonts w:ascii="楷体_GB2312" w:eastAsia="楷体_GB2312" w:hint="eastAsia"/>
          <w:sz w:val="44"/>
        </w:rPr>
        <w:t>二○一一年十月二十日</w:t>
      </w:r>
    </w:p>
    <w:p w:rsidR="002E2EB7" w:rsidRDefault="002E2EB7">
      <w:pPr>
        <w:spacing w:line="640" w:lineRule="atLeast"/>
        <w:jc w:val="center"/>
        <w:rPr>
          <w:rFonts w:ascii="仿宋_GB2312" w:eastAsia="仿宋_GB2312"/>
          <w:sz w:val="32"/>
        </w:rPr>
      </w:pPr>
    </w:p>
    <w:p w:rsidR="002E2EB7" w:rsidRDefault="002E2EB7">
      <w:pPr>
        <w:spacing w:line="640" w:lineRule="atLeast"/>
        <w:jc w:val="center"/>
        <w:rPr>
          <w:rFonts w:ascii="仿宋_GB2312" w:eastAsia="仿宋_GB2312"/>
          <w:sz w:val="32"/>
        </w:rPr>
      </w:pPr>
    </w:p>
    <w:p w:rsidR="002E2EB7" w:rsidRDefault="002E2EB7">
      <w:pPr>
        <w:tabs>
          <w:tab w:val="left" w:pos="420"/>
          <w:tab w:val="left" w:pos="9240"/>
        </w:tabs>
        <w:spacing w:line="640" w:lineRule="atLeast"/>
        <w:rPr>
          <w:rFonts w:ascii="仿宋_GB2312" w:eastAsia="仿宋_GB2312"/>
          <w:bCs/>
          <w:sz w:val="32"/>
        </w:rPr>
      </w:pPr>
    </w:p>
    <w:p w:rsidR="002E2EB7" w:rsidRDefault="002E2EB7">
      <w:pPr>
        <w:jc w:val="center"/>
        <w:rPr>
          <w:rFonts w:eastAsia="方正小标宋简体" w:hint="eastAsia"/>
          <w:sz w:val="44"/>
        </w:rPr>
      </w:pPr>
    </w:p>
    <w:p w:rsidR="00595B2F" w:rsidRDefault="00595B2F">
      <w:pPr>
        <w:jc w:val="center"/>
        <w:rPr>
          <w:rFonts w:eastAsia="方正小标宋简体"/>
          <w:sz w:val="44"/>
        </w:rPr>
      </w:pPr>
      <w:bookmarkStart w:id="0" w:name="_GoBack"/>
      <w:bookmarkEnd w:id="0"/>
    </w:p>
    <w:p w:rsidR="002E2EB7" w:rsidRDefault="00565BC4">
      <w:pPr>
        <w:jc w:val="center"/>
        <w:rPr>
          <w:rFonts w:eastAsia="方正小标宋简体"/>
          <w:sz w:val="44"/>
        </w:rPr>
      </w:pPr>
      <w:r>
        <w:rPr>
          <w:rFonts w:eastAsia="方正小标宋简体" w:hint="eastAsia"/>
          <w:sz w:val="44"/>
        </w:rPr>
        <w:lastRenderedPageBreak/>
        <w:t>玉溪市地方税务局关于转让旧房及建筑物</w:t>
      </w:r>
    </w:p>
    <w:p w:rsidR="002E2EB7" w:rsidRDefault="00565BC4">
      <w:pPr>
        <w:jc w:val="center"/>
        <w:rPr>
          <w:rFonts w:eastAsia="方正小标宋简体"/>
          <w:sz w:val="44"/>
        </w:rPr>
      </w:pPr>
      <w:r>
        <w:rPr>
          <w:rFonts w:eastAsia="方正小标宋简体" w:hint="eastAsia"/>
          <w:sz w:val="44"/>
        </w:rPr>
        <w:t>土地增值税有关问题的规定</w:t>
      </w:r>
    </w:p>
    <w:p w:rsidR="002E2EB7" w:rsidRDefault="002E2EB7">
      <w:pPr>
        <w:spacing w:line="600" w:lineRule="exact"/>
        <w:ind w:firstLine="630"/>
        <w:rPr>
          <w:rFonts w:eastAsia="仿宋_GB2312"/>
          <w:sz w:val="32"/>
        </w:rPr>
      </w:pPr>
    </w:p>
    <w:p w:rsidR="002E2EB7" w:rsidRDefault="00565BC4">
      <w:pPr>
        <w:spacing w:line="600" w:lineRule="exact"/>
        <w:ind w:firstLine="630"/>
        <w:rPr>
          <w:rFonts w:eastAsia="仿宋_GB2312"/>
          <w:sz w:val="32"/>
        </w:rPr>
      </w:pPr>
      <w:r>
        <w:rPr>
          <w:rFonts w:eastAsia="仿宋_GB2312" w:hint="eastAsia"/>
          <w:sz w:val="32"/>
        </w:rPr>
        <w:t>根据《云南省地方税务局关于进一步推进房地产税收一体化管理工作的指导意见的通知》（云地税发〔</w:t>
      </w:r>
      <w:r>
        <w:rPr>
          <w:rFonts w:eastAsia="仿宋_GB2312" w:hint="eastAsia"/>
          <w:sz w:val="32"/>
        </w:rPr>
        <w:t>2006</w:t>
      </w:r>
      <w:r>
        <w:rPr>
          <w:rFonts w:eastAsia="仿宋_GB2312" w:hint="eastAsia"/>
          <w:sz w:val="32"/>
        </w:rPr>
        <w:t>〕</w:t>
      </w:r>
      <w:r>
        <w:rPr>
          <w:rFonts w:eastAsia="仿宋_GB2312" w:hint="eastAsia"/>
          <w:sz w:val="32"/>
        </w:rPr>
        <w:t>198</w:t>
      </w:r>
      <w:r>
        <w:rPr>
          <w:rFonts w:eastAsia="仿宋_GB2312" w:hint="eastAsia"/>
          <w:sz w:val="32"/>
        </w:rPr>
        <w:t>号）规定，结合我市实际，对纳税人转让旧房及建筑物，凡没有评估价格，又不能提供购房发票的，税务机关有权对其实行核定征收，可按纳税人转让旧房及建筑物所取得收入的</w:t>
      </w:r>
      <w:r>
        <w:rPr>
          <w:rFonts w:eastAsia="仿宋_GB2312" w:hint="eastAsia"/>
          <w:sz w:val="32"/>
        </w:rPr>
        <w:t>3%</w:t>
      </w:r>
      <w:r>
        <w:rPr>
          <w:rFonts w:eastAsia="仿宋_GB2312" w:hint="eastAsia"/>
          <w:sz w:val="32"/>
        </w:rPr>
        <w:t>进行征收。</w:t>
      </w:r>
    </w:p>
    <w:p w:rsidR="002E2EB7" w:rsidRDefault="00565BC4">
      <w:pPr>
        <w:spacing w:line="600" w:lineRule="exact"/>
        <w:ind w:firstLine="630"/>
        <w:rPr>
          <w:rFonts w:eastAsia="仿宋_GB2312"/>
          <w:kern w:val="2"/>
          <w:sz w:val="32"/>
        </w:rPr>
      </w:pPr>
      <w:r>
        <w:rPr>
          <w:rFonts w:eastAsia="仿宋_GB2312" w:hint="eastAsia"/>
          <w:sz w:val="32"/>
        </w:rPr>
        <w:t>本规定自</w:t>
      </w:r>
      <w:r>
        <w:rPr>
          <w:rFonts w:eastAsia="仿宋_GB2312" w:hint="eastAsia"/>
          <w:sz w:val="32"/>
        </w:rPr>
        <w:t>2012</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1</w:t>
      </w:r>
      <w:r>
        <w:rPr>
          <w:rFonts w:eastAsia="仿宋_GB2312" w:hint="eastAsia"/>
          <w:sz w:val="32"/>
        </w:rPr>
        <w:t>日起施行。《玉溪市地方税务局关于确定我市土地增值税征收比例的通知》（玉地税三字〔</w:t>
      </w:r>
      <w:r>
        <w:rPr>
          <w:rFonts w:eastAsia="仿宋_GB2312" w:hint="eastAsia"/>
          <w:sz w:val="32"/>
        </w:rPr>
        <w:t>2007</w:t>
      </w:r>
      <w:r>
        <w:rPr>
          <w:rFonts w:eastAsia="仿宋_GB2312" w:hint="eastAsia"/>
          <w:sz w:val="32"/>
        </w:rPr>
        <w:t>〕</w:t>
      </w:r>
      <w:r>
        <w:rPr>
          <w:rFonts w:eastAsia="仿宋_GB2312" w:hint="eastAsia"/>
          <w:sz w:val="32"/>
        </w:rPr>
        <w:t>1</w:t>
      </w:r>
      <w:r>
        <w:rPr>
          <w:rFonts w:eastAsia="仿宋_GB2312" w:hint="eastAsia"/>
          <w:sz w:val="32"/>
        </w:rPr>
        <w:t>号）同时废止。</w:t>
      </w:r>
    </w:p>
    <w:p w:rsidR="002E2EB7" w:rsidRDefault="002E2EB7">
      <w:pPr>
        <w:ind w:firstLineChars="350" w:firstLine="1120"/>
        <w:rPr>
          <w:rFonts w:ascii="仿宋_GB2312" w:eastAsia="仿宋_GB2312"/>
          <w:bCs/>
          <w:sz w:val="32"/>
        </w:rPr>
      </w:pPr>
    </w:p>
    <w:p w:rsidR="002E2EB7" w:rsidRDefault="002E2EB7">
      <w:pPr>
        <w:ind w:firstLineChars="495" w:firstLine="1584"/>
        <w:rPr>
          <w:rFonts w:ascii="仿宋_GB2312" w:eastAsia="仿宋_GB2312"/>
          <w:bCs/>
          <w:sz w:val="32"/>
        </w:rPr>
      </w:pPr>
    </w:p>
    <w:p w:rsidR="002E2EB7" w:rsidRDefault="002E2EB7">
      <w:pPr>
        <w:ind w:firstLineChars="495" w:firstLine="1584"/>
        <w:rPr>
          <w:rFonts w:ascii="仿宋_GB2312" w:eastAsia="仿宋_GB2312"/>
          <w:bCs/>
          <w:sz w:val="32"/>
        </w:rPr>
      </w:pPr>
    </w:p>
    <w:p w:rsidR="002E2EB7" w:rsidRDefault="002E2EB7">
      <w:pPr>
        <w:ind w:firstLineChars="495" w:firstLine="1584"/>
        <w:rPr>
          <w:rFonts w:ascii="仿宋_GB2312" w:eastAsia="仿宋_GB2312"/>
          <w:bCs/>
          <w:sz w:val="32"/>
        </w:rPr>
      </w:pPr>
    </w:p>
    <w:p w:rsidR="002E2EB7" w:rsidRDefault="00565BC4">
      <w:pPr>
        <w:ind w:firstLineChars="1195" w:firstLine="3824"/>
        <w:rPr>
          <w:rFonts w:ascii="仿宋_GB2312" w:eastAsia="仿宋_GB2312"/>
          <w:sz w:val="32"/>
          <w:szCs w:val="32"/>
        </w:rPr>
      </w:pPr>
      <w:r>
        <w:rPr>
          <w:rFonts w:ascii="仿宋_GB2312" w:eastAsia="仿宋_GB2312" w:hint="eastAsia"/>
          <w:bCs/>
          <w:sz w:val="32"/>
        </w:rPr>
        <w:t>二○一一年十月二十日</w:t>
      </w:r>
    </w:p>
    <w:p w:rsidR="002E2EB7" w:rsidRDefault="002E2EB7">
      <w:pPr>
        <w:spacing w:line="640" w:lineRule="atLeast"/>
        <w:rPr>
          <w:rFonts w:ascii="仿宋_GB2312" w:eastAsia="仿宋_GB2312"/>
          <w:bCs/>
          <w:sz w:val="32"/>
        </w:rPr>
      </w:pPr>
    </w:p>
    <w:p w:rsidR="002E2EB7" w:rsidRDefault="002E2EB7"/>
    <w:sectPr w:rsidR="002E2EB7">
      <w:footerReference w:type="even" r:id="rId8"/>
      <w:pgSz w:w="11907" w:h="16840"/>
      <w:pgMar w:top="2098" w:right="1474" w:bottom="1985" w:left="1588" w:header="851" w:footer="1928"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C4" w:rsidRDefault="00565BC4">
      <w:pPr>
        <w:spacing w:line="240" w:lineRule="auto"/>
      </w:pPr>
      <w:r>
        <w:separator/>
      </w:r>
    </w:p>
  </w:endnote>
  <w:endnote w:type="continuationSeparator" w:id="0">
    <w:p w:rsidR="00565BC4" w:rsidRDefault="00565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B7" w:rsidRDefault="00565B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2EB7" w:rsidRDefault="002E2E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C4" w:rsidRDefault="00565BC4">
      <w:pPr>
        <w:spacing w:line="240" w:lineRule="auto"/>
      </w:pPr>
      <w:r>
        <w:separator/>
      </w:r>
    </w:p>
  </w:footnote>
  <w:footnote w:type="continuationSeparator" w:id="0">
    <w:p w:rsidR="00565BC4" w:rsidRDefault="00565B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B7"/>
    <w:rsid w:val="002E2EB7"/>
    <w:rsid w:val="00565BC4"/>
    <w:rsid w:val="00595B2F"/>
    <w:rsid w:val="34726E63"/>
    <w:rsid w:val="6A6B6646"/>
    <w:rsid w:val="6EBC3050"/>
    <w:rsid w:val="70C2405F"/>
    <w:rsid w:val="7251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spacing w:line="240" w:lineRule="atLeast"/>
      <w:jc w:val="left"/>
    </w:pPr>
    <w:rPr>
      <w:sz w:val="18"/>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spacing w:line="240" w:lineRule="atLeast"/>
      <w:jc w:val="left"/>
    </w:pPr>
    <w:rPr>
      <w:sz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2014-10-29T12:08:00Z</dcterms:created>
  <dcterms:modified xsi:type="dcterms:W3CDTF">2021-11-04T08:36:00Z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