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国家税务总局</w:t>
      </w:r>
      <w:r>
        <w:rPr>
          <w:rFonts w:ascii="方正小标宋_GBK" w:hAnsi="方正小标宋_GBK" w:eastAsia="方正小标宋_GBK" w:cs="方正小标宋_GBK"/>
          <w:sz w:val="43"/>
          <w:szCs w:val="43"/>
          <w:shd w:val="clear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shd w:val="clear" w:fill="FFFFFF"/>
          <w:lang w:eastAsia="zh-CN"/>
        </w:rPr>
        <w:t>税务局</w:t>
      </w:r>
      <w:r>
        <w:rPr>
          <w:rFonts w:hint="default" w:ascii="方正小标宋_GBK" w:hAnsi="方正小标宋_GBK" w:eastAsia="方正小标宋_GBK" w:cs="方正小标宋_GBK"/>
          <w:sz w:val="43"/>
          <w:szCs w:val="43"/>
          <w:shd w:val="clear" w:fill="FFFFFF"/>
        </w:rPr>
        <w:t>政府信息公开基本目录</w:t>
      </w:r>
    </w:p>
    <w:tbl>
      <w:tblPr>
        <w:tblW w:w="503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025"/>
        <w:gridCol w:w="901"/>
        <w:gridCol w:w="1199"/>
        <w:gridCol w:w="1060"/>
        <w:gridCol w:w="1161"/>
        <w:gridCol w:w="2369"/>
        <w:gridCol w:w="629"/>
        <w:gridCol w:w="776"/>
        <w:gridCol w:w="739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19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（要素）</w:t>
            </w:r>
          </w:p>
        </w:tc>
        <w:tc>
          <w:tcPr>
            <w:tcW w:w="1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11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236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公开渠道和载体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公开对象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一级事项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二级事项</w:t>
            </w:r>
          </w:p>
        </w:tc>
        <w:tc>
          <w:tcPr>
            <w:tcW w:w="11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全社会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特定群体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主动公开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0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2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基本信息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机构名称，联系方式（包括：办公地址、办公电话、办公时间、传真号码、电子邮箱、通信地址、邮政编码等）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法定职责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依据“三定”规定确定的本部门职责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领导信息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姓名、职务、证件照片、工作职责、分管工作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4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内设机构名称、本部门分工所承担的职责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办公部门所在办公地点、纳税服务、投诉、监督举报、政务公开电话等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Arial" w:hAnsi="Arial" w:cs="Arial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事项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政府信息公开目录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公开内容、依据、时限、渠道方式、对象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根据“三定”方案职责，及时调整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7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政府信息公开年报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instrText xml:space="preserve"> HYPERLINK "http://www.yuxi.gov.cn/yxszfxxgk/xxgkzn3761/" \t "http://www.yuxi.gov.cn/yxszfxxgk/xxgkzn3761/_self" </w:instrTex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重点领域信息公开专栏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本部门年度政府信息公开工作开展情况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每年1月31日前公开上年度政府信息公开工作年报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法规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税收法律法规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本部门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执行税务机关相关的法律、法规、规章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税收规范性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文件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税务机关履职相关的规范性文件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《国家税务总局关于印</w:t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发&lt;全面推进政务公开工作实施办法&gt;的通知》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自该政府信息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形成或者变更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之日起20个工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作日内及时公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行政规范性文件清理信息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文件名、文号、发布机关、发布时间、废止时间等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信息产生或变更之日起5个工作日内公开，保持长期公开，法律法规另有规定的从其规定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eastAsia="仿宋" w:cs="Calibri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重大政策文件解读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政策文件的背景、依据、目标任务等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信息产生或变更之日起3个工作日内公开，保持长期公开，法律法规另有规定的从其规定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0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法定主动公开内容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税费服务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电子税务局服务项目：公众服务、我要办税、我要查询、互动中心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行政执法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执法服务、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>行政许可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行政处罚等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ascii="sans-serif" w:hAnsi="sans-serif" w:eastAsia="sans-serif" w:cs="sans-serif"/>
                <w:sz w:val="15"/>
                <w:szCs w:val="15"/>
              </w:rPr>
              <w:t>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国家税务总局关于印发&lt;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全面推进政务公开工作实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  <w:lang w:eastAsia="zh-CN"/>
              </w:rPr>
              <w:t>施办法&gt;的通知》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“双随机、一公开”工作计划、随机抽查情况及查处结果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信息产生或变更之日起20个工作日内公开，保持长期公开，法律法规另有规定从其规定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 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人大代表建议、政协提案办理情况及复文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信息产生之日起20个工作日内公开，保持长期公开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■政府网站   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 w:firstLine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5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互动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回应关切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12345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政务服务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热线、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市政府政民互动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、依申请公开、网上信访信息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按照各自要求12345热线7日内办结，电视台互动现场答复或线下30日内办结，依申请公开20内办结，网上信访60日内办结。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 □政府公报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咨询、投诉、举报、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建议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税收违法行为检举、税务干部违法举报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纳税服务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投诉、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意见建议信箱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《中华人民共和国政府信息公开条例》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按照各自要求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时限办结。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□政府网站   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税务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网站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政府公报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□政务新媒体 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发布会/听证会□广播电视  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纸质媒体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□社区/企事业单位/村公示栏  □政务服务中心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■其他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6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370F"/>
    <w:rsid w:val="0BF15E05"/>
    <w:rsid w:val="67AE3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54545"/>
      <w:u w:val="none"/>
    </w:rPr>
  </w:style>
  <w:style w:type="character" w:styleId="6">
    <w:name w:val="Hyperlink"/>
    <w:basedOn w:val="4"/>
    <w:uiPriority w:val="0"/>
    <w:rPr>
      <w:color w:val="454545"/>
      <w:u w:val="none"/>
    </w:rPr>
  </w:style>
  <w:style w:type="character" w:customStyle="1" w:styleId="7">
    <w:name w:val="swiper-active-switch"/>
    <w:basedOn w:val="4"/>
    <w:uiPriority w:val="0"/>
    <w:rPr>
      <w:shd w:val="clear" w:fill="014E9C"/>
    </w:rPr>
  </w:style>
  <w:style w:type="character" w:customStyle="1" w:styleId="8">
    <w:name w:val="swiper-active-switch2"/>
    <w:basedOn w:val="4"/>
    <w:uiPriority w:val="0"/>
    <w:rPr>
      <w:shd w:val="clear" w:fill="014E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云南省国家税务局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2022-11-18T01:08:00Z</dcterms:created>
  <dc:creator>User</dc:creator>
  <cp:lastModifiedBy>User</cp:lastModifiedBy>
  <cp:lastPrinted>2022-11-18T03:01:29Z</cp:lastPrinted>
  <dcterms:modified xsi:type="dcterms:W3CDTF">2022-11-18T03:04:26Z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