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附件</w:t>
      </w:r>
    </w:p>
    <w:p>
      <w:pPr>
        <w:spacing w:line="400" w:lineRule="exact"/>
        <w:ind w:firstLine="0" w:firstLineChars="0"/>
      </w:pPr>
    </w:p>
    <w:p>
      <w:pPr>
        <w:spacing w:line="580" w:lineRule="exact"/>
        <w:ind w:firstLine="0" w:firstLineChars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玉溪市“十四五”卫生健康发展规划</w:t>
      </w:r>
    </w:p>
    <w:p>
      <w:pPr>
        <w:spacing w:line="580" w:lineRule="exact"/>
        <w:ind w:firstLine="0" w:firstLineChars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主要任务分工</w:t>
      </w:r>
    </w:p>
    <w:p>
      <w:pPr>
        <w:spacing w:line="400" w:lineRule="exact"/>
        <w:ind w:firstLine="0" w:firstLineChars="0"/>
      </w:pPr>
    </w:p>
    <w:tbl>
      <w:tblPr>
        <w:tblStyle w:val="5"/>
        <w:tblW w:w="9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42"/>
        <w:gridCol w:w="1894"/>
        <w:gridCol w:w="1900"/>
        <w:gridCol w:w="3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22" w:hRule="atLeast"/>
          <w:tblHeader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方正黑体_GBK" w:hAnsi="Times New Roman" w:eastAsia="方正黑体_GBK"/>
                <w:sz w:val="28"/>
                <w:szCs w:val="28"/>
              </w:rPr>
            </w:pPr>
            <w:bookmarkStart w:id="0" w:name="_Toc19705"/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工作任务</w:t>
            </w:r>
            <w:bookmarkEnd w:id="0"/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牵头部门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配合部门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bookmarkStart w:id="1" w:name="_Toc26065"/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  <w:bookmarkEnd w:id="1"/>
          </w:p>
        </w:tc>
        <w:tc>
          <w:tcPr>
            <w:tcW w:w="9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bookmarkStart w:id="2" w:name="_Toc28611"/>
            <w:bookmarkEnd w:id="2"/>
            <w:r>
              <w:rPr>
                <w:rFonts w:ascii="Times New Roman" w:hAnsi="Times New Roman" w:eastAsia="方正仿宋_GBK"/>
                <w:sz w:val="28"/>
                <w:szCs w:val="28"/>
              </w:rPr>
              <w:t>医防融合，筑牢公共卫生安全防护网络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提高疾病预防控制机构核心能力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市卫生健康委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市委编办、市发展改革委、市财政局、市人力资源社会保障局、市市场监管局、市自然资源规划局、市生态环境局、市科技局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强化医疗卫生机构公共卫生职责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市卫生健康委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市发展改革委、市财政局、市医保局、市工业和信息化局、市人力资源社会保障局、市科技局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完善提升重大公共卫生事件应急体系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市卫生健康委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发展改革委、市财政局、市医保局、市人力资源社会保障局、市公安局、市工业和信息化局、市农业农村局、市教育体育局、市交通运输局、市民政局、市司法局、市应急局、市审计局、市外办、市文化和旅游局、市自然资源规划局、市生态环境局、市住房城乡建设局、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提高重大突发事件救治能力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市卫生健康委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6"/>
                <w:sz w:val="28"/>
                <w:szCs w:val="28"/>
              </w:rPr>
              <w:t>市发展改革委、市财政局、市医保局、市公安局、市交通运输局、市应急局、市市场监管局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9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提能增效，推动健康服务体系高质量发展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全面提升县域卫生健康服务能力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市卫生健康委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市发展改革委、市财政局、市医保局、市人力资源社会保障局、市自然资源规划局、市生态环境局、市农业农村局、市住房城乡建设局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kern w:val="44"/>
                <w:sz w:val="28"/>
                <w:szCs w:val="28"/>
              </w:rPr>
              <w:t>全力打造市级医疗卫生服务高地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市卫生健康委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市发展改革委、市财政局、市人力资源社会保障局、市教育体育局、市科技局、市自然资源规划局、市住房城乡建设局、市外办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全面提高中医药服务水平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市卫生健康委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市发展改革委、市财政局、市医保局、市自然资源规划局、市住房城乡建设局、市市场监管局、市教育体育局、市广电局、市委宣传部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全面增强医疗急救保障能力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市卫生健康委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市发展改革委、市财政局、市医保局、市人力资源社会保障局、市教育体育局、市科技局、市自然资源规划局、市住房城乡建设局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加快提升临床药学服务水平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市卫生健康委</w:t>
            </w:r>
          </w:p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市市场监管局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市发展改革委、市财政局、市人力资源社会保障局、市医保局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  <w:jc w:val="center"/>
        </w:trPr>
        <w:tc>
          <w:tcPr>
            <w:tcW w:w="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9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凝聚共识，扎实推进健康玉溪行动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健全健康玉溪行动推进机制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市健康玉溪行动推进委员会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市卫生健康委、市财政局、市商务局、市住房城乡建设局、市公安局、市交通运输局、市水利局、市农业农村局、市文化和旅游局、市市场监管局、市自然资源规划局、市生态环境局、市住房城乡建设局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深化拓展爱国卫生运动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市卫生健康委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市财政局、市商务局、市住房城乡建设局、市公安局、市交通运输局、市水利局、市农业农村局、市文化和旅游局、市市场监管局、市自然资源规划局、市生态环境局、市住房城乡建设局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加强健康风险监测预警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市卫生健康委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</w:t>
            </w:r>
            <w:r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  <w:t>财政局、市商务局、市住房城乡建设局、市公安局、市交通运输局、市水利局、市农业农村局、市文化和旅游局、市市场监管局、市广电局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加强重大疾病综合防控力度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市卫生健康委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市发展改革委、市财政局、市医保局、市工业和信息化局、市公安局、市交通运输局、市科技局、市教育体育局、市乡村振兴局、市残联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加强心理健康服务体系建设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市卫生健康委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  <w:t>市妇联、市总工会、市残联、市乡村振兴局、市教育体育局、市民政局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9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聚焦全生命周期，提升健康服务水平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增强妇幼健康服务能力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市卫生健康委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市发展改革委、市民政局、市财政局、市医保局、市人力资源社会保障局、市自然资源规划局、市住房城乡建设局、市妇联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加强家庭发展健康支撑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市卫生健康委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市发展改革委、市财政局、市民政局、市人力资源社会保障局、市公安局、市工业和信息化局、市自然资源规划局、市住房城乡建设局、市妇联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提升青少年健康服务水平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市教育体育局</w:t>
            </w:r>
          </w:p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市卫生健康委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市发展改革委、市财政局、市民政局、市人力资源社会保障局、市公安局、市工业和信息化局、市自然资源规划局、市住房城乡建设局、市妇联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6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提高职业健康服务能力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市卫生健康委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市发展改革委、市财政局、市民政局、市教育体育局、市人力资源社会保障局、市国资委、市科技局、市应急局、市工业和信息化局、市市场监管局、市生态环境局、市医保局、市总工会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提升老年健康服务能力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市卫生健康委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市发展改革委、市民政局、市财政局、市医保局、市人力资源社会保障局、市自然资源规划局、市住房城乡建设局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5</w:t>
            </w:r>
          </w:p>
        </w:tc>
        <w:tc>
          <w:tcPr>
            <w:tcW w:w="9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协同联动，持续深化医药卫生体制改革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推进公共卫生治理体系改革</w:t>
            </w:r>
          </w:p>
        </w:tc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17"/>
                <w:sz w:val="28"/>
                <w:szCs w:val="28"/>
              </w:rPr>
              <w:t>市医改领导小组</w:t>
            </w:r>
          </w:p>
        </w:tc>
        <w:tc>
          <w:tcPr>
            <w:tcW w:w="36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市发展改革委、市财政局、市工业和信息化局、市医保局、市卫生健康委、市市场监管局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推进分级诊疗制度建设</w:t>
            </w:r>
          </w:p>
        </w:tc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3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推进现代医院管理制度建设</w:t>
            </w:r>
          </w:p>
        </w:tc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3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推进三医联动改革</w:t>
            </w:r>
          </w:p>
        </w:tc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3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-20"/>
                <w:sz w:val="28"/>
                <w:szCs w:val="28"/>
              </w:rPr>
              <w:t>推进卫生健康综合监管制度建设</w:t>
            </w:r>
          </w:p>
        </w:tc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3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6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发挥多元优势，提高健康产业发展品质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引导社会办医高质量发展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市发展改革委</w:t>
            </w:r>
          </w:p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市卫生健康委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市文化和旅游局、市商务局、市自然资源规划局、市住房城乡建设局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8"/>
                <w:szCs w:val="28"/>
              </w:rPr>
              <w:t>创新健康融合业态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市发展改革委</w:t>
            </w:r>
          </w:p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市卫生健康委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市商务局、市自然资源规划局、市住房城乡建设局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培育智慧健康新产品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市委网信办</w:t>
            </w:r>
          </w:p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市卫生健康委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市财政局、市文化和旅游局、市医保局、市教育体育局、市商务局、市市场监管局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7</w:t>
            </w:r>
          </w:p>
        </w:tc>
        <w:tc>
          <w:tcPr>
            <w:tcW w:w="9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对标一流，打造昆玉健康服务圈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pacing w:val="-20"/>
                <w:sz w:val="28"/>
                <w:szCs w:val="28"/>
              </w:rPr>
              <w:t>超前布局玉溪主中心高质量卫生健康服务体系</w:t>
            </w:r>
          </w:p>
        </w:tc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市发展改革委</w:t>
            </w:r>
          </w:p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市卫生健康委</w:t>
            </w:r>
          </w:p>
        </w:tc>
        <w:tc>
          <w:tcPr>
            <w:tcW w:w="36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市财政局、市教育体育局、市工业和信息化局、市人力资源社会保障局、市应急局、市市场监管局、市自然资源规划局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搭建昆玉卫生健康合作交流高质量平台</w:t>
            </w:r>
          </w:p>
        </w:tc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3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pacing w:val="-20"/>
                <w:sz w:val="28"/>
                <w:szCs w:val="28"/>
              </w:rPr>
              <w:t>构建昆玉同城化发展卫生健康现代化治理体系</w:t>
            </w:r>
          </w:p>
        </w:tc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3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8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多管齐下，夯实卫生健康事业发展支撑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强化卫生健康人才队伍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市卫生健康委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市委编办、市发展改革委、市财政局、市人力资源社会保障局、市教育体育局、市科技局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增强提高卫生健康科技创新能力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市卫生健康委</w:t>
            </w:r>
          </w:p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市科技局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市发展改革委、市财政局、市商务局、市教育体育局、市工业和信息化局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加快卫生健康智慧化建设步伐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市卫生健康委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市发展改革委、市财政局、市工业和信息化局、市科技局、市教育体育局、市医保局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9</w:t>
            </w:r>
          </w:p>
        </w:tc>
        <w:tc>
          <w:tcPr>
            <w:tcW w:w="9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保障</w:t>
            </w:r>
          </w:p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措施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加强组织领导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各级政府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各级卫生健康行政部门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加强投入保障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各级政府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各级财政部门、卫生健康行政部门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加强监督评估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各级政府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各级卫生健康行政部门、审计部门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加强宣传沟通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市卫生健康委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市委宣传部、市广电局、市教育体育局</w:t>
            </w:r>
          </w:p>
        </w:tc>
      </w:tr>
    </w:tbl>
    <w:p>
      <w:pPr>
        <w:spacing w:line="580" w:lineRule="exact"/>
        <w:ind w:firstLine="0" w:firstLineChars="0"/>
        <w:rPr>
          <w:rFonts w:hint="eastAsia"/>
        </w:rPr>
      </w:pPr>
    </w:p>
    <w:p>
      <w:pPr>
        <w:spacing w:line="580" w:lineRule="exact"/>
        <w:ind w:firstLine="0" w:firstLineChars="0"/>
        <w:rPr>
          <w:rFonts w:hint="eastAsia"/>
        </w:rPr>
      </w:pPr>
    </w:p>
    <w:p>
      <w:pPr>
        <w:spacing w:line="580" w:lineRule="exact"/>
        <w:ind w:firstLine="0" w:firstLineChars="0"/>
        <w:rPr>
          <w:rFonts w:hint="eastAsia"/>
        </w:rPr>
      </w:pPr>
    </w:p>
    <w:p>
      <w:pPr>
        <w:spacing w:line="580" w:lineRule="exact"/>
        <w:ind w:firstLine="0" w:firstLineChars="0"/>
        <w:rPr>
          <w:rFonts w:hint="eastAsia"/>
        </w:rPr>
      </w:pPr>
    </w:p>
    <w:p>
      <w:pPr>
        <w:spacing w:line="500" w:lineRule="exact"/>
        <w:ind w:left="316" w:leftChars="100" w:firstLine="0" w:firstLineChars="0"/>
        <w:rPr>
          <w:rFonts w:hint="eastAsia"/>
          <w:sz w:val="28"/>
          <w:szCs w:val="28"/>
        </w:rPr>
      </w:pPr>
    </w:p>
    <w:p>
      <w:bookmarkStart w:id="3" w:name="_GoBack"/>
      <w:bookmarkEnd w:id="3"/>
    </w:p>
    <w:sectPr>
      <w:pgSz w:w="11906" w:h="16838"/>
      <w:pgMar w:top="2098" w:right="1474" w:bottom="1871" w:left="1588" w:header="1361" w:footer="1361" w:gutter="0"/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B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uppressAutoHyphens/>
      <w:spacing w:after="140" w:line="276" w:lineRule="auto"/>
      <w:ind w:firstLine="0" w:firstLineChars="0"/>
    </w:pPr>
    <w:rPr>
      <w:rFonts w:ascii="Calibri" w:hAnsi="Calibri" w:eastAsia="宋体"/>
      <w:sz w:val="21"/>
      <w:szCs w:val="21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2022-11-03T08:02:57Z</dcterms:created>
  <dc:creator>1506</dc:creator>
  <cp:lastModifiedBy>1506</cp:lastModifiedBy>
  <dcterms:modified xsi:type="dcterms:W3CDTF">2022-11-03T08:03:04Z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