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6" w:beforeAutospacing="0" w:after="76" w:afterAutospacing="0" w:line="420" w:lineRule="atLeast"/>
        <w:ind w:left="0" w:right="0" w:firstLine="0"/>
        <w:jc w:val="both"/>
        <w:rPr>
          <w:color w:val="333333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附件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6" w:beforeAutospacing="0" w:after="76" w:afterAutospacing="0" w:line="42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云南省电子证照扩大应用领域和跨地区互通互认2022年重点任务分工方案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9525000" cy="381952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9525000" cy="520065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9525000" cy="4638675"/>
            <wp:effectExtent l="0" t="0" r="0" b="952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9525000" cy="4819650"/>
            <wp:effectExtent l="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6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9525000" cy="4695825"/>
            <wp:effectExtent l="0" t="0" r="0" b="952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7A7835"/>
    <w:rsid w:val="35A7739A"/>
    <w:rsid w:val="3D7A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玉溪市直属党政机关单位</Company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2022-07-15T01:41:00Z</dcterms:created>
  <dc:creator>玉溪政管-李春林</dc:creator>
  <cp:lastModifiedBy>玉溪政管-李春林</cp:lastModifiedBy>
  <dcterms:modified xsi:type="dcterms:W3CDTF">2022-07-15T01:56:16Z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